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2021-835 av 29 juni 2021 om märkning i syfte att informera konsumenterna om sorteringsreglerna för avfall som härrör från produkter för vilka principen om utvidgat producentansvar ska tillämpas</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Ursprunglig version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Berörda grupper: tillverkare av produkter som släppts ut på marknaden för försäljning till hushållen och för vilka principen om utvidgat producentansvar ska tillämpas. </w:t>
      </w:r>
      <w:r>
        <w:rPr>
          <w:rFonts w:ascii="Times New Roman" w:hAnsi="Times New Roman"/>
          <w:sz w:val="24"/>
        </w:rPr>
        <w:br/>
        <w:t xml:space="preserve">Syfte: genomförande av märkning i syfte att informera konsumenterna om sorteringsreglerna för avfall som härrör från produkter som släppts ut på marknaden för försäljning till hushållen och för vilka principen om utvidgat producentansvar ska tillämpas. </w:t>
      </w:r>
      <w:r>
        <w:rPr>
          <w:rFonts w:ascii="Times New Roman" w:hAnsi="Times New Roman"/>
          <w:sz w:val="24"/>
        </w:rPr>
        <w:br/>
        <w:t xml:space="preserve">Ikraftträdande: texten träder i kraft dagen efter det att den har offentliggjorts. I texten föreskrivs dock att informationsmärkningen ska successivt tillämpas från och med den 1 januari 2022, beroende på produkterna och arbetet med utformning av denna märkning. </w:t>
      </w:r>
      <w:r>
        <w:rPr>
          <w:rFonts w:ascii="Times New Roman" w:hAnsi="Times New Roman"/>
          <w:sz w:val="24"/>
        </w:rPr>
        <w:br/>
        <w:t xml:space="preserve">Anmärkning: I dekretet fastställs villkoren för tillämpning av de lagbestämmelser i miljölagen som föreskriver att alla produkter som släppts ut på marknaden för försäljning till hushållen och för vilka principen om utvidgat producentansvar ska tillämpas, med undantag för hushållens glasförpackningar för drycker, måste märkas för att informera konsumenten om sorteringsreglerna för respektive produkt samt om metoderna för sortering eller återlämnande av det avfall som resulterar från produkten. För detta ändamål specificeras i dekretet föreskrifterna för genomförande av artikel L. 541-9-3 i miljölagen. I dekretet föreskrivs också villkoren för utarbetande av märkningen i syfte att informera konsumenterna om att produkterna omfattas av ett pantsystem, i enlighet med artikel L.541-10-11 i samma lag. </w:t>
      </w:r>
      <w:r>
        <w:rPr>
          <w:rFonts w:ascii="Times New Roman" w:hAnsi="Times New Roman"/>
          <w:sz w:val="24"/>
        </w:rPr>
        <w:br/>
        <w:t xml:space="preserve">Referenser: Miljölagen, i dess lydelse efter ändring genom detta dekret, finns tillgänglig på webbplatsen Légifrance (https://www.legifrance.gouv.fr)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Premiärministern har antagit denna förordning</w:t>
      </w:r>
      <w:r>
        <w:rPr>
          <w:rFonts w:ascii="Times New Roman" w:hAnsi="Times New Roman"/>
          <w:sz w:val="24"/>
        </w:rPr>
        <w:br/>
        <w:t>på grundval av rapporten från ministern för ekologisk och solidarisk omställning,</w:t>
      </w:r>
      <w:r>
        <w:rPr>
          <w:rFonts w:ascii="Times New Roman" w:hAnsi="Times New Roman"/>
          <w:sz w:val="24"/>
        </w:rPr>
        <w:br/>
        <w:t>Med beaktande av fördraget om Europeiska unionens funktionssätt,</w:t>
      </w:r>
      <w:r>
        <w:rPr>
          <w:rFonts w:ascii="Times New Roman" w:hAnsi="Times New Roman"/>
          <w:sz w:val="24"/>
        </w:rPr>
        <w:br/>
        <w:t>med beaktande av Europaparlamentets och rådets direktiv (EU) 2015/1535 av den 9 september 2015 om ett informationsförfarande beträffande tekniska föreskrifter och beträffande föreskrifter för informationssamhällets tjänster,</w:t>
      </w:r>
      <w:r>
        <w:rPr>
          <w:rFonts w:ascii="Times New Roman" w:hAnsi="Times New Roman"/>
          <w:sz w:val="24"/>
        </w:rPr>
        <w:br/>
        <w:t>Med beaktande av miljöbalken, särskilt artiklarna L. 541-9-3, L. 541-10-11, R. 541-12-17, R. 541-12-18 och R. 543-54-1,</w:t>
      </w:r>
      <w:r>
        <w:rPr>
          <w:rFonts w:ascii="Times New Roman" w:hAnsi="Times New Roman"/>
          <w:sz w:val="24"/>
        </w:rPr>
        <w:br/>
        <w:t>Med beaktande av de anmärkningar som lyftes fram vid det offentliga samråd som genomfördes mellan den 29 juni och den 20 juli 2020, i enlighet med artikel L. 123-19-1 i miljölagen,</w:t>
      </w:r>
      <w:r>
        <w:rPr>
          <w:rFonts w:ascii="Times New Roman" w:hAnsi="Times New Roman"/>
          <w:sz w:val="24"/>
        </w:rPr>
        <w:br/>
        <w:t>Med beaktande av yttrandet från nationella rådet för utvärdering av standarder (CNEN) av den 23 juli 2020,</w:t>
      </w:r>
      <w:r>
        <w:rPr>
          <w:rFonts w:ascii="Times New Roman" w:hAnsi="Times New Roman"/>
          <w:sz w:val="24"/>
        </w:rPr>
        <w:br/>
        <w:t>Med beaktande av anmälan nr 2020/410/F som lämnades till Europeiska kommissionen den 30 juni 2020 och kommissionens svar av den 1 oktober 2020,</w:t>
      </w:r>
      <w:r>
        <w:rPr>
          <w:rFonts w:ascii="Times New Roman" w:hAnsi="Times New Roman"/>
          <w:sz w:val="24"/>
        </w:rPr>
        <w:br/>
        <w:t>Efter att ha hört Conseil d’Etat (avdelningen för offentliga arbeten).</w:t>
      </w:r>
      <w:r>
        <w:rPr>
          <w:rFonts w:ascii="Times New Roman" w:hAnsi="Times New Roman"/>
          <w:sz w:val="24"/>
        </w:rPr>
        <w:br/>
        <w:t>Härigenom föreskrivs följande:</w:t>
      </w:r>
    </w:p>
    <w:p w14:paraId="6133688D" w14:textId="77777777" w:rsidR="004C5D18" w:rsidRPr="004C5D18" w:rsidRDefault="004C5D18" w:rsidP="008A7EFD">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Artikel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Underavsnitt 7 i avsnitt 1 i kapitel I i avdelning IV i bok V i miljölagens lagstiftningsdel ska ändras enligt följande: </w:t>
      </w:r>
      <w:r>
        <w:rPr>
          <w:rFonts w:ascii="Times New Roman" w:hAnsi="Times New Roman"/>
          <w:sz w:val="24"/>
        </w:rPr>
        <w:br/>
        <w:t xml:space="preserve">(1) Rubriken ska ges följande lydelse: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Underavsnitt 7</w:t>
      </w:r>
      <w:r>
        <w:rPr>
          <w:rFonts w:ascii="Times New Roman" w:hAnsi="Times New Roman"/>
          <w:sz w:val="24"/>
        </w:rPr>
        <w:br/>
        <w:t xml:space="preserve">Märkning i syftet att informera konsumenterna om sorteringsreglerna för avfall som härrör från produkter för vilka principen om utvidgat producentansvar ska tillämpas,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Artiklarna R. 541-12-17 och R. 541-12-18 ska ersättas med artiklarna R. 541-12-17 till R. 541-12-23 med följande lydelse: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541-12-17 – Den märkning som föreskrivs i artikel L. 541-9-3 definieras i bilagan till denna artikel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541-12-18 – Varje miljöorgan som inrättats i enlighet med artikel L. 541-10 ska inom en tidsfrist på tre månader från datumet för sitt första godkännande utarbeta information som preciserar metoderna för sortering eller återlämnande av avfall från den produkt som anges i andra stycket i artikel L. 541-9-3. Miljöorganet ska lämna in sitt motiverade förslag till ministrarna med ansvar för miljö och konsumtion efter samråd med de berörda parternas kommitté. Förslaget ska anses ha förverkats från och med den dag då det godtogs av ministrarna eller, om detta inte är möjligt, om ingen av ministrarna har uttryckt invändningar inom en tidsfrist på två månader från mottagandet av förslaget. I motsatt fall, eller på motiverad begäran av ministrarna, ska miljöorganet inom en tidsfrist på en månad lämna in ett reviderat förslag som tar hänsyn till ministrarnas anmärkningar. </w:t>
      </w:r>
      <w:r>
        <w:rPr>
          <w:rFonts w:ascii="Times New Roman" w:hAnsi="Times New Roman"/>
          <w:sz w:val="24"/>
        </w:rPr>
        <w:br/>
        <w:t xml:space="preserve">Om flera ekoorganismer godkänns för samma produktkategori ska de samordnas för att utarbeta ett gemensamt förslag. </w:t>
      </w:r>
      <w:r>
        <w:rPr>
          <w:rFonts w:ascii="Times New Roman" w:hAnsi="Times New Roman"/>
          <w:sz w:val="24"/>
        </w:rPr>
        <w:br/>
        <w:t xml:space="preserve">Denna information får vid behov fastställas genom ett gemensamt beslut av ministrarna med ansvar för miljö och konsumentfrågor efter yttrande från kommittén för utökat producentansvar. Den ersätter i förekommande fall den information som miljöorganismen har fastställt. </w:t>
      </w:r>
      <w:r>
        <w:rPr>
          <w:rFonts w:ascii="Times New Roman" w:hAnsi="Times New Roman"/>
          <w:sz w:val="24"/>
        </w:rPr>
        <w:br/>
        <w:t xml:space="preserve">Miljöorganet kan när som helst revidera denna information enligt de villkor som anges i föregående stycke. </w:t>
      </w:r>
      <w:r>
        <w:rPr>
          <w:rFonts w:ascii="Times New Roman" w:hAnsi="Times New Roman"/>
          <w:sz w:val="24"/>
        </w:rPr>
        <w:br/>
        <w:t xml:space="preserve">Miljöorganet ska offentliggöra denna information på sin webbsida och ska informera sina medlemmar från och med det datum då det ovannämnda beslutet antagits. Under förutsättning att de beslutar att tillämpa den före denna tidsfrist, ska producenter som har överfört skyldigheten till utökat ansvar till en miljöorganism tillämpa skyltningen och denna information senast tolv månader efter den dag då den erhölls. I förslaget kan det också föreskrivas beviljandet av en tidsfrist på högst 6 månader från nämnda datum för avsättning av lagren av de produkter som tillverkats eller importerats före det datumet.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541-12-19 – De tillverkare som upprättar ett individuellt system ska inom ramen för sin godkännandeansökan föreslå informationen och precisera metoderna för </w:t>
      </w:r>
      <w:r>
        <w:rPr>
          <w:rFonts w:ascii="Times New Roman" w:hAnsi="Times New Roman"/>
          <w:sz w:val="24"/>
        </w:rPr>
        <w:lastRenderedPageBreak/>
        <w:t xml:space="preserve">sortering eller återlämnande av avfall från de produkter som anges i artikel L. 541-9-3. </w:t>
      </w:r>
      <w:r>
        <w:rPr>
          <w:rFonts w:ascii="Times New Roman" w:hAnsi="Times New Roman"/>
          <w:sz w:val="24"/>
        </w:rPr>
        <w:br/>
        <w:t>Det ska tillämpa skyltningen och informationen senast tolv månader från och med den dag då godkännandet utfärdades. Dessa uppgifter kan också föreskriva beviljandet av en tidsfrist på sex månader från nämnda datum för avsättning av lagren av de produkter som tillverkats eller importerats före det datumet.</w:t>
      </w:r>
      <w:r>
        <w:rPr>
          <w:rFonts w:ascii="Times New Roman" w:hAnsi="Times New Roman"/>
          <w:sz w:val="24"/>
        </w:rPr>
        <w:br/>
        <w:t xml:space="preserve">Han kan på eget initiativ eller, på begäran av miljöministern eller den minister som ansvarar för konsumtion, ändra dessa uppgifter på de villkor som anges i R. 541-12-18 första stycket.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541-12-20 – De tillverkare vars produkter omfattas av ett system med utvidgat producentansvar i Frankrike kan ersätta den märkning som avses i artikel R. 541-12-17 med en annan gemensam märkning som är lagstadgad i en annan EU-medlemsstat, i enlighet med den princip om ömsesidigt erkännande som föreskrivs i artiklarna 34 och 36 i fördraget om Europeiska unionens funktionssätt, under förutsättning att denna andra märkning informerar konsumenten om att nämnda produkter omfattas av sorteringsregler och att dess tillämpning är obligatorisk. Tillverkarna kan också ersätta den information som avses i artikel R. 541-12-18 med en annan gemensam märkning som är lagstadgad i en annan EU-medlemsstat, under förutsättning att denna andra information preciserar metoderna för sortering eller återlämnande av avfall från produkten, att den är kompatibel med den som fastställts under de villkor som föreskrivs i artikel R. 541-12-18 samt att dess tillämpning är obligatorisk.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541-12-21 – Den märkning som avses i artikel L. 541-9-3 första stycket ska läggas till den information som avses i andra stycket i den artikeln. </w:t>
      </w:r>
      <w:r>
        <w:rPr>
          <w:rFonts w:ascii="Times New Roman" w:hAnsi="Times New Roman"/>
          <w:sz w:val="24"/>
        </w:rPr>
        <w:br/>
        <w:t xml:space="preserve">För de förpackningar som avses i artikel L. 541-10-1 punkt 1 och de förpackningar som görs tillgängliga för konsumenter inom ramen för en sådan cateringverksamhet som avses i punkt 2 i den artikeln, ska denna märkning anbringas på förpackningen, med undantag för dryckesförpackningar av glas. </w:t>
      </w:r>
      <w:r>
        <w:rPr>
          <w:rFonts w:ascii="Times New Roman" w:hAnsi="Times New Roman"/>
          <w:sz w:val="24"/>
        </w:rPr>
        <w:br/>
        <w:t xml:space="preserve">Denna märkning och information får anbringas i form av klistermärken. </w:t>
      </w:r>
      <w:r>
        <w:rPr>
          <w:rFonts w:ascii="Times New Roman" w:hAnsi="Times New Roman"/>
          <w:sz w:val="24"/>
        </w:rPr>
        <w:br/>
        <w:t xml:space="preserve">Om ytan på den största sidan av en produkt eller dess förpackning är mindre än 10 kvadratcentimeter och inget annat dokument medföljer produkten, får märkningen och informationen finnas på ett dematerialiserat medium. Om ytan är mellan tio kvadratcentimeter och 20 kvadratcentimeter får endast informationen anges på ett dematerialiserat medium.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541-12-22 – De miljöorgan och de tillverkare som upprättar ett individuellt system ska tillhandahålla allmänheten denna information elektroniskt, kostnadsfritt och i ett öppet format som lätt kan återanvändas och hanteras med hjälp av ett automatiskt databehandlingssystem.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541-12-23 – Den märkning avsedd att informera konsumenterna om att produkterna omfattas av ett pantsystem enligt artikel L. 541-10-11 ska fastställas enligt de villkor som föreskrivs i detta underavsnitt.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Artikel R. 541-12-24 – Vid tillämpning av tredje stycket i artikel L. 541-9-3 är det harmoniserade system som avses det som definieras i artikel R. 543-54-1.</w:t>
      </w:r>
    </w:p>
    <w:p w14:paraId="39EA55B1"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miljöorgan som vid datumet för offentliggörande av detta dekret är godkända, ska överföra sitt förslag för tillhandahållandet av information i enlighet med första stycket i artikel R. 541-12-18 i miljölagen inom tre månader från offentliggörandet av detta dekret.</w:t>
      </w:r>
      <w:r>
        <w:rPr>
          <w:rFonts w:ascii="Times New Roman" w:hAnsi="Times New Roman"/>
          <w:sz w:val="24"/>
        </w:rPr>
        <w:br/>
        <w:t>Varje producent som har inrättat ett individuellt system, som godkänts den dag då detta dekret offentliggörs, ska inom tre månader från offentliggörandet av detta dekret överlämna sitt förslag till information till miljö- och konsumentministrarna.</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Producenter, oavsett om de har överlåtit sin utvidgade ansvarsskyldighet till en ekoorganism eller inrättat ett enskilt system, får, om de så önskar, tillämpa bestämmelserna i denna förordning före den 1 januari 2022. I motsatt fall ska de produkter som omfattas av ett system med utvidgad producentansvar och som släpps ut på marknaden för försäljning till hushållen före detta datum ska fram till den 31 december 2021 fortsätta regleras av bestämmelserna i artiklarna R. 541-12-17 och R. 541-12-18 i miljölagen, i den lydelse som gäller vid datumet för offentliggörande av detta dekret.</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Ministern för ekologisk och solidarisk omställning och ekonomi- och finansministern ansvarar var och en inom sitt område för genomförandet av detta dekret, som kommer att offentliggöras i Republiken Frankrikes officiella tidning.</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Bilaga</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BILAGA</w:t>
      </w:r>
      <w:r>
        <w:rPr>
          <w:rFonts w:ascii="Times New Roman" w:hAnsi="Times New Roman"/>
          <w:sz w:val="24"/>
        </w:rPr>
        <w:br/>
        <w:t>Gemensam märkning enligt artikel R. 541-12-17</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Du kan se hela texten med bilder från utdraget från den autentiserade elektroniska EUT som finns längst ner på sidan</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Den 29 juni 2021.</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Jean Castex</w:t>
      </w:r>
      <w:r>
        <w:rPr>
          <w:rFonts w:ascii="Times New Roman" w:hAnsi="Times New Roman"/>
          <w:sz w:val="24"/>
        </w:rPr>
        <w:br/>
        <w:t>Av premiärministern:</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Minister för ekologisk övergång, </w:t>
      </w:r>
      <w:r>
        <w:rPr>
          <w:rFonts w:ascii="Times New Roman" w:hAnsi="Times New Roman"/>
          <w:sz w:val="24"/>
        </w:rPr>
        <w:br/>
        <w:t>Barbara Pompili</w:t>
      </w:r>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Bruno Le Maire,</w:t>
      </w:r>
      <w:r>
        <w:rPr>
          <w:rFonts w:ascii="Times New Roman" w:hAnsi="Times New Roman"/>
          <w:sz w:val="24"/>
        </w:rPr>
        <w:br/>
        <w:t xml:space="preserve"> ekonomi-, finans- och återhämtningsminister</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8A7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1571</Words>
  <Characters>8960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2021-08-30T09:30:00Z</dcterms:modified>
</cp:coreProperties>
</file>