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198E" w14:textId="77777777" w:rsidR="000B2060" w:rsidRDefault="009E72B8">
      <w:pPr>
        <w:spacing w:after="0" w:line="259" w:lineRule="auto"/>
        <w:ind w:left="0" w:firstLine="0"/>
        <w:jc w:val="left"/>
      </w:pPr>
      <w:r>
        <w:rPr>
          <w:color w:val="0000FF"/>
          <w:sz w:val="20"/>
        </w:rPr>
        <w:t xml:space="preserve"> </w:t>
      </w:r>
    </w:p>
    <w:p w14:paraId="14813A2D" w14:textId="77777777" w:rsidR="000B2060" w:rsidRDefault="009E72B8">
      <w:pPr>
        <w:spacing w:line="259" w:lineRule="auto"/>
        <w:ind w:left="540" w:firstLine="0"/>
        <w:jc w:val="center"/>
      </w:pPr>
      <w:r>
        <w:rPr>
          <w:rFonts w:ascii="Calibri" w:hAnsi="Calibri"/>
          <w:color w:val="0000FF"/>
          <w:sz w:val="12"/>
        </w:rPr>
        <w:t xml:space="preserve"> </w:t>
      </w:r>
    </w:p>
    <w:p w14:paraId="3CA17ECE" w14:textId="77777777" w:rsidR="000B2060" w:rsidRDefault="009E72B8">
      <w:pPr>
        <w:spacing w:after="408" w:line="259" w:lineRule="auto"/>
        <w:ind w:left="0" w:right="9" w:firstLine="0"/>
        <w:jc w:val="center"/>
      </w:pPr>
      <w:r>
        <w:rPr>
          <w:noProof/>
        </w:rPr>
        <w:drawing>
          <wp:inline distT="0" distB="0" distL="0" distR="0" wp14:anchorId="63FE2906" wp14:editId="2878AC97">
            <wp:extent cx="699770" cy="7772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sz w:val="20"/>
        </w:rPr>
        <w:t xml:space="preserve"> </w:t>
      </w:r>
    </w:p>
    <w:p w14:paraId="1A8A6FFE" w14:textId="396E711A" w:rsidR="000B2060" w:rsidRPr="00CA20B5" w:rsidRDefault="009E72B8">
      <w:pPr>
        <w:spacing w:after="0" w:line="239" w:lineRule="auto"/>
        <w:ind w:left="504" w:right="497" w:firstLine="0"/>
        <w:jc w:val="center"/>
        <w:rPr>
          <w:sz w:val="84"/>
          <w:szCs w:val="84"/>
        </w:rPr>
      </w:pPr>
      <w:r>
        <w:rPr>
          <w:rFonts w:ascii="Palace Script MT" w:hAnsi="Palace Script MT"/>
          <w:i/>
          <w:color w:val="0000FF"/>
          <w:sz w:val="84"/>
        </w:rPr>
        <w:t xml:space="preserve">Министърът на екологичния преход, </w:t>
      </w:r>
    </w:p>
    <w:p w14:paraId="4BF71DDE" w14:textId="77777777" w:rsidR="000B2060" w:rsidRDefault="009E72B8">
      <w:pPr>
        <w:spacing w:after="16" w:line="259" w:lineRule="auto"/>
        <w:ind w:left="0" w:firstLine="0"/>
        <w:jc w:val="left"/>
      </w:pPr>
      <w:r>
        <w:t xml:space="preserve"> </w:t>
      </w:r>
    </w:p>
    <w:p w14:paraId="0C02753E" w14:textId="6FCAAB0B" w:rsidR="000B2060" w:rsidRDefault="009E72B8" w:rsidP="00CA20B5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558709D" w14:textId="3EFA7627" w:rsidR="000B2060" w:rsidRDefault="009E72B8" w:rsidP="00CA1B50">
      <w:pPr>
        <w:spacing w:after="8" w:line="267" w:lineRule="auto"/>
        <w:ind w:left="1970" w:right="49" w:hanging="1985"/>
      </w:pPr>
      <w:r>
        <w:rPr>
          <w:b/>
        </w:rPr>
        <w:t>КАТО ВЗЕ ПРЕДВИД</w:t>
      </w:r>
      <w:r>
        <w:t xml:space="preserve"> член 17, параграф 3 от Закон № 400 от 23 август 1988 г., </w:t>
      </w:r>
    </w:p>
    <w:p w14:paraId="3CE50D81" w14:textId="77777777" w:rsidR="000B2060" w:rsidRDefault="009E72B8">
      <w:pPr>
        <w:spacing w:after="18" w:line="259" w:lineRule="auto"/>
        <w:ind w:left="0" w:firstLine="0"/>
        <w:jc w:val="left"/>
      </w:pPr>
      <w:r>
        <w:t xml:space="preserve"> </w:t>
      </w:r>
    </w:p>
    <w:p w14:paraId="57E38FAB" w14:textId="6157689D" w:rsidR="000B2060" w:rsidRDefault="009E72B8" w:rsidP="00CA1B50">
      <w:pPr>
        <w:spacing w:after="8" w:line="267" w:lineRule="auto"/>
        <w:ind w:left="1970" w:right="49" w:hanging="1985"/>
      </w:pPr>
      <w:r>
        <w:rPr>
          <w:b/>
        </w:rPr>
        <w:t>КАТО ВЗЕ ПРЕДВИД</w:t>
      </w:r>
      <w:r>
        <w:t xml:space="preserve"> Член 184 б от Законодателен декрет № 152 от 3 април 2006 г., и по-специално параграф 2, който предвижда, че „критериите, посочени в параграф 1, се приемат в съответствие с разпоредбите на правната уредба на Съюза или, при липса на критерии на Съюза, за конкретни видове отпадъци чрез един или повече постановления на министъра на околната среда и опазването на земята и морето съгласно член 17, параграф 3 от Закон № 400 от 23 август 1988 г.“, </w:t>
      </w:r>
    </w:p>
    <w:p w14:paraId="77CC6D2B" w14:textId="7884FBD6" w:rsidR="008610D3" w:rsidRDefault="008610D3" w:rsidP="00CA1B50">
      <w:pPr>
        <w:spacing w:after="8" w:line="267" w:lineRule="auto"/>
        <w:ind w:left="1970" w:right="49" w:hanging="1985"/>
      </w:pPr>
    </w:p>
    <w:p w14:paraId="3AB4F95B" w14:textId="715547BE" w:rsidR="008610D3" w:rsidRPr="001B60FC" w:rsidRDefault="008610D3" w:rsidP="008610D3">
      <w:pPr>
        <w:spacing w:after="8" w:line="267" w:lineRule="auto"/>
        <w:ind w:left="1970" w:right="49" w:hanging="1985"/>
      </w:pPr>
      <w:r>
        <w:rPr>
          <w:b/>
        </w:rPr>
        <w:t xml:space="preserve">КАТО ВЗЕ ПРЕДВИД </w:t>
      </w:r>
      <w:r>
        <w:t xml:space="preserve">Директива 2008/98/ЕО на Европейския парламент и на Съвета от 19 ноември 2008 г., и по-специално член 11, параграф 1 от нея, който предвижда, наред с другото, че държавите членки предприемат мерки за насърчаване на селективното разрушаване, за да се даде възможност за безопасно отстраняване и третиране на опасни вещества и да се улесни висококачественото повторно използване и рециклиране чрез селективно отстраняване на материалите, </w:t>
      </w:r>
    </w:p>
    <w:p w14:paraId="4BCEEAEE" w14:textId="77777777" w:rsidR="008610D3" w:rsidRPr="001B60FC" w:rsidRDefault="008610D3" w:rsidP="008610D3">
      <w:pPr>
        <w:spacing w:after="8" w:line="267" w:lineRule="auto"/>
        <w:ind w:left="1970" w:right="49" w:hanging="1985"/>
      </w:pPr>
    </w:p>
    <w:p w14:paraId="538B9790" w14:textId="6FAE35C3" w:rsidR="008610D3" w:rsidRDefault="00CA1B50" w:rsidP="004F3D24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>КАТО ВЗЕ ПРЕДВИД</w:t>
      </w:r>
      <w:r>
        <w:t xml:space="preserve"> Регламент (ЕО) № 1907/2006 на Европейския парламент и на Съвета от 18 декември 2006 г. относно регистрацията, оценката, разрешаването и ограничаването на химикали (REACH), за създаване на Европейска агенция по химикали, за изменение на Директива 1999/45/ЕО и за отмяна на Регламент (ЕИО) № 793/93 на Съвета и Регламент (ЕО) № 1488/94 на Комисията, както и на Директива 76/769/ЕИО на Съвета и директиви 91/155/ЕИО, 93/67/ЕИО, 93/105/ЕО и 2000/21/ЕО на Комисията,</w:t>
      </w:r>
    </w:p>
    <w:p w14:paraId="66CBA2FF" w14:textId="77777777" w:rsidR="008610D3" w:rsidRDefault="008610D3" w:rsidP="004F3D24">
      <w:pPr>
        <w:spacing w:after="8" w:line="267" w:lineRule="auto"/>
        <w:ind w:left="1970" w:right="49" w:hanging="1985"/>
        <w:rPr>
          <w:b/>
        </w:rPr>
      </w:pPr>
    </w:p>
    <w:p w14:paraId="1F984861" w14:textId="77777777" w:rsidR="008610D3" w:rsidRDefault="008610D3" w:rsidP="004F3D24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 xml:space="preserve">КАТО ВЗЕ ПРЕДВИД </w:t>
      </w:r>
      <w:r>
        <w:t xml:space="preserve">Регламент (ЕО) № 1221/2009 на Европейския парламент и на Съвета от 25 ноември 2009 г. за допускане на доброволно участие на организации в Схема на ЕС за управление по околна среда и одит (EMAS) и за отмяна </w:t>
      </w:r>
      <w:r>
        <w:lastRenderedPageBreak/>
        <w:t>на Регламент (ЕО) № 761/2001 и решения 2001/681/ЕО и 2006/193/ЕО на Комисията,</w:t>
      </w:r>
    </w:p>
    <w:p w14:paraId="741D8199" w14:textId="77777777" w:rsidR="008610D3" w:rsidRDefault="008610D3" w:rsidP="004F3D24">
      <w:pPr>
        <w:spacing w:after="8" w:line="267" w:lineRule="auto"/>
        <w:ind w:left="1970" w:right="49" w:hanging="1985"/>
        <w:rPr>
          <w:b/>
        </w:rPr>
      </w:pPr>
    </w:p>
    <w:p w14:paraId="7C7F3B09" w14:textId="3FE30D8D" w:rsidR="00647BE4" w:rsidRDefault="008610D3" w:rsidP="004F3D24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 xml:space="preserve">КАТО ВЗЕ ПРЕДВИД </w:t>
      </w:r>
      <w:r>
        <w:t>Законодателен указ № 82 от 7 март 2005 г., съдържащ „Кодекса за цифрова администрация“,</w:t>
      </w:r>
    </w:p>
    <w:p w14:paraId="431C85D9" w14:textId="77777777" w:rsidR="00647BE4" w:rsidRDefault="00647BE4" w:rsidP="004F3D24">
      <w:pPr>
        <w:spacing w:after="8" w:line="267" w:lineRule="auto"/>
        <w:ind w:left="1970" w:right="49" w:hanging="1985"/>
        <w:rPr>
          <w:b/>
        </w:rPr>
      </w:pPr>
    </w:p>
    <w:p w14:paraId="2AD7AF6D" w14:textId="34C2BE65" w:rsidR="00CA1B50" w:rsidRDefault="00647BE4" w:rsidP="004F3D24">
      <w:pPr>
        <w:spacing w:after="8" w:line="267" w:lineRule="auto"/>
        <w:ind w:left="1970" w:right="49" w:hanging="1985"/>
        <w:rPr>
          <w:i/>
        </w:rPr>
      </w:pPr>
      <w:r>
        <w:rPr>
          <w:b/>
        </w:rPr>
        <w:t>КАТО ВЗЕ ПРЕДВИД</w:t>
      </w:r>
      <w:r>
        <w:t xml:space="preserve"> Президентски указ № 445 от 28 декември 2000 г., озаглавен „Консолидиран текст на законовите и подзаконовите разпоредби, свързани с административната документация“,</w:t>
      </w:r>
      <w:r>
        <w:rPr>
          <w:i/>
        </w:rPr>
        <w:t xml:space="preserve"> </w:t>
      </w:r>
    </w:p>
    <w:p w14:paraId="2E0EEE00" w14:textId="0DCD5084" w:rsidR="00C9196A" w:rsidRDefault="00C9196A" w:rsidP="004F3D24">
      <w:pPr>
        <w:spacing w:after="8" w:line="267" w:lineRule="auto"/>
        <w:ind w:left="1970" w:right="49" w:hanging="1985"/>
        <w:rPr>
          <w:i/>
        </w:rPr>
      </w:pPr>
    </w:p>
    <w:p w14:paraId="18969B9E" w14:textId="129E0146" w:rsidR="00C9196A" w:rsidRPr="00C9196A" w:rsidRDefault="00C9196A" w:rsidP="00C9196A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>КАТО ВЗЕ ПРЕДВИД</w:t>
      </w:r>
      <w:r>
        <w:t xml:space="preserve"> Постановление на министъра на околната среда от 5 февруари 1998 г. относно идентифицирането на неопасни отпадъци, подлежащи на опростени процедури за оползотворяване съгласно членове 31 и 33 от Законодателен декрет № 22 от 5 февруари 1997 г., обнародван в Държавен вестник № 88 от 16 април 1998 г.,</w:t>
      </w:r>
      <w:r>
        <w:rPr>
          <w:b/>
        </w:rPr>
        <w:t xml:space="preserve"> </w:t>
      </w:r>
    </w:p>
    <w:p w14:paraId="44F22BC4" w14:textId="23C44043" w:rsidR="00CA1B50" w:rsidRDefault="00CA1B50" w:rsidP="00CA1B50">
      <w:pPr>
        <w:spacing w:after="8" w:line="267" w:lineRule="auto"/>
        <w:ind w:left="1970" w:right="49" w:hanging="1985"/>
        <w:rPr>
          <w:i/>
        </w:rPr>
      </w:pPr>
    </w:p>
    <w:p w14:paraId="4F6B0135" w14:textId="77777777" w:rsidR="008610D3" w:rsidRDefault="009E72B8" w:rsidP="00E81CE8">
      <w:pPr>
        <w:ind w:left="1970" w:right="61" w:hanging="1985"/>
      </w:pPr>
      <w:r>
        <w:rPr>
          <w:b/>
        </w:rPr>
        <w:t>СЛЕД КАТО ПРЕЦЕНИ</w:t>
      </w:r>
      <w:r>
        <w:t xml:space="preserve">, че съществува пазар за оползотворените инертни материали поради факта, че те обикновено се използват за строителството на строителни съоръжения, заместват естествената суровина и имат действителна икономическа стойност, че съществуват специфични цели, за които веществото може да бъде използвано в съответствие с критериите, определени в настоящия регламент, и че то отговаря на законодателството и съществуващите </w:t>
      </w:r>
      <w:r>
        <w:rPr>
          <w:i/>
        </w:rPr>
        <w:t>стандарти</w:t>
      </w:r>
      <w:r>
        <w:t>, приложими за продуктите,</w:t>
      </w:r>
    </w:p>
    <w:p w14:paraId="3041D9CD" w14:textId="758D7915" w:rsidR="000B2060" w:rsidRDefault="009E72B8" w:rsidP="00E81CE8">
      <w:pPr>
        <w:ind w:left="1970" w:right="61" w:hanging="1985"/>
      </w:pPr>
      <w:r>
        <w:rPr>
          <w:i/>
        </w:rPr>
        <w:t xml:space="preserve"> </w:t>
      </w:r>
    </w:p>
    <w:p w14:paraId="5A55F02A" w14:textId="09516FDB" w:rsidR="000B2060" w:rsidRDefault="009E72B8" w:rsidP="00E81CE8">
      <w:pPr>
        <w:ind w:left="1970" w:right="61" w:hanging="1985"/>
      </w:pPr>
      <w:r>
        <w:rPr>
          <w:b/>
        </w:rPr>
        <w:t>СЛЕД КАТО ПРЕЦЕНИ</w:t>
      </w:r>
      <w:r>
        <w:t>, че извършеното разследване показа, че оползотворените инертни материали, които отговарят на критериите, определени в настоящия регламент, не оказват цялостно неблагоприятно въздействие върху човешкото здраве или околната среда,</w:t>
      </w:r>
    </w:p>
    <w:p w14:paraId="2DEB5699" w14:textId="77777777" w:rsidR="000B2060" w:rsidRDefault="009E72B8" w:rsidP="00E81CE8">
      <w:pPr>
        <w:spacing w:after="17" w:line="259" w:lineRule="auto"/>
        <w:ind w:left="0" w:right="61" w:firstLine="0"/>
        <w:jc w:val="left"/>
      </w:pPr>
      <w:r>
        <w:t xml:space="preserve"> </w:t>
      </w:r>
    </w:p>
    <w:p w14:paraId="3865EF2B" w14:textId="05DE533E" w:rsidR="000B2060" w:rsidRDefault="009E72B8" w:rsidP="00E81CE8">
      <w:pPr>
        <w:ind w:left="1970" w:right="61" w:hanging="1985"/>
      </w:pPr>
      <w:r>
        <w:rPr>
          <w:b/>
        </w:rPr>
        <w:t>СЛЕД КАТО ПОЛУЧИ</w:t>
      </w:r>
      <w:r>
        <w:t xml:space="preserve"> становището на държавния съвет, изразено от консултативния отдел по законодателни актове на заседанието от ……………………., </w:t>
      </w:r>
    </w:p>
    <w:p w14:paraId="39951851" w14:textId="77777777" w:rsidR="000B2060" w:rsidRDefault="009E72B8">
      <w:pPr>
        <w:spacing w:after="17" w:line="259" w:lineRule="auto"/>
        <w:ind w:left="0" w:firstLine="0"/>
        <w:jc w:val="left"/>
      </w:pPr>
      <w:r>
        <w:t xml:space="preserve"> </w:t>
      </w:r>
    </w:p>
    <w:p w14:paraId="27D2B125" w14:textId="2DB52817" w:rsidR="000B2060" w:rsidRDefault="009E72B8">
      <w:pPr>
        <w:ind w:left="1970" w:right="51" w:hanging="1985"/>
      </w:pPr>
      <w:r>
        <w:rPr>
          <w:b/>
        </w:rPr>
        <w:t>КАТО ВЗЕ ПРЕДВИД</w:t>
      </w:r>
      <w:r>
        <w:rPr>
          <w:b/>
        </w:rPr>
        <w:tab/>
      </w:r>
      <w:r>
        <w:t xml:space="preserve">съобщението до председателя на министерския съвет, представено с Писмо ……., съгласно Закон № 400 от 23 август 1988 г., </w:t>
      </w:r>
    </w:p>
    <w:p w14:paraId="58E2AA7D" w14:textId="77777777" w:rsidR="000B2060" w:rsidRDefault="009E72B8">
      <w:pPr>
        <w:spacing w:after="17" w:line="259" w:lineRule="auto"/>
        <w:ind w:left="0" w:firstLine="0"/>
        <w:jc w:val="left"/>
      </w:pPr>
      <w:r>
        <w:t xml:space="preserve"> </w:t>
      </w:r>
    </w:p>
    <w:p w14:paraId="1C8EAAC7" w14:textId="397FE240" w:rsidR="000B2060" w:rsidRDefault="009E72B8" w:rsidP="00D442A3">
      <w:pPr>
        <w:ind w:left="1970" w:right="51" w:hanging="1985"/>
      </w:pPr>
      <w:r>
        <w:rPr>
          <w:b/>
        </w:rPr>
        <w:t>КАТО ВЗЕ ПРЕДВИД</w:t>
      </w:r>
      <w:r>
        <w:t xml:space="preserve"> съобщението, посочено в член 5 от Директива (ЕС) 2015/1535, установяващо процедура за предоставянето на информация в областта на техническите регламенти и правила относно услугите на информационното общество с бележка..... </w:t>
      </w:r>
    </w:p>
    <w:p w14:paraId="283A61EC" w14:textId="77777777" w:rsidR="000B2060" w:rsidRDefault="009E72B8">
      <w:pPr>
        <w:spacing w:after="16" w:line="259" w:lineRule="auto"/>
        <w:ind w:left="0" w:firstLine="0"/>
        <w:jc w:val="left"/>
      </w:pPr>
      <w:r>
        <w:rPr>
          <w:i/>
        </w:rPr>
        <w:t xml:space="preserve"> </w:t>
      </w:r>
    </w:p>
    <w:p w14:paraId="62CB551A" w14:textId="77777777" w:rsidR="000B2060" w:rsidRDefault="009E72B8">
      <w:pPr>
        <w:spacing w:after="16" w:line="259" w:lineRule="auto"/>
        <w:ind w:left="0" w:firstLine="0"/>
        <w:jc w:val="left"/>
      </w:pPr>
      <w:r>
        <w:rPr>
          <w:i/>
        </w:rPr>
        <w:t xml:space="preserve"> </w:t>
      </w:r>
    </w:p>
    <w:p w14:paraId="2D8CB364" w14:textId="2B6568FF" w:rsidR="000B2060" w:rsidRPr="00607D0C" w:rsidRDefault="009E72B8">
      <w:pPr>
        <w:spacing w:after="14" w:line="266" w:lineRule="auto"/>
        <w:ind w:left="10" w:right="60"/>
        <w:jc w:val="center"/>
      </w:pPr>
      <w:r>
        <w:t xml:space="preserve">С настоящото приема  </w:t>
      </w:r>
    </w:p>
    <w:p w14:paraId="09CAE138" w14:textId="77777777" w:rsidR="000B2060" w:rsidRDefault="009E72B8">
      <w:pPr>
        <w:spacing w:after="17" w:line="259" w:lineRule="auto"/>
        <w:ind w:left="10" w:right="63"/>
        <w:jc w:val="center"/>
      </w:pPr>
      <w:r>
        <w:t xml:space="preserve">следната наредба:  </w:t>
      </w:r>
    </w:p>
    <w:p w14:paraId="472EC54F" w14:textId="77777777" w:rsidR="000B2060" w:rsidRDefault="009E72B8">
      <w:pPr>
        <w:spacing w:after="19" w:line="259" w:lineRule="auto"/>
        <w:ind w:left="0" w:firstLine="0"/>
        <w:jc w:val="center"/>
      </w:pPr>
      <w:r>
        <w:rPr>
          <w:b/>
        </w:rPr>
        <w:t xml:space="preserve"> </w:t>
      </w:r>
    </w:p>
    <w:p w14:paraId="032A726D" w14:textId="77777777" w:rsidR="005428D2" w:rsidRPr="005428D2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lastRenderedPageBreak/>
        <w:t xml:space="preserve">Член 1 </w:t>
      </w:r>
    </w:p>
    <w:p w14:paraId="685448BB" w14:textId="4EFAB624" w:rsidR="000B2060" w:rsidRPr="005428D2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Предназначение и цели  </w:t>
      </w:r>
    </w:p>
    <w:p w14:paraId="6C6266C2" w14:textId="739B618E" w:rsidR="000B2060" w:rsidRDefault="008647FF" w:rsidP="00CA20B5">
      <w:pPr>
        <w:pStyle w:val="ListParagraph"/>
        <w:numPr>
          <w:ilvl w:val="0"/>
          <w:numId w:val="34"/>
        </w:numPr>
        <w:spacing w:after="60" w:line="266" w:lineRule="auto"/>
        <w:ind w:left="363" w:right="51" w:hanging="11"/>
        <w:contextualSpacing w:val="0"/>
      </w:pPr>
      <w:r>
        <w:t>Настоящата наредба определя специфичните критерии, съгласно които инертните отпадъци от дейности по строителство и разрушаване и други инертни отпадъци с минерален произход, определени в член 2, параграф 1, букви а) и б) от настоящия регламент, които подлежат на дейности по оползотворяване, престават да бъдат класифицирани като</w:t>
      </w:r>
      <w:r>
        <w:rPr>
          <w:b/>
        </w:rPr>
        <w:t xml:space="preserve"> </w:t>
      </w:r>
      <w:r>
        <w:t xml:space="preserve"> отпадъци съгласно и за целите на член 184б от Законодателен указ № 152 от 3 април 2006 г.</w:t>
      </w:r>
    </w:p>
    <w:p w14:paraId="560EC6B2" w14:textId="77777777" w:rsidR="008647FF" w:rsidRDefault="008647FF" w:rsidP="00F51F5E">
      <w:pPr>
        <w:pStyle w:val="Heading1"/>
        <w:spacing w:after="120"/>
        <w:ind w:left="11" w:right="62" w:hanging="11"/>
      </w:pPr>
    </w:p>
    <w:p w14:paraId="17CC0501" w14:textId="77777777" w:rsidR="00607D0C" w:rsidRPr="00607D0C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Член 2 </w:t>
      </w:r>
    </w:p>
    <w:p w14:paraId="160D19CA" w14:textId="6C79CD75" w:rsidR="000B2060" w:rsidRPr="00607D0C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Определения </w:t>
      </w:r>
    </w:p>
    <w:p w14:paraId="0E8DB7DF" w14:textId="6AD3A87B" w:rsidR="008647FF" w:rsidRPr="00607D0C" w:rsidRDefault="008647FF" w:rsidP="00CA20B5">
      <w:pPr>
        <w:pStyle w:val="ListParagraph"/>
        <w:numPr>
          <w:ilvl w:val="0"/>
          <w:numId w:val="39"/>
        </w:numPr>
        <w:spacing w:after="60" w:line="266" w:lineRule="auto"/>
        <w:ind w:right="51"/>
        <w:contextualSpacing w:val="0"/>
      </w:pPr>
      <w:r>
        <w:t>За целите на настоящия регламент се прилагат определенията по член 183 от Законодателен указ № 152 от 3 април 2006 г., наред със следното:</w:t>
      </w:r>
    </w:p>
    <w:p w14:paraId="6DD3AD7E" w14:textId="19D52C13" w:rsidR="008647FF" w:rsidRPr="00CA20B5" w:rsidRDefault="008647FF" w:rsidP="005211CB">
      <w:pPr>
        <w:ind w:left="851" w:hanging="284"/>
        <w:rPr>
          <w:color w:val="000000" w:themeColor="text1"/>
        </w:rPr>
      </w:pPr>
      <w:r>
        <w:rPr>
          <w:rFonts w:ascii="Baskerville Old Face" w:hAnsi="Baskerville Old Face"/>
          <w:color w:val="000000" w:themeColor="text1"/>
        </w:rPr>
        <w:t xml:space="preserve">a) </w:t>
      </w:r>
      <w:r>
        <w:rPr>
          <w:color w:val="000000" w:themeColor="text1"/>
        </w:rPr>
        <w:t>„инертни отпадъци от строителни и разрушителни дейности“: отпадъци от строителни дейности и дейности по разрушаване, посочени в глава 17 от Европейския списък на отпадъците, посочен в Решение 2000/532/ЕО и изброени в точка 1 от таблица 1 от приложение 1 към настоящия регламент;</w:t>
      </w:r>
    </w:p>
    <w:p w14:paraId="6CB39F8D" w14:textId="3ED766B8" w:rsidR="008647FF" w:rsidRPr="00CA20B5" w:rsidRDefault="008647FF" w:rsidP="005211CB">
      <w:pPr>
        <w:ind w:left="851" w:hanging="284"/>
        <w:rPr>
          <w:color w:val="000000" w:themeColor="text1"/>
        </w:rPr>
      </w:pPr>
      <w:r>
        <w:rPr>
          <w:color w:val="000000" w:themeColor="text1"/>
        </w:rPr>
        <w:t>б) „други инертни отпадъци с минерален произход“: отпадъци, които не принадлежат към глава 17 от Европейския списък на отпадъците, посочен в Решение 2000/532/ЕО и изброени в точка 2 от таблица 1 от приложение 1 към настоящия регламент;</w:t>
      </w:r>
    </w:p>
    <w:p w14:paraId="41FCC9E7" w14:textId="77777777" w:rsidR="008647FF" w:rsidRPr="00CA20B5" w:rsidRDefault="008647FF" w:rsidP="005211CB">
      <w:pPr>
        <w:ind w:left="851" w:hanging="284"/>
        <w:rPr>
          <w:color w:val="000000" w:themeColor="text1"/>
        </w:rPr>
      </w:pPr>
      <w:r>
        <w:rPr>
          <w:color w:val="000000" w:themeColor="text1"/>
        </w:rPr>
        <w:t>в) „инертни отпадъци“: твърди отпадъци от строителни дейности и дейности по разрушаване и други инертни отпадъци с минерален произход, които не претърпяват значителна физическа, химическа или биологична трансформация; инертните отпадъци не трябва да се разтварят, изгарят или подлагат на каквито и да било други физични или химични реакции, не трябва да бъдат биоразградими и, в случай на контакт с други материали, да не водят до вредни въздействия, които причиняват замърсяване на околната среда или увреждане на човешкото здраве;</w:t>
      </w:r>
    </w:p>
    <w:p w14:paraId="19DA6921" w14:textId="77777777" w:rsidR="008647FF" w:rsidRPr="00CA20B5" w:rsidRDefault="008647FF" w:rsidP="005211CB">
      <w:pPr>
        <w:ind w:left="851" w:hanging="284"/>
        <w:rPr>
          <w:color w:val="auto"/>
        </w:rPr>
      </w:pPr>
      <w:r>
        <w:t>г) „оползотворени инертни материали“; отпадъци, посочени в букви а) и б), които са престанали да бъдат отпадъци в резултат на една или повече дейности по оползотворяване в съответствие с условията, предвидени в член 184б, параграф 1 от Законодателен указ № 152 от 3 април 2006 г. и разпоредбите на настоящия указ;</w:t>
      </w:r>
    </w:p>
    <w:p w14:paraId="6AFFD208" w14:textId="77777777" w:rsidR="008647FF" w:rsidRPr="00CA20B5" w:rsidRDefault="008647FF" w:rsidP="005211CB">
      <w:pPr>
        <w:ind w:left="851" w:hanging="284"/>
      </w:pPr>
      <w:r>
        <w:t>д) „оползотворена инертна партида“: не повече от 3000 кубически метра оползотворени инертни материали;</w:t>
      </w:r>
    </w:p>
    <w:p w14:paraId="73295BD6" w14:textId="77777777" w:rsidR="008647FF" w:rsidRPr="00CA20B5" w:rsidRDefault="008647FF" w:rsidP="005211CB">
      <w:pPr>
        <w:ind w:left="851" w:hanging="284"/>
      </w:pPr>
      <w:r>
        <w:t>е) „производител на възстановени инертни материали“: операторът на предприятието, получило разрешение за производство на оползотворени инертни материали (наричан по-долу също така: производител);</w:t>
      </w:r>
    </w:p>
    <w:p w14:paraId="14B52658" w14:textId="77777777" w:rsidR="008647FF" w:rsidRPr="00CA20B5" w:rsidRDefault="008647FF" w:rsidP="005211CB">
      <w:pPr>
        <w:ind w:left="851" w:hanging="284"/>
      </w:pPr>
      <w:r>
        <w:t>ж) „декларация за съответствие“: декларация вместо клетвена декларация, издадена от производителя, удостоверяваща характеристиките на оползотворените инертни материали, както е посочено в член 5;</w:t>
      </w:r>
    </w:p>
    <w:p w14:paraId="5542E487" w14:textId="2704ED33" w:rsidR="008647FF" w:rsidRPr="00CA20B5" w:rsidRDefault="00207BFE" w:rsidP="005211CB">
      <w:pPr>
        <w:ind w:left="851" w:hanging="284"/>
      </w:pPr>
      <w:r w:rsidRPr="00207BFE">
        <w:t xml:space="preserve">з) </w:t>
      </w:r>
      <w:r w:rsidR="008647FF">
        <w:t>„компетентен орган“: органът, който издава разрешителното съгласно част II, дял IIIа или част IV, дял I, глава IV от Законодателен указ № 152 от 3 април 2006 г., т.е. органът, който получава съобщението, посочено в член 216 от посочения указ.</w:t>
      </w:r>
    </w:p>
    <w:p w14:paraId="501ACB3A" w14:textId="77777777" w:rsidR="008647FF" w:rsidRPr="00CA20B5" w:rsidRDefault="008647FF" w:rsidP="008647FF">
      <w:pPr>
        <w:spacing w:after="12" w:line="267" w:lineRule="auto"/>
        <w:ind w:left="360" w:right="51" w:firstLine="0"/>
      </w:pPr>
    </w:p>
    <w:p w14:paraId="6DD2F9B2" w14:textId="77777777" w:rsidR="00607D0C" w:rsidRPr="00607D0C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lastRenderedPageBreak/>
        <w:t xml:space="preserve">Член 3 </w:t>
      </w:r>
    </w:p>
    <w:p w14:paraId="147552D8" w14:textId="688C6A32" w:rsidR="000B2060" w:rsidRPr="00607D0C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Критерии за статута за край на отпадъка  </w:t>
      </w:r>
    </w:p>
    <w:p w14:paraId="73F7D280" w14:textId="12E55F31" w:rsidR="000B2060" w:rsidRDefault="009E72B8" w:rsidP="00CA20B5">
      <w:pPr>
        <w:pStyle w:val="ListParagraph"/>
        <w:numPr>
          <w:ilvl w:val="0"/>
          <w:numId w:val="40"/>
        </w:numPr>
        <w:spacing w:after="12" w:line="267" w:lineRule="auto"/>
        <w:ind w:right="51"/>
      </w:pPr>
      <w:r>
        <w:t xml:space="preserve">За целите на член 1 и по смисъла на член 184б от Законодателен указ № 152 от 3 април 2006 г. инертните отпадъци от дейности по строителство и разрушаване и други инертни отпадъци с минерален произход по смисъла на член 2, букви а) и б) престават да бъдат класифицирани като отпадъци и се класифицират като оползотворени инертни материали, ако </w:t>
      </w:r>
      <w:r>
        <w:rPr>
          <w:color w:val="auto"/>
        </w:rPr>
        <w:t xml:space="preserve">същите отговарят на критериите, посочени в </w:t>
      </w:r>
      <w:r>
        <w:t xml:space="preserve">приложение 1.  </w:t>
      </w:r>
    </w:p>
    <w:p w14:paraId="055374E3" w14:textId="77777777" w:rsidR="000B2060" w:rsidRDefault="009E72B8">
      <w:pPr>
        <w:spacing w:after="16" w:line="259" w:lineRule="auto"/>
        <w:ind w:left="0" w:firstLine="0"/>
        <w:jc w:val="left"/>
      </w:pPr>
      <w:r>
        <w:t xml:space="preserve"> </w:t>
      </w:r>
    </w:p>
    <w:p w14:paraId="6ECC198B" w14:textId="77777777" w:rsidR="008610D3" w:rsidRPr="008610D3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Член 4 </w:t>
      </w:r>
    </w:p>
    <w:p w14:paraId="6DB7C9A8" w14:textId="1626EFD9" w:rsidR="000B2060" w:rsidRPr="008610D3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Специфични употреби </w:t>
      </w:r>
    </w:p>
    <w:p w14:paraId="0D851D94" w14:textId="66DC1D1D" w:rsidR="000B2060" w:rsidRDefault="009E72B8" w:rsidP="00CA20B5">
      <w:pPr>
        <w:pStyle w:val="ListParagraph"/>
        <w:numPr>
          <w:ilvl w:val="0"/>
          <w:numId w:val="41"/>
        </w:numPr>
        <w:spacing w:after="12" w:line="267" w:lineRule="auto"/>
        <w:ind w:right="51"/>
      </w:pPr>
      <w:r>
        <w:t xml:space="preserve">Оползотворените инертни материали могат да се използват само за специфичните цели, изброени в приложение 2. </w:t>
      </w:r>
    </w:p>
    <w:p w14:paraId="46CC6359" w14:textId="5E018293" w:rsidR="000B2060" w:rsidRDefault="000B2060" w:rsidP="00C8402D">
      <w:pPr>
        <w:spacing w:after="12" w:line="267" w:lineRule="auto"/>
        <w:ind w:left="360" w:right="51" w:firstLine="0"/>
      </w:pPr>
    </w:p>
    <w:p w14:paraId="4B965820" w14:textId="77777777" w:rsidR="008610D3" w:rsidRPr="008610D3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Член 5 </w:t>
      </w:r>
    </w:p>
    <w:p w14:paraId="2A0C2A18" w14:textId="26FCCECD" w:rsidR="000B2060" w:rsidRPr="008610D3" w:rsidRDefault="009E72B8" w:rsidP="00F51F5E">
      <w:pPr>
        <w:pStyle w:val="Heading1"/>
        <w:spacing w:after="120"/>
        <w:ind w:left="11" w:right="62" w:hanging="11"/>
        <w:rPr>
          <w:i/>
        </w:rPr>
      </w:pPr>
      <w:r>
        <w:rPr>
          <w:b w:val="0"/>
          <w:i/>
        </w:rPr>
        <w:t xml:space="preserve">Декларация за съответствие и мерки за съхраняване на пробите </w:t>
      </w:r>
    </w:p>
    <w:p w14:paraId="2FB7AF9D" w14:textId="6C743069" w:rsidR="000B2060" w:rsidRDefault="009E72B8" w:rsidP="00CA20B5">
      <w:pPr>
        <w:pStyle w:val="ListParagraph"/>
        <w:numPr>
          <w:ilvl w:val="0"/>
          <w:numId w:val="42"/>
        </w:numPr>
        <w:spacing w:after="12" w:line="267" w:lineRule="auto"/>
        <w:ind w:right="51"/>
      </w:pPr>
      <w:r>
        <w:t xml:space="preserve">Спазването на критериите, посочени в член 3, се удостоверява от оползотворения производител на инертни материали чрез декларация вместо клетвена декларация съгласно член 47 от Президентски указ № 445 от 28 декември 2000 г., изготвена за всяка получена инертна партида. Декларацията се изготвя чрез използване на формуляра в приложение 3 и се изпраща до компетентния орган и до местната компетентна агенция по опазване на околната среда чрез един от методите, посочени в член 65 от Законодателен указ № 82 от 7 март 2005 г. </w:t>
      </w:r>
    </w:p>
    <w:p w14:paraId="34D8EC28" w14:textId="599778F9" w:rsidR="000B2060" w:rsidRDefault="009E72B8" w:rsidP="00CA20B5">
      <w:pPr>
        <w:pStyle w:val="ListParagraph"/>
        <w:numPr>
          <w:ilvl w:val="0"/>
          <w:numId w:val="40"/>
        </w:numPr>
        <w:ind w:right="51"/>
      </w:pPr>
      <w:r>
        <w:t xml:space="preserve">Производителят на възстановени инертни материали съхранява копие от декларацията, посочена в параграф 1, в производственото предприятие или в седалището му, включително в електронна форма, като я предоставя на разположение на контролните органи, които я поискат.  </w:t>
      </w:r>
    </w:p>
    <w:p w14:paraId="00E8975F" w14:textId="26A2EED6" w:rsidR="000B2060" w:rsidRDefault="005211CB" w:rsidP="00CA20B5">
      <w:pPr>
        <w:pStyle w:val="ListParagraph"/>
        <w:numPr>
          <w:ilvl w:val="0"/>
          <w:numId w:val="40"/>
        </w:numPr>
        <w:ind w:right="51"/>
      </w:pPr>
      <w:r>
        <w:t xml:space="preserve">За да отговори на критериите, посочени в член 3, производителят на оползотворени инертни материали съхранява в продължение на пет години в производствения обект или в седалището си проба от оползотворените инертни материали, взета в края на производствения процес от всяка възстановена инертна партида, в съответствие с UNI 10802. Методът за съхранение на пробата трябва да бъде такъв, че да гарантира, че химичните и физичните характеристики на оползотворения инертен материал не са променени и са подходящи за повторение на анализите. </w:t>
      </w:r>
    </w:p>
    <w:p w14:paraId="7603CD02" w14:textId="77777777" w:rsidR="000B2060" w:rsidRDefault="009E72B8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2362B4E" w14:textId="77777777" w:rsidR="008610D3" w:rsidRPr="008610D3" w:rsidRDefault="009E72B8" w:rsidP="007B53AC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Член 6 </w:t>
      </w:r>
    </w:p>
    <w:p w14:paraId="0ADCBA18" w14:textId="61BFB2AB" w:rsidR="000B2060" w:rsidRPr="008610D3" w:rsidRDefault="009E72B8" w:rsidP="007B53AC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Система за управление  </w:t>
      </w:r>
    </w:p>
    <w:p w14:paraId="0DD1A645" w14:textId="3688D537" w:rsidR="000B2060" w:rsidRPr="00CA20B5" w:rsidRDefault="005211CB" w:rsidP="00CA20B5">
      <w:pPr>
        <w:pStyle w:val="ListParagraph"/>
        <w:numPr>
          <w:ilvl w:val="0"/>
          <w:numId w:val="43"/>
        </w:numPr>
        <w:ind w:right="51"/>
      </w:pPr>
      <w:r>
        <w:t>Производителят на възстановени инертни материали прилага система за управление на качеството съгласно стандарт UNI EN ISO 9001, сертифициран от организация, акредитирана в съответствие с действащото законодателство, която доказва съответствие с критериите, определени в настоящия регламент. Наръчникът по качеството включва оперативни процедури за проверка на характеристиките за съответствие с критериите, посочени в приложение 1 към плана за вземане на проби и самоконтрол.</w:t>
      </w:r>
    </w:p>
    <w:p w14:paraId="71F6D2EA" w14:textId="171C3204" w:rsidR="005211CB" w:rsidRPr="001B60FC" w:rsidRDefault="005211CB" w:rsidP="00CA20B5">
      <w:pPr>
        <w:pStyle w:val="ListParagraph"/>
        <w:numPr>
          <w:ilvl w:val="0"/>
          <w:numId w:val="43"/>
        </w:numPr>
        <w:ind w:right="51"/>
      </w:pPr>
      <w:r>
        <w:lastRenderedPageBreak/>
        <w:t>Разпоредбите, посочени в член 5, параграф 3, не се прилагат за регистрирани дружества съгласно Регламент (ЕО) № 1221/2009 на Европейския парламент и на Съвета от 25 ноември 2009 г. или за дружества, притежаващи екологично сертифициране UNI EN ISO 14001, издадено от акредитиран орган съгласно приложимото законодателство.</w:t>
      </w:r>
    </w:p>
    <w:p w14:paraId="69635672" w14:textId="77777777" w:rsidR="005211CB" w:rsidRDefault="005211CB" w:rsidP="007B53AC">
      <w:pPr>
        <w:pStyle w:val="Heading1"/>
        <w:spacing w:after="120"/>
        <w:ind w:left="11" w:right="62" w:hanging="11"/>
      </w:pPr>
    </w:p>
    <w:p w14:paraId="7461F04E" w14:textId="77777777" w:rsidR="008610D3" w:rsidRPr="001571B3" w:rsidRDefault="009E72B8" w:rsidP="007B53AC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Член 7 </w:t>
      </w:r>
    </w:p>
    <w:p w14:paraId="3EE44B21" w14:textId="4328195D" w:rsidR="000B2060" w:rsidRPr="001571B3" w:rsidRDefault="009E72B8" w:rsidP="007B53AC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Преходни и заключителни разпоредби </w:t>
      </w:r>
    </w:p>
    <w:p w14:paraId="77F5A694" w14:textId="21F82AE1" w:rsidR="000B2060" w:rsidRDefault="009E72B8" w:rsidP="00CA20B5">
      <w:pPr>
        <w:pStyle w:val="ListParagraph"/>
        <w:numPr>
          <w:ilvl w:val="0"/>
          <w:numId w:val="44"/>
        </w:numPr>
        <w:ind w:right="51"/>
      </w:pPr>
      <w:r>
        <w:t xml:space="preserve"> За да изпълни критериите, определени в настоящата наредба, в срок от 180 дни от влизането в сила на настоящия регламент производителят представя на компетентния орган актуализация на съобщението, направено съгласно член 216 от Законодателен указ № 152 от 3 април 2006 г., в което се посочва максималният размер на възстановяването, или заявление за актуализиране на разрешението, предоставено съгласно глава IV, дял I, част IV или дял IIIa от част II от Законодателен указ № 152 от 3 април 2006 г. За опростените процедури количествените ограничения, предвидени в указа на министъра на околната среда от 5 февруари 1998 г. в приложение 4, техническите стандарти, посочени в приложение 5 и нормите за допустими емисии, посочени в приложение 1, подприложение 2, остават фиксирани. </w:t>
      </w:r>
    </w:p>
    <w:p w14:paraId="26047A06" w14:textId="77777777" w:rsidR="000B2060" w:rsidRDefault="009E72B8" w:rsidP="00CA20B5">
      <w:pPr>
        <w:pStyle w:val="ListParagraph"/>
        <w:numPr>
          <w:ilvl w:val="0"/>
          <w:numId w:val="44"/>
        </w:numPr>
        <w:ind w:right="51"/>
      </w:pPr>
      <w:r>
        <w:t xml:space="preserve">До корекцията, посочена в параграф 1, материалите, получени в резултат на вече разрешени процедури за възстановяване, могат да се използват за специфичните цели, посочени в член 4, ако имат характеристики, които отговарят на критериите, посочени в член 3, удостоверени с декларация за съответствие съгласно член 5. </w:t>
      </w:r>
    </w:p>
    <w:p w14:paraId="14C9EE35" w14:textId="3E32E2C5" w:rsidR="000B2060" w:rsidRDefault="009E72B8" w:rsidP="00CA20B5">
      <w:pPr>
        <w:pStyle w:val="ListParagraph"/>
        <w:numPr>
          <w:ilvl w:val="0"/>
          <w:numId w:val="44"/>
        </w:numPr>
        <w:ind w:right="51"/>
      </w:pPr>
      <w:r>
        <w:t xml:space="preserve">Приложенията съставляват неделима част от настоящия регламент. </w:t>
      </w:r>
    </w:p>
    <w:p w14:paraId="21C4194F" w14:textId="77777777" w:rsidR="000B2060" w:rsidRDefault="009E72B8">
      <w:pPr>
        <w:spacing w:after="16" w:line="259" w:lineRule="auto"/>
        <w:ind w:left="360" w:firstLine="0"/>
        <w:jc w:val="left"/>
      </w:pPr>
      <w:r>
        <w:t xml:space="preserve"> </w:t>
      </w:r>
    </w:p>
    <w:p w14:paraId="7B0BAC0F" w14:textId="77777777" w:rsidR="000B2060" w:rsidRDefault="009E72B8">
      <w:pPr>
        <w:ind w:left="-5" w:right="51"/>
      </w:pPr>
      <w:r>
        <w:t xml:space="preserve">Настоящият указ, който носи държавния печат, се включва в официалния сборник от правни актове на Република Италия. Всички заинтересовани страни са задължени да съблюдават и гарантират спазването на настоящия указ. </w:t>
      </w:r>
    </w:p>
    <w:p w14:paraId="415AE58D" w14:textId="00646F3B" w:rsidR="000B2060" w:rsidRDefault="009E72B8" w:rsidP="00A451F2">
      <w:pPr>
        <w:spacing w:after="16" w:line="259" w:lineRule="auto"/>
        <w:ind w:left="360" w:firstLine="0"/>
        <w:jc w:val="left"/>
      </w:pPr>
      <w:r>
        <w:t xml:space="preserve">  </w:t>
      </w:r>
    </w:p>
    <w:p w14:paraId="4993A2DA" w14:textId="77777777" w:rsidR="00B66567" w:rsidRDefault="009E72B8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72"/>
        </w:tabs>
        <w:ind w:left="0" w:firstLine="0"/>
        <w:jc w:val="left"/>
      </w:pPr>
      <w:r>
        <w:rPr>
          <w:rFonts w:ascii="Calibri" w:hAnsi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</w:p>
    <w:p w14:paraId="57252218" w14:textId="2BF0B1D6" w:rsidR="000B2060" w:rsidRPr="000E6789" w:rsidRDefault="00B66567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72"/>
        </w:tabs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Роберто Чинголани </w:t>
      </w:r>
    </w:p>
    <w:p w14:paraId="6DFDB7B9" w14:textId="0E732D3D" w:rsidR="007B53AC" w:rsidRPr="000E6789" w:rsidRDefault="009E72B8" w:rsidP="00E76CAC">
      <w:pPr>
        <w:spacing w:after="16" w:line="259" w:lineRule="auto"/>
        <w:ind w:left="0" w:firstLine="0"/>
        <w:jc w:val="left"/>
      </w:pPr>
      <w:r>
        <w:t xml:space="preserve">  </w:t>
      </w:r>
    </w:p>
    <w:p w14:paraId="13C0EC3D" w14:textId="77777777" w:rsidR="007B53AC" w:rsidRPr="000E6789" w:rsidRDefault="007B53AC">
      <w:pPr>
        <w:spacing w:after="160" w:line="259" w:lineRule="auto"/>
        <w:ind w:left="0" w:firstLine="0"/>
        <w:jc w:val="left"/>
      </w:pPr>
      <w:r>
        <w:br w:type="page"/>
      </w:r>
    </w:p>
    <w:p w14:paraId="397E37C8" w14:textId="77777777" w:rsidR="000B2060" w:rsidRPr="000E6789" w:rsidRDefault="009E72B8">
      <w:pPr>
        <w:pStyle w:val="Heading1"/>
      </w:pPr>
      <w:r>
        <w:lastRenderedPageBreak/>
        <w:t xml:space="preserve">Приложение 1 (член 3) </w:t>
      </w:r>
    </w:p>
    <w:p w14:paraId="3A2ECBFF" w14:textId="77777777" w:rsidR="000B2060" w:rsidRPr="000E6789" w:rsidRDefault="009E72B8">
      <w:pPr>
        <w:spacing w:after="16" w:line="259" w:lineRule="auto"/>
        <w:ind w:left="0" w:firstLine="0"/>
        <w:jc w:val="center"/>
      </w:pPr>
      <w:r>
        <w:t xml:space="preserve"> </w:t>
      </w:r>
    </w:p>
    <w:p w14:paraId="3054D565" w14:textId="77777777" w:rsidR="000B2060" w:rsidRPr="000E6789" w:rsidRDefault="009E72B8">
      <w:pPr>
        <w:spacing w:after="18" w:line="259" w:lineRule="auto"/>
        <w:ind w:left="-5"/>
        <w:jc w:val="left"/>
      </w:pPr>
      <w:r>
        <w:rPr>
          <w:b/>
        </w:rPr>
        <w:t xml:space="preserve">а) допустими отпадъци; </w:t>
      </w:r>
    </w:p>
    <w:p w14:paraId="14E32E02" w14:textId="44D47E89" w:rsidR="001A66C5" w:rsidRPr="00E126AE" w:rsidRDefault="001A66C5" w:rsidP="001A66C5">
      <w:pPr>
        <w:spacing w:after="0" w:line="259" w:lineRule="auto"/>
        <w:ind w:left="0" w:firstLine="0"/>
        <w:rPr>
          <w:color w:val="auto"/>
          <w:sz w:val="22"/>
        </w:rPr>
      </w:pPr>
      <w:r>
        <w:rPr>
          <w:color w:val="auto"/>
        </w:rPr>
        <w:t>За производството на оползотворени инертни материали могат да се използват само неопасни инертни отпадъци от строителство и разрушаване, определени в таблица 1, точка 1, и неопасни инертни отпадъци от минерален произход, изброени в таблица 1, точка 2.</w:t>
      </w:r>
    </w:p>
    <w:p w14:paraId="520B0D8E" w14:textId="0360FF1C" w:rsidR="001A66C5" w:rsidRPr="00E126AE" w:rsidRDefault="00D55B0D" w:rsidP="00435FEC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Отпадъците, които отговарят на условията за производство на оползотворени инертни материали, произхождат изключително от продукти, които са били подложени на предварителни операции по обеззаразяване/рехабилитация, насочени към отстраняване на съдържащи азбест материали, оборудване, съдържащо ПХБ/замърсено с ПХБ, битуминозни обвивки, потенциално опасни покрития и изолационни материали и други материали, замърсени или съдържащи опасни вещества, по смисъла на Решение 2000/532/ЕО и Директива 2008/98/ЕО. Разрешените отпадъци са с предимство от селективно разрушени продукти.</w:t>
      </w:r>
    </w:p>
    <w:p w14:paraId="3AB8468F" w14:textId="5C103CE9" w:rsidR="000B2060" w:rsidRPr="00E126AE" w:rsidRDefault="001A66C5" w:rsidP="001A66C5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 xml:space="preserve">Отпадъците от изоставени или погребани дейности по строителство и разрушаване не отговарят на условията за производство на оползотворени инертни материали. </w:t>
      </w:r>
    </w:p>
    <w:p w14:paraId="4A77B75D" w14:textId="028FF43C" w:rsidR="000B2060" w:rsidRDefault="009E72B8">
      <w:pPr>
        <w:spacing w:after="0" w:line="259" w:lineRule="auto"/>
        <w:ind w:left="10" w:right="63"/>
        <w:jc w:val="center"/>
      </w:pPr>
      <w:r>
        <w:rPr>
          <w:sz w:val="18"/>
        </w:rPr>
        <w:t xml:space="preserve"> </w:t>
      </w:r>
    </w:p>
    <w:tbl>
      <w:tblPr>
        <w:tblStyle w:val="TableGrid"/>
        <w:tblW w:w="986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9866"/>
      </w:tblGrid>
      <w:tr w:rsidR="001A66C5" w:rsidRPr="001A66C5" w14:paraId="0D9FF0BB" w14:textId="77777777" w:rsidTr="002C6268">
        <w:trPr>
          <w:trHeight w:val="1188"/>
        </w:trPr>
        <w:tc>
          <w:tcPr>
            <w:tcW w:w="9866" w:type="dxa"/>
          </w:tcPr>
          <w:p w14:paraId="4E851A2E" w14:textId="3C75C696" w:rsidR="000B2060" w:rsidRPr="001A66C5" w:rsidRDefault="009E72B8" w:rsidP="001F73B8">
            <w:pPr>
              <w:spacing w:after="12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rFonts w:ascii="Arial" w:hAnsi="Arial"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Инертни отпадъци от строителни и разрушителни дейности </w:t>
            </w:r>
            <w:r>
              <w:rPr>
                <w:color w:val="auto"/>
              </w:rPr>
              <w:t xml:space="preserve"> (глава 17 от Европейския списък на отпадъците) </w:t>
            </w:r>
          </w:p>
          <w:p w14:paraId="6E6AEF6C" w14:textId="6848904F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170101 Цимент </w:t>
            </w:r>
          </w:p>
          <w:p w14:paraId="176FE4FE" w14:textId="42D519DD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170102 Тухли </w:t>
            </w:r>
          </w:p>
          <w:p w14:paraId="3AB0A756" w14:textId="044E1419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170103 Плочки и керамика </w:t>
            </w:r>
          </w:p>
          <w:p w14:paraId="26105786" w14:textId="0427E9EF" w:rsidR="00563958" w:rsidRDefault="00563958" w:rsidP="001F73B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170107 Смеси или шлаки от цимент, тухли, плочки и керамика, различни от упоменатите в № 170106 </w:t>
            </w:r>
          </w:p>
          <w:p w14:paraId="3F15F2E1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170302 Битуминозни смеси, различни от упоменатите в № 170301 </w:t>
            </w:r>
          </w:p>
          <w:p w14:paraId="481380BF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170504 Изкопни пръсти и скали, различни от упоменатите в № 170503 </w:t>
            </w:r>
          </w:p>
          <w:p w14:paraId="2F3F0584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170508 Трошени камъни за баласт за железопътни линии, различни от упоменатите в № 170507 </w:t>
            </w:r>
          </w:p>
          <w:p w14:paraId="1FC36289" w14:textId="77777777" w:rsidR="00563958" w:rsidRPr="001A66C5" w:rsidRDefault="00563958" w:rsidP="001F73B8">
            <w:pPr>
              <w:spacing w:after="0" w:line="259" w:lineRule="auto"/>
              <w:ind w:left="699" w:right="60" w:hanging="708"/>
              <w:rPr>
                <w:color w:val="auto"/>
              </w:rPr>
            </w:pPr>
            <w:r>
              <w:rPr>
                <w:color w:val="auto"/>
              </w:rPr>
              <w:t>170904 Смесени отпадъци от строителство и разрушаване, различни от упоменатите в № 170901, 170902 и 170903</w:t>
            </w:r>
          </w:p>
          <w:p w14:paraId="0A461EBD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</w:p>
          <w:p w14:paraId="4A8AAB94" w14:textId="6F084C32" w:rsidR="000B2060" w:rsidRPr="001A66C5" w:rsidRDefault="009E72B8" w:rsidP="001F73B8">
            <w:pPr>
              <w:spacing w:before="120" w:after="12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>2.</w:t>
            </w:r>
            <w:r>
              <w:rPr>
                <w:rFonts w:ascii="Arial" w:hAnsi="Arial"/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Други инертни отпадъци с минерален произход (</w:t>
            </w:r>
            <w:r>
              <w:rPr>
                <w:color w:val="auto"/>
              </w:rPr>
              <w:t>не попадат в глава 17 от Европейския списък на отпадъците)</w:t>
            </w:r>
            <w:r>
              <w:rPr>
                <w:b/>
                <w:color w:val="auto"/>
              </w:rPr>
              <w:t xml:space="preserve"> </w:t>
            </w:r>
          </w:p>
          <w:p w14:paraId="44E516DF" w14:textId="77777777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010408 Чакъл и отпадъци от трошени камъни, различни от упоменатите в № 01 04 07 </w:t>
            </w:r>
          </w:p>
          <w:p w14:paraId="23AB3524" w14:textId="09169AA3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010409 Отпадъци от пясък и глина </w:t>
            </w:r>
          </w:p>
          <w:p w14:paraId="7A226E88" w14:textId="77777777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010410 Прах и подобни остатъци, различни от упоменатите в № 010407 </w:t>
            </w:r>
          </w:p>
          <w:p w14:paraId="15F74A0D" w14:textId="77777777" w:rsidR="000B2060" w:rsidRPr="001A66C5" w:rsidRDefault="009E72B8" w:rsidP="001F73B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010413 Отпадъци от рязане и рязане на камъни, различни от упоменатите в № 010407 </w:t>
            </w:r>
          </w:p>
          <w:p w14:paraId="4AE084E7" w14:textId="18C3375C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101201 Остатъци от сместа от препарати, които не са били топлинно обработени </w:t>
            </w:r>
          </w:p>
          <w:p w14:paraId="7FE59863" w14:textId="77777777" w:rsidR="000B2060" w:rsidRDefault="009E72B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101206 Форми за скрап, състоящи се изключително от стърготини и отпадъци от гледжосани без изпичане и изпечени керамични продукти или от изпечени теракотени парчета и експандирана глина, евентуално покрити с глеч без изпичане в концентрация &lt;10 тегловни % </w:t>
            </w:r>
          </w:p>
          <w:p w14:paraId="2204493A" w14:textId="77777777" w:rsidR="00563958" w:rsidRPr="00563958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101208 Керамични отпадъци, тухли, плочки и строителни материали (термично обработени) </w:t>
            </w:r>
          </w:p>
          <w:p w14:paraId="1979F05E" w14:textId="7C6AE079" w:rsidR="00563958" w:rsidRPr="00563958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101311 Отпадъци от производството на композитни материали на циментова основа, различни от упоменатите в № 101309 и 101310 </w:t>
            </w:r>
          </w:p>
          <w:p w14:paraId="4442198A" w14:textId="43BD1BC2" w:rsidR="00D55B0D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120117 Остатъци от материали от взривяване, различни от упоменатите в № 120116, състоящи се единствено от абразивни отпадъчни пясъци </w:t>
            </w:r>
          </w:p>
          <w:p w14:paraId="225763E4" w14:textId="46F1C5E7" w:rsidR="00563958" w:rsidRPr="001A66C5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>191209 Минерали (напр. пясък, скали)</w:t>
            </w:r>
          </w:p>
        </w:tc>
      </w:tr>
    </w:tbl>
    <w:p w14:paraId="2957BE6E" w14:textId="68A671EE" w:rsidR="000B2060" w:rsidRDefault="001A66C5" w:rsidP="001A66C5">
      <w:pPr>
        <w:spacing w:after="0" w:line="259" w:lineRule="auto"/>
        <w:ind w:left="0" w:firstLine="0"/>
        <w:jc w:val="center"/>
      </w:pPr>
      <w:r>
        <w:rPr>
          <w:sz w:val="18"/>
        </w:rPr>
        <w:lastRenderedPageBreak/>
        <w:t>Таблица 1 — Разрешени отпадъци за производството на оползотворени инертни материали</w:t>
      </w:r>
    </w:p>
    <w:p w14:paraId="3B9434A6" w14:textId="77777777" w:rsidR="007B53AC" w:rsidRDefault="007B53AC">
      <w:pPr>
        <w:spacing w:after="16" w:line="259" w:lineRule="auto"/>
        <w:ind w:left="0" w:firstLine="0"/>
        <w:jc w:val="left"/>
      </w:pPr>
    </w:p>
    <w:p w14:paraId="521D4F41" w14:textId="77777777" w:rsidR="000B2060" w:rsidRDefault="009E72B8">
      <w:pPr>
        <w:spacing w:after="18" w:line="259" w:lineRule="auto"/>
        <w:ind w:left="-5"/>
        <w:jc w:val="left"/>
      </w:pPr>
      <w:r>
        <w:rPr>
          <w:b/>
        </w:rPr>
        <w:t xml:space="preserve">б) проверки на входящите отпадъци;  </w:t>
      </w:r>
    </w:p>
    <w:p w14:paraId="2EC2AED3" w14:textId="77777777" w:rsidR="00E126AE" w:rsidRPr="00E126AE" w:rsidRDefault="00E126AE" w:rsidP="00E126AE">
      <w:pPr>
        <w:spacing w:after="0" w:line="259" w:lineRule="auto"/>
        <w:ind w:left="0" w:firstLine="0"/>
        <w:rPr>
          <w:color w:val="auto"/>
          <w:sz w:val="22"/>
        </w:rPr>
      </w:pPr>
      <w:r>
        <w:rPr>
          <w:color w:val="auto"/>
        </w:rPr>
        <w:t>Отпадъците, разрешени за производство на оползотворени инертни материали, подлежат на проверка на документацията, придружаваща постъпващите отпадъци, на визуална проверка и на допълнителни проверки, когато е необходимо.</w:t>
      </w:r>
    </w:p>
    <w:p w14:paraId="7DB9A040" w14:textId="281FD861" w:rsidR="00E126AE" w:rsidRPr="00E126AE" w:rsidRDefault="00E126AE" w:rsidP="00E126AE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За тази цел производителят на оползотворените инертни материали разполага със система за проверка на приемането на отпадъците, за да провери дали отпадъците отговарят на характеристиките, определени в настоящия регламент.</w:t>
      </w:r>
    </w:p>
    <w:p w14:paraId="5545C204" w14:textId="44B7EC22" w:rsidR="00E126AE" w:rsidRPr="00E126AE" w:rsidRDefault="00E126AE" w:rsidP="00E126AE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 xml:space="preserve">За предприятията, регистрирани в съответствие с Регламент (ЕО) № 1221/2009 на Европейския парламент и на Съвета от 25 ноември 2009 г., и за предприятията, притежаващи екологично сертифициране UNI EN ISO 14001, издадено от организация, акредитирана съгласно действащото законодателство, тази система се интегрира в системата за управление по околна среда. </w:t>
      </w:r>
    </w:p>
    <w:p w14:paraId="7030FC93" w14:textId="77777777" w:rsidR="00E126AE" w:rsidRPr="00E126AE" w:rsidRDefault="00E126AE" w:rsidP="00E126AE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Системата гарантира най-малко спазването на следните задължения и изисква установяването на процедура за управление, проследимост и докладване на установените несъответствия:</w:t>
      </w:r>
    </w:p>
    <w:p w14:paraId="22568D8A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проверка на документацията, придружаваща входящия товар отпадъци, от персонал с подходящо ниво на обучение;</w:t>
      </w:r>
    </w:p>
    <w:p w14:paraId="6D809D9A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визуална проверка на входящия товар на отпадъците;</w:t>
      </w:r>
    </w:p>
    <w:p w14:paraId="7A2B1F2B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приемане на такива отпадъци само когато прегледът на придружаващата документация и визуалната проверка са успешни под контрола на персонал с годишна подготовка и опреснителни курсове за сортиране на отпадъците и отстраняване и съхраняване на отделни чужди материали;</w:t>
      </w:r>
    </w:p>
    <w:p w14:paraId="6357A922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претегляне и записване на входящите данни за товара отпадъци;</w:t>
      </w:r>
    </w:p>
    <w:p w14:paraId="35006893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съхраняването на отпадъци, които не отговарят на критериите, установени в настоящата наредба на място, предназначено за тази цел;</w:t>
      </w:r>
    </w:p>
    <w:p w14:paraId="6BB8A677" w14:textId="4F152540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поставяне в резерв на съответстващи на изискванията отпадъци, както е посочено в таблица 1 от настоящото приложение, в зоната, предназначена изключително за тях, която е структурирана по такъв начин, че да се предотврати смесването, включително случайно смесване, с други видове отпадъци, които не са разрешени;</w:t>
      </w:r>
    </w:p>
    <w:p w14:paraId="25D725FB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обработка на отпадъци, изпратени за производство на оползотворени инертни материали, от персонала с годишни обучения и опреснителни курсове с цел предотвратяване на замърсяването на отпадъците с други отпадъци или чужди материали;</w:t>
      </w:r>
    </w:p>
    <w:p w14:paraId="1AF69951" w14:textId="49D8E6AC" w:rsidR="000B2060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 xml:space="preserve">извършване на допълнителни проверки, включително аналитични проверки, на база проба или когато анализът на документацията и/или визуалната инспекция показват тази необходимост. </w:t>
      </w:r>
    </w:p>
    <w:p w14:paraId="0164859B" w14:textId="77777777" w:rsidR="000B2060" w:rsidRDefault="009E72B8">
      <w:pPr>
        <w:spacing w:after="18" w:line="259" w:lineRule="auto"/>
        <w:ind w:left="-5"/>
        <w:jc w:val="left"/>
      </w:pPr>
      <w:r>
        <w:rPr>
          <w:b/>
        </w:rPr>
        <w:t xml:space="preserve">в) Минимален производствен процес и съхранение при производителя </w:t>
      </w:r>
    </w:p>
    <w:p w14:paraId="0866423C" w14:textId="77777777" w:rsidR="000B2060" w:rsidRDefault="009E72B8">
      <w:pPr>
        <w:spacing w:after="35" w:line="267" w:lineRule="auto"/>
        <w:ind w:left="-5" w:right="49"/>
      </w:pPr>
      <w:r>
        <w:t xml:space="preserve">Процесът на третиране и оползотворяване на „инертни отпадъци от дейности по строителство и разрушаване“ и „други инертни отпадъци с минерален произход“, както са определени в член 2, букви а) и б), за производството на оползотворени инертни материали, се извършва чрез механични и технологично взаимосвързани стъпки, като например само като пример: </w:t>
      </w:r>
    </w:p>
    <w:p w14:paraId="5607B0BE" w14:textId="77777777" w:rsidR="000B2060" w:rsidRDefault="009E72B8">
      <w:pPr>
        <w:numPr>
          <w:ilvl w:val="0"/>
          <w:numId w:val="6"/>
        </w:numPr>
        <w:spacing w:after="44"/>
        <w:ind w:right="51" w:hanging="708"/>
      </w:pPr>
      <w:r>
        <w:lastRenderedPageBreak/>
        <w:t xml:space="preserve">смилане,  </w:t>
      </w:r>
    </w:p>
    <w:p w14:paraId="0014502B" w14:textId="77777777" w:rsidR="000B2060" w:rsidRDefault="009E72B8">
      <w:pPr>
        <w:numPr>
          <w:ilvl w:val="0"/>
          <w:numId w:val="6"/>
        </w:numPr>
        <w:spacing w:after="46"/>
        <w:ind w:right="51" w:hanging="708"/>
      </w:pPr>
      <w:r>
        <w:t xml:space="preserve">пресяване,  </w:t>
      </w:r>
    </w:p>
    <w:p w14:paraId="2654230A" w14:textId="77777777" w:rsidR="000B2060" w:rsidRDefault="009E72B8">
      <w:pPr>
        <w:numPr>
          <w:ilvl w:val="0"/>
          <w:numId w:val="6"/>
        </w:numPr>
        <w:spacing w:after="44"/>
        <w:ind w:right="51" w:hanging="708"/>
      </w:pPr>
      <w:r>
        <w:t xml:space="preserve">гранулометричен подбор, </w:t>
      </w:r>
    </w:p>
    <w:p w14:paraId="04D110ED" w14:textId="77777777" w:rsidR="000B2060" w:rsidRDefault="009E72B8">
      <w:pPr>
        <w:numPr>
          <w:ilvl w:val="0"/>
          <w:numId w:val="6"/>
        </w:numPr>
        <w:ind w:right="51" w:hanging="708"/>
      </w:pPr>
      <w:r>
        <w:t xml:space="preserve">отделяне на металната фракция и нежеланите фракции.  </w:t>
      </w:r>
    </w:p>
    <w:p w14:paraId="6383107D" w14:textId="77777777" w:rsidR="000B2060" w:rsidRDefault="009E72B8">
      <w:pPr>
        <w:ind w:left="-5" w:right="51"/>
      </w:pPr>
      <w:r>
        <w:t xml:space="preserve">Процесът на оползотворяване, в зависимост от вида на материала, се извършва чрез завършване на всички или само на някои от посочените етапи или други механични процеси, които позволяват спазването на критериите, определени в настоящия указ. </w:t>
      </w:r>
    </w:p>
    <w:p w14:paraId="0F8FFEA4" w14:textId="6463D22A" w:rsidR="00FC1B37" w:rsidRDefault="00FC1B37" w:rsidP="00FC1B37">
      <w:pPr>
        <w:spacing w:after="19" w:line="259" w:lineRule="auto"/>
        <w:ind w:left="0" w:firstLine="0"/>
      </w:pPr>
      <w:r>
        <w:t>По време на етапа на проверка на съответствието за оползотворените инертни материали съхранението и обработката при производителя се организират по такъв начин, че отделните производствени партиди да не се смесват.</w:t>
      </w:r>
    </w:p>
    <w:p w14:paraId="57AFE5D5" w14:textId="2228A33C" w:rsidR="000B2060" w:rsidRDefault="00FC1B37" w:rsidP="00FC1B37">
      <w:pPr>
        <w:spacing w:after="19" w:line="259" w:lineRule="auto"/>
        <w:ind w:left="0" w:firstLine="0"/>
      </w:pPr>
      <w:r>
        <w:t xml:space="preserve">До транспортирането до обекта, където ще се използва, оползотвореният инертен материал се съхранява и обработва в завода, в който е произведен, и в зоните за съхранение, използвани за тази цел. Това не засяга действащите разпоредби относно безопасността и предотвратяването на работното място и специфичните разпоредби за разрешение. </w:t>
      </w:r>
    </w:p>
    <w:p w14:paraId="1210F1E0" w14:textId="77777777" w:rsidR="000B2060" w:rsidRDefault="009E72B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F1BDB85" w14:textId="77777777" w:rsidR="000B2060" w:rsidRDefault="009E72B8">
      <w:pPr>
        <w:numPr>
          <w:ilvl w:val="0"/>
          <w:numId w:val="7"/>
        </w:numPr>
        <w:spacing w:after="53" w:line="259" w:lineRule="auto"/>
        <w:ind w:hanging="274"/>
        <w:jc w:val="left"/>
      </w:pPr>
      <w:r>
        <w:rPr>
          <w:b/>
        </w:rPr>
        <w:t xml:space="preserve">Изисквания за качество на оползотворените инертни материали </w:t>
      </w:r>
    </w:p>
    <w:p w14:paraId="5AC1392F" w14:textId="77777777" w:rsidR="000B2060" w:rsidRDefault="009E72B8">
      <w:pPr>
        <w:tabs>
          <w:tab w:val="center" w:pos="2519"/>
        </w:tabs>
        <w:spacing w:after="23" w:line="259" w:lineRule="auto"/>
        <w:ind w:left="-15" w:firstLine="0"/>
        <w:jc w:val="left"/>
      </w:pPr>
      <w:r>
        <w:rPr>
          <w:b/>
        </w:rPr>
        <w:t xml:space="preserve">г.1) Проверки на оползотворените инертни материали  </w:t>
      </w:r>
    </w:p>
    <w:p w14:paraId="121A2F5D" w14:textId="4189B06B" w:rsidR="008817D3" w:rsidRDefault="008817D3" w:rsidP="008817D3">
      <w:pPr>
        <w:ind w:left="-5" w:right="51"/>
        <w:rPr>
          <w:color w:val="auto"/>
        </w:rPr>
      </w:pPr>
      <w:r>
        <w:rPr>
          <w:color w:val="auto"/>
        </w:rPr>
        <w:t xml:space="preserve">За всяка изходяща партида оползотворени инертни материали трябва да се осигури съответствие с параметрите, посочени в таблица 2. </w:t>
      </w:r>
    </w:p>
    <w:p w14:paraId="5A41C855" w14:textId="77777777" w:rsidR="00F75776" w:rsidRPr="001E2424" w:rsidRDefault="00F75776" w:rsidP="008817D3">
      <w:pPr>
        <w:ind w:left="-5" w:right="51"/>
        <w:rPr>
          <w:color w:val="auto"/>
        </w:rPr>
      </w:pPr>
    </w:p>
    <w:tbl>
      <w:tblPr>
        <w:tblStyle w:val="TableGrid"/>
        <w:tblW w:w="684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59" w:type="dxa"/>
        </w:tblCellMar>
        <w:tblLook w:val="04A0" w:firstRow="1" w:lastRow="0" w:firstColumn="1" w:lastColumn="0" w:noHBand="0" w:noVBand="1"/>
      </w:tblPr>
      <w:tblGrid>
        <w:gridCol w:w="2240"/>
        <w:gridCol w:w="2379"/>
        <w:gridCol w:w="2230"/>
      </w:tblGrid>
      <w:tr w:rsidR="008817D3" w:rsidRPr="00FD253E" w14:paraId="77338EB7" w14:textId="77777777" w:rsidTr="00A141D1">
        <w:trPr>
          <w:trHeight w:val="772"/>
        </w:trPr>
        <w:tc>
          <w:tcPr>
            <w:tcW w:w="2240" w:type="dxa"/>
            <w:vAlign w:val="center"/>
          </w:tcPr>
          <w:p w14:paraId="36E9652D" w14:textId="0BCFE4D0" w:rsidR="00D17D7F" w:rsidRPr="00FD253E" w:rsidRDefault="009E72B8" w:rsidP="004F3D24">
            <w:pPr>
              <w:spacing w:after="0" w:line="259" w:lineRule="auto"/>
              <w:ind w:left="0" w:right="69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 xml:space="preserve">Параметри </w:t>
            </w:r>
          </w:p>
        </w:tc>
        <w:tc>
          <w:tcPr>
            <w:tcW w:w="2379" w:type="dxa"/>
            <w:vAlign w:val="center"/>
          </w:tcPr>
          <w:p w14:paraId="32DB2D8A" w14:textId="77777777" w:rsidR="00D17D7F" w:rsidRPr="00FD253E" w:rsidRDefault="00D17D7F" w:rsidP="004F3D24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Мерна единица </w:t>
            </w:r>
          </w:p>
        </w:tc>
        <w:tc>
          <w:tcPr>
            <w:tcW w:w="2230" w:type="dxa"/>
            <w:vAlign w:val="center"/>
          </w:tcPr>
          <w:p w14:paraId="1D6ED7D5" w14:textId="77777777" w:rsidR="00D17D7F" w:rsidRPr="00FD253E" w:rsidRDefault="00D17D7F" w:rsidP="004F3D24">
            <w:pPr>
              <w:spacing w:after="0" w:line="259" w:lineRule="auto"/>
              <w:ind w:left="28" w:firstLine="0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Пределни концентрации </w:t>
            </w:r>
          </w:p>
        </w:tc>
      </w:tr>
      <w:tr w:rsidR="008817D3" w:rsidRPr="00FD253E" w14:paraId="1A15B09F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FF6EFBB" w14:textId="77777777" w:rsidR="00D17D7F" w:rsidRPr="00FD253E" w:rsidRDefault="00D17D7F" w:rsidP="004F3D24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Азбест </w:t>
            </w:r>
          </w:p>
        </w:tc>
        <w:tc>
          <w:tcPr>
            <w:tcW w:w="2379" w:type="dxa"/>
            <w:vAlign w:val="center"/>
          </w:tcPr>
          <w:p w14:paraId="0F57861E" w14:textId="1197CB2B" w:rsidR="00D17D7F" w:rsidRPr="00FD253E" w:rsidRDefault="00EE7699" w:rsidP="004F3D24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mg/kg, изразено в сухо вещество </w:t>
            </w:r>
          </w:p>
        </w:tc>
        <w:tc>
          <w:tcPr>
            <w:tcW w:w="2230" w:type="dxa"/>
            <w:vAlign w:val="center"/>
          </w:tcPr>
          <w:p w14:paraId="2BC0F4AE" w14:textId="6491B6D2" w:rsidR="00D17D7F" w:rsidRPr="00FD253E" w:rsidRDefault="008817D3" w:rsidP="004F3D24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100(*) </w:t>
            </w:r>
          </w:p>
        </w:tc>
      </w:tr>
      <w:tr w:rsidR="000A5B7E" w:rsidRPr="00FD253E" w14:paraId="69CBB325" w14:textId="77777777" w:rsidTr="00A141D1">
        <w:trPr>
          <w:trHeight w:val="362"/>
        </w:trPr>
        <w:tc>
          <w:tcPr>
            <w:tcW w:w="2240" w:type="dxa"/>
            <w:vAlign w:val="center"/>
          </w:tcPr>
          <w:p w14:paraId="0DE8F35D" w14:textId="5FD9E2DF" w:rsidR="00453851" w:rsidRDefault="000A5B7E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(АРОМАТНИ</w:t>
            </w:r>
          </w:p>
          <w:p w14:paraId="0C5152BF" w14:textId="4CBD1C06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ВЪГЛЕВОДОРОДИ) </w:t>
            </w:r>
          </w:p>
        </w:tc>
        <w:tc>
          <w:tcPr>
            <w:tcW w:w="2379" w:type="dxa"/>
            <w:vAlign w:val="center"/>
          </w:tcPr>
          <w:p w14:paraId="26E02542" w14:textId="1C3E8A2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vAlign w:val="center"/>
          </w:tcPr>
          <w:p w14:paraId="00020D7A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</w:p>
        </w:tc>
      </w:tr>
      <w:tr w:rsidR="00453851" w:rsidRPr="00FD253E" w14:paraId="6A614747" w14:textId="77777777" w:rsidTr="00A141D1">
        <w:trPr>
          <w:trHeight w:val="362"/>
        </w:trPr>
        <w:tc>
          <w:tcPr>
            <w:tcW w:w="2240" w:type="dxa"/>
            <w:vAlign w:val="center"/>
          </w:tcPr>
          <w:p w14:paraId="372573F1" w14:textId="3EB2105C" w:rsidR="00453851" w:rsidRPr="00FD253E" w:rsidRDefault="00A141D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Бензен</w:t>
            </w:r>
          </w:p>
        </w:tc>
        <w:tc>
          <w:tcPr>
            <w:tcW w:w="2379" w:type="dxa"/>
            <w:vAlign w:val="center"/>
          </w:tcPr>
          <w:p w14:paraId="32DDBE77" w14:textId="1DDBB7E5" w:rsidR="00453851" w:rsidRPr="00FD253E" w:rsidRDefault="00A141D1" w:rsidP="000A5B7E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7FE0B3DE" w14:textId="67E7B568" w:rsidR="00453851" w:rsidRPr="00FD253E" w:rsidRDefault="00453851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0,1</w:t>
            </w:r>
          </w:p>
        </w:tc>
      </w:tr>
      <w:tr w:rsidR="000A5B7E" w:rsidRPr="00FD253E" w14:paraId="4DFC2316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B358963" w14:textId="2647D011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Етилбензен </w:t>
            </w:r>
          </w:p>
        </w:tc>
        <w:tc>
          <w:tcPr>
            <w:tcW w:w="2379" w:type="dxa"/>
            <w:vAlign w:val="center"/>
          </w:tcPr>
          <w:p w14:paraId="2FE475DB" w14:textId="6C80A9BB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6A8A12B2" w14:textId="590065B5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08402ECD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E04E63C" w14:textId="7ABBF4A2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Стирен </w:t>
            </w:r>
          </w:p>
        </w:tc>
        <w:tc>
          <w:tcPr>
            <w:tcW w:w="2379" w:type="dxa"/>
            <w:vAlign w:val="center"/>
          </w:tcPr>
          <w:p w14:paraId="6D0140C5" w14:textId="3B212A97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641EAF83" w14:textId="7F4AB7C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6D43BA32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21F4F705" w14:textId="2A4247A2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Толуол </w:t>
            </w:r>
          </w:p>
        </w:tc>
        <w:tc>
          <w:tcPr>
            <w:tcW w:w="2379" w:type="dxa"/>
            <w:vAlign w:val="center"/>
          </w:tcPr>
          <w:p w14:paraId="4DB54A17" w14:textId="22CD7E5B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3EE834F0" w14:textId="70794420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770B0EE3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7CA362E5" w14:textId="0EB6640A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Ксилен </w:t>
            </w:r>
          </w:p>
        </w:tc>
        <w:tc>
          <w:tcPr>
            <w:tcW w:w="2379" w:type="dxa"/>
            <w:vAlign w:val="center"/>
          </w:tcPr>
          <w:p w14:paraId="2315E973" w14:textId="711E2B4A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1AA996CE" w14:textId="7737831F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24530D94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E2CB7A5" w14:textId="5AE57994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Органични ароматни добавки (20—23) </w:t>
            </w:r>
          </w:p>
        </w:tc>
        <w:tc>
          <w:tcPr>
            <w:tcW w:w="2379" w:type="dxa"/>
            <w:vAlign w:val="center"/>
          </w:tcPr>
          <w:p w14:paraId="248E0F02" w14:textId="2F5FE143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78E27FF0" w14:textId="27AE3413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0A5B7E" w:rsidRPr="00FD253E" w14:paraId="6ECD05A3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79E0B2A" w14:textId="2ACC9A7E" w:rsidR="000A5B7E" w:rsidRPr="00FD253E" w:rsidRDefault="00453851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(ПОЛИЦИКЛИЧНИ АРОМАТНИ ВЪГЛЕВОДОРОДИ) </w:t>
            </w:r>
          </w:p>
        </w:tc>
        <w:tc>
          <w:tcPr>
            <w:tcW w:w="2379" w:type="dxa"/>
            <w:vAlign w:val="center"/>
          </w:tcPr>
          <w:p w14:paraId="651F3CAC" w14:textId="68D7D6C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vAlign w:val="center"/>
          </w:tcPr>
          <w:p w14:paraId="7A677A55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</w:p>
        </w:tc>
      </w:tr>
      <w:tr w:rsidR="000A5B7E" w:rsidRPr="00FD253E" w14:paraId="44954019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2CAC2AFF" w14:textId="3B589E77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Бензо(a)антрацен </w:t>
            </w:r>
          </w:p>
        </w:tc>
        <w:tc>
          <w:tcPr>
            <w:tcW w:w="2379" w:type="dxa"/>
            <w:vAlign w:val="center"/>
          </w:tcPr>
          <w:p w14:paraId="63FA4D61" w14:textId="64DF0DEC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14776CCA" w14:textId="2B6AB60E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6181DF00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772B1971" w14:textId="697A8FF1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lastRenderedPageBreak/>
              <w:t xml:space="preserve">Бензо(а)пирен </w:t>
            </w:r>
          </w:p>
        </w:tc>
        <w:tc>
          <w:tcPr>
            <w:tcW w:w="2379" w:type="dxa"/>
            <w:vAlign w:val="center"/>
          </w:tcPr>
          <w:p w14:paraId="4B7C0DB2" w14:textId="5AA5EB52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71263310" w14:textId="37D704CA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0A5B7E" w:rsidRPr="00FD253E" w14:paraId="5D06674A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602C184F" w14:textId="438FB41F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Бензо(б)флуорантен </w:t>
            </w:r>
          </w:p>
        </w:tc>
        <w:tc>
          <w:tcPr>
            <w:tcW w:w="2379" w:type="dxa"/>
            <w:vAlign w:val="center"/>
          </w:tcPr>
          <w:p w14:paraId="16AD6B3D" w14:textId="3AD57243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15F7C327" w14:textId="4EDF7AB8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393142EA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15B76666" w14:textId="7A70FD6E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Бензо(k)флуорантен </w:t>
            </w:r>
          </w:p>
        </w:tc>
        <w:tc>
          <w:tcPr>
            <w:tcW w:w="2379" w:type="dxa"/>
            <w:vAlign w:val="center"/>
          </w:tcPr>
          <w:p w14:paraId="37E01A1E" w14:textId="5DD6BE32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2B56BA2E" w14:textId="6E73CDAA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0,5 </w:t>
            </w:r>
          </w:p>
        </w:tc>
      </w:tr>
      <w:tr w:rsidR="000A5B7E" w:rsidRPr="00FD253E" w14:paraId="29722EC1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EEB3F11" w14:textId="039D92CB" w:rsidR="000A5B7E" w:rsidRPr="00FD253E" w:rsidRDefault="000A5B7E" w:rsidP="00E15E5B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>Бензо(ги)перилен</w:t>
            </w:r>
          </w:p>
        </w:tc>
        <w:tc>
          <w:tcPr>
            <w:tcW w:w="2379" w:type="dxa"/>
            <w:vAlign w:val="center"/>
          </w:tcPr>
          <w:p w14:paraId="71DF360E" w14:textId="3BF0D22D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1B29B0D9" w14:textId="6BA5F761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0A5B7E" w:rsidRPr="00FD253E" w14:paraId="35597BF8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93A3FCF" w14:textId="0FF4BD1A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Хризен </w:t>
            </w:r>
          </w:p>
        </w:tc>
        <w:tc>
          <w:tcPr>
            <w:tcW w:w="2379" w:type="dxa"/>
            <w:vAlign w:val="center"/>
          </w:tcPr>
          <w:p w14:paraId="5AAEB4D9" w14:textId="27105AF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7B5CE210" w14:textId="5910318F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</w:tr>
      <w:tr w:rsidR="000A5B7E" w:rsidRPr="00FD253E" w14:paraId="7004C326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B16BC4D" w14:textId="22C611E6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Дибензо(a,e)пирен </w:t>
            </w:r>
          </w:p>
        </w:tc>
        <w:tc>
          <w:tcPr>
            <w:tcW w:w="2379" w:type="dxa"/>
            <w:vAlign w:val="center"/>
          </w:tcPr>
          <w:p w14:paraId="4242A4DF" w14:textId="23729C65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11BBE31E" w14:textId="5D4A1563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0A5B7E" w:rsidRPr="00FD253E" w14:paraId="6B1E6D2A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5A39A82" w14:textId="32721EC7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Дибензо(a,l)пирен </w:t>
            </w:r>
          </w:p>
        </w:tc>
        <w:tc>
          <w:tcPr>
            <w:tcW w:w="2379" w:type="dxa"/>
            <w:vAlign w:val="center"/>
          </w:tcPr>
          <w:p w14:paraId="006B52C2" w14:textId="0812EC39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305294AD" w14:textId="7E235A04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0A5B7E" w:rsidRPr="00FD253E" w14:paraId="3B682E92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9BC171D" w14:textId="0BC8E050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Дибензо(a,i)пирен </w:t>
            </w:r>
          </w:p>
        </w:tc>
        <w:tc>
          <w:tcPr>
            <w:tcW w:w="2379" w:type="dxa"/>
            <w:vAlign w:val="center"/>
          </w:tcPr>
          <w:p w14:paraId="0FCF5DDF" w14:textId="7EE2E5FF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2150FF8B" w14:textId="2D41509A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0A5B7E" w:rsidRPr="00FD253E" w14:paraId="138D6A9C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2F9D5212" w14:textId="4C6DE300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Дибензо(a,h)пирен </w:t>
            </w:r>
          </w:p>
        </w:tc>
        <w:tc>
          <w:tcPr>
            <w:tcW w:w="2379" w:type="dxa"/>
            <w:vAlign w:val="center"/>
          </w:tcPr>
          <w:p w14:paraId="41624DC3" w14:textId="04A3AC4B" w:rsidR="000A5B7E" w:rsidRPr="00FD253E" w:rsidRDefault="000D3B28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en-US"/>
              </w:rPr>
              <w:t>m</w:t>
            </w:r>
            <w:r>
              <w:rPr>
                <w:color w:val="auto"/>
                <w:sz w:val="22"/>
              </w:rPr>
              <w:t>g/kg, изразено в сухо вещество</w:t>
            </w:r>
          </w:p>
        </w:tc>
        <w:tc>
          <w:tcPr>
            <w:tcW w:w="2230" w:type="dxa"/>
            <w:vAlign w:val="center"/>
          </w:tcPr>
          <w:p w14:paraId="734E07C8" w14:textId="3DBDF53E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0,1 </w:t>
            </w:r>
          </w:p>
        </w:tc>
      </w:tr>
      <w:tr w:rsidR="00453851" w:rsidRPr="00FD253E" w14:paraId="676B7CE9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0C436DD" w14:textId="6782D7C0" w:rsidR="00453851" w:rsidRPr="00453851" w:rsidRDefault="0045385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Дибензо(a,h)антрацен</w:t>
            </w:r>
          </w:p>
        </w:tc>
        <w:tc>
          <w:tcPr>
            <w:tcW w:w="2379" w:type="dxa"/>
            <w:vAlign w:val="center"/>
          </w:tcPr>
          <w:p w14:paraId="42798929" w14:textId="750F2E83" w:rsidR="00453851" w:rsidRPr="00FD253E" w:rsidRDefault="000D3B28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en-US"/>
              </w:rPr>
              <w:t>m</w:t>
            </w:r>
            <w:r>
              <w:rPr>
                <w:color w:val="auto"/>
                <w:sz w:val="22"/>
              </w:rPr>
              <w:t>g/kg, изразено в сухо вещество</w:t>
            </w:r>
          </w:p>
        </w:tc>
        <w:tc>
          <w:tcPr>
            <w:tcW w:w="2230" w:type="dxa"/>
            <w:vAlign w:val="center"/>
          </w:tcPr>
          <w:p w14:paraId="4B8FD1AB" w14:textId="0B180384" w:rsidR="00453851" w:rsidRPr="00FD253E" w:rsidRDefault="00453851" w:rsidP="000A5B7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</w:tr>
      <w:tr w:rsidR="00453851" w:rsidRPr="00FD253E" w14:paraId="2B4C2EE1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9E6B95B" w14:textId="50162BA3" w:rsidR="00453851" w:rsidRPr="00453851" w:rsidRDefault="0045385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Инденопирен</w:t>
            </w:r>
          </w:p>
        </w:tc>
        <w:tc>
          <w:tcPr>
            <w:tcW w:w="2379" w:type="dxa"/>
            <w:vAlign w:val="center"/>
          </w:tcPr>
          <w:p w14:paraId="0361AC22" w14:textId="0E36C049" w:rsidR="00453851" w:rsidRPr="00FD253E" w:rsidRDefault="000D3B28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en-US"/>
              </w:rPr>
              <w:t>m</w:t>
            </w:r>
            <w:r>
              <w:rPr>
                <w:color w:val="auto"/>
                <w:sz w:val="22"/>
              </w:rPr>
              <w:t>g/kg, изразено в сухо вещество</w:t>
            </w:r>
          </w:p>
        </w:tc>
        <w:tc>
          <w:tcPr>
            <w:tcW w:w="2230" w:type="dxa"/>
            <w:vAlign w:val="center"/>
          </w:tcPr>
          <w:p w14:paraId="5515402F" w14:textId="5BA7FE1D" w:rsidR="00453851" w:rsidRDefault="00453851" w:rsidP="000A5B7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</w:tr>
      <w:tr w:rsidR="00453851" w:rsidRPr="00FD253E" w14:paraId="2C3FFB39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7205FC89" w14:textId="7C0E86E2" w:rsidR="00453851" w:rsidRDefault="0045385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Пирен</w:t>
            </w:r>
          </w:p>
        </w:tc>
        <w:tc>
          <w:tcPr>
            <w:tcW w:w="2379" w:type="dxa"/>
            <w:vAlign w:val="center"/>
          </w:tcPr>
          <w:p w14:paraId="6AB60582" w14:textId="4B26035C" w:rsidR="00453851" w:rsidRPr="00FD253E" w:rsidRDefault="000D3B28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en-US"/>
              </w:rPr>
              <w:t>m</w:t>
            </w:r>
            <w:r>
              <w:rPr>
                <w:color w:val="auto"/>
                <w:sz w:val="22"/>
              </w:rPr>
              <w:t>g/kg, изразено в сухо вещество</w:t>
            </w:r>
          </w:p>
        </w:tc>
        <w:tc>
          <w:tcPr>
            <w:tcW w:w="2230" w:type="dxa"/>
            <w:vAlign w:val="center"/>
          </w:tcPr>
          <w:p w14:paraId="63FE423D" w14:textId="54599119" w:rsidR="00453851" w:rsidRDefault="00453851" w:rsidP="000A5B7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0A5B7E" w:rsidRPr="00FD253E" w14:paraId="6AF0A32F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A1A34D8" w14:textId="58F4625E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Полициклични ароматни добавки (25—34) </w:t>
            </w:r>
          </w:p>
        </w:tc>
        <w:tc>
          <w:tcPr>
            <w:tcW w:w="2379" w:type="dxa"/>
            <w:vAlign w:val="center"/>
          </w:tcPr>
          <w:p w14:paraId="3A6A23A7" w14:textId="4AC09AC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mg/kg, изразено в сухо вещество</w:t>
            </w:r>
          </w:p>
        </w:tc>
        <w:tc>
          <w:tcPr>
            <w:tcW w:w="2230" w:type="dxa"/>
            <w:vAlign w:val="center"/>
          </w:tcPr>
          <w:p w14:paraId="14E687B3" w14:textId="3B76286F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A5B7E" w:rsidRPr="00FD253E" w14:paraId="6849F989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1B602403" w14:textId="77777777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Фенол </w:t>
            </w:r>
          </w:p>
        </w:tc>
        <w:tc>
          <w:tcPr>
            <w:tcW w:w="2379" w:type="dxa"/>
            <w:vAlign w:val="center"/>
          </w:tcPr>
          <w:p w14:paraId="52525889" w14:textId="7C7E682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mg/kg, изразено в сухо вещество </w:t>
            </w:r>
          </w:p>
        </w:tc>
        <w:tc>
          <w:tcPr>
            <w:tcW w:w="2230" w:type="dxa"/>
            <w:vAlign w:val="center"/>
          </w:tcPr>
          <w:p w14:paraId="3C1B6A9E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1 </w:t>
            </w:r>
          </w:p>
        </w:tc>
      </w:tr>
      <w:tr w:rsidR="000A5B7E" w:rsidRPr="00FD253E" w14:paraId="3FDF4CA6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6AA41A20" w14:textId="77777777" w:rsidR="000A5B7E" w:rsidRPr="00FD253E" w:rsidRDefault="000A5B7E" w:rsidP="000A5B7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ПХБ </w:t>
            </w:r>
          </w:p>
        </w:tc>
        <w:tc>
          <w:tcPr>
            <w:tcW w:w="2379" w:type="dxa"/>
            <w:vAlign w:val="center"/>
          </w:tcPr>
          <w:p w14:paraId="348B307E" w14:textId="3C8D1A1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mg/kg, изразено в сухо вещество </w:t>
            </w:r>
          </w:p>
        </w:tc>
        <w:tc>
          <w:tcPr>
            <w:tcW w:w="2230" w:type="dxa"/>
            <w:vAlign w:val="center"/>
          </w:tcPr>
          <w:p w14:paraId="5AD016B5" w14:textId="77777777" w:rsidR="000A5B7E" w:rsidRPr="00FD253E" w:rsidRDefault="000A5B7E" w:rsidP="000A5B7E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0,06 </w:t>
            </w:r>
          </w:p>
        </w:tc>
      </w:tr>
      <w:tr w:rsidR="000A5B7E" w:rsidRPr="00FD253E" w14:paraId="19B24143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748C553E" w14:textId="77777777" w:rsidR="000A5B7E" w:rsidRPr="00FD253E" w:rsidRDefault="000A5B7E" w:rsidP="000A5B7E">
            <w:pPr>
              <w:spacing w:after="0" w:line="259" w:lineRule="auto"/>
              <w:ind w:left="0" w:right="66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C&gt;12 </w:t>
            </w:r>
          </w:p>
        </w:tc>
        <w:tc>
          <w:tcPr>
            <w:tcW w:w="2379" w:type="dxa"/>
            <w:vAlign w:val="center"/>
          </w:tcPr>
          <w:p w14:paraId="46AF1CAA" w14:textId="1F64F323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mg/kg, изразено в сухо вещество </w:t>
            </w:r>
          </w:p>
        </w:tc>
        <w:tc>
          <w:tcPr>
            <w:tcW w:w="2230" w:type="dxa"/>
            <w:vAlign w:val="center"/>
          </w:tcPr>
          <w:p w14:paraId="46EB8A63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50 </w:t>
            </w:r>
          </w:p>
        </w:tc>
      </w:tr>
      <w:tr w:rsidR="000A5B7E" w:rsidRPr="00FD253E" w14:paraId="5DF320E2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667E5EC9" w14:textId="77777777" w:rsidR="000A5B7E" w:rsidRPr="00FD253E" w:rsidRDefault="000A5B7E" w:rsidP="000A5B7E">
            <w:pPr>
              <w:spacing w:after="0" w:line="259" w:lineRule="auto"/>
              <w:ind w:left="0" w:right="62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Cr VI </w:t>
            </w:r>
          </w:p>
        </w:tc>
        <w:tc>
          <w:tcPr>
            <w:tcW w:w="2379" w:type="dxa"/>
            <w:vAlign w:val="center"/>
          </w:tcPr>
          <w:p w14:paraId="19072EBF" w14:textId="18C3D538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mg/kg, изразено в сухо вещество </w:t>
            </w:r>
          </w:p>
        </w:tc>
        <w:tc>
          <w:tcPr>
            <w:tcW w:w="2230" w:type="dxa"/>
            <w:vAlign w:val="center"/>
          </w:tcPr>
          <w:p w14:paraId="4399142D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2 </w:t>
            </w:r>
          </w:p>
        </w:tc>
      </w:tr>
      <w:tr w:rsidR="000A5B7E" w:rsidRPr="00FD253E" w14:paraId="38F919ED" w14:textId="77777777" w:rsidTr="00A141D1">
        <w:trPr>
          <w:trHeight w:val="382"/>
        </w:trPr>
        <w:tc>
          <w:tcPr>
            <w:tcW w:w="2240" w:type="dxa"/>
            <w:vAlign w:val="center"/>
          </w:tcPr>
          <w:p w14:paraId="53415E89" w14:textId="4ABA58B9" w:rsidR="000A5B7E" w:rsidRPr="00FD253E" w:rsidRDefault="000A5B7E" w:rsidP="000A5B7E">
            <w:pPr>
              <w:spacing w:after="0" w:line="259" w:lineRule="auto"/>
              <w:ind w:left="49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Плаващи материали </w:t>
            </w:r>
            <w:r>
              <w:rPr>
                <w:i/>
                <w:color w:val="auto"/>
                <w:sz w:val="22"/>
              </w:rPr>
              <w:t>(**)</w:t>
            </w:r>
          </w:p>
        </w:tc>
        <w:tc>
          <w:tcPr>
            <w:tcW w:w="2379" w:type="dxa"/>
            <w:vAlign w:val="center"/>
          </w:tcPr>
          <w:p w14:paraId="0DD47ED8" w14:textId="77777777" w:rsidR="000A5B7E" w:rsidRPr="00FD253E" w:rsidRDefault="000A5B7E" w:rsidP="000A5B7E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cm</w:t>
            </w:r>
            <w:r>
              <w:rPr>
                <w:color w:val="auto"/>
                <w:sz w:val="22"/>
                <w:vertAlign w:val="superscript"/>
              </w:rPr>
              <w:t>3</w:t>
            </w:r>
            <w:r>
              <w:rPr>
                <w:color w:val="auto"/>
                <w:sz w:val="22"/>
              </w:rPr>
              <w:t xml:space="preserve">/kg </w:t>
            </w:r>
          </w:p>
        </w:tc>
        <w:tc>
          <w:tcPr>
            <w:tcW w:w="2230" w:type="dxa"/>
            <w:vAlign w:val="center"/>
          </w:tcPr>
          <w:p w14:paraId="2C12EC7A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&lt;5 </w:t>
            </w:r>
          </w:p>
        </w:tc>
      </w:tr>
      <w:tr w:rsidR="000A5B7E" w:rsidRPr="00FD253E" w14:paraId="608A5E6D" w14:textId="77777777" w:rsidTr="00A141D1">
        <w:trPr>
          <w:trHeight w:val="381"/>
        </w:trPr>
        <w:tc>
          <w:tcPr>
            <w:tcW w:w="2240" w:type="dxa"/>
            <w:vAlign w:val="center"/>
          </w:tcPr>
          <w:p w14:paraId="47645AF6" w14:textId="652D254E" w:rsidR="000A5B7E" w:rsidRPr="00FD253E" w:rsidRDefault="000A5B7E" w:rsidP="000A5B7E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Чужди фракции </w:t>
            </w:r>
            <w:r>
              <w:rPr>
                <w:i/>
                <w:color w:val="auto"/>
                <w:sz w:val="22"/>
              </w:rPr>
              <w:t>(**)</w:t>
            </w:r>
          </w:p>
        </w:tc>
        <w:tc>
          <w:tcPr>
            <w:tcW w:w="2379" w:type="dxa"/>
            <w:vAlign w:val="center"/>
          </w:tcPr>
          <w:p w14:paraId="70025C3E" w14:textId="77777777" w:rsidR="000A5B7E" w:rsidRPr="00FD253E" w:rsidRDefault="000A5B7E" w:rsidP="000A5B7E">
            <w:pPr>
              <w:spacing w:after="0" w:line="259" w:lineRule="auto"/>
              <w:ind w:left="0" w:right="56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тегловен % </w:t>
            </w:r>
          </w:p>
        </w:tc>
        <w:tc>
          <w:tcPr>
            <w:tcW w:w="2230" w:type="dxa"/>
            <w:vAlign w:val="center"/>
          </w:tcPr>
          <w:p w14:paraId="25999E4D" w14:textId="77777777" w:rsidR="000A5B7E" w:rsidRPr="00FD253E" w:rsidRDefault="000A5B7E" w:rsidP="000A5B7E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&lt;1% </w:t>
            </w:r>
          </w:p>
        </w:tc>
      </w:tr>
    </w:tbl>
    <w:p w14:paraId="37556506" w14:textId="2E2B0C23" w:rsidR="00D630D6" w:rsidRPr="00B6618B" w:rsidRDefault="00B6618B" w:rsidP="00B6618B">
      <w:pPr>
        <w:spacing w:line="267" w:lineRule="auto"/>
        <w:ind w:right="62"/>
        <w:jc w:val="left"/>
        <w:rPr>
          <w:sz w:val="18"/>
          <w:szCs w:val="18"/>
        </w:rPr>
      </w:pPr>
      <w:r>
        <w:rPr>
          <w:sz w:val="18"/>
        </w:rPr>
        <w:t xml:space="preserve">            Таблица 2 — Параметри за търсене и пределни стойности</w:t>
      </w:r>
    </w:p>
    <w:p w14:paraId="62116075" w14:textId="77777777" w:rsidR="00D630D6" w:rsidRDefault="00D630D6" w:rsidP="00D630D6">
      <w:pPr>
        <w:spacing w:line="267" w:lineRule="auto"/>
        <w:ind w:right="62"/>
        <w:jc w:val="center"/>
      </w:pPr>
    </w:p>
    <w:p w14:paraId="6EE890F6" w14:textId="50AD2C9A" w:rsidR="00D630D6" w:rsidRPr="0012657B" w:rsidRDefault="00D630D6" w:rsidP="00D630D6">
      <w:pPr>
        <w:spacing w:after="0" w:line="289" w:lineRule="auto"/>
        <w:ind w:left="0" w:right="63" w:firstLine="0"/>
        <w:rPr>
          <w:i/>
          <w:color w:val="auto"/>
          <w:sz w:val="22"/>
        </w:rPr>
      </w:pPr>
      <w:r>
        <w:rPr>
          <w:i/>
          <w:color w:val="auto"/>
          <w:sz w:val="22"/>
        </w:rPr>
        <w:t xml:space="preserve">(*) Съответстваща на границата на откриване на аналитичната техника (микроскопия и/или еквивалентна по отношение на откриването). Във всеки случай официално признатата методология </w:t>
      </w:r>
      <w:r>
        <w:rPr>
          <w:i/>
          <w:color w:val="auto"/>
          <w:sz w:val="22"/>
        </w:rPr>
        <w:lastRenderedPageBreak/>
        <w:t xml:space="preserve">се използва за цялата национална територия, която позволява откриване на стойности с по-ниска концентрация. </w:t>
      </w:r>
    </w:p>
    <w:p w14:paraId="1E04A610" w14:textId="538319D6" w:rsidR="002078AA" w:rsidRPr="0012657B" w:rsidRDefault="002078AA" w:rsidP="002078AA">
      <w:pPr>
        <w:spacing w:after="0" w:line="289" w:lineRule="auto"/>
        <w:ind w:left="0" w:right="63" w:firstLine="0"/>
        <w:rPr>
          <w:color w:val="auto"/>
          <w:sz w:val="22"/>
        </w:rPr>
      </w:pPr>
      <w:r>
        <w:rPr>
          <w:i/>
          <w:color w:val="auto"/>
          <w:sz w:val="22"/>
        </w:rPr>
        <w:t>(**) Когато не са определени от приложимите технически стандарти</w:t>
      </w:r>
    </w:p>
    <w:p w14:paraId="7D51FFC6" w14:textId="47EFD5AA" w:rsidR="00F1673E" w:rsidRDefault="00F1673E">
      <w:pPr>
        <w:tabs>
          <w:tab w:val="center" w:pos="2878"/>
        </w:tabs>
        <w:spacing w:after="23" w:line="259" w:lineRule="auto"/>
        <w:ind w:left="-15" w:firstLine="0"/>
        <w:jc w:val="left"/>
        <w:rPr>
          <w:b/>
        </w:rPr>
      </w:pPr>
    </w:p>
    <w:p w14:paraId="56E4C501" w14:textId="2166A6EF" w:rsidR="00F433CF" w:rsidRDefault="00F433CF">
      <w:pPr>
        <w:tabs>
          <w:tab w:val="center" w:pos="2878"/>
        </w:tabs>
        <w:spacing w:after="23" w:line="259" w:lineRule="auto"/>
        <w:ind w:left="-15" w:firstLine="0"/>
        <w:jc w:val="left"/>
        <w:rPr>
          <w:b/>
        </w:rPr>
      </w:pPr>
    </w:p>
    <w:p w14:paraId="7A1EE40E" w14:textId="77777777" w:rsidR="00F433CF" w:rsidRDefault="00F433CF">
      <w:pPr>
        <w:tabs>
          <w:tab w:val="center" w:pos="2878"/>
        </w:tabs>
        <w:spacing w:after="23" w:line="259" w:lineRule="auto"/>
        <w:ind w:left="-15" w:firstLine="0"/>
        <w:jc w:val="left"/>
        <w:rPr>
          <w:b/>
        </w:rPr>
      </w:pPr>
    </w:p>
    <w:p w14:paraId="3AA9217C" w14:textId="4DCE47DD" w:rsidR="000B2060" w:rsidRDefault="009E72B8">
      <w:pPr>
        <w:tabs>
          <w:tab w:val="center" w:pos="2878"/>
        </w:tabs>
        <w:spacing w:after="23" w:line="259" w:lineRule="auto"/>
        <w:ind w:left="-15" w:firstLine="0"/>
        <w:jc w:val="left"/>
      </w:pPr>
      <w:r>
        <w:rPr>
          <w:b/>
        </w:rPr>
        <w:t>г.2</w:t>
      </w:r>
      <w:r>
        <w:rPr>
          <w:b/>
        </w:rPr>
        <w:tab/>
        <w:t xml:space="preserve">Изпитване за освобождаване на възстановения инертен материал.  </w:t>
      </w:r>
    </w:p>
    <w:p w14:paraId="05765F60" w14:textId="50B4051B" w:rsidR="000B2060" w:rsidRPr="00751073" w:rsidRDefault="009E72B8" w:rsidP="005F0151">
      <w:pPr>
        <w:ind w:left="-5" w:right="51"/>
        <w:rPr>
          <w:color w:val="auto"/>
        </w:rPr>
      </w:pPr>
      <w:r>
        <w:rPr>
          <w:color w:val="auto"/>
        </w:rPr>
        <w:t>Всяка произведена партида оползотворени инертни материали, с изключение на тези, предназначени за опаковане на бетони, посочени в UNI EN 12620 с клас на устойчивост Rck/leq ≥ 15 MPa, трябва да бъде подложена на изпитване за освобождаване, за да се оцени съответствието с граничните концентрации на параметрите, определени в таблица 3</w:t>
      </w:r>
      <w:r>
        <w:rPr>
          <w:b/>
          <w:color w:val="auto"/>
        </w:rPr>
        <w:t xml:space="preserve">. </w:t>
      </w:r>
      <w:r>
        <w:rPr>
          <w:color w:val="auto"/>
        </w:rPr>
        <w:t xml:space="preserve"> </w:t>
      </w:r>
    </w:p>
    <w:p w14:paraId="2935AABC" w14:textId="77777777" w:rsidR="000B2060" w:rsidRDefault="009E72B8">
      <w:pPr>
        <w:ind w:left="-5" w:right="51"/>
      </w:pPr>
      <w:r>
        <w:t xml:space="preserve">За определяне на изпитването за освобождаване се прилагат допълнение А към стандарт UNI 10802 и методът, предоставен от стандарт UNI EN 12457—2.  </w:t>
      </w:r>
    </w:p>
    <w:p w14:paraId="0AE3C55E" w14:textId="77777777" w:rsidR="000B2060" w:rsidRDefault="009E72B8">
      <w:pPr>
        <w:ind w:left="-5" w:right="51"/>
      </w:pPr>
      <w:r>
        <w:t xml:space="preserve">Само в случаите, когато пробата за анализ е с много фин размер на зърното, следва да се използва свръхцентрофуга (20000 G) в продължение на най-малко 10 минути, без да се преминава към етапа на естествено утаяване.  </w:t>
      </w:r>
    </w:p>
    <w:p w14:paraId="5F175D2C" w14:textId="77777777" w:rsidR="000B2060" w:rsidRDefault="009E72B8">
      <w:pPr>
        <w:ind w:left="-5" w:right="51"/>
      </w:pPr>
      <w:r>
        <w:t xml:space="preserve">Само след тази стъпка може да се извърши следващата стъпка на филтрация в съответствие с точка 5.2.2 от стъпка UNI EN 12457—2.  </w:t>
      </w:r>
    </w:p>
    <w:p w14:paraId="1E5E3967" w14:textId="4E4C2EAE" w:rsidR="000B2060" w:rsidRDefault="000B2060">
      <w:pPr>
        <w:spacing w:after="0" w:line="259" w:lineRule="auto"/>
        <w:ind w:left="0" w:firstLine="0"/>
        <w:jc w:val="left"/>
      </w:pPr>
    </w:p>
    <w:tbl>
      <w:tblPr>
        <w:tblStyle w:val="TableGrid"/>
        <w:tblW w:w="7893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2152"/>
        <w:gridCol w:w="3045"/>
      </w:tblGrid>
      <w:tr w:rsidR="000B2060" w:rsidRPr="0012657B" w14:paraId="62DD3DF2" w14:textId="77777777" w:rsidTr="00D17D7F">
        <w:trPr>
          <w:trHeight w:val="366"/>
        </w:trPr>
        <w:tc>
          <w:tcPr>
            <w:tcW w:w="2696" w:type="dxa"/>
          </w:tcPr>
          <w:p w14:paraId="1FCCE4C9" w14:textId="77777777" w:rsidR="000B2060" w:rsidRPr="0012657B" w:rsidRDefault="009E72B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Параметри </w:t>
            </w:r>
          </w:p>
        </w:tc>
        <w:tc>
          <w:tcPr>
            <w:tcW w:w="2152" w:type="dxa"/>
          </w:tcPr>
          <w:p w14:paraId="1271A79F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Мерна единица </w:t>
            </w:r>
          </w:p>
        </w:tc>
        <w:tc>
          <w:tcPr>
            <w:tcW w:w="3045" w:type="dxa"/>
          </w:tcPr>
          <w:p w14:paraId="2D3845D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Пределни концентрации </w:t>
            </w:r>
          </w:p>
        </w:tc>
      </w:tr>
      <w:tr w:rsidR="000B2060" w:rsidRPr="0012657B" w14:paraId="3A65BCF7" w14:textId="77777777" w:rsidTr="00D17D7F">
        <w:trPr>
          <w:trHeight w:val="343"/>
        </w:trPr>
        <w:tc>
          <w:tcPr>
            <w:tcW w:w="2696" w:type="dxa"/>
          </w:tcPr>
          <w:p w14:paraId="5C9E671F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Нитрат </w:t>
            </w:r>
          </w:p>
        </w:tc>
        <w:tc>
          <w:tcPr>
            <w:tcW w:w="2152" w:type="dxa"/>
          </w:tcPr>
          <w:p w14:paraId="43E6F3EB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</w:t>
            </w:r>
          </w:p>
        </w:tc>
        <w:tc>
          <w:tcPr>
            <w:tcW w:w="3045" w:type="dxa"/>
          </w:tcPr>
          <w:p w14:paraId="0E28482E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3EBB18C3" w14:textId="77777777" w:rsidTr="00D17D7F">
        <w:trPr>
          <w:trHeight w:val="343"/>
        </w:trPr>
        <w:tc>
          <w:tcPr>
            <w:tcW w:w="2696" w:type="dxa"/>
          </w:tcPr>
          <w:p w14:paraId="6C0F28AB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Флуорид </w:t>
            </w:r>
          </w:p>
        </w:tc>
        <w:tc>
          <w:tcPr>
            <w:tcW w:w="2152" w:type="dxa"/>
          </w:tcPr>
          <w:p w14:paraId="1C981944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</w:t>
            </w:r>
          </w:p>
        </w:tc>
        <w:tc>
          <w:tcPr>
            <w:tcW w:w="3045" w:type="dxa"/>
          </w:tcPr>
          <w:p w14:paraId="120E03F9" w14:textId="77777777" w:rsidR="000B2060" w:rsidRPr="0012657B" w:rsidRDefault="009E72B8">
            <w:pPr>
              <w:spacing w:after="0" w:line="259" w:lineRule="auto"/>
              <w:ind w:left="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1,5 </w:t>
            </w:r>
          </w:p>
        </w:tc>
      </w:tr>
      <w:tr w:rsidR="000B2060" w:rsidRPr="0012657B" w14:paraId="1C130F32" w14:textId="77777777" w:rsidTr="00D17D7F">
        <w:trPr>
          <w:trHeight w:val="341"/>
        </w:trPr>
        <w:tc>
          <w:tcPr>
            <w:tcW w:w="2696" w:type="dxa"/>
          </w:tcPr>
          <w:p w14:paraId="2AB1B840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Цианиди </w:t>
            </w:r>
          </w:p>
        </w:tc>
        <w:tc>
          <w:tcPr>
            <w:tcW w:w="2152" w:type="dxa"/>
          </w:tcPr>
          <w:p w14:paraId="7EF626B2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 </w:t>
            </w:r>
          </w:p>
        </w:tc>
        <w:tc>
          <w:tcPr>
            <w:tcW w:w="3045" w:type="dxa"/>
          </w:tcPr>
          <w:p w14:paraId="44376463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52A22BF7" w14:textId="77777777" w:rsidTr="00D17D7F">
        <w:trPr>
          <w:trHeight w:val="343"/>
        </w:trPr>
        <w:tc>
          <w:tcPr>
            <w:tcW w:w="2696" w:type="dxa"/>
          </w:tcPr>
          <w:p w14:paraId="223AB3DA" w14:textId="77777777" w:rsidR="000B2060" w:rsidRPr="0012657B" w:rsidRDefault="009E72B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Барий </w:t>
            </w:r>
          </w:p>
        </w:tc>
        <w:tc>
          <w:tcPr>
            <w:tcW w:w="2152" w:type="dxa"/>
          </w:tcPr>
          <w:p w14:paraId="41127EFF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7D9EDD71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0B2060" w:rsidRPr="0012657B" w14:paraId="6048BA73" w14:textId="77777777" w:rsidTr="00D17D7F">
        <w:trPr>
          <w:trHeight w:val="343"/>
        </w:trPr>
        <w:tc>
          <w:tcPr>
            <w:tcW w:w="2696" w:type="dxa"/>
          </w:tcPr>
          <w:p w14:paraId="327D7C92" w14:textId="77777777" w:rsidR="000B2060" w:rsidRPr="0012657B" w:rsidRDefault="009E72B8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Мед </w:t>
            </w:r>
          </w:p>
        </w:tc>
        <w:tc>
          <w:tcPr>
            <w:tcW w:w="2152" w:type="dxa"/>
          </w:tcPr>
          <w:p w14:paraId="1320BEB7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 </w:t>
            </w:r>
          </w:p>
        </w:tc>
        <w:tc>
          <w:tcPr>
            <w:tcW w:w="3045" w:type="dxa"/>
          </w:tcPr>
          <w:p w14:paraId="6A412581" w14:textId="77777777" w:rsidR="000B2060" w:rsidRPr="0012657B" w:rsidRDefault="009E72B8">
            <w:pPr>
              <w:spacing w:after="0" w:line="259" w:lineRule="auto"/>
              <w:ind w:left="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0,05 </w:t>
            </w:r>
          </w:p>
        </w:tc>
      </w:tr>
      <w:tr w:rsidR="000B2060" w:rsidRPr="0012657B" w14:paraId="62AC7362" w14:textId="77777777" w:rsidTr="00D17D7F">
        <w:trPr>
          <w:trHeight w:val="344"/>
        </w:trPr>
        <w:tc>
          <w:tcPr>
            <w:tcW w:w="2696" w:type="dxa"/>
          </w:tcPr>
          <w:p w14:paraId="6125BFE4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Цинк </w:t>
            </w:r>
          </w:p>
        </w:tc>
        <w:tc>
          <w:tcPr>
            <w:tcW w:w="2152" w:type="dxa"/>
          </w:tcPr>
          <w:p w14:paraId="003F802C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</w:t>
            </w:r>
          </w:p>
        </w:tc>
        <w:tc>
          <w:tcPr>
            <w:tcW w:w="3045" w:type="dxa"/>
          </w:tcPr>
          <w:p w14:paraId="1F24D281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0B2060" w:rsidRPr="0012657B" w14:paraId="06D3B163" w14:textId="77777777" w:rsidTr="00D17D7F">
        <w:trPr>
          <w:trHeight w:val="343"/>
        </w:trPr>
        <w:tc>
          <w:tcPr>
            <w:tcW w:w="2696" w:type="dxa"/>
          </w:tcPr>
          <w:p w14:paraId="0CD35AA2" w14:textId="77777777" w:rsidR="000B2060" w:rsidRPr="0012657B" w:rsidRDefault="009E72B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Берилий </w:t>
            </w:r>
          </w:p>
        </w:tc>
        <w:tc>
          <w:tcPr>
            <w:tcW w:w="2152" w:type="dxa"/>
          </w:tcPr>
          <w:p w14:paraId="2348BF23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 </w:t>
            </w:r>
          </w:p>
        </w:tc>
        <w:tc>
          <w:tcPr>
            <w:tcW w:w="3045" w:type="dxa"/>
          </w:tcPr>
          <w:p w14:paraId="38D963BA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B2060" w:rsidRPr="0012657B" w14:paraId="4EEC9A38" w14:textId="77777777" w:rsidTr="00D17D7F">
        <w:trPr>
          <w:trHeight w:val="343"/>
        </w:trPr>
        <w:tc>
          <w:tcPr>
            <w:tcW w:w="2696" w:type="dxa"/>
          </w:tcPr>
          <w:p w14:paraId="0248DC24" w14:textId="77777777" w:rsidR="000B2060" w:rsidRPr="0012657B" w:rsidRDefault="009E72B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Кобалт </w:t>
            </w:r>
          </w:p>
        </w:tc>
        <w:tc>
          <w:tcPr>
            <w:tcW w:w="2152" w:type="dxa"/>
          </w:tcPr>
          <w:p w14:paraId="4031F4E5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  </w:t>
            </w:r>
          </w:p>
        </w:tc>
        <w:tc>
          <w:tcPr>
            <w:tcW w:w="3045" w:type="dxa"/>
          </w:tcPr>
          <w:p w14:paraId="578CC84A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</w:t>
            </w:r>
          </w:p>
        </w:tc>
      </w:tr>
      <w:tr w:rsidR="000B2060" w:rsidRPr="0012657B" w14:paraId="1120401E" w14:textId="77777777" w:rsidTr="00D17D7F">
        <w:trPr>
          <w:trHeight w:val="343"/>
        </w:trPr>
        <w:tc>
          <w:tcPr>
            <w:tcW w:w="2696" w:type="dxa"/>
          </w:tcPr>
          <w:p w14:paraId="65E5404A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Никел </w:t>
            </w:r>
          </w:p>
        </w:tc>
        <w:tc>
          <w:tcPr>
            <w:tcW w:w="2152" w:type="dxa"/>
          </w:tcPr>
          <w:p w14:paraId="26E050F1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  </w:t>
            </w:r>
          </w:p>
        </w:tc>
        <w:tc>
          <w:tcPr>
            <w:tcW w:w="3045" w:type="dxa"/>
          </w:tcPr>
          <w:p w14:paraId="068E0346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B2060" w:rsidRPr="0012657B" w14:paraId="1845DCBB" w14:textId="77777777" w:rsidTr="00D17D7F">
        <w:trPr>
          <w:trHeight w:val="343"/>
        </w:trPr>
        <w:tc>
          <w:tcPr>
            <w:tcW w:w="2696" w:type="dxa"/>
          </w:tcPr>
          <w:p w14:paraId="1D486E68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Ванадий </w:t>
            </w:r>
          </w:p>
        </w:tc>
        <w:tc>
          <w:tcPr>
            <w:tcW w:w="2152" w:type="dxa"/>
          </w:tcPr>
          <w:p w14:paraId="7EC04566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  </w:t>
            </w:r>
          </w:p>
        </w:tc>
        <w:tc>
          <w:tcPr>
            <w:tcW w:w="3045" w:type="dxa"/>
          </w:tcPr>
          <w:p w14:paraId="31334E0B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</w:t>
            </w:r>
          </w:p>
        </w:tc>
      </w:tr>
      <w:tr w:rsidR="000B2060" w:rsidRPr="0012657B" w14:paraId="21EE625C" w14:textId="77777777" w:rsidTr="00D17D7F">
        <w:trPr>
          <w:trHeight w:val="343"/>
        </w:trPr>
        <w:tc>
          <w:tcPr>
            <w:tcW w:w="2696" w:type="dxa"/>
          </w:tcPr>
          <w:p w14:paraId="4B31B884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Арсен </w:t>
            </w:r>
          </w:p>
        </w:tc>
        <w:tc>
          <w:tcPr>
            <w:tcW w:w="2152" w:type="dxa"/>
          </w:tcPr>
          <w:p w14:paraId="4D807DD6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  </w:t>
            </w:r>
          </w:p>
        </w:tc>
        <w:tc>
          <w:tcPr>
            <w:tcW w:w="3045" w:type="dxa"/>
          </w:tcPr>
          <w:p w14:paraId="55686B6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212B656A" w14:textId="77777777" w:rsidTr="00D17D7F">
        <w:trPr>
          <w:trHeight w:val="343"/>
        </w:trPr>
        <w:tc>
          <w:tcPr>
            <w:tcW w:w="2696" w:type="dxa"/>
          </w:tcPr>
          <w:p w14:paraId="51401F83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Кадмий </w:t>
            </w:r>
          </w:p>
        </w:tc>
        <w:tc>
          <w:tcPr>
            <w:tcW w:w="2152" w:type="dxa"/>
          </w:tcPr>
          <w:p w14:paraId="2405D85B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  </w:t>
            </w:r>
          </w:p>
        </w:tc>
        <w:tc>
          <w:tcPr>
            <w:tcW w:w="3045" w:type="dxa"/>
          </w:tcPr>
          <w:p w14:paraId="0F49E6E4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</w:tr>
      <w:tr w:rsidR="000B2060" w:rsidRPr="0012657B" w14:paraId="4C4DB66E" w14:textId="77777777" w:rsidTr="00D17D7F">
        <w:trPr>
          <w:trHeight w:val="343"/>
        </w:trPr>
        <w:tc>
          <w:tcPr>
            <w:tcW w:w="2696" w:type="dxa"/>
          </w:tcPr>
          <w:p w14:paraId="18DE49E9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Общо количество хром </w:t>
            </w:r>
          </w:p>
        </w:tc>
        <w:tc>
          <w:tcPr>
            <w:tcW w:w="2152" w:type="dxa"/>
          </w:tcPr>
          <w:p w14:paraId="22C61E2D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  </w:t>
            </w:r>
          </w:p>
        </w:tc>
        <w:tc>
          <w:tcPr>
            <w:tcW w:w="3045" w:type="dxa"/>
          </w:tcPr>
          <w:p w14:paraId="25807679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45771C14" w14:textId="77777777" w:rsidTr="00D17D7F">
        <w:trPr>
          <w:trHeight w:val="341"/>
        </w:trPr>
        <w:tc>
          <w:tcPr>
            <w:tcW w:w="2696" w:type="dxa"/>
          </w:tcPr>
          <w:p w14:paraId="5C5C75D2" w14:textId="77777777" w:rsidR="000B2060" w:rsidRPr="0012657B" w:rsidRDefault="009E72B8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Олово </w:t>
            </w:r>
          </w:p>
        </w:tc>
        <w:tc>
          <w:tcPr>
            <w:tcW w:w="2152" w:type="dxa"/>
          </w:tcPr>
          <w:p w14:paraId="6220EDA7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  </w:t>
            </w:r>
          </w:p>
        </w:tc>
        <w:tc>
          <w:tcPr>
            <w:tcW w:w="3045" w:type="dxa"/>
          </w:tcPr>
          <w:p w14:paraId="2449FCE1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1B692D26" w14:textId="77777777" w:rsidTr="00D17D7F">
        <w:trPr>
          <w:trHeight w:val="343"/>
        </w:trPr>
        <w:tc>
          <w:tcPr>
            <w:tcW w:w="2696" w:type="dxa"/>
          </w:tcPr>
          <w:p w14:paraId="057D0B07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Селен </w:t>
            </w:r>
          </w:p>
        </w:tc>
        <w:tc>
          <w:tcPr>
            <w:tcW w:w="2152" w:type="dxa"/>
          </w:tcPr>
          <w:p w14:paraId="291CC444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</w:t>
            </w:r>
          </w:p>
        </w:tc>
        <w:tc>
          <w:tcPr>
            <w:tcW w:w="3045" w:type="dxa"/>
          </w:tcPr>
          <w:p w14:paraId="4FA22B6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B2060" w:rsidRPr="0012657B" w14:paraId="6C1B4A8B" w14:textId="77777777" w:rsidTr="00D17D7F">
        <w:trPr>
          <w:trHeight w:val="344"/>
        </w:trPr>
        <w:tc>
          <w:tcPr>
            <w:tcW w:w="2696" w:type="dxa"/>
          </w:tcPr>
          <w:p w14:paraId="2CF5CCE5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Живак </w:t>
            </w:r>
          </w:p>
        </w:tc>
        <w:tc>
          <w:tcPr>
            <w:tcW w:w="2152" w:type="dxa"/>
          </w:tcPr>
          <w:p w14:paraId="6CC2289B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микрограмове/l   </w:t>
            </w:r>
          </w:p>
        </w:tc>
        <w:tc>
          <w:tcPr>
            <w:tcW w:w="3045" w:type="dxa"/>
          </w:tcPr>
          <w:p w14:paraId="6F9CC415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0B2060" w:rsidRPr="0012657B" w14:paraId="2A575348" w14:textId="77777777" w:rsidTr="00D17D7F">
        <w:trPr>
          <w:trHeight w:val="343"/>
        </w:trPr>
        <w:tc>
          <w:tcPr>
            <w:tcW w:w="2696" w:type="dxa"/>
          </w:tcPr>
          <w:p w14:paraId="6E07AC81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COD </w:t>
            </w:r>
          </w:p>
        </w:tc>
        <w:tc>
          <w:tcPr>
            <w:tcW w:w="2152" w:type="dxa"/>
          </w:tcPr>
          <w:p w14:paraId="3771D45D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24ECC53C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</w:t>
            </w:r>
          </w:p>
        </w:tc>
      </w:tr>
      <w:tr w:rsidR="000B2060" w:rsidRPr="0012657B" w14:paraId="299A8C9C" w14:textId="77777777" w:rsidTr="00D17D7F">
        <w:trPr>
          <w:trHeight w:val="343"/>
        </w:trPr>
        <w:tc>
          <w:tcPr>
            <w:tcW w:w="2696" w:type="dxa"/>
          </w:tcPr>
          <w:p w14:paraId="7322CBBE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Сулфати </w:t>
            </w:r>
          </w:p>
        </w:tc>
        <w:tc>
          <w:tcPr>
            <w:tcW w:w="2152" w:type="dxa"/>
          </w:tcPr>
          <w:p w14:paraId="18EF2905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2A0554F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750 </w:t>
            </w:r>
          </w:p>
        </w:tc>
      </w:tr>
      <w:tr w:rsidR="000B2060" w:rsidRPr="0012657B" w14:paraId="4D8C468E" w14:textId="77777777" w:rsidTr="00D17D7F">
        <w:trPr>
          <w:trHeight w:val="343"/>
        </w:trPr>
        <w:tc>
          <w:tcPr>
            <w:tcW w:w="2696" w:type="dxa"/>
          </w:tcPr>
          <w:p w14:paraId="29110B93" w14:textId="77777777" w:rsidR="000B2060" w:rsidRPr="0012657B" w:rsidRDefault="009E72B8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Хлориди </w:t>
            </w:r>
          </w:p>
        </w:tc>
        <w:tc>
          <w:tcPr>
            <w:tcW w:w="2152" w:type="dxa"/>
          </w:tcPr>
          <w:p w14:paraId="0DF5C426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28728CB2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750 </w:t>
            </w:r>
          </w:p>
        </w:tc>
      </w:tr>
      <w:tr w:rsidR="000B2060" w:rsidRPr="0012657B" w14:paraId="6BD8D460" w14:textId="77777777" w:rsidTr="00D17D7F">
        <w:trPr>
          <w:trHeight w:val="342"/>
        </w:trPr>
        <w:tc>
          <w:tcPr>
            <w:tcW w:w="2696" w:type="dxa"/>
          </w:tcPr>
          <w:p w14:paraId="197B90C7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pH  </w:t>
            </w:r>
          </w:p>
        </w:tc>
        <w:tc>
          <w:tcPr>
            <w:tcW w:w="2152" w:type="dxa"/>
          </w:tcPr>
          <w:p w14:paraId="346DD7F1" w14:textId="77777777" w:rsidR="000B2060" w:rsidRPr="0012657B" w:rsidRDefault="009E72B8">
            <w:pPr>
              <w:spacing w:after="0" w:line="259" w:lineRule="auto"/>
              <w:ind w:left="56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045" w:type="dxa"/>
          </w:tcPr>
          <w:p w14:paraId="7502147C" w14:textId="77777777" w:rsidR="000B2060" w:rsidRPr="0012657B" w:rsidRDefault="009E72B8">
            <w:pPr>
              <w:spacing w:after="0" w:line="259" w:lineRule="auto"/>
              <w:ind w:left="1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5,5 &lt; &gt; 12,0 </w:t>
            </w:r>
          </w:p>
        </w:tc>
      </w:tr>
    </w:tbl>
    <w:p w14:paraId="72603D0B" w14:textId="3FAFE5F3" w:rsidR="000B2060" w:rsidRDefault="009E72B8" w:rsidP="000E2887">
      <w:pPr>
        <w:spacing w:after="0" w:line="259" w:lineRule="auto"/>
        <w:ind w:left="0" w:firstLine="0"/>
        <w:jc w:val="center"/>
      </w:pPr>
      <w:r>
        <w:t xml:space="preserve"> </w:t>
      </w:r>
      <w:r>
        <w:rPr>
          <w:sz w:val="18"/>
        </w:rPr>
        <w:t xml:space="preserve">Таблица 3 — Аналити, които трябва да бъдат изследвани, и пределни стойности. </w:t>
      </w:r>
    </w:p>
    <w:p w14:paraId="7112D065" w14:textId="77777777" w:rsidR="000B2060" w:rsidRDefault="009E72B8">
      <w:pPr>
        <w:spacing w:after="16" w:line="259" w:lineRule="auto"/>
        <w:ind w:left="0" w:firstLine="0"/>
        <w:jc w:val="center"/>
      </w:pPr>
      <w:r>
        <w:t xml:space="preserve"> </w:t>
      </w:r>
    </w:p>
    <w:p w14:paraId="7B08611C" w14:textId="77A45346" w:rsidR="000B2060" w:rsidRDefault="009E72B8" w:rsidP="000A5B7E">
      <w:pPr>
        <w:spacing w:after="16" w:line="259" w:lineRule="auto"/>
        <w:ind w:left="0" w:firstLine="0"/>
        <w:jc w:val="center"/>
      </w:pPr>
      <w:r>
        <w:t xml:space="preserve">  </w:t>
      </w:r>
    </w:p>
    <w:p w14:paraId="0B826CAE" w14:textId="77777777" w:rsidR="000B2060" w:rsidRDefault="009E72B8">
      <w:pPr>
        <w:spacing w:after="18" w:line="259" w:lineRule="auto"/>
        <w:ind w:left="-5"/>
        <w:jc w:val="left"/>
      </w:pPr>
      <w:r>
        <w:rPr>
          <w:b/>
        </w:rPr>
        <w:t xml:space="preserve">д) Референтни технически стандарти за ЕО сертифициране на оползотворените инертни материали. </w:t>
      </w:r>
    </w:p>
    <w:p w14:paraId="25900C48" w14:textId="2534B946" w:rsidR="000B2060" w:rsidRDefault="009E72B8">
      <w:pPr>
        <w:spacing w:after="12" w:line="267" w:lineRule="auto"/>
        <w:ind w:left="-5" w:right="49"/>
      </w:pPr>
      <w:r>
        <w:t xml:space="preserve">В таблица 4 са посочени референтните технически стандарти за придаване на маркировката „СЕ“ на оползотворените инертни материали. </w:t>
      </w:r>
    </w:p>
    <w:p w14:paraId="2233DB0F" w14:textId="77777777" w:rsidR="000B2060" w:rsidRDefault="009E72B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805" w:type="dxa"/>
        <w:tblInd w:w="418" w:type="dxa"/>
        <w:tblCellMar>
          <w:top w:w="68" w:type="dxa"/>
          <w:left w:w="115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6503"/>
      </w:tblGrid>
      <w:tr w:rsidR="000B2060" w14:paraId="3A66FF9E" w14:textId="77777777">
        <w:trPr>
          <w:trHeight w:val="31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8B11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Стандарт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E2FE" w14:textId="77777777" w:rsidR="000B2060" w:rsidRDefault="009E72B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Заглавие </w:t>
            </w:r>
          </w:p>
        </w:tc>
      </w:tr>
      <w:tr w:rsidR="000B2060" w14:paraId="6F6B2BFF" w14:textId="77777777">
        <w:trPr>
          <w:trHeight w:val="6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925F8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 13242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5F35" w14:textId="77777777" w:rsidR="000B2060" w:rsidRDefault="009E72B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Инертни материали за нелегирани материали и сплави с хидравлични свързващи вещества, използвани в гражданското строителство и пътното строителство </w:t>
            </w:r>
          </w:p>
        </w:tc>
      </w:tr>
      <w:tr w:rsidR="000B2060" w14:paraId="7970D5C1" w14:textId="77777777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B3B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 12620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618A" w14:textId="77777777" w:rsidR="000B2060" w:rsidRDefault="009E72B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Добавъчни материали за бетон </w:t>
            </w:r>
          </w:p>
        </w:tc>
      </w:tr>
      <w:tr w:rsidR="000B2060" w14:paraId="374A89B3" w14:textId="77777777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3928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 13139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B109" w14:textId="77777777" w:rsidR="000B2060" w:rsidRDefault="009E72B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Добавъчни материали за строителен разтвор </w:t>
            </w:r>
          </w:p>
        </w:tc>
      </w:tr>
      <w:tr w:rsidR="000B2060" w14:paraId="2BF3B61A" w14:textId="77777777">
        <w:trPr>
          <w:trHeight w:val="6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1734A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 13043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C0DE" w14:textId="77777777" w:rsidR="000B2060" w:rsidRDefault="009E72B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Скални материали за битумни смеси и настилки за пътища, самолетни писти и други транспортни площи </w:t>
            </w:r>
          </w:p>
        </w:tc>
      </w:tr>
      <w:tr w:rsidR="000B2060" w14:paraId="031C5EC1" w14:textId="77777777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D8CA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 13055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92F4" w14:textId="77777777" w:rsidR="000B2060" w:rsidRDefault="009E72B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Леки инертни материали </w:t>
            </w:r>
          </w:p>
        </w:tc>
      </w:tr>
      <w:tr w:rsidR="000B2060" w14:paraId="29A9D634" w14:textId="77777777">
        <w:trPr>
          <w:trHeight w:val="313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9DB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 13450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DC29" w14:textId="77777777" w:rsidR="000B2060" w:rsidRDefault="009E72B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Инертни материали за железопътен баласт </w:t>
            </w:r>
          </w:p>
        </w:tc>
      </w:tr>
      <w:tr w:rsidR="000B2060" w14:paraId="2727D9CA" w14:textId="77777777">
        <w:trPr>
          <w:trHeight w:val="6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B6367" w14:textId="77777777" w:rsidR="000B2060" w:rsidRDefault="009E72B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UNI EN 13383-1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15071" w14:textId="77777777" w:rsidR="000B2060" w:rsidRDefault="009E72B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Инертни материали за защитни съоръжения (едри скални материали) — Спецификации </w:t>
            </w:r>
          </w:p>
        </w:tc>
      </w:tr>
    </w:tbl>
    <w:p w14:paraId="70A72293" w14:textId="72FC6A17" w:rsidR="000B2060" w:rsidRDefault="009E72B8" w:rsidP="0087338D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  <w:r>
        <w:rPr>
          <w:sz w:val="18"/>
        </w:rPr>
        <w:t xml:space="preserve">Таблица 4 — Технически стандарти за сертифициране на ЕО </w:t>
      </w:r>
    </w:p>
    <w:p w14:paraId="56E65A7C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5E2A3544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4E165A4C" w14:textId="287F893A" w:rsidR="00D17D7F" w:rsidRDefault="009E72B8" w:rsidP="001F73B8">
      <w:pPr>
        <w:spacing w:after="19" w:line="259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br w:type="page"/>
      </w:r>
    </w:p>
    <w:p w14:paraId="70462072" w14:textId="77777777" w:rsidR="000B2060" w:rsidRDefault="009E72B8">
      <w:pPr>
        <w:pStyle w:val="Heading1"/>
        <w:ind w:right="65"/>
      </w:pPr>
      <w:r>
        <w:lastRenderedPageBreak/>
        <w:t xml:space="preserve">Приложение 2 (член 4) </w:t>
      </w:r>
    </w:p>
    <w:p w14:paraId="4D57B64A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38F91EE8" w14:textId="358D724F" w:rsidR="000B2060" w:rsidRDefault="009E72B8">
      <w:pPr>
        <w:ind w:left="-5" w:right="51"/>
      </w:pPr>
      <w:r>
        <w:t xml:space="preserve">Оползотворените инертни материали се използват в съответствие със стандартите за техническа употреба, посочени в таблица 5, за: </w:t>
      </w:r>
    </w:p>
    <w:p w14:paraId="3C7300BE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изграждането на корпуса на насипи в строителните земни работи;</w:t>
      </w:r>
    </w:p>
    <w:p w14:paraId="22F0545D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изграждането на пътни, железопътни, летищни под-основи и граждански и промишлени дворове;</w:t>
      </w:r>
    </w:p>
    <w:p w14:paraId="78E1375E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изграждане на основи за транспортна инфраструктура и граждански и промишлени дворове;</w:t>
      </w:r>
    </w:p>
    <w:p w14:paraId="73160B34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осъществяването на възстановяване на околната среда, запълване и запечатване;</w:t>
      </w:r>
    </w:p>
    <w:p w14:paraId="2FB8C60C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създаване на спомагателни слоеве, които имат капилярно разбиващи, противозамръзващи, отцеждащи и т.н. функции;</w:t>
      </w:r>
    </w:p>
    <w:p w14:paraId="5E929373" w14:textId="77777777" w:rsidR="00D55B0D" w:rsidRDefault="00D55B0D" w:rsidP="00D55B0D">
      <w:pPr>
        <w:numPr>
          <w:ilvl w:val="0"/>
          <w:numId w:val="8"/>
        </w:numPr>
        <w:ind w:right="51" w:hanging="282"/>
      </w:pPr>
      <w:r>
        <w:t>опаковане на бетон и смеси, легирани с хидравлични свързващи вещества (циментови смеси, бетонни смеси и др.).</w:t>
      </w:r>
    </w:p>
    <w:p w14:paraId="34A920B7" w14:textId="25DB438E" w:rsidR="000B2060" w:rsidRDefault="000B2060">
      <w:pPr>
        <w:spacing w:after="0" w:line="259" w:lineRule="auto"/>
        <w:ind w:left="0" w:firstLine="0"/>
        <w:jc w:val="left"/>
      </w:pPr>
    </w:p>
    <w:tbl>
      <w:tblPr>
        <w:tblStyle w:val="TableGrid"/>
        <w:tblW w:w="9611" w:type="dxa"/>
        <w:tblInd w:w="171" w:type="dxa"/>
        <w:tblCellMar>
          <w:top w:w="58" w:type="dxa"/>
          <w:left w:w="223" w:type="dxa"/>
          <w:right w:w="115" w:type="dxa"/>
        </w:tblCellMar>
        <w:tblLook w:val="04A0" w:firstRow="1" w:lastRow="0" w:firstColumn="1" w:lastColumn="0" w:noHBand="0" w:noVBand="1"/>
      </w:tblPr>
      <w:tblGrid>
        <w:gridCol w:w="3565"/>
        <w:gridCol w:w="2713"/>
        <w:gridCol w:w="3333"/>
      </w:tblGrid>
      <w:tr w:rsidR="000B2060" w14:paraId="05074170" w14:textId="77777777">
        <w:trPr>
          <w:trHeight w:val="883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D6E2" w14:textId="77777777" w:rsidR="000B2060" w:rsidRDefault="009E72B8">
            <w:pPr>
              <w:spacing w:after="0" w:line="259" w:lineRule="auto"/>
              <w:ind w:left="0" w:right="218" w:firstLine="0"/>
              <w:jc w:val="center"/>
            </w:pPr>
            <w:r>
              <w:rPr>
                <w:b/>
                <w:sz w:val="22"/>
              </w:rPr>
              <w:t xml:space="preserve">Употреба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841B" w14:textId="77777777" w:rsidR="000B2060" w:rsidRDefault="009E72B8">
            <w:pPr>
              <w:spacing w:after="0" w:line="259" w:lineRule="auto"/>
              <w:ind w:left="38" w:hanging="38"/>
              <w:jc w:val="left"/>
            </w:pPr>
            <w:r>
              <w:rPr>
                <w:b/>
                <w:sz w:val="22"/>
              </w:rPr>
              <w:t xml:space="preserve">Съответствие с европейските хармонизирани стандарти/изпълнение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B7C8" w14:textId="77777777" w:rsidR="000B2060" w:rsidRDefault="009E72B8">
            <w:pPr>
              <w:spacing w:after="0" w:line="259" w:lineRule="auto"/>
              <w:ind w:left="0" w:right="223" w:firstLine="0"/>
              <w:jc w:val="center"/>
            </w:pPr>
            <w:r>
              <w:rPr>
                <w:b/>
                <w:sz w:val="22"/>
              </w:rPr>
              <w:t xml:space="preserve">Технически възможности </w:t>
            </w:r>
          </w:p>
        </w:tc>
      </w:tr>
      <w:tr w:rsidR="000B2060" w14:paraId="487C5BF0" w14:textId="77777777">
        <w:trPr>
          <w:trHeight w:val="59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07A2" w14:textId="77777777" w:rsidR="000B2060" w:rsidRDefault="009E72B8">
            <w:pPr>
              <w:spacing w:after="0" w:line="259" w:lineRule="auto"/>
              <w:ind w:left="967" w:hanging="648"/>
              <w:jc w:val="left"/>
            </w:pPr>
            <w:r>
              <w:rPr>
                <w:sz w:val="22"/>
              </w:rPr>
              <w:t xml:space="preserve">Пълнежи, насипвания, морфологични възстановявания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9032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 13242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8670" w14:textId="77777777" w:rsidR="000B2060" w:rsidRDefault="009E72B8">
            <w:pPr>
              <w:spacing w:after="14" w:line="259" w:lineRule="auto"/>
              <w:ind w:left="0" w:right="223" w:firstLine="0"/>
              <w:jc w:val="center"/>
            </w:pPr>
            <w:r>
              <w:rPr>
                <w:sz w:val="22"/>
              </w:rPr>
              <w:t xml:space="preserve">UNI EN 11531-1 </w:t>
            </w:r>
          </w:p>
          <w:p w14:paraId="57B150FA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Списък 4а </w:t>
            </w:r>
          </w:p>
        </w:tc>
      </w:tr>
      <w:tr w:rsidR="000B2060" w14:paraId="1A31165C" w14:textId="77777777">
        <w:trPr>
          <w:trHeight w:val="593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ED36" w14:textId="77777777" w:rsidR="000B2060" w:rsidRDefault="009E72B8">
            <w:pPr>
              <w:spacing w:after="0" w:line="259" w:lineRule="auto"/>
              <w:ind w:left="0" w:right="217" w:firstLine="0"/>
              <w:jc w:val="center"/>
            </w:pPr>
            <w:r>
              <w:rPr>
                <w:sz w:val="22"/>
              </w:rPr>
              <w:t xml:space="preserve">Корпус на насип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2774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 13242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6A21" w14:textId="77777777" w:rsidR="000B2060" w:rsidRDefault="009E72B8">
            <w:pPr>
              <w:spacing w:after="17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UNI 11531-1 </w:t>
            </w:r>
          </w:p>
          <w:p w14:paraId="78CE376C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Списък 4а </w:t>
            </w:r>
          </w:p>
        </w:tc>
      </w:tr>
      <w:tr w:rsidR="000B2060" w14:paraId="67F846B1" w14:textId="77777777">
        <w:trPr>
          <w:trHeight w:val="59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7F17" w14:textId="77777777" w:rsidR="000B2060" w:rsidRDefault="009E72B8">
            <w:pPr>
              <w:spacing w:after="0" w:line="259" w:lineRule="auto"/>
              <w:ind w:left="149" w:firstLine="206"/>
              <w:jc w:val="left"/>
            </w:pPr>
            <w:r>
              <w:rPr>
                <w:sz w:val="22"/>
              </w:rPr>
              <w:t xml:space="preserve">Смеси от нелегирани материали, капилярно-раздробяващ слой, фундамент, основа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93FD" w14:textId="77777777" w:rsidR="000B2060" w:rsidRDefault="009E72B8">
            <w:pPr>
              <w:spacing w:after="14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 13242 </w:t>
            </w:r>
          </w:p>
          <w:p w14:paraId="76FD0355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 13450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DD72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UNI 11531-1 </w:t>
            </w:r>
          </w:p>
          <w:p w14:paraId="3BBD4B23" w14:textId="77777777" w:rsidR="000B2060" w:rsidRDefault="009E72B8">
            <w:pPr>
              <w:spacing w:after="0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Списък 4б </w:t>
            </w:r>
          </w:p>
        </w:tc>
      </w:tr>
      <w:tr w:rsidR="000B2060" w14:paraId="22B0A1AE" w14:textId="77777777">
        <w:trPr>
          <w:trHeight w:val="884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F15B" w14:textId="77777777" w:rsidR="000B2060" w:rsidRDefault="009E72B8">
            <w:pPr>
              <w:spacing w:after="0" w:line="259" w:lineRule="auto"/>
              <w:ind w:left="26" w:firstLine="5"/>
              <w:jc w:val="left"/>
            </w:pPr>
            <w:r>
              <w:rPr>
                <w:sz w:val="22"/>
              </w:rPr>
              <w:t xml:space="preserve">Производство на смеси, легирани с хидравлични свързващи вещества (циментови смеси, бетонни смеси и др.)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0FF7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 13242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63C0" w14:textId="77777777" w:rsidR="000B2060" w:rsidRDefault="009E72B8">
            <w:pPr>
              <w:spacing w:after="0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UNI EN 14227—1:2013 </w:t>
            </w:r>
          </w:p>
        </w:tc>
      </w:tr>
      <w:tr w:rsidR="000B2060" w14:paraId="77719156" w14:textId="77777777">
        <w:trPr>
          <w:trHeight w:val="2921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5D62" w14:textId="77777777" w:rsidR="000B2060" w:rsidRDefault="009E72B8">
            <w:pPr>
              <w:spacing w:after="0" w:line="259" w:lineRule="auto"/>
              <w:ind w:left="854" w:right="926" w:firstLine="130"/>
              <w:jc w:val="left"/>
            </w:pPr>
            <w:r>
              <w:rPr>
                <w:sz w:val="22"/>
              </w:rPr>
              <w:t xml:space="preserve">Производство на бетон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7C41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 12620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82A3" w14:textId="77777777" w:rsidR="000B2060" w:rsidRDefault="009E72B8">
            <w:pPr>
              <w:spacing w:after="17" w:line="259" w:lineRule="auto"/>
              <w:ind w:left="0" w:right="226" w:firstLine="0"/>
              <w:jc w:val="center"/>
            </w:pPr>
            <w:r>
              <w:rPr>
                <w:sz w:val="22"/>
              </w:rPr>
              <w:t xml:space="preserve">UNI 8520-1 </w:t>
            </w:r>
          </w:p>
          <w:p w14:paraId="1A756376" w14:textId="77777777" w:rsidR="000B2060" w:rsidRDefault="009E72B8">
            <w:pPr>
              <w:spacing w:after="14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Списък 1 </w:t>
            </w:r>
          </w:p>
          <w:p w14:paraId="24756880" w14:textId="77777777" w:rsidR="000B2060" w:rsidRDefault="009E72B8">
            <w:pPr>
              <w:spacing w:after="14" w:line="259" w:lineRule="auto"/>
              <w:ind w:left="0" w:right="226" w:firstLine="0"/>
              <w:jc w:val="center"/>
            </w:pPr>
            <w:r>
              <w:rPr>
                <w:sz w:val="22"/>
              </w:rPr>
              <w:t xml:space="preserve">UNI 8520-2 </w:t>
            </w:r>
          </w:p>
          <w:p w14:paraId="4736B47C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Приложение A </w:t>
            </w:r>
          </w:p>
          <w:p w14:paraId="18B6D357" w14:textId="77777777" w:rsidR="000B2060" w:rsidRDefault="009E72B8">
            <w:pPr>
              <w:spacing w:after="14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 11104 </w:t>
            </w:r>
          </w:p>
          <w:p w14:paraId="38D65F5D" w14:textId="77777777" w:rsidR="000B2060" w:rsidRDefault="009E72B8">
            <w:pPr>
              <w:spacing w:after="17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Списък 4 </w:t>
            </w:r>
          </w:p>
          <w:p w14:paraId="13153374" w14:textId="77777777" w:rsidR="000B2060" w:rsidRDefault="009E72B8">
            <w:pPr>
              <w:spacing w:after="14" w:line="259" w:lineRule="auto"/>
              <w:ind w:left="0" w:right="224" w:firstLine="0"/>
              <w:jc w:val="center"/>
            </w:pPr>
            <w:r>
              <w:rPr>
                <w:sz w:val="22"/>
              </w:rPr>
              <w:t xml:space="preserve">UNI EN 206 </w:t>
            </w:r>
          </w:p>
          <w:p w14:paraId="2F639340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Приложение Д </w:t>
            </w:r>
          </w:p>
          <w:p w14:paraId="1A14DB3D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Министерско постановление от 17 януари 2018 г. </w:t>
            </w:r>
          </w:p>
          <w:p w14:paraId="2D2B7699" w14:textId="77777777" w:rsidR="000B2060" w:rsidRDefault="009E72B8">
            <w:pPr>
              <w:spacing w:after="0" w:line="259" w:lineRule="auto"/>
              <w:ind w:left="0" w:right="223" w:firstLine="0"/>
              <w:jc w:val="center"/>
            </w:pPr>
            <w:r>
              <w:rPr>
                <w:sz w:val="22"/>
              </w:rPr>
              <w:t xml:space="preserve">NTC: Таблица 11.2.III: </w:t>
            </w:r>
          </w:p>
        </w:tc>
      </w:tr>
    </w:tbl>
    <w:p w14:paraId="1B0D5020" w14:textId="134EABAA" w:rsidR="000B2060" w:rsidRDefault="009E72B8" w:rsidP="00207BFE">
      <w:pPr>
        <w:spacing w:after="24" w:line="253" w:lineRule="auto"/>
        <w:ind w:left="3402" w:right="2444" w:hanging="975"/>
        <w:jc w:val="left"/>
      </w:pPr>
      <w:r>
        <w:rPr>
          <w:sz w:val="18"/>
        </w:rPr>
        <w:t xml:space="preserve">Таблица 5 — Технически стандарти за използване на оползотворените инертни материали </w:t>
      </w:r>
      <w:r>
        <w:t xml:space="preserve"> </w:t>
      </w:r>
    </w:p>
    <w:p w14:paraId="14D42672" w14:textId="77777777" w:rsidR="00D17D7F" w:rsidRDefault="00D17D7F" w:rsidP="00D17D7F">
      <w:pPr>
        <w:ind w:left="-5" w:right="51"/>
      </w:pPr>
    </w:p>
    <w:p w14:paraId="68C7A01B" w14:textId="1B9C9237" w:rsidR="000B2060" w:rsidRDefault="009E72B8">
      <w:pPr>
        <w:ind w:left="-5" w:right="51"/>
      </w:pPr>
      <w:r>
        <w:lastRenderedPageBreak/>
        <w:t xml:space="preserve">За всички видове употреба, с изключение на посочените в буква д), се изисква поставянето на маркировката „СЕ“, както е предвидено в Регламент (ЕС) № 305/2011 на Европейския парламент и на Съвета от 9 март 2011 г.  </w:t>
      </w:r>
    </w:p>
    <w:p w14:paraId="24B2FD2B" w14:textId="3BDE4F41" w:rsidR="001E2424" w:rsidRDefault="00B90036" w:rsidP="00B90036">
      <w:pPr>
        <w:ind w:left="-5" w:right="51"/>
        <w:rPr>
          <w:color w:val="auto"/>
        </w:rPr>
      </w:pPr>
      <w:r>
        <w:rPr>
          <w:color w:val="auto"/>
        </w:rPr>
        <w:t xml:space="preserve">Използването на почва не трябва да представлява потенциален източник на замърсяване на горния и долния почвени слоеве и подпочвените води. </w:t>
      </w:r>
    </w:p>
    <w:p w14:paraId="5A934368" w14:textId="1DEDE070" w:rsidR="00605A70" w:rsidRDefault="00605A70" w:rsidP="00605A70">
      <w:pPr>
        <w:ind w:left="-5" w:right="51"/>
        <w:rPr>
          <w:color w:val="auto"/>
        </w:rPr>
      </w:pPr>
      <w:r>
        <w:rPr>
          <w:color w:val="auto"/>
        </w:rPr>
        <w:t>За употребите, посочени в точка 1, буква е), трябва да се спазват пределните стойности, определени в позиция 47 от приложение XVII към Регламент (ЕО) № 1907/2006 за наличието на Cr VI в цимента и смесите, съдържащи цимент.</w:t>
      </w:r>
    </w:p>
    <w:p w14:paraId="4C8081AB" w14:textId="77777777" w:rsidR="001E2424" w:rsidRDefault="001E2424">
      <w:pPr>
        <w:spacing w:after="160" w:line="259" w:lineRule="auto"/>
        <w:ind w:left="0" w:firstLine="0"/>
        <w:jc w:val="left"/>
        <w:rPr>
          <w:color w:val="auto"/>
        </w:rPr>
      </w:pPr>
      <w:r>
        <w:br w:type="page"/>
      </w:r>
    </w:p>
    <w:p w14:paraId="7B8EBBB4" w14:textId="599EC0B8" w:rsidR="000B2060" w:rsidRDefault="009E72B8">
      <w:pPr>
        <w:pStyle w:val="Heading1"/>
        <w:ind w:right="64"/>
      </w:pPr>
      <w:r>
        <w:lastRenderedPageBreak/>
        <w:t xml:space="preserve">Приложение 3 Декларация за съответствие (член 5) </w:t>
      </w:r>
    </w:p>
    <w:p w14:paraId="2DC3EEBD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50AA965C" w14:textId="77777777" w:rsidR="000B2060" w:rsidRDefault="009E72B8">
      <w:pPr>
        <w:spacing w:after="16" w:line="259" w:lineRule="auto"/>
        <w:ind w:left="0" w:right="64" w:firstLine="0"/>
        <w:jc w:val="center"/>
      </w:pPr>
      <w:r>
        <w:rPr>
          <w:b/>
          <w:u w:val="single" w:color="000000"/>
        </w:rPr>
        <w:t>ДЕКЛАРАЦИЯ ЗА СЪОТВЕТСТВИЕ (ДзС)</w:t>
      </w:r>
      <w:r>
        <w:rPr>
          <w:b/>
        </w:rPr>
        <w:t xml:space="preserve">  </w:t>
      </w:r>
    </w:p>
    <w:p w14:paraId="3B572F20" w14:textId="77777777" w:rsidR="000B2060" w:rsidRPr="00CA20B5" w:rsidRDefault="009E72B8">
      <w:pPr>
        <w:spacing w:after="18" w:line="259" w:lineRule="auto"/>
        <w:ind w:left="10" w:right="69"/>
        <w:jc w:val="center"/>
        <w:rPr>
          <w:color w:val="auto"/>
        </w:rPr>
      </w:pPr>
      <w:r>
        <w:t>ДЕКЛАРАЦИЯ ВМЕСТО КЛЕТВЕНА ДЕКЛАРАЦИЯ</w:t>
      </w:r>
      <w:r>
        <w:rPr>
          <w:color w:val="auto"/>
        </w:rPr>
        <w:t xml:space="preserve"> </w:t>
      </w:r>
    </w:p>
    <w:p w14:paraId="013C2F6D" w14:textId="60C550CC" w:rsidR="000B2060" w:rsidRDefault="009E72B8" w:rsidP="00EA0449">
      <w:pPr>
        <w:spacing w:after="18" w:line="259" w:lineRule="auto"/>
        <w:ind w:left="10" w:right="58"/>
        <w:jc w:val="center"/>
      </w:pPr>
      <w:r>
        <w:rPr>
          <w:color w:val="auto"/>
        </w:rPr>
        <w:t xml:space="preserve">СПОРЕД И СЪГЛАСНО ЧЛЕН 5 </w:t>
      </w:r>
      <w:r>
        <w:t>ОТ УКАЗА НА МИНИСТЪРА НА ЕКОЛОГИЧНИЯ ПРЕХОД, № [•] ОТ [•] [•] [202•] ПУБЛИКУВАН В [•]</w:t>
      </w:r>
    </w:p>
    <w:p w14:paraId="7CF40EA8" w14:textId="77777777" w:rsidR="000B2060" w:rsidRDefault="009E72B8">
      <w:pPr>
        <w:spacing w:after="17" w:line="259" w:lineRule="auto"/>
        <w:ind w:left="10" w:right="62"/>
        <w:jc w:val="center"/>
      </w:pPr>
      <w:r>
        <w:t xml:space="preserve">(Членове 47 и 38 от Президентски указ № 445 от 28 декември 2000 г.) </w:t>
      </w:r>
    </w:p>
    <w:p w14:paraId="60299FFA" w14:textId="217A3EA8" w:rsidR="000B2060" w:rsidRDefault="009E72B8" w:rsidP="00CA20B5">
      <w:pPr>
        <w:spacing w:after="19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4056" w:type="dxa"/>
        <w:tblInd w:w="2792" w:type="dxa"/>
        <w:tblCellMar>
          <w:top w:w="6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657"/>
        <w:gridCol w:w="1399"/>
      </w:tblGrid>
      <w:tr w:rsidR="000B2060" w14:paraId="643840A5" w14:textId="77777777">
        <w:trPr>
          <w:trHeight w:val="643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17A2" w14:textId="77777777" w:rsidR="000B2060" w:rsidRDefault="009E72B8">
            <w:pPr>
              <w:spacing w:after="16" w:line="259" w:lineRule="auto"/>
              <w:ind w:left="0" w:firstLine="0"/>
              <w:jc w:val="left"/>
            </w:pPr>
            <w:r>
              <w:t xml:space="preserve">Номер на декларацията </w:t>
            </w:r>
          </w:p>
          <w:p w14:paraId="50F66536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(Партида №.)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ADC6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_________ </w:t>
            </w:r>
          </w:p>
        </w:tc>
      </w:tr>
      <w:tr w:rsidR="000B2060" w14:paraId="7FDA0BEF" w14:textId="77777777">
        <w:trPr>
          <w:trHeight w:val="358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F13A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Година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771E82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B2060" w14:paraId="341A7B57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BE31" w14:textId="77777777" w:rsidR="000B2060" w:rsidRDefault="000B20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4D12" w14:textId="77777777" w:rsidR="000B2060" w:rsidRDefault="009E72B8">
            <w:pPr>
              <w:spacing w:after="0" w:line="259" w:lineRule="auto"/>
              <w:ind w:left="44" w:firstLine="0"/>
              <w:jc w:val="center"/>
            </w:pPr>
            <w:r>
              <w:rPr>
                <w:i/>
              </w:rPr>
              <w:t xml:space="preserve">(гггг) </w:t>
            </w:r>
          </w:p>
        </w:tc>
      </w:tr>
    </w:tbl>
    <w:p w14:paraId="640E21F0" w14:textId="77777777" w:rsidR="00CA20B5" w:rsidRDefault="00CA20B5">
      <w:pPr>
        <w:spacing w:after="0" w:line="259" w:lineRule="auto"/>
        <w:ind w:left="0" w:right="62" w:firstLine="0"/>
        <w:jc w:val="center"/>
        <w:rPr>
          <w:i/>
        </w:rPr>
      </w:pPr>
    </w:p>
    <w:p w14:paraId="76FA7D3D" w14:textId="69C274F7" w:rsidR="000B2060" w:rsidRDefault="009E72B8">
      <w:pPr>
        <w:spacing w:after="0" w:line="259" w:lineRule="auto"/>
        <w:ind w:left="0" w:right="62" w:firstLine="0"/>
        <w:jc w:val="center"/>
      </w:pPr>
      <w:r>
        <w:rPr>
          <w:i/>
        </w:rPr>
        <w:t>(БЕЛЕЖКА: да се запише поредният номер на декларацията)</w:t>
      </w:r>
      <w:r>
        <w:rPr>
          <w:b/>
        </w:rPr>
        <w:t xml:space="preserve"> </w:t>
      </w:r>
    </w:p>
    <w:tbl>
      <w:tblPr>
        <w:tblStyle w:val="TableGrid"/>
        <w:tblW w:w="9639" w:type="dxa"/>
        <w:tblInd w:w="1" w:type="dxa"/>
        <w:tblCellMar>
          <w:top w:w="62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15"/>
        <w:gridCol w:w="896"/>
        <w:gridCol w:w="2376"/>
        <w:gridCol w:w="1805"/>
        <w:gridCol w:w="2247"/>
      </w:tblGrid>
      <w:tr w:rsidR="00670BBC" w:rsidRPr="00670BBC" w14:paraId="53E6A366" w14:textId="77777777">
        <w:trPr>
          <w:trHeight w:val="77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2A375B0" w14:textId="4B922B03" w:rsidR="000B2060" w:rsidRPr="00670BBC" w:rsidRDefault="009E72B8">
            <w:pPr>
              <w:spacing w:after="0" w:line="259" w:lineRule="auto"/>
              <w:ind w:left="2066" w:right="1887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 xml:space="preserve">Подробности за производителя на възстановените инертни материали съгласно член 2, параграф 1, буква е) от Указ </w:t>
            </w:r>
            <w:r>
              <w:rPr>
                <w:color w:val="auto"/>
              </w:rPr>
              <w:t>[</w:t>
            </w:r>
            <w:r>
              <w:rPr>
                <w:rFonts w:ascii="Segoe UI Symbol" w:hAnsi="Segoe UI Symbol"/>
                <w:color w:val="auto"/>
              </w:rPr>
              <w:t>•</w:t>
            </w:r>
            <w:r>
              <w:rPr>
                <w:color w:val="auto"/>
              </w:rPr>
              <w:t xml:space="preserve">] </w:t>
            </w:r>
          </w:p>
        </w:tc>
      </w:tr>
      <w:tr w:rsidR="00670BBC" w:rsidRPr="00670BBC" w14:paraId="00101286" w14:textId="77777777">
        <w:trPr>
          <w:trHeight w:val="349"/>
        </w:trPr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5E51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Име на фирмата </w:t>
            </w:r>
          </w:p>
        </w:tc>
        <w:tc>
          <w:tcPr>
            <w:tcW w:w="4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73C" w14:textId="77777777" w:rsidR="000B2060" w:rsidRPr="00670BBC" w:rsidRDefault="009E72B8">
            <w:pPr>
              <w:spacing w:after="0" w:line="259" w:lineRule="auto"/>
              <w:ind w:left="14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Данъчен номер/идентификационен номер по ДДС </w:t>
            </w:r>
          </w:p>
        </w:tc>
      </w:tr>
      <w:tr w:rsidR="00670BBC" w:rsidRPr="00670BBC" w14:paraId="6418196D" w14:textId="77777777">
        <w:trPr>
          <w:trHeight w:val="351"/>
        </w:trPr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5D79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Вписване в дружествения регистър </w:t>
            </w: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A6AE" w14:textId="77777777" w:rsidR="000B2060" w:rsidRPr="00670BBC" w:rsidRDefault="009E72B8">
            <w:pPr>
              <w:spacing w:after="0" w:line="259" w:lineRule="auto"/>
              <w:ind w:left="14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70BBC" w:rsidRPr="00670BBC" w14:paraId="3CE85964" w14:textId="77777777">
        <w:trPr>
          <w:trHeight w:val="329"/>
        </w:trPr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456A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Адрес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ACAD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Номер на къща </w:t>
            </w:r>
          </w:p>
        </w:tc>
      </w:tr>
      <w:tr w:rsidR="00670BBC" w:rsidRPr="00670BBC" w14:paraId="53267931" w14:textId="77777777">
        <w:trPr>
          <w:trHeight w:val="32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46D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Пощенски код </w:t>
            </w:r>
          </w:p>
        </w:tc>
        <w:tc>
          <w:tcPr>
            <w:tcW w:w="5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2DEE" w14:textId="77777777" w:rsidR="000B2060" w:rsidRPr="00670BBC" w:rsidRDefault="009E72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Град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67B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Провинция </w:t>
            </w:r>
          </w:p>
        </w:tc>
      </w:tr>
      <w:tr w:rsidR="00670BBC" w:rsidRPr="00670BBC" w14:paraId="67AFFA3B" w14:textId="77777777">
        <w:trPr>
          <w:trHeight w:val="32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2299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Производствено съоръжение </w:t>
            </w:r>
          </w:p>
        </w:tc>
      </w:tr>
      <w:tr w:rsidR="00670BBC" w:rsidRPr="00670BBC" w14:paraId="55D668A9" w14:textId="77777777">
        <w:trPr>
          <w:trHeight w:val="326"/>
        </w:trPr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18B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Адрес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31DC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Номер на къща </w:t>
            </w:r>
          </w:p>
        </w:tc>
      </w:tr>
      <w:tr w:rsidR="00670BBC" w:rsidRPr="00670BBC" w14:paraId="5EACF8A1" w14:textId="77777777">
        <w:trPr>
          <w:trHeight w:val="32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0DE3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Пощенски код </w:t>
            </w:r>
          </w:p>
        </w:tc>
        <w:tc>
          <w:tcPr>
            <w:tcW w:w="5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85EB" w14:textId="77777777" w:rsidR="000B2060" w:rsidRPr="00670BBC" w:rsidRDefault="009E72B8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Град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7B02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Провинция </w:t>
            </w:r>
          </w:p>
        </w:tc>
      </w:tr>
      <w:tr w:rsidR="00670BBC" w:rsidRPr="00670BBC" w14:paraId="106C4E55" w14:textId="77777777">
        <w:trPr>
          <w:trHeight w:val="329"/>
        </w:trPr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30D3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Упълномощаващ/издаващ орган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D8E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Издадено на </w:t>
            </w:r>
          </w:p>
        </w:tc>
      </w:tr>
    </w:tbl>
    <w:p w14:paraId="2605B9C5" w14:textId="77777777" w:rsidR="000B2060" w:rsidRDefault="009E72B8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44B47875" w14:textId="77777777" w:rsidR="000B2060" w:rsidRDefault="009E72B8">
      <w:pPr>
        <w:pStyle w:val="Heading1"/>
        <w:spacing w:after="37"/>
        <w:ind w:right="64"/>
      </w:pPr>
      <w:r>
        <w:t xml:space="preserve">Горепосоченият производител декларира, че </w:t>
      </w:r>
    </w:p>
    <w:p w14:paraId="5A7DFBB1" w14:textId="4188EACE" w:rsidR="000B2060" w:rsidRDefault="009E72B8">
      <w:pPr>
        <w:numPr>
          <w:ilvl w:val="0"/>
          <w:numId w:val="9"/>
        </w:numPr>
        <w:spacing w:after="0" w:line="259" w:lineRule="auto"/>
        <w:ind w:right="51" w:hanging="360"/>
      </w:pPr>
      <w:r>
        <w:t xml:space="preserve">оползотворената партида инертни материали се представя чрез следното количество в количество в </w:t>
      </w:r>
      <w:r>
        <w:rPr>
          <w:color w:val="auto"/>
        </w:rPr>
        <w:t>обем;</w:t>
      </w:r>
      <w:r>
        <w:t xml:space="preserve">: </w:t>
      </w:r>
    </w:p>
    <w:p w14:paraId="2E2D9150" w14:textId="77777777" w:rsidR="000B2060" w:rsidRDefault="009E72B8">
      <w:pPr>
        <w:spacing w:after="17" w:line="259" w:lineRule="auto"/>
        <w:ind w:left="10" w:right="12"/>
        <w:jc w:val="center"/>
      </w:pPr>
      <w:r>
        <w:t xml:space="preserve">______________________________________________________________________ </w:t>
      </w:r>
    </w:p>
    <w:p w14:paraId="252C8600" w14:textId="3CA4BD13" w:rsidR="000B2060" w:rsidRDefault="009E72B8">
      <w:pPr>
        <w:spacing w:after="36" w:line="267" w:lineRule="auto"/>
        <w:ind w:left="654" w:right="49"/>
      </w:pPr>
      <w:r>
        <w:t>(</w:t>
      </w:r>
      <w:r>
        <w:rPr>
          <w:i/>
        </w:rPr>
        <w:t xml:space="preserve">ЗАБЕЛЕЖКА: </w:t>
      </w:r>
      <w:r>
        <w:rPr>
          <w:i/>
          <w:color w:val="auto"/>
        </w:rPr>
        <w:t>посочете кубични метри цифром и словом</w:t>
      </w:r>
      <w:r>
        <w:rPr>
          <w:color w:val="auto"/>
        </w:rPr>
        <w:t xml:space="preserve">) </w:t>
      </w:r>
    </w:p>
    <w:p w14:paraId="381D82F8" w14:textId="12A3AC51" w:rsidR="000B2060" w:rsidRDefault="009E72B8">
      <w:pPr>
        <w:numPr>
          <w:ilvl w:val="0"/>
          <w:numId w:val="9"/>
        </w:numPr>
        <w:spacing w:after="33" w:line="267" w:lineRule="auto"/>
        <w:ind w:right="51" w:hanging="360"/>
      </w:pPr>
      <w:r>
        <w:t xml:space="preserve">гореспоменатата партида оползотворени инертни материали отговаря на критериите, определени в член 3 от Указ № [•] на министъра на екологичния преход от [•] [•] [202•], публикуван в [•]; </w:t>
      </w:r>
    </w:p>
    <w:p w14:paraId="5F363D2F" w14:textId="77777777" w:rsidR="000B2060" w:rsidRDefault="009E72B8">
      <w:pPr>
        <w:numPr>
          <w:ilvl w:val="0"/>
          <w:numId w:val="9"/>
        </w:numPr>
        <w:ind w:right="51" w:hanging="360"/>
      </w:pPr>
      <w:r>
        <w:t xml:space="preserve">горепосочената партида от възстановени инертни материали има характеристиките, които са по-добре описани в следващата таблица 1. </w:t>
      </w:r>
    </w:p>
    <w:p w14:paraId="366341C8" w14:textId="16F64C62" w:rsidR="000B2060" w:rsidRDefault="000B2060" w:rsidP="00575D8B">
      <w:pPr>
        <w:spacing w:after="16" w:line="259" w:lineRule="auto"/>
        <w:ind w:left="0" w:firstLine="0"/>
        <w:jc w:val="left"/>
      </w:pPr>
    </w:p>
    <w:p w14:paraId="01DD1436" w14:textId="195D0F78" w:rsidR="00670BBC" w:rsidRDefault="00670BBC" w:rsidP="00575D8B">
      <w:pPr>
        <w:spacing w:after="16" w:line="259" w:lineRule="auto"/>
        <w:ind w:left="0" w:firstLine="0"/>
        <w:jc w:val="left"/>
      </w:pPr>
    </w:p>
    <w:p w14:paraId="22273CC0" w14:textId="5652472C" w:rsidR="00670BBC" w:rsidRDefault="00670BBC" w:rsidP="00575D8B">
      <w:pPr>
        <w:spacing w:after="16" w:line="259" w:lineRule="auto"/>
        <w:ind w:left="0" w:firstLine="0"/>
        <w:jc w:val="left"/>
      </w:pPr>
    </w:p>
    <w:p w14:paraId="2D815062" w14:textId="54F57A92" w:rsidR="00670BBC" w:rsidRDefault="00670BBC" w:rsidP="00575D8B">
      <w:pPr>
        <w:spacing w:after="16" w:line="259" w:lineRule="auto"/>
        <w:ind w:left="0" w:firstLine="0"/>
        <w:jc w:val="left"/>
      </w:pPr>
    </w:p>
    <w:p w14:paraId="686C0B01" w14:textId="13EF08A5" w:rsidR="00670BBC" w:rsidRDefault="00670BBC" w:rsidP="00575D8B">
      <w:pPr>
        <w:spacing w:after="16" w:line="259" w:lineRule="auto"/>
        <w:ind w:left="0" w:firstLine="0"/>
        <w:jc w:val="left"/>
      </w:pPr>
    </w:p>
    <w:p w14:paraId="542B6F44" w14:textId="77777777" w:rsidR="00670BBC" w:rsidRDefault="00670BBC" w:rsidP="00575D8B">
      <w:pPr>
        <w:spacing w:after="16" w:line="259" w:lineRule="auto"/>
        <w:ind w:left="0" w:firstLine="0"/>
        <w:jc w:val="left"/>
      </w:pPr>
    </w:p>
    <w:p w14:paraId="18DF65C2" w14:textId="0CB98B89" w:rsidR="000B2060" w:rsidRDefault="009E72B8">
      <w:pPr>
        <w:spacing w:after="16" w:line="259" w:lineRule="auto"/>
        <w:ind w:left="0" w:firstLine="0"/>
        <w:jc w:val="right"/>
        <w:rPr>
          <w:i/>
        </w:rPr>
      </w:pPr>
      <w:r>
        <w:rPr>
          <w:i/>
        </w:rPr>
        <w:t xml:space="preserve"> </w:t>
      </w:r>
    </w:p>
    <w:p w14:paraId="452AD00D" w14:textId="77777777" w:rsidR="00EA0449" w:rsidRDefault="00EA0449">
      <w:pPr>
        <w:spacing w:after="16" w:line="259" w:lineRule="auto"/>
        <w:ind w:left="0" w:firstLine="0"/>
        <w:jc w:val="right"/>
      </w:pPr>
    </w:p>
    <w:p w14:paraId="4D4F7D9F" w14:textId="77777777" w:rsidR="000B2060" w:rsidRDefault="009E72B8">
      <w:pPr>
        <w:spacing w:after="0" w:line="259" w:lineRule="auto"/>
        <w:ind w:left="0" w:right="60" w:firstLine="0"/>
        <w:jc w:val="right"/>
      </w:pPr>
      <w:r>
        <w:rPr>
          <w:i/>
        </w:rPr>
        <w:t xml:space="preserve">Таблица 1 </w:t>
      </w:r>
    </w:p>
    <w:tbl>
      <w:tblPr>
        <w:tblStyle w:val="TableGrid"/>
        <w:tblW w:w="9179" w:type="dxa"/>
        <w:tblInd w:w="386" w:type="dxa"/>
        <w:tblCellMar>
          <w:top w:w="53" w:type="dxa"/>
          <w:bottom w:w="46" w:type="dxa"/>
          <w:right w:w="24" w:type="dxa"/>
        </w:tblCellMar>
        <w:tblLook w:val="04A0" w:firstRow="1" w:lastRow="0" w:firstColumn="1" w:lastColumn="0" w:noHBand="0" w:noVBand="1"/>
      </w:tblPr>
      <w:tblGrid>
        <w:gridCol w:w="388"/>
        <w:gridCol w:w="5422"/>
        <w:gridCol w:w="3369"/>
      </w:tblGrid>
      <w:tr w:rsidR="000B2060" w14:paraId="0E91E6B9" w14:textId="77777777">
        <w:trPr>
          <w:trHeight w:val="655"/>
        </w:trPr>
        <w:tc>
          <w:tcPr>
            <w:tcW w:w="9179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7D9314CD" w14:textId="77777777" w:rsidR="000B2060" w:rsidRDefault="009E72B8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i/>
              </w:rPr>
              <w:t xml:space="preserve">Характеристики на оползотворените инертни материали </w:t>
            </w:r>
          </w:p>
        </w:tc>
      </w:tr>
      <w:tr w:rsidR="000B2060" w14:paraId="213A5B5A" w14:textId="77777777">
        <w:trPr>
          <w:trHeight w:val="649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1091" w14:textId="77777777" w:rsidR="000B2060" w:rsidRDefault="009E72B8">
            <w:pPr>
              <w:spacing w:after="0" w:line="259" w:lineRule="auto"/>
              <w:ind w:left="1706" w:firstLine="0"/>
              <w:jc w:val="left"/>
            </w:pPr>
            <w:r>
              <w:rPr>
                <w:b/>
              </w:rPr>
              <w:t xml:space="preserve">Технически референтни стандарти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81377C" w14:textId="77777777" w:rsidR="000B2060" w:rsidRDefault="009E72B8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Специфични цели (приложение 2) </w:t>
            </w:r>
          </w:p>
        </w:tc>
      </w:tr>
      <w:tr w:rsidR="000B2060" w14:paraId="00E56E26" w14:textId="77777777">
        <w:trPr>
          <w:trHeight w:val="1913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543A" w14:textId="77777777" w:rsidR="000B2060" w:rsidRDefault="009E72B8">
            <w:pPr>
              <w:spacing w:after="0" w:line="259" w:lineRule="auto"/>
              <w:ind w:left="178" w:hanging="178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 13242: Инертни материали за нелегирани материали и сплави с хидравлични свързващи вещества, използвани в гражданското строителство и пътното строителство;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DF0850" w14:textId="77777777" w:rsidR="000B2060" w:rsidRDefault="009E72B8">
            <w:pPr>
              <w:numPr>
                <w:ilvl w:val="0"/>
                <w:numId w:val="11"/>
              </w:numPr>
              <w:spacing w:after="27" w:line="259" w:lineRule="auto"/>
              <w:ind w:hanging="245"/>
              <w:jc w:val="left"/>
            </w:pPr>
            <w:r>
              <w:t xml:space="preserve">а) </w:t>
            </w:r>
          </w:p>
          <w:p w14:paraId="094EDDB3" w14:textId="77777777" w:rsidR="000B2060" w:rsidRDefault="009E72B8">
            <w:pPr>
              <w:numPr>
                <w:ilvl w:val="0"/>
                <w:numId w:val="11"/>
              </w:numPr>
              <w:spacing w:after="30" w:line="259" w:lineRule="auto"/>
              <w:ind w:hanging="245"/>
              <w:jc w:val="left"/>
            </w:pPr>
            <w:r>
              <w:t xml:space="preserve">б) </w:t>
            </w:r>
          </w:p>
          <w:p w14:paraId="319BE097" w14:textId="77777777" w:rsidR="000B2060" w:rsidRDefault="009E72B8">
            <w:pPr>
              <w:numPr>
                <w:ilvl w:val="0"/>
                <w:numId w:val="11"/>
              </w:numPr>
              <w:spacing w:after="27" w:line="259" w:lineRule="auto"/>
              <w:ind w:hanging="245"/>
              <w:jc w:val="left"/>
            </w:pPr>
            <w:r>
              <w:t xml:space="preserve">в) </w:t>
            </w:r>
          </w:p>
          <w:p w14:paraId="4403BC0D" w14:textId="77777777" w:rsidR="000B2060" w:rsidRDefault="009E72B8">
            <w:pPr>
              <w:numPr>
                <w:ilvl w:val="0"/>
                <w:numId w:val="11"/>
              </w:numPr>
              <w:spacing w:after="28" w:line="259" w:lineRule="auto"/>
              <w:ind w:hanging="245"/>
              <w:jc w:val="left"/>
            </w:pPr>
            <w:r>
              <w:t xml:space="preserve">г) </w:t>
            </w:r>
          </w:p>
          <w:p w14:paraId="5E52053B" w14:textId="77777777" w:rsidR="000B2060" w:rsidRDefault="009E72B8">
            <w:pPr>
              <w:numPr>
                <w:ilvl w:val="0"/>
                <w:numId w:val="11"/>
              </w:numPr>
              <w:spacing w:after="27" w:line="259" w:lineRule="auto"/>
              <w:ind w:hanging="245"/>
              <w:jc w:val="left"/>
            </w:pPr>
            <w:r>
              <w:t xml:space="preserve">д) </w:t>
            </w:r>
          </w:p>
          <w:p w14:paraId="0B9F7F5B" w14:textId="77777777" w:rsidR="000B2060" w:rsidRDefault="009E72B8">
            <w:pPr>
              <w:numPr>
                <w:ilvl w:val="0"/>
                <w:numId w:val="11"/>
              </w:numPr>
              <w:spacing w:after="0" w:line="259" w:lineRule="auto"/>
              <w:ind w:hanging="245"/>
              <w:jc w:val="left"/>
            </w:pPr>
            <w:r>
              <w:t xml:space="preserve">е) </w:t>
            </w:r>
          </w:p>
        </w:tc>
      </w:tr>
      <w:tr w:rsidR="000B2060" w14:paraId="534ADCE3" w14:textId="77777777">
        <w:trPr>
          <w:trHeight w:val="1915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F6218" w14:textId="77777777" w:rsidR="000B2060" w:rsidRDefault="009E72B8">
            <w:pPr>
              <w:spacing w:after="0" w:line="259" w:lineRule="auto"/>
              <w:ind w:left="360" w:hanging="36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 14227-1: Смеси, легирани с хидравлични свързващи вещества. Спецификации – Част 1: Гранулирани смеси, свързани с цимент за пътни основи и под-основи;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233F0F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а) </w:t>
            </w:r>
          </w:p>
          <w:p w14:paraId="44371012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б) </w:t>
            </w:r>
          </w:p>
          <w:p w14:paraId="0F70526A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в) </w:t>
            </w:r>
          </w:p>
          <w:p w14:paraId="6316781C" w14:textId="77777777" w:rsidR="000B2060" w:rsidRDefault="009E72B8">
            <w:pPr>
              <w:numPr>
                <w:ilvl w:val="0"/>
                <w:numId w:val="12"/>
              </w:numPr>
              <w:spacing w:after="30" w:line="259" w:lineRule="auto"/>
              <w:ind w:hanging="245"/>
              <w:jc w:val="left"/>
            </w:pPr>
            <w:r>
              <w:t xml:space="preserve">г) </w:t>
            </w:r>
          </w:p>
          <w:p w14:paraId="700AAE93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д) </w:t>
            </w:r>
          </w:p>
          <w:p w14:paraId="64D82686" w14:textId="77777777" w:rsidR="000B2060" w:rsidRDefault="009E72B8">
            <w:pPr>
              <w:numPr>
                <w:ilvl w:val="0"/>
                <w:numId w:val="12"/>
              </w:numPr>
              <w:spacing w:after="0" w:line="259" w:lineRule="auto"/>
              <w:ind w:hanging="245"/>
              <w:jc w:val="left"/>
            </w:pPr>
            <w:r>
              <w:t xml:space="preserve">е) </w:t>
            </w:r>
          </w:p>
        </w:tc>
      </w:tr>
      <w:tr w:rsidR="000B2060" w14:paraId="698297A3" w14:textId="77777777">
        <w:trPr>
          <w:trHeight w:val="1916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8D41E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 12620: Инертни материали за бетон;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BE7311" w14:textId="77777777" w:rsidR="000B2060" w:rsidRDefault="009E72B8">
            <w:pPr>
              <w:numPr>
                <w:ilvl w:val="0"/>
                <w:numId w:val="13"/>
              </w:numPr>
              <w:spacing w:after="27" w:line="259" w:lineRule="auto"/>
              <w:ind w:hanging="245"/>
              <w:jc w:val="left"/>
            </w:pPr>
            <w:r>
              <w:t xml:space="preserve">а) </w:t>
            </w:r>
          </w:p>
          <w:p w14:paraId="085129DF" w14:textId="77777777" w:rsidR="000B2060" w:rsidRDefault="009E72B8">
            <w:pPr>
              <w:numPr>
                <w:ilvl w:val="0"/>
                <w:numId w:val="13"/>
              </w:numPr>
              <w:spacing w:after="30" w:line="259" w:lineRule="auto"/>
              <w:ind w:hanging="245"/>
              <w:jc w:val="left"/>
            </w:pPr>
            <w:r>
              <w:t xml:space="preserve">б) </w:t>
            </w:r>
          </w:p>
          <w:p w14:paraId="2CC0098F" w14:textId="77777777" w:rsidR="000B2060" w:rsidRDefault="009E72B8">
            <w:pPr>
              <w:numPr>
                <w:ilvl w:val="0"/>
                <w:numId w:val="13"/>
              </w:numPr>
              <w:spacing w:after="28" w:line="259" w:lineRule="auto"/>
              <w:ind w:hanging="245"/>
              <w:jc w:val="left"/>
            </w:pPr>
            <w:r>
              <w:t xml:space="preserve">в) </w:t>
            </w:r>
          </w:p>
          <w:p w14:paraId="5E3B799B" w14:textId="77777777" w:rsidR="000B2060" w:rsidRDefault="009E72B8">
            <w:pPr>
              <w:numPr>
                <w:ilvl w:val="0"/>
                <w:numId w:val="13"/>
              </w:numPr>
              <w:spacing w:after="27" w:line="259" w:lineRule="auto"/>
              <w:ind w:hanging="245"/>
              <w:jc w:val="left"/>
            </w:pPr>
            <w:r>
              <w:t xml:space="preserve">г) </w:t>
            </w:r>
          </w:p>
          <w:p w14:paraId="2AB5142A" w14:textId="77777777" w:rsidR="000B2060" w:rsidRDefault="009E72B8">
            <w:pPr>
              <w:numPr>
                <w:ilvl w:val="0"/>
                <w:numId w:val="13"/>
              </w:numPr>
              <w:spacing w:after="27" w:line="259" w:lineRule="auto"/>
              <w:ind w:hanging="245"/>
              <w:jc w:val="left"/>
            </w:pPr>
            <w:r>
              <w:t xml:space="preserve">д) </w:t>
            </w:r>
          </w:p>
          <w:p w14:paraId="7FD35576" w14:textId="77777777" w:rsidR="000B2060" w:rsidRDefault="009E72B8">
            <w:pPr>
              <w:numPr>
                <w:ilvl w:val="0"/>
                <w:numId w:val="13"/>
              </w:numPr>
              <w:spacing w:after="0" w:line="259" w:lineRule="auto"/>
              <w:ind w:hanging="245"/>
              <w:jc w:val="left"/>
            </w:pPr>
            <w:r>
              <w:t xml:space="preserve">е) </w:t>
            </w:r>
          </w:p>
        </w:tc>
      </w:tr>
      <w:tr w:rsidR="000B2060" w14:paraId="5A42F090" w14:textId="77777777">
        <w:trPr>
          <w:trHeight w:val="1913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02726" w14:textId="77777777" w:rsidR="000B2060" w:rsidRPr="000E6789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 13139: Инертни материали за хоросан;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EABBF6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а) </w:t>
            </w:r>
          </w:p>
          <w:p w14:paraId="4A39C06E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б) </w:t>
            </w:r>
          </w:p>
          <w:p w14:paraId="249823BD" w14:textId="77777777" w:rsidR="000B2060" w:rsidRDefault="009E72B8">
            <w:pPr>
              <w:numPr>
                <w:ilvl w:val="0"/>
                <w:numId w:val="14"/>
              </w:numPr>
              <w:spacing w:after="30" w:line="259" w:lineRule="auto"/>
              <w:ind w:hanging="245"/>
              <w:jc w:val="left"/>
            </w:pPr>
            <w:r>
              <w:t xml:space="preserve">в) </w:t>
            </w:r>
          </w:p>
          <w:p w14:paraId="7B9FD316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г) </w:t>
            </w:r>
          </w:p>
          <w:p w14:paraId="3D71F37F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д) </w:t>
            </w:r>
          </w:p>
          <w:p w14:paraId="57971664" w14:textId="77777777" w:rsidR="000B2060" w:rsidRDefault="009E72B8">
            <w:pPr>
              <w:numPr>
                <w:ilvl w:val="0"/>
                <w:numId w:val="14"/>
              </w:numPr>
              <w:spacing w:after="0" w:line="259" w:lineRule="auto"/>
              <w:ind w:hanging="245"/>
              <w:jc w:val="left"/>
            </w:pPr>
            <w:r>
              <w:t xml:space="preserve">е) </w:t>
            </w:r>
          </w:p>
        </w:tc>
      </w:tr>
      <w:tr w:rsidR="000B2060" w14:paraId="25328837" w14:textId="77777777">
        <w:trPr>
          <w:trHeight w:val="1916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3B647" w14:textId="77777777" w:rsidR="000B2060" w:rsidRDefault="009E72B8">
            <w:pPr>
              <w:spacing w:after="0" w:line="259" w:lineRule="auto"/>
              <w:ind w:left="360" w:hanging="36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 13043: Скални материали за битумни смеси и настилки за пътища, самолетни писти и други транспортни площи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44A632" w14:textId="77777777" w:rsidR="000B2060" w:rsidRDefault="009E72B8">
            <w:pPr>
              <w:numPr>
                <w:ilvl w:val="0"/>
                <w:numId w:val="15"/>
              </w:numPr>
              <w:spacing w:after="30" w:line="259" w:lineRule="auto"/>
              <w:ind w:hanging="245"/>
              <w:jc w:val="left"/>
            </w:pPr>
            <w:r>
              <w:t xml:space="preserve">а) </w:t>
            </w:r>
          </w:p>
          <w:p w14:paraId="14A8B54B" w14:textId="77777777" w:rsidR="000B2060" w:rsidRDefault="009E72B8">
            <w:pPr>
              <w:numPr>
                <w:ilvl w:val="0"/>
                <w:numId w:val="15"/>
              </w:numPr>
              <w:spacing w:after="28" w:line="259" w:lineRule="auto"/>
              <w:ind w:hanging="245"/>
              <w:jc w:val="left"/>
            </w:pPr>
            <w:r>
              <w:t xml:space="preserve">б) </w:t>
            </w:r>
          </w:p>
          <w:p w14:paraId="273FABBB" w14:textId="77777777" w:rsidR="000B2060" w:rsidRDefault="009E72B8">
            <w:pPr>
              <w:numPr>
                <w:ilvl w:val="0"/>
                <w:numId w:val="15"/>
              </w:numPr>
              <w:spacing w:after="27" w:line="259" w:lineRule="auto"/>
              <w:ind w:hanging="245"/>
              <w:jc w:val="left"/>
            </w:pPr>
            <w:r>
              <w:t xml:space="preserve">в) </w:t>
            </w:r>
          </w:p>
          <w:p w14:paraId="50ABE239" w14:textId="77777777" w:rsidR="000B2060" w:rsidRDefault="009E72B8">
            <w:pPr>
              <w:numPr>
                <w:ilvl w:val="0"/>
                <w:numId w:val="15"/>
              </w:numPr>
              <w:spacing w:after="27" w:line="259" w:lineRule="auto"/>
              <w:ind w:hanging="245"/>
              <w:jc w:val="left"/>
            </w:pPr>
            <w:r>
              <w:t xml:space="preserve">г) </w:t>
            </w:r>
          </w:p>
          <w:p w14:paraId="6D1294DF" w14:textId="77777777" w:rsidR="000B2060" w:rsidRDefault="009E72B8">
            <w:pPr>
              <w:numPr>
                <w:ilvl w:val="0"/>
                <w:numId w:val="15"/>
              </w:numPr>
              <w:spacing w:after="29" w:line="259" w:lineRule="auto"/>
              <w:ind w:hanging="245"/>
              <w:jc w:val="left"/>
            </w:pPr>
            <w:r>
              <w:t xml:space="preserve">д) </w:t>
            </w:r>
          </w:p>
          <w:p w14:paraId="7CE62BFD" w14:textId="77777777" w:rsidR="000B2060" w:rsidRDefault="009E72B8">
            <w:pPr>
              <w:numPr>
                <w:ilvl w:val="0"/>
                <w:numId w:val="15"/>
              </w:numPr>
              <w:spacing w:after="0" w:line="259" w:lineRule="auto"/>
              <w:ind w:hanging="245"/>
              <w:jc w:val="left"/>
            </w:pPr>
            <w:r>
              <w:t xml:space="preserve">е) </w:t>
            </w:r>
          </w:p>
        </w:tc>
      </w:tr>
      <w:tr w:rsidR="000B2060" w14:paraId="3993C8E7" w14:textId="77777777">
        <w:trPr>
          <w:trHeight w:val="1925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1EA070D6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lastRenderedPageBreak/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 13055: Леки инертни материали: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C1586D4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а) </w:t>
            </w:r>
          </w:p>
          <w:p w14:paraId="30E238A0" w14:textId="77777777" w:rsidR="000B2060" w:rsidRDefault="009E72B8">
            <w:pPr>
              <w:numPr>
                <w:ilvl w:val="0"/>
                <w:numId w:val="16"/>
              </w:numPr>
              <w:spacing w:after="30" w:line="259" w:lineRule="auto"/>
              <w:ind w:hanging="245"/>
              <w:jc w:val="left"/>
            </w:pPr>
            <w:r>
              <w:t xml:space="preserve">б) </w:t>
            </w:r>
          </w:p>
          <w:p w14:paraId="71A32225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в) </w:t>
            </w:r>
          </w:p>
          <w:p w14:paraId="1A61E559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г) </w:t>
            </w:r>
          </w:p>
          <w:p w14:paraId="38A83D35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д) </w:t>
            </w:r>
          </w:p>
          <w:p w14:paraId="2940E4BC" w14:textId="77777777" w:rsidR="000B2060" w:rsidRDefault="009E72B8">
            <w:pPr>
              <w:numPr>
                <w:ilvl w:val="0"/>
                <w:numId w:val="16"/>
              </w:numPr>
              <w:spacing w:after="0" w:line="259" w:lineRule="auto"/>
              <w:ind w:hanging="245"/>
              <w:jc w:val="left"/>
            </w:pPr>
            <w:r>
              <w:t xml:space="preserve">е) </w:t>
            </w:r>
          </w:p>
        </w:tc>
      </w:tr>
      <w:tr w:rsidR="000B2060" w14:paraId="2A725951" w14:textId="77777777">
        <w:trPr>
          <w:trHeight w:val="1925"/>
        </w:trPr>
        <w:tc>
          <w:tcPr>
            <w:tcW w:w="3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758F2021" w14:textId="77777777" w:rsidR="000B2060" w:rsidRDefault="009E72B8">
            <w:pPr>
              <w:spacing w:after="0" w:line="259" w:lineRule="auto"/>
              <w:ind w:left="29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</w:p>
        </w:tc>
        <w:tc>
          <w:tcPr>
            <w:tcW w:w="542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D08681" w14:textId="77777777" w:rsidR="000B2060" w:rsidRDefault="009E72B8">
            <w:pPr>
              <w:spacing w:after="0" w:line="259" w:lineRule="auto"/>
              <w:ind w:left="0" w:firstLine="0"/>
            </w:pPr>
            <w:r>
              <w:t xml:space="preserve">UNI EN 13450: Инертни материали за железопътния баласт; </w:t>
            </w:r>
          </w:p>
        </w:tc>
        <w:tc>
          <w:tcPr>
            <w:tcW w:w="33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4C7B8" w14:textId="77777777" w:rsidR="000B2060" w:rsidRDefault="009E72B8">
            <w:pPr>
              <w:numPr>
                <w:ilvl w:val="0"/>
                <w:numId w:val="17"/>
              </w:numPr>
              <w:spacing w:after="28" w:line="259" w:lineRule="auto"/>
              <w:ind w:hanging="245"/>
              <w:jc w:val="left"/>
            </w:pPr>
            <w:r>
              <w:t xml:space="preserve">а) </w:t>
            </w:r>
          </w:p>
          <w:p w14:paraId="482EDB46" w14:textId="77777777" w:rsidR="000B2060" w:rsidRDefault="009E72B8">
            <w:pPr>
              <w:numPr>
                <w:ilvl w:val="0"/>
                <w:numId w:val="17"/>
              </w:numPr>
              <w:spacing w:after="27" w:line="259" w:lineRule="auto"/>
              <w:ind w:hanging="245"/>
              <w:jc w:val="left"/>
            </w:pPr>
            <w:r>
              <w:t xml:space="preserve">б) </w:t>
            </w:r>
          </w:p>
          <w:p w14:paraId="489EE8F7" w14:textId="77777777" w:rsidR="000B2060" w:rsidRDefault="009E72B8">
            <w:pPr>
              <w:numPr>
                <w:ilvl w:val="0"/>
                <w:numId w:val="17"/>
              </w:numPr>
              <w:spacing w:after="30" w:line="259" w:lineRule="auto"/>
              <w:ind w:hanging="245"/>
              <w:jc w:val="left"/>
            </w:pPr>
            <w:r>
              <w:t xml:space="preserve">в) </w:t>
            </w:r>
          </w:p>
          <w:p w14:paraId="135C3216" w14:textId="77777777" w:rsidR="000B2060" w:rsidRDefault="009E72B8">
            <w:pPr>
              <w:numPr>
                <w:ilvl w:val="0"/>
                <w:numId w:val="17"/>
              </w:numPr>
              <w:spacing w:after="27" w:line="259" w:lineRule="auto"/>
              <w:ind w:hanging="245"/>
              <w:jc w:val="left"/>
            </w:pPr>
            <w:r>
              <w:t xml:space="preserve">г) </w:t>
            </w:r>
          </w:p>
          <w:p w14:paraId="52FA2E1D" w14:textId="77777777" w:rsidR="000B2060" w:rsidRDefault="009E72B8">
            <w:pPr>
              <w:numPr>
                <w:ilvl w:val="0"/>
                <w:numId w:val="17"/>
              </w:numPr>
              <w:spacing w:after="27" w:line="259" w:lineRule="auto"/>
              <w:ind w:hanging="245"/>
              <w:jc w:val="left"/>
            </w:pPr>
            <w:r>
              <w:t xml:space="preserve">д) </w:t>
            </w:r>
          </w:p>
          <w:p w14:paraId="62C7EA3F" w14:textId="77777777" w:rsidR="000B2060" w:rsidRDefault="009E72B8">
            <w:pPr>
              <w:numPr>
                <w:ilvl w:val="0"/>
                <w:numId w:val="17"/>
              </w:numPr>
              <w:spacing w:after="0" w:line="259" w:lineRule="auto"/>
              <w:ind w:hanging="245"/>
              <w:jc w:val="left"/>
            </w:pPr>
            <w:r>
              <w:t xml:space="preserve">е) </w:t>
            </w:r>
          </w:p>
        </w:tc>
      </w:tr>
      <w:tr w:rsidR="000B2060" w14:paraId="370491D8" w14:textId="77777777">
        <w:trPr>
          <w:trHeight w:val="1915"/>
        </w:trPr>
        <w:tc>
          <w:tcPr>
            <w:tcW w:w="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7FD93783" w14:textId="77777777" w:rsidR="000B2060" w:rsidRDefault="009E72B8">
            <w:pPr>
              <w:spacing w:after="0" w:line="259" w:lineRule="auto"/>
              <w:ind w:left="29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</w:p>
        </w:tc>
        <w:tc>
          <w:tcPr>
            <w:tcW w:w="5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339A8B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UNI EN 13383-1: Инертни материали за защитни съоръжения (едри скални материали) — Спецификации.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BCAD60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а) </w:t>
            </w:r>
          </w:p>
          <w:p w14:paraId="0253FE6A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б) </w:t>
            </w:r>
          </w:p>
          <w:p w14:paraId="6B53E75F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в) </w:t>
            </w:r>
          </w:p>
          <w:p w14:paraId="0CE01091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г) </w:t>
            </w:r>
          </w:p>
          <w:p w14:paraId="0AE84832" w14:textId="77777777" w:rsidR="000B2060" w:rsidRDefault="009E72B8">
            <w:pPr>
              <w:numPr>
                <w:ilvl w:val="0"/>
                <w:numId w:val="18"/>
              </w:numPr>
              <w:spacing w:after="29" w:line="259" w:lineRule="auto"/>
              <w:ind w:hanging="245"/>
              <w:jc w:val="left"/>
            </w:pPr>
            <w:r>
              <w:t xml:space="preserve">д) </w:t>
            </w:r>
          </w:p>
          <w:p w14:paraId="0C265E83" w14:textId="77777777" w:rsidR="000B2060" w:rsidRDefault="009E72B8">
            <w:pPr>
              <w:numPr>
                <w:ilvl w:val="0"/>
                <w:numId w:val="18"/>
              </w:numPr>
              <w:spacing w:after="0" w:line="259" w:lineRule="auto"/>
              <w:ind w:hanging="245"/>
              <w:jc w:val="left"/>
            </w:pPr>
            <w:r>
              <w:t xml:space="preserve">е) </w:t>
            </w:r>
          </w:p>
        </w:tc>
      </w:tr>
    </w:tbl>
    <w:p w14:paraId="455BE588" w14:textId="77777777" w:rsidR="000B2060" w:rsidRDefault="009E72B8">
      <w:pPr>
        <w:spacing w:after="16" w:line="259" w:lineRule="auto"/>
        <w:ind w:left="38" w:firstLine="0"/>
        <w:jc w:val="center"/>
      </w:pPr>
      <w:r>
        <w:rPr>
          <w:b/>
        </w:rPr>
        <w:t xml:space="preserve"> </w:t>
      </w:r>
    </w:p>
    <w:p w14:paraId="718178FB" w14:textId="77777777" w:rsidR="000B2060" w:rsidRDefault="009E72B8">
      <w:pPr>
        <w:spacing w:after="39" w:line="266" w:lineRule="auto"/>
        <w:ind w:left="10" w:right="20"/>
        <w:jc w:val="center"/>
      </w:pPr>
      <w:r>
        <w:rPr>
          <w:b/>
        </w:rPr>
        <w:t xml:space="preserve">И накрая, производителят заявява, че: </w:t>
      </w:r>
    </w:p>
    <w:p w14:paraId="0F0B2894" w14:textId="77777777" w:rsidR="000B2060" w:rsidRDefault="009E72B8">
      <w:pPr>
        <w:numPr>
          <w:ilvl w:val="0"/>
          <w:numId w:val="9"/>
        </w:numPr>
        <w:ind w:right="51" w:hanging="360"/>
      </w:pPr>
      <w:r>
        <w:t xml:space="preserve">е запознат с наказателноправните санкции за предоставяне на неверни или неточни декларации в официални документи и с последващата загуба на печалба съгласно членове 75 и 76 от </w:t>
      </w:r>
    </w:p>
    <w:p w14:paraId="3A205EC1" w14:textId="77777777" w:rsidR="000B2060" w:rsidRDefault="009E72B8">
      <w:pPr>
        <w:spacing w:after="36"/>
        <w:ind w:left="798" w:right="51"/>
      </w:pPr>
      <w:r>
        <w:t xml:space="preserve">ПРЕЗИДЕНТСКИ УКАЗ № 445/2000; </w:t>
      </w:r>
    </w:p>
    <w:p w14:paraId="06DFD34E" w14:textId="77777777" w:rsidR="000B2060" w:rsidRDefault="009E72B8">
      <w:pPr>
        <w:numPr>
          <w:ilvl w:val="0"/>
          <w:numId w:val="9"/>
        </w:numPr>
        <w:ind w:right="51" w:hanging="360"/>
      </w:pPr>
      <w:r>
        <w:t xml:space="preserve">е информиран, че всички събрани лични данни се обработват по електронен път изключително за процедурата, за която се подава декларацията (член 13 от Регламент (ЕС) № 679/2016). </w:t>
      </w:r>
    </w:p>
    <w:tbl>
      <w:tblPr>
        <w:tblStyle w:val="TableGrid"/>
        <w:tblW w:w="10444" w:type="dxa"/>
        <w:tblInd w:w="137" w:type="dxa"/>
        <w:tblLook w:val="04A0" w:firstRow="1" w:lastRow="0" w:firstColumn="1" w:lastColumn="0" w:noHBand="0" w:noVBand="1"/>
      </w:tblPr>
      <w:tblGrid>
        <w:gridCol w:w="5276"/>
        <w:gridCol w:w="5168"/>
      </w:tblGrid>
      <w:tr w:rsidR="000B2060" w14:paraId="10148727" w14:textId="77777777" w:rsidTr="00207BFE">
        <w:trPr>
          <w:trHeight w:val="2458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14:paraId="53BA0BDC" w14:textId="77777777" w:rsidR="000B2060" w:rsidRDefault="009E72B8">
            <w:pPr>
              <w:spacing w:after="653" w:line="259" w:lineRule="auto"/>
              <w:ind w:left="650" w:firstLine="0"/>
              <w:jc w:val="left"/>
            </w:pPr>
            <w:r>
              <w:t xml:space="preserve"> </w:t>
            </w:r>
          </w:p>
          <w:p w14:paraId="2365DD6D" w14:textId="77777777" w:rsidR="000B2060" w:rsidRDefault="009E72B8">
            <w:pPr>
              <w:spacing w:after="16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15EC64A9" w14:textId="77777777" w:rsidR="000B2060" w:rsidRDefault="009E72B8">
            <w:pPr>
              <w:spacing w:after="19" w:line="259" w:lineRule="auto"/>
              <w:ind w:left="0" w:firstLine="0"/>
              <w:jc w:val="left"/>
            </w:pPr>
            <w:r>
              <w:rPr>
                <w:i/>
              </w:rPr>
              <w:t xml:space="preserve">_________, на ______________________ </w:t>
            </w:r>
          </w:p>
          <w:p w14:paraId="28DE5481" w14:textId="77777777" w:rsidR="000B2060" w:rsidRDefault="009E72B8">
            <w:pPr>
              <w:spacing w:after="16" w:line="259" w:lineRule="auto"/>
              <w:ind w:left="926" w:firstLine="0"/>
              <w:jc w:val="left"/>
            </w:pPr>
            <w:r>
              <w:rPr>
                <w:i/>
              </w:rPr>
              <w:t>(ЗАБЕЛЕЖКА: посочете място и дата)</w:t>
            </w:r>
            <w:r>
              <w:rPr>
                <w:b/>
              </w:rPr>
              <w:t xml:space="preserve"> </w:t>
            </w:r>
          </w:p>
          <w:p w14:paraId="745C99AC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14:paraId="1F806042" w14:textId="77777777" w:rsidR="000B2060" w:rsidRDefault="009E72B8">
            <w:pPr>
              <w:spacing w:after="36" w:line="259" w:lineRule="auto"/>
              <w:ind w:left="0" w:firstLine="0"/>
              <w:jc w:val="right"/>
            </w:pPr>
            <w:r>
              <w:t xml:space="preserve"> </w:t>
            </w:r>
          </w:p>
          <w:p w14:paraId="1AF998B9" w14:textId="77777777" w:rsidR="000B2060" w:rsidRDefault="009E72B8">
            <w:pPr>
              <w:spacing w:after="16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7464B564" w14:textId="77777777" w:rsidR="000B2060" w:rsidRDefault="009E72B8">
            <w:pPr>
              <w:spacing w:after="17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568FA268" w14:textId="77777777" w:rsidR="000B2060" w:rsidRDefault="009E72B8">
            <w:pPr>
              <w:spacing w:after="16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5F564AF8" w14:textId="77777777" w:rsidR="000B2060" w:rsidRDefault="009E72B8">
            <w:pPr>
              <w:spacing w:after="19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0C86E81C" w14:textId="77777777" w:rsidR="000B2060" w:rsidRDefault="009E72B8">
            <w:pPr>
              <w:spacing w:after="16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2E832FBF" w14:textId="77777777" w:rsidR="000B2060" w:rsidRDefault="009E72B8">
            <w:pPr>
              <w:spacing w:after="16" w:line="259" w:lineRule="auto"/>
              <w:ind w:left="50" w:firstLine="0"/>
              <w:jc w:val="left"/>
            </w:pPr>
            <w:r>
              <w:rPr>
                <w:i/>
              </w:rPr>
              <w:t xml:space="preserve">_______________________________ </w:t>
            </w:r>
          </w:p>
          <w:p w14:paraId="79CB875A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ЗАБЕЛЕЖКА: Подпис и печат на производителя) </w:t>
            </w:r>
          </w:p>
        </w:tc>
      </w:tr>
    </w:tbl>
    <w:p w14:paraId="7E919597" w14:textId="77777777" w:rsidR="000B2060" w:rsidRDefault="009E72B8">
      <w:pPr>
        <w:spacing w:after="0" w:line="259" w:lineRule="auto"/>
        <w:ind w:left="5007" w:firstLine="0"/>
        <w:jc w:val="center"/>
      </w:pPr>
      <w:r>
        <w:rPr>
          <w:i/>
        </w:rPr>
        <w:t xml:space="preserve"> </w:t>
      </w:r>
    </w:p>
    <w:p w14:paraId="3224CB6D" w14:textId="77777777" w:rsidR="000B2060" w:rsidRDefault="009E72B8">
      <w:pPr>
        <w:spacing w:after="211" w:line="259" w:lineRule="auto"/>
        <w:ind w:left="67" w:firstLine="0"/>
        <w:jc w:val="left"/>
      </w:pPr>
      <w:r>
        <w:rPr>
          <w:sz w:val="2"/>
        </w:rPr>
        <w:t xml:space="preserve"> </w:t>
      </w:r>
    </w:p>
    <w:p w14:paraId="489CDAF5" w14:textId="77777777" w:rsidR="000B2060" w:rsidRDefault="009E72B8" w:rsidP="000E6789">
      <w:pPr>
        <w:spacing w:after="12" w:line="267" w:lineRule="auto"/>
        <w:ind w:left="1080" w:right="49"/>
      </w:pPr>
      <w:r>
        <w:t xml:space="preserve">(освобождаване от гербовия налог съгласно член 37 от Президентски указ № 445/2000) </w:t>
      </w:r>
    </w:p>
    <w:p w14:paraId="4488B1FC" w14:textId="77777777" w:rsidR="000B2060" w:rsidRDefault="009E72B8">
      <w:pPr>
        <w:spacing w:after="16" w:line="259" w:lineRule="auto"/>
        <w:ind w:left="0" w:firstLine="0"/>
        <w:jc w:val="center"/>
      </w:pPr>
      <w:r>
        <w:t xml:space="preserve"> </w:t>
      </w:r>
    </w:p>
    <w:p w14:paraId="4B20E73D" w14:textId="77777777" w:rsidR="000B2060" w:rsidRDefault="009E72B8">
      <w:pPr>
        <w:spacing w:after="13" w:line="259" w:lineRule="auto"/>
        <w:ind w:left="0" w:firstLine="0"/>
        <w:jc w:val="center"/>
      </w:pPr>
      <w:r>
        <w:t xml:space="preserve"> </w:t>
      </w:r>
    </w:p>
    <w:p w14:paraId="57074C32" w14:textId="4EB7FB0B" w:rsidR="000B2060" w:rsidRDefault="009E72B8" w:rsidP="00207BFE">
      <w:pPr>
        <w:spacing w:after="16" w:line="259" w:lineRule="auto"/>
        <w:ind w:left="608" w:firstLine="0"/>
        <w:jc w:val="left"/>
      </w:pPr>
      <w:r>
        <w:rPr>
          <w:sz w:val="23"/>
        </w:rPr>
        <w:t>Приложения: фотостат на документа за самоличност на абоната и доклад за анализ.</w:t>
      </w:r>
      <w:r>
        <w:t xml:space="preserve"> </w:t>
      </w:r>
      <w:r>
        <w:rPr>
          <w:b/>
        </w:rPr>
        <w:t xml:space="preserve"> </w:t>
      </w:r>
    </w:p>
    <w:p w14:paraId="4E02FF04" w14:textId="77777777" w:rsidR="000B2060" w:rsidRDefault="009E72B8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sectPr w:rsidR="000B2060">
      <w:pgSz w:w="11906" w:h="16838"/>
      <w:pgMar w:top="1421" w:right="1073" w:bottom="11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C51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C7D20"/>
    <w:multiLevelType w:val="hybridMultilevel"/>
    <w:tmpl w:val="E8D48C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3219"/>
    <w:multiLevelType w:val="hybridMultilevel"/>
    <w:tmpl w:val="5378B088"/>
    <w:lvl w:ilvl="0" w:tplc="E4042CFC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227DE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A430A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0202A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A420C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A0AF8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015AC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851EE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299D8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FE40E1"/>
    <w:multiLevelType w:val="hybridMultilevel"/>
    <w:tmpl w:val="88F0CF8C"/>
    <w:lvl w:ilvl="0" w:tplc="B8A656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5D20013"/>
    <w:multiLevelType w:val="hybridMultilevel"/>
    <w:tmpl w:val="13F85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7233"/>
    <w:multiLevelType w:val="hybridMultilevel"/>
    <w:tmpl w:val="A4BADE56"/>
    <w:lvl w:ilvl="0" w:tplc="07326A6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46C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C7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42A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8FC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899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A8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EF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A7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C02E56"/>
    <w:multiLevelType w:val="hybridMultilevel"/>
    <w:tmpl w:val="C4823AAE"/>
    <w:lvl w:ilvl="0" w:tplc="9EF6EA04">
      <w:start w:val="1"/>
      <w:numFmt w:val="lowerLetter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427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A9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0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08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82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A29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4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C12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DE7FB0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6777C1F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BC2105B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8C6758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B2690B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8F763C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6C192C"/>
    <w:multiLevelType w:val="hybridMultilevel"/>
    <w:tmpl w:val="DF8C9C90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5569FA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AB514C9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6027FE"/>
    <w:multiLevelType w:val="hybridMultilevel"/>
    <w:tmpl w:val="B69C07CA"/>
    <w:lvl w:ilvl="0" w:tplc="4E9AE7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39BC1F21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6910A6"/>
    <w:multiLevelType w:val="hybridMultilevel"/>
    <w:tmpl w:val="D5047862"/>
    <w:lvl w:ilvl="0" w:tplc="D88E608E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4DE2C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E395E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456A2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A6C48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8D648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41A7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8599C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C31BE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241842"/>
    <w:multiLevelType w:val="hybridMultilevel"/>
    <w:tmpl w:val="C220F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618A1"/>
    <w:multiLevelType w:val="hybridMultilevel"/>
    <w:tmpl w:val="0D9A16E2"/>
    <w:lvl w:ilvl="0" w:tplc="1E60CE8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43B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6BC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AAD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AFF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4CB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498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50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CC9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8F4F6D"/>
    <w:multiLevelType w:val="hybridMultilevel"/>
    <w:tmpl w:val="B8AAFAE6"/>
    <w:lvl w:ilvl="0" w:tplc="D4926B6E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27260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6A36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2BA7A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A1FF0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E0230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2CB9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AD432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AD0BE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AF554D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A30059"/>
    <w:multiLevelType w:val="hybridMultilevel"/>
    <w:tmpl w:val="07DA99E4"/>
    <w:lvl w:ilvl="0" w:tplc="6BDEA51A">
      <w:start w:val="1"/>
      <w:numFmt w:val="bullet"/>
      <w:lvlText w:val=""/>
      <w:lvlJc w:val="left"/>
      <w:pPr>
        <w:ind w:left="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A610E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4E49C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2521C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424CA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C82A2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0F0D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8D3EE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46C86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94143C"/>
    <w:multiLevelType w:val="hybridMultilevel"/>
    <w:tmpl w:val="F8B4D60E"/>
    <w:lvl w:ilvl="0" w:tplc="93B61CB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8ED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C9D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AAC0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0FD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ECD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CED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ACE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828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6D62D9"/>
    <w:multiLevelType w:val="hybridMultilevel"/>
    <w:tmpl w:val="EA7090E0"/>
    <w:lvl w:ilvl="0" w:tplc="5ACE18CA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6094A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D788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A9B90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E4B02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8B772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27540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23D9A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0F57A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BD5C81"/>
    <w:multiLevelType w:val="hybridMultilevel"/>
    <w:tmpl w:val="0254884A"/>
    <w:lvl w:ilvl="0" w:tplc="F6DE3A02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4F8D0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8A23C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891D4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667E6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6B010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CD52E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AF54C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2B3E2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6418D5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4959DD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30E69B2"/>
    <w:multiLevelType w:val="hybridMultilevel"/>
    <w:tmpl w:val="BD32DF54"/>
    <w:lvl w:ilvl="0" w:tplc="44CC979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615A82"/>
    <w:multiLevelType w:val="hybridMultilevel"/>
    <w:tmpl w:val="046CF5F4"/>
    <w:lvl w:ilvl="0" w:tplc="4CA6F988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0D3EE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68924A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42B00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E8A0C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A2FE2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0623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F7BC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8A6C0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E46994"/>
    <w:multiLevelType w:val="hybridMultilevel"/>
    <w:tmpl w:val="4E10463E"/>
    <w:lvl w:ilvl="0" w:tplc="2CF4D17C">
      <w:start w:val="170101"/>
      <w:numFmt w:val="decimal"/>
      <w:lvlText w:val="%1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2839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E7D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CBD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49D1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E3F3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24FA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CA6F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4636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91472E"/>
    <w:multiLevelType w:val="hybridMultilevel"/>
    <w:tmpl w:val="06B47222"/>
    <w:lvl w:ilvl="0" w:tplc="FDD225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F5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2B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0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E9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20D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E4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8C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0CD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4032AF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FB66D3"/>
    <w:multiLevelType w:val="hybridMultilevel"/>
    <w:tmpl w:val="EA7AD31C"/>
    <w:lvl w:ilvl="0" w:tplc="61C407D4">
      <w:start w:val="1"/>
      <w:numFmt w:val="bullet"/>
      <w:lvlText w:val="✓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0BC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E61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A44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43EB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4AD7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E6D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8BE8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C12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426C77"/>
    <w:multiLevelType w:val="hybridMultilevel"/>
    <w:tmpl w:val="B97EABAE"/>
    <w:lvl w:ilvl="0" w:tplc="DFB816A2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CC416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83E5E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0676A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4FBCA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20E96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8CA48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4C8B0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2EC688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9A2262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6868E7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0B1517"/>
    <w:multiLevelType w:val="hybridMultilevel"/>
    <w:tmpl w:val="7AA22022"/>
    <w:lvl w:ilvl="0" w:tplc="21481284">
      <w:start w:val="1"/>
      <w:numFmt w:val="bullet"/>
      <w:lvlText w:val=""/>
      <w:lvlJc w:val="left"/>
      <w:pPr>
        <w:ind w:left="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05142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A2190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05D92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E4878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8526A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00C8A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6CAFA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06DD4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4B76AF"/>
    <w:multiLevelType w:val="hybridMultilevel"/>
    <w:tmpl w:val="F3B27D0A"/>
    <w:lvl w:ilvl="0" w:tplc="7846A8B8">
      <w:start w:val="500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2F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49D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CA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CEA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AA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DF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43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866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771679"/>
    <w:multiLevelType w:val="hybridMultilevel"/>
    <w:tmpl w:val="848425D8"/>
    <w:lvl w:ilvl="0" w:tplc="3F24D03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4DF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2C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0D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68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C51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208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E2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68B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845123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335D0A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2"/>
  </w:num>
  <w:num w:numId="3">
    <w:abstractNumId w:val="5"/>
  </w:num>
  <w:num w:numId="4">
    <w:abstractNumId w:val="40"/>
  </w:num>
  <w:num w:numId="5">
    <w:abstractNumId w:val="34"/>
  </w:num>
  <w:num w:numId="6">
    <w:abstractNumId w:val="24"/>
  </w:num>
  <w:num w:numId="7">
    <w:abstractNumId w:val="39"/>
  </w:num>
  <w:num w:numId="8">
    <w:abstractNumId w:val="20"/>
  </w:num>
  <w:num w:numId="9">
    <w:abstractNumId w:val="21"/>
  </w:num>
  <w:num w:numId="10">
    <w:abstractNumId w:val="31"/>
  </w:num>
  <w:num w:numId="11">
    <w:abstractNumId w:val="30"/>
  </w:num>
  <w:num w:numId="12">
    <w:abstractNumId w:val="25"/>
  </w:num>
  <w:num w:numId="13">
    <w:abstractNumId w:val="35"/>
  </w:num>
  <w:num w:numId="14">
    <w:abstractNumId w:val="2"/>
  </w:num>
  <w:num w:numId="15">
    <w:abstractNumId w:val="18"/>
  </w:num>
  <w:num w:numId="16">
    <w:abstractNumId w:val="26"/>
  </w:num>
  <w:num w:numId="17">
    <w:abstractNumId w:val="23"/>
  </w:num>
  <w:num w:numId="18">
    <w:abstractNumId w:val="38"/>
  </w:num>
  <w:num w:numId="19">
    <w:abstractNumId w:val="16"/>
  </w:num>
  <w:num w:numId="20">
    <w:abstractNumId w:val="3"/>
  </w:num>
  <w:num w:numId="21">
    <w:abstractNumId w:val="7"/>
  </w:num>
  <w:num w:numId="22">
    <w:abstractNumId w:val="28"/>
  </w:num>
  <w:num w:numId="23">
    <w:abstractNumId w:val="8"/>
  </w:num>
  <w:num w:numId="24">
    <w:abstractNumId w:val="14"/>
  </w:num>
  <w:num w:numId="25">
    <w:abstractNumId w:val="33"/>
  </w:num>
  <w:num w:numId="26">
    <w:abstractNumId w:val="10"/>
  </w:num>
  <w:num w:numId="27">
    <w:abstractNumId w:val="36"/>
  </w:num>
  <w:num w:numId="28">
    <w:abstractNumId w:val="22"/>
  </w:num>
  <w:num w:numId="29">
    <w:abstractNumId w:val="42"/>
  </w:num>
  <w:num w:numId="30">
    <w:abstractNumId w:val="29"/>
  </w:num>
  <w:num w:numId="31">
    <w:abstractNumId w:val="41"/>
  </w:num>
  <w:num w:numId="32">
    <w:abstractNumId w:val="13"/>
  </w:num>
  <w:num w:numId="33">
    <w:abstractNumId w:val="1"/>
  </w:num>
  <w:num w:numId="34">
    <w:abstractNumId w:val="17"/>
  </w:num>
  <w:num w:numId="35">
    <w:abstractNumId w:val="0"/>
  </w:num>
  <w:num w:numId="36">
    <w:abstractNumId w:val="4"/>
  </w:num>
  <w:num w:numId="37">
    <w:abstractNumId w:val="4"/>
  </w:num>
  <w:num w:numId="38">
    <w:abstractNumId w:val="19"/>
  </w:num>
  <w:num w:numId="39">
    <w:abstractNumId w:val="37"/>
  </w:num>
  <w:num w:numId="40">
    <w:abstractNumId w:val="15"/>
  </w:num>
  <w:num w:numId="41">
    <w:abstractNumId w:val="9"/>
  </w:num>
  <w:num w:numId="42">
    <w:abstractNumId w:val="11"/>
  </w:num>
  <w:num w:numId="43">
    <w:abstractNumId w:val="1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60"/>
    <w:rsid w:val="00040E9E"/>
    <w:rsid w:val="00040ECC"/>
    <w:rsid w:val="000608BB"/>
    <w:rsid w:val="00066C45"/>
    <w:rsid w:val="000A5B7E"/>
    <w:rsid w:val="000B2060"/>
    <w:rsid w:val="000C74AC"/>
    <w:rsid w:val="000D3B28"/>
    <w:rsid w:val="000E2887"/>
    <w:rsid w:val="000E6789"/>
    <w:rsid w:val="00122D4D"/>
    <w:rsid w:val="0012657B"/>
    <w:rsid w:val="001571B3"/>
    <w:rsid w:val="00187C2F"/>
    <w:rsid w:val="001A3C5B"/>
    <w:rsid w:val="001A66C5"/>
    <w:rsid w:val="001B60FC"/>
    <w:rsid w:val="001E2424"/>
    <w:rsid w:val="001F73B8"/>
    <w:rsid w:val="002078AA"/>
    <w:rsid w:val="00207BFE"/>
    <w:rsid w:val="00211D1B"/>
    <w:rsid w:val="00257F18"/>
    <w:rsid w:val="002C424A"/>
    <w:rsid w:val="002C6268"/>
    <w:rsid w:val="00321CC2"/>
    <w:rsid w:val="003855A4"/>
    <w:rsid w:val="003D02E8"/>
    <w:rsid w:val="00435FEC"/>
    <w:rsid w:val="00440032"/>
    <w:rsid w:val="00443C03"/>
    <w:rsid w:val="00453843"/>
    <w:rsid w:val="00453851"/>
    <w:rsid w:val="004D027A"/>
    <w:rsid w:val="004D0F46"/>
    <w:rsid w:val="004D5730"/>
    <w:rsid w:val="004E1785"/>
    <w:rsid w:val="004F3D24"/>
    <w:rsid w:val="00511FA8"/>
    <w:rsid w:val="00516CAA"/>
    <w:rsid w:val="005211CB"/>
    <w:rsid w:val="005428D2"/>
    <w:rsid w:val="00560FC1"/>
    <w:rsid w:val="00563958"/>
    <w:rsid w:val="00575D8B"/>
    <w:rsid w:val="005C02C8"/>
    <w:rsid w:val="005D26EE"/>
    <w:rsid w:val="005D2CCC"/>
    <w:rsid w:val="005F0151"/>
    <w:rsid w:val="00605A70"/>
    <w:rsid w:val="00607D0C"/>
    <w:rsid w:val="00647BE4"/>
    <w:rsid w:val="00670BBC"/>
    <w:rsid w:val="00677FDE"/>
    <w:rsid w:val="00751073"/>
    <w:rsid w:val="00762ADB"/>
    <w:rsid w:val="007B53AC"/>
    <w:rsid w:val="007D34E4"/>
    <w:rsid w:val="007F7B0C"/>
    <w:rsid w:val="00842EDF"/>
    <w:rsid w:val="00851DB7"/>
    <w:rsid w:val="008610D3"/>
    <w:rsid w:val="008647FF"/>
    <w:rsid w:val="008716AC"/>
    <w:rsid w:val="0087254B"/>
    <w:rsid w:val="0087338D"/>
    <w:rsid w:val="008817D3"/>
    <w:rsid w:val="008A7D5B"/>
    <w:rsid w:val="008E07EC"/>
    <w:rsid w:val="00912607"/>
    <w:rsid w:val="009365B9"/>
    <w:rsid w:val="00947677"/>
    <w:rsid w:val="00986ED7"/>
    <w:rsid w:val="009E72B8"/>
    <w:rsid w:val="00A141D1"/>
    <w:rsid w:val="00A42E5E"/>
    <w:rsid w:val="00A451F2"/>
    <w:rsid w:val="00A923FD"/>
    <w:rsid w:val="00B07069"/>
    <w:rsid w:val="00B6618B"/>
    <w:rsid w:val="00B66567"/>
    <w:rsid w:val="00B814EA"/>
    <w:rsid w:val="00B90036"/>
    <w:rsid w:val="00C573A1"/>
    <w:rsid w:val="00C8402D"/>
    <w:rsid w:val="00C9196A"/>
    <w:rsid w:val="00C92865"/>
    <w:rsid w:val="00CA1B50"/>
    <w:rsid w:val="00CA20B5"/>
    <w:rsid w:val="00CA4911"/>
    <w:rsid w:val="00CA7EA2"/>
    <w:rsid w:val="00CB57C7"/>
    <w:rsid w:val="00CE1962"/>
    <w:rsid w:val="00CE5FC5"/>
    <w:rsid w:val="00CF2085"/>
    <w:rsid w:val="00D15FA7"/>
    <w:rsid w:val="00D17D7F"/>
    <w:rsid w:val="00D25E71"/>
    <w:rsid w:val="00D30414"/>
    <w:rsid w:val="00D401B2"/>
    <w:rsid w:val="00D442A3"/>
    <w:rsid w:val="00D55B0D"/>
    <w:rsid w:val="00D630D6"/>
    <w:rsid w:val="00D85D99"/>
    <w:rsid w:val="00DE51A5"/>
    <w:rsid w:val="00DE7B44"/>
    <w:rsid w:val="00E126AE"/>
    <w:rsid w:val="00E15E5B"/>
    <w:rsid w:val="00E76CAC"/>
    <w:rsid w:val="00E808EC"/>
    <w:rsid w:val="00E81CE8"/>
    <w:rsid w:val="00E84466"/>
    <w:rsid w:val="00EA0449"/>
    <w:rsid w:val="00EE7699"/>
    <w:rsid w:val="00EF52D1"/>
    <w:rsid w:val="00F061A6"/>
    <w:rsid w:val="00F077D2"/>
    <w:rsid w:val="00F1673E"/>
    <w:rsid w:val="00F31101"/>
    <w:rsid w:val="00F433CF"/>
    <w:rsid w:val="00F51F5E"/>
    <w:rsid w:val="00F55F19"/>
    <w:rsid w:val="00F5702C"/>
    <w:rsid w:val="00F75776"/>
    <w:rsid w:val="00FB6796"/>
    <w:rsid w:val="00FB6799"/>
    <w:rsid w:val="00FC1B37"/>
    <w:rsid w:val="00FD253E"/>
    <w:rsid w:val="00FD4D84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217D"/>
  <w15:docId w15:val="{9C15BEBA-29E8-41F7-9D54-4B445815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9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" w:line="266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A1B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11F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7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06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6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4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4056</Words>
  <Characters>23124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Gennaro</dc:creator>
  <cp:keywords/>
  <cp:lastModifiedBy>Liana Brili</cp:lastModifiedBy>
  <cp:revision>7</cp:revision>
  <dcterms:created xsi:type="dcterms:W3CDTF">2022-03-10T16:09:00Z</dcterms:created>
  <dcterms:modified xsi:type="dcterms:W3CDTF">2022-03-31T13:54:00Z</dcterms:modified>
</cp:coreProperties>
</file>