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3B7DB2" w:rsidRDefault="009E72B8">
      <w:pPr>
        <w:spacing w:after="0" w:line="239" w:lineRule="auto"/>
        <w:ind w:left="504" w:right="497" w:firstLine="0"/>
        <w:jc w:val="center"/>
        <w:rPr>
          <w:sz w:val="84"/>
          <w:szCs w:val="84"/>
        </w:rPr>
      </w:pPr>
      <w:r w:rsidRPr="003B7DB2">
        <w:rPr>
          <w:i/>
          <w:color w:val="0000FF"/>
          <w:sz w:val="84"/>
        </w:rPr>
        <w:t xml:space="preserve">Az ökológiai átállásért felelős miniszter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TEKINTETTEL</w:t>
      </w:r>
      <w:r>
        <w:rPr>
          <w:b/>
        </w:rPr>
        <w:tab/>
      </w:r>
      <w:r>
        <w:t xml:space="preserve">az 1988. augusztus 23-i 400. számú törvény 17. cikkének (3) bekezdésére;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TEKINTETTEL</w:t>
      </w:r>
      <w:r>
        <w:rPr>
          <w:b/>
        </w:rPr>
        <w:tab/>
      </w:r>
      <w:r>
        <w:t xml:space="preserve">a 2006. április 3-i 152. sz. törvényerejű rendelet 184b. cikkére, és különösen annak (2) bekezdésére, amely előírja, hogy „az (1) bekezdésben említett kritériumokat az uniós szabályok rendelkezéseivel összhangban, vagy uniós kritériumok hiányában eseti alapon, meghatározott hulladéktípusok esetében a környezetvédelmi, föld- és tengervédelmi miniszter egy vagy több rendeletével kell elfogadni, az 1988. augusztus 23-i 400. sz. törvény 17. cikkének (3) bekezdése alapján”;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TEKINTETTEL</w:t>
      </w:r>
      <w:r>
        <w:rPr>
          <w:b/>
        </w:rPr>
        <w:tab/>
      </w:r>
      <w:r>
        <w:t xml:space="preserve">a 2008. november 19-i 2008/98/EK európai parlamenti és tanácsi irányelvre és különösen annak 11. cikke (1) bekezdésére, amely egyebek között előírja, hogy a tagállamok intézkedéseket hoznak a szelektív bontás előmozdítására annak érdekében, hogy lehetővé tegyék a veszélyes anyagok biztonságos eltávolítását és kezelését, valamint hogy az anyagok szelektív eltávolításával elősegítsék a magas színvonalú újrafelhasználást és újrafeldolgozást;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TEKINTETTEL</w:t>
      </w:r>
      <w:r>
        <w:rPr>
          <w:b/>
        </w:rPr>
        <w:tab/>
      </w:r>
      <w:r>
        <w:t>a vegyi anyagok regisztrálásáról, értékeléséről, engedélyezéséről és korlátozásáról (REACH), az Európai Vegyianyag-ügynökség létrehozásáról, az 1999/45/EK irányelv módosításáról, valamint a 793/93/EGK tanácsi rendelet, az 1488/94/EK bizottsági rendelet, a 76/769/EGK tanácsi irányelv, a 91/155/EGK, a 93/67/EGK, a 93/105/EK és a 2000/21/EK bizottsági irányelv hatályon kívül helyezéséről szóló, 2006. december 18-i 1907/2006/EK európai parlamenti és tanácsi rendeletre;</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TEKINTETTEL</w:t>
      </w:r>
      <w:r>
        <w:rPr>
          <w:b/>
        </w:rPr>
        <w:tab/>
      </w:r>
      <w:r>
        <w:t>a szervezeteknek az európai uniós környezetvédelmi vezetési és hitelesítési rendszerben (EMAS) történő önkéntes részvételének lehetővé tételéről, valamint a 761/2001/EK rendelet és a 2001/681/EK és a 2006/193/EK bizottsági határozat hatályon kívül helyezéséről szóló, 2009. november 25-i 1221/2009/EK európai parlamenti és tanácsi rendeletre;</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TEKINTETTEL</w:t>
      </w:r>
      <w:r>
        <w:rPr>
          <w:b/>
        </w:rPr>
        <w:tab/>
      </w:r>
      <w:r>
        <w:t>a 2005. március 7-i 82. sz. törvényerejű rendeletre, amely tartalmazza a „Digitális igazgatási szabályzatot”;</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TEKINTETTEL</w:t>
      </w:r>
      <w:r>
        <w:tab/>
        <w:t>a 2000. december 28-i 445. számú, „A közigazgatási dokumentációra vonatkozó törvényi és szabályozó rendelkezések egységes szerkezetbe foglalt szövege” című elnöki rendeletre;</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TEKINTETTEL</w:t>
      </w:r>
      <w:r>
        <w:rPr>
          <w:b/>
        </w:rPr>
        <w:tab/>
      </w:r>
      <w:r>
        <w:t>a környezetvédelmi miniszternek az 1997. február 5-i 22. számú törvényerejű rendelet 31. és 33. cikke alapján egyszerűsített hasznosítási eljárás alá tartozó nem veszélyes hulladékok azonosításáról szóló, 1998. február 5-i rendeletére, amelyet a Hivatalos Lap 1998. április 16-i 88. számában tettek közzé;</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FIGYELEMBE VÉVE,</w:t>
      </w:r>
      <w:r>
        <w:rPr>
          <w:b/>
        </w:rPr>
        <w:tab/>
      </w:r>
      <w:r>
        <w:t xml:space="preserve">hogy a visszanyert adalékanyagnak van piaca, mivel azt általában mélyépítési munkálatokhoz használják, a természetes nyersanyagot helyettesíti, és tényleges gazdasági értékkel rendelkezik, hogy vannak olyan konkrét célok, amelyekre az anyag az e rendeletben meghatározott kritériumoknak megfelelően felhasználható, és hogy megfelel a jogszabályoknak és a termékekre vonatkozó hatályos </w:t>
      </w:r>
      <w:r>
        <w:rPr>
          <w:i/>
        </w:rPr>
        <w:t>szabványoknak</w:t>
      </w:r>
      <w:r>
        <w:t>;</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FIGYELEMBE VÉVE,</w:t>
      </w:r>
      <w:r>
        <w:rPr>
          <w:b/>
        </w:rPr>
        <w:tab/>
      </w:r>
      <w:r>
        <w:t>hogy az elvégzett vizsgálat kimutatta, hogy a visszanyert aggregátum, amely megfelel az e rendeletben meghatározott kritériumoknak, nincs általános káros hatással az emberi egészségre vagy a környezetre;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KIKÉRVE</w:t>
      </w:r>
      <w:r>
        <w:rPr>
          <w:b/>
        </w:rPr>
        <w:tab/>
        <w:t xml:space="preserve"> </w:t>
      </w:r>
      <w:r>
        <w:t xml:space="preserve">az Államtanács véleményét, amelyet a törvényhozásért felelős tanácsadó szekció fejezett ki a ……….. -i ülésen; </w:t>
      </w:r>
    </w:p>
    <w:p w14:paraId="39951851" w14:textId="77777777" w:rsidR="000B2060" w:rsidRDefault="009E72B8">
      <w:pPr>
        <w:spacing w:after="17" w:line="259" w:lineRule="auto"/>
        <w:ind w:left="0" w:firstLine="0"/>
        <w:jc w:val="left"/>
      </w:pPr>
      <w:r>
        <w:t xml:space="preserve"> </w:t>
      </w:r>
    </w:p>
    <w:p w14:paraId="27D2B125" w14:textId="42CEDA88" w:rsidR="000B2060" w:rsidRDefault="009E72B8">
      <w:pPr>
        <w:ind w:left="1970" w:right="51" w:hanging="1985"/>
      </w:pPr>
      <w:r>
        <w:rPr>
          <w:b/>
        </w:rPr>
        <w:t>TEKINTETTEL</w:t>
      </w:r>
      <w:r>
        <w:rPr>
          <w:b/>
        </w:rPr>
        <w:tab/>
      </w:r>
      <w:r>
        <w:t xml:space="preserve">a Minisztertanács elnökéhez intézett közleményre, amelyet az 1988. augusztus 23-i 400. sz. törvény alapján a(z) ....... megjegyzéssel tettek meg;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TEKINTETTEL</w:t>
      </w:r>
      <w:r>
        <w:tab/>
        <w:t xml:space="preserve">a műszaki szabályok és az információs társadalom szolgáltatásaira vonatkozó szabályok terén történő információ-szolgáltatási eljárás megállapításáról szóló (EU) 2015/1535 irányelv 5. cikkében említett közleményre, amelyet a(z) ....... megjegyzéssel tettek meg;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Ezennel elfogadja  </w:t>
      </w:r>
    </w:p>
    <w:p w14:paraId="09CAE138" w14:textId="77777777" w:rsidR="000B2060" w:rsidRDefault="009E72B8">
      <w:pPr>
        <w:spacing w:after="17" w:line="259" w:lineRule="auto"/>
        <w:ind w:left="10" w:right="63"/>
        <w:jc w:val="center"/>
      </w:pPr>
      <w:r>
        <w:t xml:space="preserve">a következő rendeletet: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1. cikk </w:t>
      </w:r>
    </w:p>
    <w:p w14:paraId="685448BB" w14:textId="4EFAB624" w:rsidR="000B2060" w:rsidRPr="005428D2" w:rsidRDefault="009E72B8" w:rsidP="00F51F5E">
      <w:pPr>
        <w:pStyle w:val="Heading1"/>
        <w:spacing w:after="120"/>
        <w:ind w:left="11" w:right="62" w:hanging="11"/>
        <w:rPr>
          <w:b w:val="0"/>
          <w:i/>
        </w:rPr>
      </w:pPr>
      <w:r>
        <w:rPr>
          <w:b w:val="0"/>
          <w:i/>
        </w:rPr>
        <w:t xml:space="preserve">Cél és célkitűzések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 xml:space="preserve">Ez a rendelet meghatározza azokat a konkrét kritériumokat, amelyek alapján az építési és bontási tevékenységekből származó inert hulladékok és az e rendelet 2. cikke (1) bekezdésének a) és b) pontja szerint meghatározott egyéb ásványi eredetű inert hulladékok, amelyek </w:t>
      </w:r>
      <w:r>
        <w:lastRenderedPageBreak/>
        <w:t>hasznosítási műveleteknek vannak alávetve, a 2006. április 3-i 152. sz. törvényerejű rendelet 184b. cikke értelmében és alkalmazásában</w:t>
      </w:r>
      <w:r>
        <w:rPr>
          <w:b/>
        </w:rPr>
        <w:t xml:space="preserve"> </w:t>
      </w:r>
      <w:r>
        <w:t xml:space="preserve"> már nem minősülnek hulladéknak.</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2. cikk </w:t>
      </w:r>
    </w:p>
    <w:p w14:paraId="160D19CA" w14:textId="6C79CD75" w:rsidR="000B2060" w:rsidRPr="00607D0C" w:rsidRDefault="009E72B8" w:rsidP="00F51F5E">
      <w:pPr>
        <w:pStyle w:val="Heading1"/>
        <w:spacing w:after="120"/>
        <w:ind w:left="11" w:right="62" w:hanging="11"/>
        <w:rPr>
          <w:b w:val="0"/>
          <w:i/>
        </w:rPr>
      </w:pPr>
      <w:r>
        <w:rPr>
          <w:b w:val="0"/>
          <w:i/>
        </w:rPr>
        <w:t xml:space="preserve">Fogalommeghatározások </w:t>
      </w:r>
    </w:p>
    <w:p w14:paraId="0E8DB7DF" w14:textId="6AD3A87B" w:rsidR="008647FF" w:rsidRPr="00607D0C" w:rsidRDefault="008647FF" w:rsidP="00CA20B5">
      <w:pPr>
        <w:pStyle w:val="ListParagraph"/>
        <w:numPr>
          <w:ilvl w:val="0"/>
          <w:numId w:val="39"/>
        </w:numPr>
        <w:spacing w:after="60" w:line="266" w:lineRule="auto"/>
        <w:ind w:right="51"/>
        <w:contextualSpacing w:val="0"/>
      </w:pPr>
      <w:r>
        <w:t>E rendelet alkalmazásában a 2006. április 3-i 152. sz. törvényerejű rendelet 183. cikke szerinti fogalommeghatározásokat kell alkalmazni, a következőkön kívül:</w:t>
      </w:r>
    </w:p>
    <w:p w14:paraId="6DD3AD7E" w14:textId="19D52C13" w:rsidR="008647FF" w:rsidRPr="00CA20B5" w:rsidRDefault="008647FF" w:rsidP="005211CB">
      <w:pPr>
        <w:ind w:left="851" w:hanging="284"/>
        <w:rPr>
          <w:color w:val="000000" w:themeColor="text1"/>
        </w:rPr>
      </w:pPr>
      <w:r>
        <w:rPr>
          <w:color w:val="000000" w:themeColor="text1"/>
        </w:rPr>
        <w:t>a) „építési és bontási tevékenységekből származó inert hulladék”: a 2000/532/EK határozatban említett európai hulladékjegyzék 17. fejezetében meghatározott és e rendelet 1. melléklete 1. táblázatának 1. pontjában felsorolt építési és bontási műveletekből származó hulladék;</w:t>
      </w:r>
    </w:p>
    <w:p w14:paraId="6CB39F8D" w14:textId="3ED766B8" w:rsidR="008647FF" w:rsidRPr="00CA20B5" w:rsidRDefault="008647FF" w:rsidP="005211CB">
      <w:pPr>
        <w:ind w:left="851" w:hanging="284"/>
        <w:rPr>
          <w:color w:val="000000" w:themeColor="text1"/>
        </w:rPr>
      </w:pPr>
      <w:r>
        <w:rPr>
          <w:color w:val="000000" w:themeColor="text1"/>
        </w:rPr>
        <w:t>b) „egyéb ásványi eredetű inert hulladék”: a 2000/532/EK határozatban említett európai hulladékjegyzék 17. fejezetébe nem tartozó és az e rendelet 1. melléklete 1. táblázatának 2. pontjában felsorolt hulladék;</w:t>
      </w:r>
    </w:p>
    <w:p w14:paraId="41FCC9E7" w14:textId="77777777" w:rsidR="008647FF" w:rsidRPr="00CA20B5" w:rsidRDefault="008647FF" w:rsidP="005211CB">
      <w:pPr>
        <w:ind w:left="851" w:hanging="284"/>
        <w:rPr>
          <w:color w:val="000000" w:themeColor="text1"/>
        </w:rPr>
      </w:pPr>
      <w:r>
        <w:rPr>
          <w:color w:val="000000" w:themeColor="text1"/>
        </w:rPr>
        <w:t>c) „inert hulladék”: építési és bontási tevékenységekből származó szilárd hulladék és egyéb ásványi eredetű inert hulladék, amely nem megy át jelentős fizikai, kémiai vagy biológiai átalakuláson; az inert hulladék nem oldódhat, nem éghet el és nem mehet át semmilyen más fizikai vagy kémiai reakciónak, nem lehet biológiailag lebomló, és más anyagokkal való érintkezés esetén nem okozhat olyan káros hatást, amely környezetszennyezést vagy az emberi egészség károsodását eredményezné;</w:t>
      </w:r>
    </w:p>
    <w:p w14:paraId="19DA6921" w14:textId="77777777" w:rsidR="008647FF" w:rsidRPr="00CA20B5" w:rsidRDefault="008647FF" w:rsidP="005211CB">
      <w:pPr>
        <w:ind w:left="851" w:hanging="284"/>
        <w:rPr>
          <w:color w:val="auto"/>
        </w:rPr>
      </w:pPr>
      <w:r>
        <w:t>d) „visszanyert aggregátum”; az a) és b) pontban említett hulladék, amely a 2006. április 3-i 152. sz. törvényerejű rendelet 184b. cikkének (1) bekezdésében és e rendeletben foglalt rendelkezéseknek megfelelően egy vagy több hasznosítási művelet következtében már nem minősül hulladéknak;</w:t>
      </w:r>
    </w:p>
    <w:p w14:paraId="6AFFD208" w14:textId="77777777" w:rsidR="008647FF" w:rsidRPr="00CA20B5" w:rsidRDefault="008647FF" w:rsidP="005211CB">
      <w:pPr>
        <w:ind w:left="851" w:hanging="284"/>
      </w:pPr>
      <w:r>
        <w:t>e) „visszanyert aggregátum tétel”: legfeljebb 3000 köbméter visszanyert aggregátum;</w:t>
      </w:r>
    </w:p>
    <w:p w14:paraId="73295BD6" w14:textId="77777777" w:rsidR="008647FF" w:rsidRPr="00CA20B5" w:rsidRDefault="008647FF" w:rsidP="005211CB">
      <w:pPr>
        <w:ind w:left="851" w:hanging="284"/>
      </w:pPr>
      <w:r>
        <w:t>f) „visszanyert aggregátum gyártója”: a visszanyert aggregátum előállítására engedélyezett üzem üzemeltetője (a továbbiakban csak: gyártó);</w:t>
      </w:r>
    </w:p>
    <w:p w14:paraId="14B52658" w14:textId="77777777" w:rsidR="008647FF" w:rsidRPr="00CA20B5" w:rsidRDefault="008647FF" w:rsidP="005211CB">
      <w:pPr>
        <w:ind w:left="851" w:hanging="284"/>
      </w:pPr>
      <w:r>
        <w:t>g) „megfelelőségi nyilatkozat”: a gyártó által kiadott, a visszanyert aggregátum jellemzőit igazoló, az 5. cikkben említett, a gyártó által kiadott nyilatkozatot helyettesítő nyilatkozat;</w:t>
      </w:r>
    </w:p>
    <w:p w14:paraId="5542E487" w14:textId="048CAC5A" w:rsidR="008647FF" w:rsidRPr="00CA20B5" w:rsidRDefault="008647FF" w:rsidP="005211CB">
      <w:pPr>
        <w:ind w:left="851" w:hanging="284"/>
      </w:pPr>
      <w:r>
        <w:t>h) „illetékes hatóság”: a 2006. április 3-i 152. sz. törvényerejű rendelet II. rész IIIa. címe vagy IV. rész IV. fejezetének I. címe alapján engedélyt kiadó hatóság, azaz az említett rendelet 216. cikkében említett közleményt fogadó hatóság.</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3. cikk </w:t>
      </w:r>
    </w:p>
    <w:p w14:paraId="147552D8" w14:textId="688C6A32" w:rsidR="000B2060" w:rsidRPr="00607D0C" w:rsidRDefault="009E72B8" w:rsidP="00F51F5E">
      <w:pPr>
        <w:pStyle w:val="Heading1"/>
        <w:spacing w:after="120"/>
        <w:ind w:left="11" w:right="62" w:hanging="11"/>
        <w:rPr>
          <w:b w:val="0"/>
          <w:i/>
        </w:rPr>
      </w:pPr>
      <w:r>
        <w:rPr>
          <w:b w:val="0"/>
          <w:i/>
        </w:rPr>
        <w:t xml:space="preserve">A hulladékstátusz megszűnésének kritériumai  </w:t>
      </w:r>
    </w:p>
    <w:p w14:paraId="73F7D280" w14:textId="12E55F31" w:rsidR="000B2060" w:rsidRDefault="009E72B8" w:rsidP="00CA20B5">
      <w:pPr>
        <w:pStyle w:val="ListParagraph"/>
        <w:numPr>
          <w:ilvl w:val="0"/>
          <w:numId w:val="40"/>
        </w:numPr>
        <w:spacing w:after="12" w:line="267" w:lineRule="auto"/>
        <w:ind w:right="51"/>
      </w:pPr>
      <w:r>
        <w:t xml:space="preserve">A 2006. április 3-i 152. sz. törvényerejű rendelet 1. cikkének alkalmazásában és 184b. cikke értelmében, illetve alkalmazásában az építési és bontási tevékenységből származó inert hulladék, valamint a 2. cikk a) és b) pontjában meghatározott egyéb inert ásványi eredetű hulladék nem minősül hulladéknak, és hasznosított aggregátumként kell besorolni, ha az </w:t>
      </w:r>
      <w:r>
        <w:rPr>
          <w:color w:val="auto"/>
        </w:rPr>
        <w:t xml:space="preserve">megfelel az </w:t>
      </w:r>
      <w:r>
        <w:t xml:space="preserve">1. mellékletben meghatározott kritériumoknak.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lastRenderedPageBreak/>
        <w:t xml:space="preserve">4. cikk </w:t>
      </w:r>
    </w:p>
    <w:p w14:paraId="6DB7C9A8" w14:textId="1626EFD9" w:rsidR="000B2060" w:rsidRPr="008610D3" w:rsidRDefault="009E72B8" w:rsidP="00F51F5E">
      <w:pPr>
        <w:pStyle w:val="Heading1"/>
        <w:spacing w:after="120"/>
        <w:ind w:left="11" w:right="62" w:hanging="11"/>
        <w:rPr>
          <w:b w:val="0"/>
          <w:i/>
        </w:rPr>
      </w:pPr>
      <w:r>
        <w:rPr>
          <w:b w:val="0"/>
          <w:i/>
        </w:rPr>
        <w:t xml:space="preserve">Különleges felhasználás </w:t>
      </w:r>
    </w:p>
    <w:p w14:paraId="0D851D94" w14:textId="66DC1D1D" w:rsidR="000B2060" w:rsidRDefault="009E72B8" w:rsidP="00CA20B5">
      <w:pPr>
        <w:pStyle w:val="ListParagraph"/>
        <w:numPr>
          <w:ilvl w:val="0"/>
          <w:numId w:val="41"/>
        </w:numPr>
        <w:spacing w:after="12" w:line="267" w:lineRule="auto"/>
        <w:ind w:right="51"/>
      </w:pPr>
      <w:r>
        <w:t xml:space="preserve">A visszanyert aggregátum csak a 2. mellékletben felsorolt célokra használható fel.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5. cikk </w:t>
      </w:r>
    </w:p>
    <w:p w14:paraId="2A0C2A18" w14:textId="26FCCECD" w:rsidR="000B2060" w:rsidRPr="008610D3" w:rsidRDefault="009E72B8" w:rsidP="00F51F5E">
      <w:pPr>
        <w:pStyle w:val="Heading1"/>
        <w:spacing w:after="120"/>
        <w:ind w:left="11" w:right="62" w:hanging="11"/>
        <w:rPr>
          <w:i/>
        </w:rPr>
      </w:pPr>
      <w:r>
        <w:rPr>
          <w:b w:val="0"/>
          <w:i/>
        </w:rPr>
        <w:t xml:space="preserve">Megfelelőségi nyilatkozat és a minták megőrzésére vonatkozó rendelkezések </w:t>
      </w:r>
    </w:p>
    <w:p w14:paraId="2FB7AF9D" w14:textId="6C743069" w:rsidR="000B2060" w:rsidRDefault="009E72B8" w:rsidP="00CA20B5">
      <w:pPr>
        <w:pStyle w:val="ListParagraph"/>
        <w:numPr>
          <w:ilvl w:val="0"/>
          <w:numId w:val="42"/>
        </w:numPr>
        <w:spacing w:after="12" w:line="267" w:lineRule="auto"/>
        <w:ind w:right="51"/>
      </w:pPr>
      <w:r>
        <w:t xml:space="preserve">A 3. cikkben említett kritériumoknak való megfelelést a visszanyert aggregátum gyártója igazolja a 2000. december 28-i 445. sz. elnöki rendelet 47. cikke szerinti, minden egyes termelt aggregátum tételre készített nyilatkozat helyett tett nyilatkozat alapján. A nyilatkozatot a 3. mellékletben található formanyomtatványon kell elkészíteni, és a 2005. március 7-i 82. sz. törvényerejű rendelet 65. cikkében említett módszerek valamelyikével kell megküldeni az illetékes hatóságnak és a területileg illetékes környezetvédelmi hivatalnak. </w:t>
      </w:r>
    </w:p>
    <w:p w14:paraId="34D8EC28" w14:textId="599778F9" w:rsidR="000B2060" w:rsidRDefault="009E72B8" w:rsidP="00CA20B5">
      <w:pPr>
        <w:pStyle w:val="ListParagraph"/>
        <w:numPr>
          <w:ilvl w:val="0"/>
          <w:numId w:val="40"/>
        </w:numPr>
        <w:ind w:right="51"/>
      </w:pPr>
      <w:r>
        <w:t xml:space="preserve">A visszanyert aggregátum gyártója az (1) bekezdésben említett nyilatkozat egy példányát a termelőüzemben vagy a székhelyén – akár elektronikus formában is – megőrzi, és azt az ellenőrző hatóságok számára hozzáférhetővé teszi, ha azok azt kérik.  </w:t>
      </w:r>
    </w:p>
    <w:p w14:paraId="00E8975F" w14:textId="26A2EED6" w:rsidR="000B2060" w:rsidRDefault="005211CB" w:rsidP="00CA20B5">
      <w:pPr>
        <w:pStyle w:val="ListParagraph"/>
        <w:numPr>
          <w:ilvl w:val="0"/>
          <w:numId w:val="40"/>
        </w:numPr>
        <w:ind w:right="51"/>
      </w:pPr>
      <w:r>
        <w:t xml:space="preserve">A 3. cikkben meghatározott kritériumoknak való megfelelés érdekében a visszanyert aggregátum gyártójának öt évig a gyártóüzemben vagy a székhelyén meg kell őriznie a visszanyert aggregátumból az UNI 10802 szabványnak megfelelően, minden egyes visszanyert aggregátum tétel gyártási folyamatának végén vett mintát. A minta tárolására olyan módszert kell alkalmazni, amely biztosítja, hogy a visszanyert aggregátum kémiai és fizikai jellemzői ne változzanak meg, és alkalmasak legyenek az elemzések megismétlésére.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6. cikk </w:t>
      </w:r>
    </w:p>
    <w:p w14:paraId="0ADCBA18" w14:textId="61BFB2AB" w:rsidR="000B2060" w:rsidRPr="008610D3" w:rsidRDefault="009E72B8" w:rsidP="007B53AC">
      <w:pPr>
        <w:pStyle w:val="Heading1"/>
        <w:spacing w:after="120"/>
        <w:ind w:left="11" w:right="62" w:hanging="11"/>
        <w:rPr>
          <w:b w:val="0"/>
          <w:i/>
        </w:rPr>
      </w:pPr>
      <w:r>
        <w:rPr>
          <w:b w:val="0"/>
          <w:i/>
        </w:rPr>
        <w:t xml:space="preserve">Irányítási rendszer  </w:t>
      </w:r>
    </w:p>
    <w:p w14:paraId="0DD1A645" w14:textId="3688D537" w:rsidR="000B2060" w:rsidRPr="00CA20B5" w:rsidRDefault="005211CB" w:rsidP="00CA20B5">
      <w:pPr>
        <w:pStyle w:val="ListParagraph"/>
        <w:numPr>
          <w:ilvl w:val="0"/>
          <w:numId w:val="43"/>
        </w:numPr>
        <w:ind w:right="51"/>
      </w:pPr>
      <w:r>
        <w:t>A visszanyert aggregátum gyártója az UNI EN ISO 9001 szabvány szerinti minőségirányítási rendszert alkalmaz, amelyet a hatályos jogszabályoknak megfelelően akkreditált szervezet tanúsít, és amely igazolja az e rendeletben meghatározott kritériumoknak való megfelelést. A minőségügyi kézikönyvnek tartalmaznia kell a mintavételi és önellenőrzési terv 1. mellékletében meghatározott kritériumoknak való megfelelés jellemzőinek ellenőrzésére szolgáló működési eljárásokat.</w:t>
      </w:r>
    </w:p>
    <w:p w14:paraId="71F6D2EA" w14:textId="171C3204" w:rsidR="005211CB" w:rsidRPr="001B60FC" w:rsidRDefault="005211CB" w:rsidP="00CA20B5">
      <w:pPr>
        <w:pStyle w:val="ListParagraph"/>
        <w:numPr>
          <w:ilvl w:val="0"/>
          <w:numId w:val="43"/>
        </w:numPr>
        <w:ind w:right="51"/>
      </w:pPr>
      <w:r>
        <w:t>Az 5. cikk (3) bekezdésében említett rendelkezések nem alkalmazandók a 2009. november 25-i 1221/2009/EK európai parlamenti és tanácsi rendelet szerinti bejegyzett társaságokra, illetve az alkalmazandó jogszabályok szerint akkreditált szerv által kibocsátott UNI EN ISO 14001 környezetvédelmi tanúsítvánnyal rendelkező társaságokra.</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7. cikk </w:t>
      </w:r>
    </w:p>
    <w:p w14:paraId="3EE44B21" w14:textId="4328195D" w:rsidR="000B2060" w:rsidRPr="001571B3" w:rsidRDefault="009E72B8" w:rsidP="007B53AC">
      <w:pPr>
        <w:pStyle w:val="Heading1"/>
        <w:spacing w:after="120"/>
        <w:ind w:left="11" w:right="62" w:hanging="11"/>
        <w:rPr>
          <w:b w:val="0"/>
          <w:i/>
        </w:rPr>
      </w:pPr>
      <w:r>
        <w:rPr>
          <w:b w:val="0"/>
          <w:i/>
        </w:rPr>
        <w:t xml:space="preserve">Átmeneti és záró rendelkezések </w:t>
      </w:r>
    </w:p>
    <w:p w14:paraId="77F5A694" w14:textId="21F82AE1" w:rsidR="000B2060" w:rsidRDefault="009E72B8" w:rsidP="00CA20B5">
      <w:pPr>
        <w:pStyle w:val="ListParagraph"/>
        <w:numPr>
          <w:ilvl w:val="0"/>
          <w:numId w:val="44"/>
        </w:numPr>
        <w:ind w:right="51"/>
      </w:pPr>
      <w:r>
        <w:t xml:space="preserve"> Az ebben a rendeletben megállapított kritériumoknak való megfelelés érdekében a gyártónak e rendelet hatálybalépésétől számított 180 napon belül be kell nyújtania az illetékes hatósághoz a 2006. április 3-i 152. sz. törvényerejű rendelet 216. cikke szerinti, a visszanyerhető maximális mennyiséget feltüntető, aktualizált közleményt, vagy a 2006. április 3-i 152. sz. törvényerejű rendelet IV. fejezete IV. részének I. címe, vagy II. részének IIIa. címe alapján kiadott engedély </w:t>
      </w:r>
      <w:r>
        <w:lastRenderedPageBreak/>
        <w:t xml:space="preserve">aktualizálása iránti kérelmet. Az egyszerűsített eljárások esetében az 1998. február 5-i környezetvédelmi miniszteri rendeletben a 4. mellékletben meghatározott mennyiségi korlátozások, az 5. mellékletben meghatározott műszaki szabványok és az 1. melléklet 2. almellékletében meghatározott kibocsátási határértékek továbbra is rögzítettek maradnak. </w:t>
      </w:r>
    </w:p>
    <w:p w14:paraId="26047A06" w14:textId="77777777" w:rsidR="000B2060" w:rsidRDefault="009E72B8" w:rsidP="00CA20B5">
      <w:pPr>
        <w:pStyle w:val="ListParagraph"/>
        <w:numPr>
          <w:ilvl w:val="0"/>
          <w:numId w:val="44"/>
        </w:numPr>
        <w:ind w:right="51"/>
      </w:pPr>
      <w:r>
        <w:t xml:space="preserve">Az (1) bekezdésben említett kiigazításig a már engedélyezett hasznosítási eljárásokból származó anyagok felhasználhatók a 4. cikkben említett konkrét célokra, ha olyan jellemzőkkel rendelkeznek, amelyek megfelelnek a 3. cikkben meghatározott kritériumoknak, és amelyeket az 5. cikk szerinti megfelelőségi nyilatkozat tanúsít. </w:t>
      </w:r>
    </w:p>
    <w:p w14:paraId="14C9EE35" w14:textId="3E32E2C5" w:rsidR="000B2060" w:rsidRDefault="009E72B8" w:rsidP="00CA20B5">
      <w:pPr>
        <w:pStyle w:val="ListParagraph"/>
        <w:numPr>
          <w:ilvl w:val="0"/>
          <w:numId w:val="44"/>
        </w:numPr>
        <w:ind w:right="51"/>
      </w:pPr>
      <w:r>
        <w:t xml:space="preserve">A mellékletek e rendelet szerves részét képezik.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Ezt az állam pecsétjével ellátott rendeletet fel kell venni az Olasz Köztársaság jogi aktusainak hivatalos gyűjteményébe. Minden érintett félnek köteles betartani e rendeletet és biztosítania kell annak betartását.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1. melléklet (3. cikk)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alkalmas hulladék. </w:t>
      </w:r>
    </w:p>
    <w:p w14:paraId="14E32E02" w14:textId="44D47E89" w:rsidR="001A66C5" w:rsidRPr="00E126AE" w:rsidRDefault="001A66C5" w:rsidP="001A66C5">
      <w:pPr>
        <w:spacing w:after="0" w:line="259" w:lineRule="auto"/>
        <w:ind w:left="0" w:firstLine="0"/>
        <w:rPr>
          <w:color w:val="auto"/>
          <w:sz w:val="22"/>
        </w:rPr>
      </w:pPr>
      <w:r>
        <w:rPr>
          <w:color w:val="auto"/>
        </w:rPr>
        <w:t>Kizárólag az 1. táblázat 1. pontjában meghatározott nem veszélyes építési és bontási inert hulladék, valamint az 1. táblázat 2. pontjában felsorolt nem veszélyes ásványi eredetű inert hulladék használható fel visszanyert aggregátum előállítására.</w:t>
      </w:r>
    </w:p>
    <w:p w14:paraId="520B0D8E" w14:textId="0360FF1C" w:rsidR="001A66C5" w:rsidRPr="00E126AE" w:rsidRDefault="00D55B0D" w:rsidP="00435FEC">
      <w:pPr>
        <w:spacing w:after="0" w:line="259" w:lineRule="auto"/>
        <w:ind w:left="0" w:firstLine="0"/>
        <w:rPr>
          <w:color w:val="auto"/>
        </w:rPr>
      </w:pPr>
      <w:r>
        <w:rPr>
          <w:color w:val="auto"/>
        </w:rPr>
        <w:t>A hasznosított aggregátum előállítására alkalmas hulladék kizárólag olyan termékekből származik, amelyeket a 2000/532/EK határozat és a 2008/98/EK irányelv értelmében azbeszttartalmú anyagok, PCB-tartalmú/szennyezett berendezések, bitumenes köpenyek, potenciálisan veszélyes bevonatok és szigetelőanyagok, valamint a szennyezett vagy veszélyes anyagokat tartalmazó egyéb anyagok eltávolítására irányuló előzetes fertőtlenítési/rehabilitációs műveleteknek vetettek alá. Az engedélyezett hulladékok elsősorban szelektíven bontott termékekből származnak.</w:t>
      </w:r>
    </w:p>
    <w:p w14:paraId="3AB8468F" w14:textId="5C103CE9" w:rsidR="000B2060" w:rsidRPr="00E126AE" w:rsidRDefault="001A66C5" w:rsidP="001A66C5">
      <w:pPr>
        <w:spacing w:after="0" w:line="259" w:lineRule="auto"/>
        <w:ind w:left="0" w:firstLine="0"/>
        <w:rPr>
          <w:color w:val="auto"/>
        </w:rPr>
      </w:pPr>
      <w:r>
        <w:rPr>
          <w:color w:val="auto"/>
        </w:rPr>
        <w:t xml:space="preserve">A felhagyott vagy eltemetett építési és bontási tevékenységekből származó hulladék nem alkalmas a visszanyert aggregátum előállítására.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Építési és bontási tevékenységekből származó inert hulladék </w:t>
            </w:r>
            <w:r>
              <w:rPr>
                <w:color w:val="auto"/>
              </w:rPr>
              <w:t xml:space="preserve">(az európai hulladékjegyzék 17. fejezete)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Tégla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Csempe és kerámiák </w:t>
            </w:r>
          </w:p>
          <w:p w14:paraId="26105786" w14:textId="0427E9EF" w:rsidR="00563958" w:rsidRDefault="00563958" w:rsidP="001F73B8">
            <w:pPr>
              <w:spacing w:after="0" w:line="259" w:lineRule="auto"/>
              <w:ind w:left="708" w:right="60" w:hanging="708"/>
              <w:rPr>
                <w:color w:val="auto"/>
              </w:rPr>
            </w:pPr>
            <w:r>
              <w:rPr>
                <w:color w:val="auto"/>
              </w:rPr>
              <w:t xml:space="preserve">170107 Cement, tégla, csempe és kerámia keveréke vagy salakja, az 170106 cím alá tartozók kivételével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Bitumenes keverékek, az 170301 cím alá tartozók kivételével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Ásási föld és kőzet, az 170503 cím alá tartozók kivételével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Zúzott kő vasúti ballaszthoz, az 170507 cím alá tartozó kivételével </w:t>
            </w:r>
          </w:p>
          <w:p w14:paraId="1FC36289" w14:textId="77777777" w:rsidR="00563958" w:rsidRPr="001A66C5" w:rsidRDefault="00563958" w:rsidP="001F73B8">
            <w:pPr>
              <w:spacing w:after="0" w:line="259" w:lineRule="auto"/>
              <w:ind w:left="699" w:right="60" w:hanging="708"/>
              <w:rPr>
                <w:color w:val="auto"/>
              </w:rPr>
            </w:pPr>
            <w:r>
              <w:rPr>
                <w:color w:val="auto"/>
              </w:rPr>
              <w:t>170904 Vegyes építési és bontási hulladék, az 170901, 170902 és 170903 cím alá tartozó kivételével</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Egyéb ásványi eredetű inert hulladék (</w:t>
            </w:r>
            <w:r>
              <w:rPr>
                <w:color w:val="auto"/>
              </w:rPr>
              <w:t>nem tartozik az európai hulladékjegyzék 17. fejezetébe)</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Kavics és zúzottkő-hulladék, a 01 04 07 cím alá tartozó kivételével </w:t>
            </w:r>
          </w:p>
          <w:p w14:paraId="23AB3524" w14:textId="09169AA3" w:rsidR="000B2060" w:rsidRPr="001A66C5" w:rsidRDefault="009E72B8">
            <w:pPr>
              <w:spacing w:after="16" w:line="259" w:lineRule="auto"/>
              <w:ind w:left="0" w:firstLine="0"/>
              <w:jc w:val="left"/>
              <w:rPr>
                <w:color w:val="auto"/>
              </w:rPr>
            </w:pPr>
            <w:r>
              <w:rPr>
                <w:color w:val="auto"/>
              </w:rPr>
              <w:t xml:space="preserve">010409 Homok- és agyaghulladék </w:t>
            </w:r>
          </w:p>
          <w:p w14:paraId="7A226E88" w14:textId="77777777" w:rsidR="000B2060" w:rsidRPr="001A66C5" w:rsidRDefault="009E72B8">
            <w:pPr>
              <w:spacing w:after="16" w:line="259" w:lineRule="auto"/>
              <w:ind w:left="0" w:firstLine="0"/>
              <w:jc w:val="left"/>
              <w:rPr>
                <w:color w:val="auto"/>
              </w:rPr>
            </w:pPr>
            <w:r>
              <w:rPr>
                <w:color w:val="auto"/>
              </w:rPr>
              <w:t xml:space="preserve">010410 Por és hasonló maradékok, a 010407 cím alá tartozók kivételével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Kőzet darabolásából és fűrészeléséből származó hulladék, a 010407 cím alá tartozó kivételével </w:t>
            </w:r>
          </w:p>
          <w:p w14:paraId="4AE084E7" w14:textId="18C3375C" w:rsidR="000B2060" w:rsidRPr="001A66C5" w:rsidRDefault="009E72B8">
            <w:pPr>
              <w:spacing w:after="16" w:line="259" w:lineRule="auto"/>
              <w:ind w:left="0" w:firstLine="0"/>
              <w:jc w:val="left"/>
              <w:rPr>
                <w:color w:val="auto"/>
              </w:rPr>
            </w:pPr>
            <w:r>
              <w:rPr>
                <w:color w:val="auto"/>
              </w:rPr>
              <w:t xml:space="preserve">101201 Keverék előállításából származó, hőkezeletlen maradékanyagok </w:t>
            </w:r>
          </w:p>
          <w:p w14:paraId="7FE59863" w14:textId="77777777" w:rsidR="000B2060" w:rsidRDefault="009E72B8">
            <w:pPr>
              <w:spacing w:after="0" w:line="259" w:lineRule="auto"/>
              <w:ind w:left="708" w:right="60" w:hanging="708"/>
              <w:rPr>
                <w:color w:val="auto"/>
              </w:rPr>
            </w:pPr>
            <w:r>
              <w:rPr>
                <w:color w:val="auto"/>
              </w:rPr>
              <w:t xml:space="preserve">101206 Kizárólag kiégetetlen, mázas és égetett kerámiatermékek darabjaiból és hulladékából, vagy égetett terrakotta-forgácsból és duzzasztott agyagból álló, esetleg kiégetetlen mázzal borított törmelékformák, &lt;10 tömegszázalék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Kerámiahulladék, tégla, csempe és építőanyagok (hőkezelt)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Cementalapú kompozit anyagok előállításából származó hulladék, az 101309 és 101310 cím alá tartozók kivételével </w:t>
            </w:r>
          </w:p>
          <w:p w14:paraId="4442198A" w14:textId="43BD1BC2" w:rsidR="00D55B0D" w:rsidRDefault="00563958" w:rsidP="00563958">
            <w:pPr>
              <w:spacing w:after="0" w:line="259" w:lineRule="auto"/>
              <w:ind w:left="708" w:right="60" w:hanging="708"/>
              <w:rPr>
                <w:color w:val="auto"/>
              </w:rPr>
            </w:pPr>
            <w:r>
              <w:rPr>
                <w:color w:val="auto"/>
              </w:rPr>
              <w:t xml:space="preserve">120117 Fúvóanyag-maradékok, a 120116 cím alá tartozók kivételével, amelyek kizárólag csiszolóhomok-hulladékból állnak </w:t>
            </w:r>
          </w:p>
          <w:p w14:paraId="225763E4" w14:textId="46F1C5E7" w:rsidR="00563958" w:rsidRPr="001A66C5" w:rsidRDefault="00563958" w:rsidP="00563958">
            <w:pPr>
              <w:spacing w:after="0" w:line="259" w:lineRule="auto"/>
              <w:ind w:left="708" w:right="60" w:hanging="708"/>
              <w:rPr>
                <w:color w:val="auto"/>
              </w:rPr>
            </w:pPr>
            <w:r>
              <w:rPr>
                <w:color w:val="auto"/>
              </w:rPr>
              <w:t>191209 Ásványi anyagok (pl. homok, kőzetek)</w:t>
            </w:r>
          </w:p>
        </w:tc>
      </w:tr>
    </w:tbl>
    <w:p w14:paraId="2957BE6E" w14:textId="68A671EE" w:rsidR="000B2060" w:rsidRDefault="001A66C5" w:rsidP="001A66C5">
      <w:pPr>
        <w:spacing w:after="0" w:line="259" w:lineRule="auto"/>
        <w:ind w:left="0" w:firstLine="0"/>
        <w:jc w:val="center"/>
      </w:pPr>
      <w:r>
        <w:rPr>
          <w:sz w:val="18"/>
        </w:rPr>
        <w:t>1. táblázat – A visszanyert aggregátum előállításához engedélyezett hulladék</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lastRenderedPageBreak/>
        <w:t xml:space="preserve">b) A beérkező hulladék ellenőrzése.  </w:t>
      </w:r>
    </w:p>
    <w:p w14:paraId="2EC2AED3" w14:textId="77777777" w:rsidR="00E126AE" w:rsidRPr="00E126AE" w:rsidRDefault="00E126AE" w:rsidP="00E126AE">
      <w:pPr>
        <w:spacing w:after="0" w:line="259" w:lineRule="auto"/>
        <w:ind w:left="0" w:firstLine="0"/>
        <w:rPr>
          <w:color w:val="auto"/>
          <w:sz w:val="22"/>
        </w:rPr>
      </w:pPr>
      <w:r>
        <w:rPr>
          <w:color w:val="auto"/>
        </w:rPr>
        <w:t>A visszanyert aggregátum előállítására engedélyezett hulladékot a beérkező hulladékot kísérő dokumentáció vizsgálatának, szemrevételezéses ellenőrzésnek és szükség esetén további ellenőrzéseknek kell alávetni.</w:t>
      </w:r>
    </w:p>
    <w:p w14:paraId="7DB9A040" w14:textId="281FD861" w:rsidR="00E126AE" w:rsidRPr="00E126AE" w:rsidRDefault="00E126AE" w:rsidP="00E126AE">
      <w:pPr>
        <w:spacing w:after="0" w:line="259" w:lineRule="auto"/>
        <w:ind w:left="0" w:firstLine="0"/>
        <w:rPr>
          <w:color w:val="auto"/>
        </w:rPr>
      </w:pPr>
      <w:r>
        <w:rPr>
          <w:color w:val="auto"/>
        </w:rPr>
        <w:t>Ebből a célból a visszanyert aggregátum gyártójának rendelkeznie kell a hulladékok átvételének ellenőrzési rendszerével, amely ellenőrzi, hogy a hulladék megfelel-e az e rendeletben meghatározott jellemzőknek.</w:t>
      </w:r>
    </w:p>
    <w:p w14:paraId="5545C204" w14:textId="44B7EC22" w:rsidR="00E126AE" w:rsidRPr="00E126AE" w:rsidRDefault="00E126AE" w:rsidP="00E126AE">
      <w:pPr>
        <w:spacing w:after="0" w:line="259" w:lineRule="auto"/>
        <w:ind w:left="0" w:firstLine="0"/>
        <w:rPr>
          <w:color w:val="auto"/>
        </w:rPr>
      </w:pPr>
      <w:r>
        <w:rPr>
          <w:color w:val="auto"/>
        </w:rPr>
        <w:t xml:space="preserve">A 2009. november 25-i 1221/2009/EK európai parlamenti és tanácsi rendelet szerint nyilvántartásba vett vállalkozások, valamint a hatályos jogszabályok szerint akkreditált szervezet által kiadott UNI EN ISO 14001 környezetvédelmi tanúsítvánnyal rendelkező vállalkozások esetében ezt a rendszert be kell építeni a környezetvédelmi vezetési rendszerbe. </w:t>
      </w:r>
    </w:p>
    <w:p w14:paraId="7030FC93" w14:textId="77777777" w:rsidR="00E126AE" w:rsidRPr="00E126AE" w:rsidRDefault="00E126AE" w:rsidP="00E126AE">
      <w:pPr>
        <w:spacing w:after="0" w:line="259" w:lineRule="auto"/>
        <w:ind w:left="0" w:firstLine="0"/>
        <w:rPr>
          <w:color w:val="auto"/>
        </w:rPr>
      </w:pPr>
      <w:r>
        <w:rPr>
          <w:color w:val="auto"/>
        </w:rPr>
        <w:t>A rendszernek legalább az alábbi kötelezettségeknek való megfelelést kell biztosítania, és meg kell követelnie az észlelt meg nem felelések kezelésére, nyomon követhetőségére és jelentésére szolgáló eljárás létrehozását:</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a beérkező hulladékrakományt kísérő dokumentáció vizsgálata megfelelő képzettséggel rendelkező személyzet által;</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a beérkező hulladékrakomány szemrevételezéssel történő ellenőrzése;</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az ilyen hulladékok átvétele csak abban az esetben, ha a kísérő dokumentáció vizsgálata és a szemrevételezés sikeres, a hulladékok szétválogatására, valamint az idegen anyagok eltávolítására és elkülönítésére évente képzett és továbbképzésben részesülő személyzet ellenőrzése mellett;</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a beérkező hulladékrakomány adatainak mérése és rögzítése;</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az ebben a rendeletben meghatározott kritériumoknak nem megfelelő hulladék elkülönített tárolása egy erre a célra kijelölt területen;</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az e melléklet l. táblázatában meghatározott, a követelményeknek megfelelő hulladékok tartalékba helyezése a kizárólag erre a célra kijelölt területen, amely úgy van kialakítva, hogy megakadályozza a keveredést – beleértve a véletlen keveredést is – más típusú, nem megengedett hulladékokkal;</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a visszanyert aggregátumok előállítására küldött hulladékok kezelése olyan személyzet által, amely éves képzésben és továbbképzésben részesül annak érdekében, hogy a hulladékok más hulladékkal vagy idegen anyagokkal való szennyeződését megelőzzék;</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további ellenőrzések elvégzése, beleértve az analitikai ellenőrzéseket is, szúrópróbaszerűen, vagy amikor a dokumentáció elemzése és/vagy a szemrevételezés ezt szükségessé teszi. </w:t>
      </w:r>
    </w:p>
    <w:p w14:paraId="0164859B" w14:textId="77777777" w:rsidR="000B2060" w:rsidRDefault="009E72B8">
      <w:pPr>
        <w:spacing w:after="18" w:line="259" w:lineRule="auto"/>
        <w:ind w:left="-5"/>
        <w:jc w:val="left"/>
      </w:pPr>
      <w:r>
        <w:rPr>
          <w:b/>
        </w:rPr>
        <w:t xml:space="preserve">c) Minimális gyártási folyamat és tárolás a gyártónál </w:t>
      </w:r>
    </w:p>
    <w:p w14:paraId="0866423C" w14:textId="77777777" w:rsidR="000B2060" w:rsidRDefault="009E72B8">
      <w:pPr>
        <w:spacing w:after="35" w:line="267" w:lineRule="auto"/>
        <w:ind w:left="-5" w:right="49"/>
      </w:pPr>
      <w:r>
        <w:t xml:space="preserve">A 2. cikk a) és b) pontjában meghatározott „építési és bontási tevékenységekből származó inert hulladék” és az „egyéb ásványi eredetű inert hulladék” kezelési és hasznosítási folyamata a hasznosított aggregátum előállításához szükséges, mechanikai és technológiailag egymással összefüggő lépések révén történik, mint például: </w:t>
      </w:r>
    </w:p>
    <w:p w14:paraId="5607B0BE" w14:textId="77777777" w:rsidR="000B2060" w:rsidRDefault="009E72B8">
      <w:pPr>
        <w:numPr>
          <w:ilvl w:val="0"/>
          <w:numId w:val="6"/>
        </w:numPr>
        <w:spacing w:after="44"/>
        <w:ind w:right="51" w:hanging="708"/>
      </w:pPr>
      <w:r>
        <w:t xml:space="preserve">őrlés,  </w:t>
      </w:r>
    </w:p>
    <w:p w14:paraId="0014502B" w14:textId="77777777" w:rsidR="000B2060" w:rsidRDefault="009E72B8">
      <w:pPr>
        <w:numPr>
          <w:ilvl w:val="0"/>
          <w:numId w:val="6"/>
        </w:numPr>
        <w:spacing w:after="46"/>
        <w:ind w:right="51" w:hanging="708"/>
      </w:pPr>
      <w:r>
        <w:t xml:space="preserve">szitálás,  </w:t>
      </w:r>
    </w:p>
    <w:p w14:paraId="2654230A" w14:textId="77777777" w:rsidR="000B2060" w:rsidRDefault="009E72B8">
      <w:pPr>
        <w:numPr>
          <w:ilvl w:val="0"/>
          <w:numId w:val="6"/>
        </w:numPr>
        <w:spacing w:after="44"/>
        <w:ind w:right="51" w:hanging="708"/>
      </w:pPr>
      <w:r>
        <w:t xml:space="preserve">granulometriai kiválasztás, </w:t>
      </w:r>
    </w:p>
    <w:p w14:paraId="04D110ED" w14:textId="77777777" w:rsidR="000B2060" w:rsidRDefault="009E72B8">
      <w:pPr>
        <w:numPr>
          <w:ilvl w:val="0"/>
          <w:numId w:val="6"/>
        </w:numPr>
        <w:ind w:right="51" w:hanging="708"/>
      </w:pPr>
      <w:r>
        <w:t xml:space="preserve">a fémfrakció és a nem kívánt frakciók elkülönítése.  </w:t>
      </w:r>
    </w:p>
    <w:p w14:paraId="6383107D" w14:textId="77777777" w:rsidR="000B2060" w:rsidRDefault="009E72B8">
      <w:pPr>
        <w:ind w:left="-5" w:right="51"/>
      </w:pPr>
      <w:r>
        <w:t xml:space="preserve">A hasznosítási folyamat – az anyag típusától függően – az összes vagy csak néhány említett lépés, illetve az ebben a rendeletben meghatározott kritériumoknak való megfelelést lehetővé tevő egyéb mechanikai eljárásoknak az elvégzésével történik. </w:t>
      </w:r>
    </w:p>
    <w:p w14:paraId="0F8FFEA4" w14:textId="6463D22A" w:rsidR="00FC1B37" w:rsidRDefault="00FC1B37" w:rsidP="00FC1B37">
      <w:pPr>
        <w:spacing w:after="19" w:line="259" w:lineRule="auto"/>
        <w:ind w:left="0" w:firstLine="0"/>
      </w:pPr>
      <w:r>
        <w:lastRenderedPageBreak/>
        <w:t>A visszanyert aggregátum megfelelőségének ellenőrzésére irányuló lépés során a termelőnél a tárolást és a kezelést úgy kell megszervezni, hogy az egyes gyártási tételek ne keveredjenek.</w:t>
      </w:r>
    </w:p>
    <w:p w14:paraId="57AFE5D5" w14:textId="2228A33C" w:rsidR="000B2060" w:rsidRDefault="00FC1B37" w:rsidP="00FC1B37">
      <w:pPr>
        <w:spacing w:after="19" w:line="259" w:lineRule="auto"/>
        <w:ind w:left="0" w:firstLine="0"/>
      </w:pPr>
      <w:r>
        <w:t xml:space="preserve">A felhasználási helyszínre történő szállításig a visszanyert aggregátumot abban az üzemben tárolják és kezelik, ahol azt előállították, valamint az erre a célra használt tárolóhelyeken. Ez nem érinti a munkahelyi biztonságra és megelőzésre vonatkozó hatályos rendelkezéseket és a különleges engedélyezési rendelkezéseket.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A visszanyert aggregátummal szemben támasztott minőségi követelmények </w:t>
      </w:r>
    </w:p>
    <w:p w14:paraId="5AC1392F" w14:textId="77777777" w:rsidR="000B2060" w:rsidRDefault="009E72B8">
      <w:pPr>
        <w:tabs>
          <w:tab w:val="center" w:pos="2519"/>
        </w:tabs>
        <w:spacing w:after="23" w:line="259" w:lineRule="auto"/>
        <w:ind w:left="-15" w:firstLine="0"/>
        <w:jc w:val="left"/>
      </w:pPr>
      <w:r>
        <w:rPr>
          <w:b/>
        </w:rPr>
        <w:t xml:space="preserve">d.1) A visszanyert aggregátum ellenőrzése  </w:t>
      </w:r>
    </w:p>
    <w:p w14:paraId="121A2F5D" w14:textId="4189B06B" w:rsidR="008817D3" w:rsidRDefault="008817D3" w:rsidP="008817D3">
      <w:pPr>
        <w:ind w:left="-5" w:right="51"/>
        <w:rPr>
          <w:color w:val="auto"/>
        </w:rPr>
      </w:pPr>
      <w:r>
        <w:rPr>
          <w:color w:val="auto"/>
        </w:rPr>
        <w:t xml:space="preserve">A visszanyert aggregátumok minden egyes tétele esetében biztosítani kell a 2. táblázatban meghatározott paramétereknek való megfelelést.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Paraméterek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Mértékegység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A koncentrációk határértékei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Azbeszt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szárazanyagban kifejezve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(AROMÁS</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SZÉNHIDROGÉNEK)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Benzol</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szárazanyagban kifejezve</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Etil-benzol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Sztirol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Toluol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Xilol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Szerves aromás adalékanyagok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(POLICIKLIKUS AROMÁS SZÉNHIDROGÉNEK)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Benzo(a)antracén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Benzo(a)pirén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Benzo(b)fluorantén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Benzo(k)fluorantén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Benzo(ghi)perilén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lastRenderedPageBreak/>
              <w:t xml:space="preserve">Krizén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Dibenzo(a,e)pirén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Dibenzo(a,l)pirén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Dibenzo(a,i)pirén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Dibenzo(a,h)pirén </w:t>
            </w:r>
          </w:p>
        </w:tc>
        <w:tc>
          <w:tcPr>
            <w:tcW w:w="2379" w:type="dxa"/>
            <w:vAlign w:val="center"/>
          </w:tcPr>
          <w:p w14:paraId="41624DC3" w14:textId="060D8541" w:rsidR="000A5B7E" w:rsidRPr="00FD253E" w:rsidRDefault="003B7DB2"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Dibenzo(a,h)antracén</w:t>
            </w:r>
          </w:p>
        </w:tc>
        <w:tc>
          <w:tcPr>
            <w:tcW w:w="2379" w:type="dxa"/>
            <w:vAlign w:val="center"/>
          </w:tcPr>
          <w:p w14:paraId="42798929" w14:textId="3BDD5446" w:rsidR="00453851" w:rsidRPr="00FD253E" w:rsidRDefault="003B7DB2"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Indenopirén</w:t>
            </w:r>
          </w:p>
        </w:tc>
        <w:tc>
          <w:tcPr>
            <w:tcW w:w="2379" w:type="dxa"/>
            <w:vAlign w:val="center"/>
          </w:tcPr>
          <w:p w14:paraId="0361AC22" w14:textId="7A331B2C" w:rsidR="00453851" w:rsidRPr="00FD253E" w:rsidRDefault="003B7DB2"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Pirén</w:t>
            </w:r>
          </w:p>
        </w:tc>
        <w:tc>
          <w:tcPr>
            <w:tcW w:w="2379" w:type="dxa"/>
            <w:vAlign w:val="center"/>
          </w:tcPr>
          <w:p w14:paraId="6AB60582" w14:textId="2DA46D69" w:rsidR="00453851" w:rsidRPr="00FD253E" w:rsidRDefault="003B7DB2"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Policiklikus aromás adalékanyagok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szárazanyagban kifejezve</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szárazanyagban kifejezve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szárazanyagban kifejezve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szárazanyagban kifejezve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szárazanyagban kifejezve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Lebegő anyagok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Idegen frakciók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tömegszázalék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2. táblázat – Keresendő paraméterek és határértékek</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Megfelel az analitikai technika kimutatási határának (mikroszkópia és/vagy azzal egyenértékű kimutatási módszer). Minden esetben a hivatalosan elismert módszertant kell alkalmazni az ország egész területén, amely lehetővé teszi az alacsonyabb koncentrációértékek kimutatását.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Ahol az alkalmazandó műszaki szabványok nem határozzák meg</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Kioldási vizsgálat a visszanyert aggregátumon.  </w:t>
      </w:r>
    </w:p>
    <w:p w14:paraId="05765F60" w14:textId="50B4051B" w:rsidR="000B2060" w:rsidRPr="00751073" w:rsidRDefault="009E72B8" w:rsidP="005F0151">
      <w:pPr>
        <w:ind w:left="-5" w:right="51"/>
        <w:rPr>
          <w:color w:val="auto"/>
        </w:rPr>
      </w:pPr>
      <w:r>
        <w:rPr>
          <w:color w:val="auto"/>
        </w:rPr>
        <w:t>A visszanyert aggregátum minden egyes előállított tételét – az UNI EN 12620 szabványban említett Rck/leq ≥ 15 MPa ellenállási osztályú betonok csomagolására szántak kivételével – a 3. táblázatban meghatározott paraméterek határkoncentrációinak való megfelelés értékelése céljából felszabadulási vizsgálatnak kell alávetni</w:t>
      </w:r>
      <w:r>
        <w:rPr>
          <w:b/>
          <w:color w:val="auto"/>
        </w:rPr>
        <w:t xml:space="preserve">. </w:t>
      </w:r>
      <w:r>
        <w:rPr>
          <w:color w:val="auto"/>
        </w:rPr>
        <w:t xml:space="preserve"> </w:t>
      </w:r>
    </w:p>
    <w:p w14:paraId="2935AABC" w14:textId="77777777" w:rsidR="000B2060" w:rsidRDefault="009E72B8">
      <w:pPr>
        <w:ind w:left="-5" w:right="51"/>
      </w:pPr>
      <w:r>
        <w:lastRenderedPageBreak/>
        <w:t xml:space="preserve">Az UNI 10802 szabvány A. függelékét és az UNI EN 12457-2 szabványban előírt módszert kell alkalmazni a kioldási vizsgálat meghatározására.  </w:t>
      </w:r>
    </w:p>
    <w:p w14:paraId="0AE3C55E" w14:textId="77777777" w:rsidR="000B2060" w:rsidRDefault="009E72B8">
      <w:pPr>
        <w:ind w:left="-5" w:right="51"/>
      </w:pPr>
      <w:r>
        <w:t xml:space="preserve">Csak abban az esetben, ha az elemzendő minta nagyon finom szemcseméretű, legalább 10 percig ultracentrifugát (20000 G) kell használni anélkül, hogy a természetes ülepítési lépést folytatnák.  </w:t>
      </w:r>
    </w:p>
    <w:p w14:paraId="5F175D2C" w14:textId="77777777" w:rsidR="000B2060" w:rsidRDefault="009E72B8">
      <w:pPr>
        <w:ind w:left="-5" w:right="51"/>
      </w:pPr>
      <w:r>
        <w:t xml:space="preserve">Csak e lépés után lehet elvégezni a következő szűrési lépést az UNI EN 12457-2 szabvány 5.2.2. pontjának megfelelően.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Paraméterek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Mértékegység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A koncentrációk határértékei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Nitrát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Cianidok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Bárium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Réz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Cink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Vanádium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Arzén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Összes króm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Ólom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Szelén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Higany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mikrogramm/l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Szulfátok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Kloridok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3. táblázat – Vizsgálandó analitok és határértékek.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A visszanyert aggregátum EK-tanúsítására vonatkozó műszaki referenciaszabványok. </w:t>
      </w:r>
    </w:p>
    <w:p w14:paraId="25900C48" w14:textId="2534B946" w:rsidR="000B2060" w:rsidRDefault="009E72B8">
      <w:pPr>
        <w:spacing w:after="12" w:line="267" w:lineRule="auto"/>
        <w:ind w:left="-5" w:right="49"/>
      </w:pPr>
      <w:r>
        <w:t xml:space="preserve">A 4. táblázat a CE-jelölésnek a visszanyert aggregátumon történő alkalmazásához szükséges műszaki referenciaszabványokat tartalmazza.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rsidP="008149D5">
            <w:pPr>
              <w:keepNext/>
              <w:spacing w:after="0" w:line="259" w:lineRule="auto"/>
              <w:ind w:left="1" w:firstLine="0"/>
              <w:jc w:val="center"/>
            </w:pPr>
            <w:r>
              <w:rPr>
                <w:b/>
                <w:sz w:val="22"/>
              </w:rPr>
              <w:lastRenderedPageBreak/>
              <w:t xml:space="preserve">Szabvány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rsidP="008149D5">
            <w:pPr>
              <w:keepNext/>
              <w:spacing w:after="0" w:line="259" w:lineRule="auto"/>
              <w:ind w:left="0" w:right="1" w:firstLine="0"/>
              <w:jc w:val="center"/>
            </w:pPr>
            <w:r>
              <w:rPr>
                <w:b/>
                <w:sz w:val="22"/>
              </w:rPr>
              <w:t xml:space="preserve">Cím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rsidP="008149D5">
            <w:pPr>
              <w:keepNext/>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rsidP="008149D5">
            <w:pPr>
              <w:keepNext/>
              <w:spacing w:after="0" w:line="259" w:lineRule="auto"/>
              <w:ind w:left="0" w:firstLine="0"/>
              <w:jc w:val="center"/>
            </w:pPr>
            <w:r>
              <w:rPr>
                <w:sz w:val="22"/>
              </w:rPr>
              <w:t xml:space="preserve">Hidraulikus kötőanyaggal rendelkező ötvözetlen anyagok és ötvözetek aggregátumai mély- és útépítésben való felhasználásra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rsidP="008149D5">
            <w:pPr>
              <w:keepNext/>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rsidP="008149D5">
            <w:pPr>
              <w:keepNext/>
              <w:spacing w:after="0" w:line="259" w:lineRule="auto"/>
              <w:ind w:left="0" w:right="4" w:firstLine="0"/>
              <w:jc w:val="center"/>
            </w:pPr>
            <w:r>
              <w:rPr>
                <w:sz w:val="22"/>
              </w:rPr>
              <w:t xml:space="preserve">Betonhoz való aggregátumok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rsidP="008149D5">
            <w:pPr>
              <w:keepNext/>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rsidP="008149D5">
            <w:pPr>
              <w:keepNext/>
              <w:spacing w:after="0" w:line="259" w:lineRule="auto"/>
              <w:ind w:left="0" w:firstLine="0"/>
              <w:jc w:val="center"/>
            </w:pPr>
            <w:r>
              <w:rPr>
                <w:sz w:val="22"/>
              </w:rPr>
              <w:t xml:space="preserve">Habarcshoz való aggregátumok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rsidP="008149D5">
            <w:pPr>
              <w:keepNext/>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rsidP="008149D5">
            <w:pPr>
              <w:keepNext/>
              <w:spacing w:after="0" w:line="259" w:lineRule="auto"/>
              <w:ind w:left="0" w:firstLine="0"/>
              <w:jc w:val="center"/>
            </w:pPr>
            <w:r>
              <w:rPr>
                <w:sz w:val="22"/>
              </w:rPr>
              <w:t xml:space="preserve">Út-, repülőtér- és egyéb forgalmas területek bitumenes keverékeihez és felületkezeléseihez használt aggregátumok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rsidP="008149D5">
            <w:pPr>
              <w:keepNext/>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rsidP="008149D5">
            <w:pPr>
              <w:keepNext/>
              <w:spacing w:after="0" w:line="259" w:lineRule="auto"/>
              <w:ind w:left="0" w:right="2" w:firstLine="0"/>
              <w:jc w:val="center"/>
            </w:pPr>
            <w:r>
              <w:rPr>
                <w:sz w:val="22"/>
              </w:rPr>
              <w:t xml:space="preserve">Könnyű aggregátumok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rsidP="008149D5">
            <w:pPr>
              <w:keepNext/>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rsidP="008149D5">
            <w:pPr>
              <w:keepNext/>
              <w:spacing w:after="0" w:line="259" w:lineRule="auto"/>
              <w:ind w:left="0" w:right="1" w:firstLine="0"/>
              <w:jc w:val="center"/>
            </w:pPr>
            <w:r>
              <w:rPr>
                <w:sz w:val="22"/>
              </w:rPr>
              <w:t xml:space="preserve">Vasúti töltéshez használt aggregátumok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rsidP="008149D5">
            <w:pPr>
              <w:keepNext/>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rsidP="008149D5">
            <w:pPr>
              <w:keepNext/>
              <w:spacing w:after="0" w:line="259" w:lineRule="auto"/>
              <w:ind w:left="0" w:right="1" w:firstLine="0"/>
              <w:jc w:val="center"/>
            </w:pPr>
            <w:r>
              <w:rPr>
                <w:sz w:val="22"/>
              </w:rPr>
              <w:t xml:space="preserve">Védőművekhez használt aggregátumok (páncélkő) – Műszaki leírás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4. táblázat – Az EK-tanúsítás műszaki szabványai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2. melléklet (4. cikk)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A visszanyert aggregátumot az 5. táblázatban meghatározott műszaki felhasználási előírásoknak megfelelően, a következőkre kell felhasználni: </w:t>
      </w:r>
    </w:p>
    <w:p w14:paraId="3C7300BE" w14:textId="77777777" w:rsidR="00D55B0D" w:rsidRDefault="00D55B0D" w:rsidP="00D55B0D">
      <w:pPr>
        <w:numPr>
          <w:ilvl w:val="0"/>
          <w:numId w:val="8"/>
        </w:numPr>
        <w:ind w:right="51" w:hanging="282"/>
      </w:pPr>
      <w:r>
        <w:t>a töltések testének építése mélyépítési földmunkákban;</w:t>
      </w:r>
    </w:p>
    <w:p w14:paraId="22F0545D" w14:textId="77777777" w:rsidR="00D55B0D" w:rsidRDefault="00D55B0D" w:rsidP="00D55B0D">
      <w:pPr>
        <w:numPr>
          <w:ilvl w:val="0"/>
          <w:numId w:val="8"/>
        </w:numPr>
        <w:ind w:right="51" w:hanging="282"/>
      </w:pPr>
      <w:r>
        <w:t>közúti, vasúti, repülőtéri alépítmények, valamint polgári és ipari előterek építése;</w:t>
      </w:r>
    </w:p>
    <w:p w14:paraId="78E1375E" w14:textId="77777777" w:rsidR="00D55B0D" w:rsidRDefault="00D55B0D" w:rsidP="00D55B0D">
      <w:pPr>
        <w:numPr>
          <w:ilvl w:val="0"/>
          <w:numId w:val="8"/>
        </w:numPr>
        <w:ind w:right="51" w:hanging="282"/>
      </w:pPr>
      <w:r>
        <w:t>a közlekedési infrastruktúra, valamint a polgári és ipari előterek alapjainak építése;</w:t>
      </w:r>
    </w:p>
    <w:p w14:paraId="73160B34" w14:textId="77777777" w:rsidR="00D55B0D" w:rsidRDefault="00D55B0D" w:rsidP="00D55B0D">
      <w:pPr>
        <w:numPr>
          <w:ilvl w:val="0"/>
          <w:numId w:val="8"/>
        </w:numPr>
        <w:ind w:right="51" w:hanging="282"/>
      </w:pPr>
      <w:r>
        <w:t>a környezeti hasznosítás, a feltöltés és az áthidalás megvalósítása;</w:t>
      </w:r>
    </w:p>
    <w:p w14:paraId="2FB8C60C" w14:textId="77777777" w:rsidR="00D55B0D" w:rsidRDefault="00D55B0D" w:rsidP="00D55B0D">
      <w:pPr>
        <w:numPr>
          <w:ilvl w:val="0"/>
          <w:numId w:val="8"/>
        </w:numPr>
        <w:ind w:right="51" w:hanging="282"/>
      </w:pPr>
      <w:r>
        <w:t>a kapillárisokat megtörő, fagyálló, vízelvezető stb. funkcióval rendelkező kiegészítő rétegek létrehozása;</w:t>
      </w:r>
    </w:p>
    <w:p w14:paraId="5E929373" w14:textId="77777777" w:rsidR="00D55B0D" w:rsidRDefault="00D55B0D" w:rsidP="00D55B0D">
      <w:pPr>
        <w:numPr>
          <w:ilvl w:val="0"/>
          <w:numId w:val="8"/>
        </w:numPr>
        <w:ind w:right="51" w:hanging="282"/>
      </w:pPr>
      <w:r>
        <w:t>a beton és a hidraulikus kötőanyagokkal ötvözött keverékek (cementkeverékek, betonkeverékek stb.) tömörítése.</w:t>
      </w:r>
    </w:p>
    <w:p w14:paraId="34A920B7" w14:textId="25DB438E" w:rsidR="000B2060" w:rsidRDefault="000B2060">
      <w:pPr>
        <w:spacing w:after="0" w:line="259" w:lineRule="auto"/>
        <w:ind w:left="0" w:firstLine="0"/>
        <w:jc w:val="left"/>
      </w:pPr>
    </w:p>
    <w:tbl>
      <w:tblPr>
        <w:tblStyle w:val="TableGrid"/>
        <w:tblW w:w="10071" w:type="dxa"/>
        <w:tblInd w:w="-289" w:type="dxa"/>
        <w:tblCellMar>
          <w:top w:w="58" w:type="dxa"/>
          <w:left w:w="223" w:type="dxa"/>
          <w:right w:w="115" w:type="dxa"/>
        </w:tblCellMar>
        <w:tblLook w:val="04A0" w:firstRow="1" w:lastRow="0" w:firstColumn="1" w:lastColumn="0" w:noHBand="0" w:noVBand="1"/>
      </w:tblPr>
      <w:tblGrid>
        <w:gridCol w:w="3937"/>
        <w:gridCol w:w="3371"/>
        <w:gridCol w:w="2763"/>
      </w:tblGrid>
      <w:tr w:rsidR="000B2060" w14:paraId="05074170" w14:textId="77777777" w:rsidTr="008149D5">
        <w:trPr>
          <w:trHeight w:val="883"/>
        </w:trPr>
        <w:tc>
          <w:tcPr>
            <w:tcW w:w="3937"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Használat </w:t>
            </w:r>
          </w:p>
        </w:tc>
        <w:tc>
          <w:tcPr>
            <w:tcW w:w="3371"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Megfelelés az európai harmonizált szabványoknak/teljesítménynek </w:t>
            </w:r>
          </w:p>
        </w:tc>
        <w:tc>
          <w:tcPr>
            <w:tcW w:w="2763"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Műszaki képességek </w:t>
            </w:r>
          </w:p>
        </w:tc>
      </w:tr>
      <w:tr w:rsidR="000B2060" w14:paraId="487C5BF0" w14:textId="77777777" w:rsidTr="008149D5">
        <w:trPr>
          <w:trHeight w:val="590"/>
        </w:trPr>
        <w:tc>
          <w:tcPr>
            <w:tcW w:w="3937"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Töltések, feltöltések, morfológiai helyreállítások </w:t>
            </w:r>
          </w:p>
        </w:tc>
        <w:tc>
          <w:tcPr>
            <w:tcW w:w="3371"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2763"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4a. melléklet </w:t>
            </w:r>
          </w:p>
        </w:tc>
      </w:tr>
      <w:tr w:rsidR="000B2060" w14:paraId="1A31165C" w14:textId="77777777" w:rsidTr="008149D5">
        <w:trPr>
          <w:trHeight w:val="593"/>
        </w:trPr>
        <w:tc>
          <w:tcPr>
            <w:tcW w:w="3937"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Töltéstest </w:t>
            </w:r>
          </w:p>
        </w:tc>
        <w:tc>
          <w:tcPr>
            <w:tcW w:w="3371"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2763"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4a. melléklet </w:t>
            </w:r>
          </w:p>
        </w:tc>
      </w:tr>
      <w:tr w:rsidR="000B2060" w14:paraId="67F846B1" w14:textId="77777777" w:rsidTr="008149D5">
        <w:trPr>
          <w:trHeight w:val="590"/>
        </w:trPr>
        <w:tc>
          <w:tcPr>
            <w:tcW w:w="3937"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Nem ötvözött keverékek, kapilláris-törő réteg, alapozás, tükör </w:t>
            </w:r>
          </w:p>
        </w:tc>
        <w:tc>
          <w:tcPr>
            <w:tcW w:w="3371"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2763"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4b. melléklet: </w:t>
            </w:r>
          </w:p>
        </w:tc>
      </w:tr>
      <w:tr w:rsidR="000B2060" w14:paraId="22B0A1AE" w14:textId="77777777" w:rsidTr="008149D5">
        <w:trPr>
          <w:trHeight w:val="884"/>
        </w:trPr>
        <w:tc>
          <w:tcPr>
            <w:tcW w:w="3937"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Hidraulikus kötőanyagokkal ötvözött keverékek előállítása (cementkeverékek, betonkeverékek stb.) </w:t>
            </w:r>
          </w:p>
        </w:tc>
        <w:tc>
          <w:tcPr>
            <w:tcW w:w="3371"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2763"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8149D5">
        <w:trPr>
          <w:trHeight w:val="2921"/>
        </w:trPr>
        <w:tc>
          <w:tcPr>
            <w:tcW w:w="3937"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Betongyártás </w:t>
            </w:r>
          </w:p>
        </w:tc>
        <w:tc>
          <w:tcPr>
            <w:tcW w:w="3371"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2763"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1. melléklet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 melléklet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4. melléklet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E. melléklet: </w:t>
            </w:r>
          </w:p>
          <w:p w14:paraId="1A14DB3D" w14:textId="77777777" w:rsidR="000B2060" w:rsidRDefault="009E72B8">
            <w:pPr>
              <w:spacing w:after="14" w:line="259" w:lineRule="auto"/>
              <w:ind w:left="0" w:right="221" w:firstLine="0"/>
              <w:jc w:val="center"/>
            </w:pPr>
            <w:r>
              <w:rPr>
                <w:sz w:val="22"/>
              </w:rPr>
              <w:t xml:space="preserve">A 2018. január 17-i miniszteri rendelet </w:t>
            </w:r>
          </w:p>
          <w:p w14:paraId="2D2B7699" w14:textId="77777777" w:rsidR="000B2060" w:rsidRDefault="009E72B8">
            <w:pPr>
              <w:spacing w:after="0" w:line="259" w:lineRule="auto"/>
              <w:ind w:left="0" w:right="223" w:firstLine="0"/>
              <w:jc w:val="center"/>
            </w:pPr>
            <w:r>
              <w:rPr>
                <w:sz w:val="22"/>
              </w:rPr>
              <w:t xml:space="preserve">NTC: 11.2.III. táblázat </w:t>
            </w:r>
          </w:p>
        </w:tc>
      </w:tr>
    </w:tbl>
    <w:p w14:paraId="1B0D5020" w14:textId="134EABAA" w:rsidR="000B2060" w:rsidRDefault="009E72B8" w:rsidP="008149D5">
      <w:pPr>
        <w:spacing w:after="24" w:line="253" w:lineRule="auto"/>
        <w:ind w:left="3828" w:right="2444" w:hanging="1401"/>
        <w:jc w:val="left"/>
      </w:pPr>
      <w:r>
        <w:rPr>
          <w:sz w:val="18"/>
        </w:rPr>
        <w:t xml:space="preserve">5. táblázat – A visszanyert aggregátumra vonatkozó műszaki felhasználási szabványok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A d) pontban említettek kivételével minden felhasználás esetén a 2011. március 9-i 305/2011/EU európai parlamenti és tanácsi rendeletben előírt CE-jelölés alkalmazása szükséges.  </w:t>
      </w:r>
    </w:p>
    <w:p w14:paraId="24B2FD2B" w14:textId="3BDE4F41" w:rsidR="001E2424" w:rsidRDefault="00B90036" w:rsidP="00B90036">
      <w:pPr>
        <w:ind w:left="-5" w:right="51"/>
        <w:rPr>
          <w:color w:val="auto"/>
        </w:rPr>
      </w:pPr>
      <w:r>
        <w:rPr>
          <w:color w:val="auto"/>
        </w:rPr>
        <w:t xml:space="preserve">A talajhasználat nem képezheti a talaj, az altalaj és a talajvíz potenciális szennyeződésének forrását. </w:t>
      </w:r>
    </w:p>
    <w:p w14:paraId="5A934368" w14:textId="1DEDE070" w:rsidR="00605A70" w:rsidRDefault="00605A70" w:rsidP="00605A70">
      <w:pPr>
        <w:ind w:left="-5" w:right="51"/>
        <w:rPr>
          <w:color w:val="auto"/>
        </w:rPr>
      </w:pPr>
      <w:r>
        <w:rPr>
          <w:color w:val="auto"/>
        </w:rPr>
        <w:t>Az 1. pont f) alpontjában említett felhasználások tekintetében be kell tartani az 1907/2006/EK rendelet XVII. mellékletének 47. címében a Cr VI cementben és cementtartalmú keverékekben való jelenlétére megállapított határértékeket.</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3. melléklet Megfelelőségi nyilatkozat (5. cikk)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MEGFELELŐSÉGI NYILATKOZAT (DoC)</w:t>
      </w:r>
      <w:r>
        <w:rPr>
          <w:b/>
        </w:rPr>
        <w:t xml:space="preserve">  </w:t>
      </w:r>
    </w:p>
    <w:p w14:paraId="3B572F20" w14:textId="77777777" w:rsidR="000B2060" w:rsidRPr="00CA20B5" w:rsidRDefault="009E72B8">
      <w:pPr>
        <w:spacing w:after="18" w:line="259" w:lineRule="auto"/>
        <w:ind w:left="10" w:right="69"/>
        <w:jc w:val="center"/>
        <w:rPr>
          <w:color w:val="auto"/>
        </w:rPr>
      </w:pPr>
      <w:r>
        <w:t>NYILATKOZAT AZ ESKÜ ALATT TETT NYILATKOZAT HELYETT</w:t>
      </w:r>
      <w:r>
        <w:rPr>
          <w:color w:val="auto"/>
        </w:rPr>
        <w:t xml:space="preserve"> </w:t>
      </w:r>
    </w:p>
    <w:p w14:paraId="013C2F6D" w14:textId="60C550CC" w:rsidR="000B2060" w:rsidRDefault="009E72B8" w:rsidP="00EA0449">
      <w:pPr>
        <w:spacing w:after="18" w:line="259" w:lineRule="auto"/>
        <w:ind w:left="10" w:right="58"/>
        <w:jc w:val="center"/>
      </w:pPr>
      <w:r>
        <w:t>AZ ÖKOLÓGIAI ÁTMENETÉRT FELELŐS MINISZTER [202•] [•] [•]-i, [•]. SZÁMÚ RENDELETÉNEK</w:t>
      </w:r>
      <w:r>
        <w:rPr>
          <w:color w:val="auto"/>
        </w:rPr>
        <w:t xml:space="preserve">5. CIKKE ALAPJÁN ÉS </w:t>
      </w:r>
      <w:r>
        <w:t>ANNAK MEGFELELŐEN</w:t>
      </w:r>
    </w:p>
    <w:p w14:paraId="7CF40EA8" w14:textId="77777777" w:rsidR="000B2060" w:rsidRDefault="009E72B8">
      <w:pPr>
        <w:spacing w:after="17" w:line="259" w:lineRule="auto"/>
        <w:ind w:left="10" w:right="62"/>
        <w:jc w:val="center"/>
      </w:pPr>
      <w:r>
        <w:t xml:space="preserve">(A 2000. december 28-i, 445. számú elnöki rendelet 47. és 38. cikke)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Nyilatkozat száma </w:t>
            </w:r>
          </w:p>
          <w:p w14:paraId="50F66536" w14:textId="77777777" w:rsidR="000B2060" w:rsidRDefault="009E72B8">
            <w:pPr>
              <w:spacing w:after="0" w:line="259" w:lineRule="auto"/>
              <w:ind w:left="0" w:firstLine="0"/>
              <w:jc w:val="left"/>
            </w:pPr>
            <w:r>
              <w:t xml:space="preserve">(Tételszám)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Év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(éééé)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(MEGJEGYZÉS: a nyilatkozat számát időrendben rögzítse)</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A visszanyert aggregátum gyártójának adatai a(z) </w:t>
            </w:r>
            <w:r>
              <w:rPr>
                <w:color w:val="auto"/>
              </w:rPr>
              <w:t>[</w:t>
            </w:r>
            <w:r>
              <w:rPr>
                <w:rFonts w:ascii="Segoe UI Symbol" w:hAnsi="Segoe UI Symbol"/>
                <w:color w:val="auto"/>
              </w:rPr>
              <w:t>•</w:t>
            </w:r>
            <w:r>
              <w:rPr>
                <w:color w:val="auto"/>
              </w:rPr>
              <w:t xml:space="preserve">]. rendelet 2. cikke (1) bekezdésének f) pontja szerint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Cégnév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Adószám/ÁFA-szám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Cégjegyzékszám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Cím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Házszám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Irányítószám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Város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Tartomány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Gyártó létesítmény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Cím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Házszám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Irányítószám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Város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Tartomány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Engedélyező/Kibocsátó szerv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Kibocsátás dátuma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A fent nevezett gyártó kijelenti, hogy </w:t>
      </w:r>
    </w:p>
    <w:p w14:paraId="5A7DFBB1" w14:textId="4188EACE" w:rsidR="000B2060" w:rsidRDefault="009E72B8">
      <w:pPr>
        <w:numPr>
          <w:ilvl w:val="0"/>
          <w:numId w:val="9"/>
        </w:numPr>
        <w:spacing w:after="0" w:line="259" w:lineRule="auto"/>
        <w:ind w:right="51" w:hanging="360"/>
      </w:pPr>
      <w:r>
        <w:t xml:space="preserve">a visszanyert aggregátumtételt a következő mennyiség képviseli </w:t>
      </w:r>
      <w:r>
        <w:rPr>
          <w:color w:val="auto"/>
        </w:rPr>
        <w:t>térfogatban</w:t>
      </w:r>
      <w:r>
        <w:t xml:space="preserve"> kifejezve: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rPr>
          <w:i/>
        </w:rPr>
        <w:t xml:space="preserve">(MEGJEGYZÉS: </w:t>
      </w:r>
      <w:r>
        <w:rPr>
          <w:i/>
          <w:color w:val="auto"/>
        </w:rPr>
        <w:t>a köbmétereket számokkal és betűkkel kell feltüntetni</w:t>
      </w:r>
      <w:r>
        <w:rPr>
          <w:color w:val="auto"/>
        </w:rPr>
        <w:t xml:space="preserve">) </w:t>
      </w:r>
    </w:p>
    <w:p w14:paraId="381D82F8" w14:textId="12A3AC51" w:rsidR="000B2060" w:rsidRDefault="009E72B8">
      <w:pPr>
        <w:numPr>
          <w:ilvl w:val="0"/>
          <w:numId w:val="9"/>
        </w:numPr>
        <w:spacing w:after="33" w:line="267" w:lineRule="auto"/>
        <w:ind w:right="51" w:hanging="360"/>
      </w:pPr>
      <w:r>
        <w:t xml:space="preserve">a fent említett visszanyert aggregátumtétel megfelel az ökológiai átállásért felelős miniszter [•]. számú [202•] [•] [•]-i [•] rendelete 3. cikkében meghatározott kritériumoknak; </w:t>
      </w:r>
    </w:p>
    <w:p w14:paraId="5F363D2F" w14:textId="77777777" w:rsidR="000B2060" w:rsidRDefault="009E72B8">
      <w:pPr>
        <w:numPr>
          <w:ilvl w:val="0"/>
          <w:numId w:val="9"/>
        </w:numPr>
        <w:ind w:right="51" w:hanging="360"/>
      </w:pPr>
      <w:r>
        <w:t xml:space="preserve">a fenti visszanyert aggregátumtétel jellemzői a következő 1. táblázatban részletesebben ismertetve vannak.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1. táblázat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3"/>
        <w:gridCol w:w="3368"/>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A visszanyert aggregátum jellemzői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Műszaki referenciaszabványok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Különleges célok (2. melléklet)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Hidraulikus kötőanyaggal ellátott, ötvözetlen anyagok és ötvözetek adalékanyagai mélyépítésben és útépítésben való felhasználásra;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Hidraulikus kötőanyagokkal ötvözött keverékek – Műszaki adatok – 1. rész: Cementtel kötött szemcsés keverékek útalapokhoz és alépítményekhez;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Betonhoz való aggregátumok;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Habarcshoz való aggregátumok;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Út-, repülőtér- és egyéb forgalmas területek bitumenes keverékeihez és felületkezeléseihez használt aggregátumok;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13055: Könnyű aggregátumok;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lastRenderedPageBreak/>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Vasúti töltéshez használt aggregátumok;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Védőművekhez használt aggregátumok (páncélkő) – Műszaki adatok.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Végül a gyártó kijelenti, hogy: </w:t>
      </w:r>
    </w:p>
    <w:p w14:paraId="0F0B2894" w14:textId="77777777" w:rsidR="000B2060" w:rsidRDefault="009E72B8">
      <w:pPr>
        <w:numPr>
          <w:ilvl w:val="0"/>
          <w:numId w:val="9"/>
        </w:numPr>
        <w:ind w:right="51" w:hanging="360"/>
      </w:pPr>
      <w:r>
        <w:t xml:space="preserve">tisztában vannak a hivatalos dokumentumokban tett hamis vagy pontatlan nyilatkozatok büntetőjogi szankcióival és az ebből következő ellátás elvesztésével, </w:t>
      </w:r>
    </w:p>
    <w:p w14:paraId="3A205EC1" w14:textId="77777777" w:rsidR="000B2060" w:rsidRDefault="009E72B8">
      <w:pPr>
        <w:spacing w:after="36"/>
        <w:ind w:left="798" w:right="51"/>
      </w:pPr>
      <w:r>
        <w:t xml:space="preserve">a 445/2000. sz. ELNÖKI RENDELET 75. és 76. cikke értelmében; </w:t>
      </w:r>
    </w:p>
    <w:p w14:paraId="06DFD34E" w14:textId="77777777" w:rsidR="000B2060" w:rsidRDefault="009E72B8">
      <w:pPr>
        <w:numPr>
          <w:ilvl w:val="0"/>
          <w:numId w:val="9"/>
        </w:numPr>
        <w:ind w:right="51" w:hanging="360"/>
      </w:pPr>
      <w:r>
        <w:t xml:space="preserve">tájékoztatást kaptak arról, hogy az összes gyűjtött személyes adatot kizárólag a nyilatkozat benyújtásának tárgyát képező eljáráshoz kapcsolódóan dolgozzák fel elektronikus úton (679/2016/EU rendelet 13. cikke).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Kelt: ___, ___ napján </w:t>
            </w:r>
          </w:p>
          <w:p w14:paraId="28DE5481" w14:textId="77777777" w:rsidR="000B2060" w:rsidRDefault="009E72B8">
            <w:pPr>
              <w:spacing w:after="16" w:line="259" w:lineRule="auto"/>
              <w:ind w:left="926" w:firstLine="0"/>
              <w:jc w:val="left"/>
            </w:pPr>
            <w:r>
              <w:rPr>
                <w:i/>
              </w:rPr>
              <w:t>(MEGJEGYZÉS: adja meg a helyszínt és a dátumot)</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MEGJEGYZÉS: (A gyártó aláírása és pecsétje)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(a 445/2000. sz. elnöki rendelet 37. cikke értelmében mentes az illeték alól)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Mellékletek: az előfizető személyazonosító okmányának és elemzési jelentésének fénymásolata.</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42615"/>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B7DB2"/>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149D5"/>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3980</Words>
  <Characters>22689</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7</cp:revision>
  <dcterms:created xsi:type="dcterms:W3CDTF">2022-03-10T16:09:00Z</dcterms:created>
  <dcterms:modified xsi:type="dcterms:W3CDTF">2022-03-31T14:04:00Z</dcterms:modified>
</cp:coreProperties>
</file>