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5176A" w14:textId="77777777" w:rsidR="00921644" w:rsidRDefault="00921644" w:rsidP="00921644">
      <w:pPr>
        <w:spacing w:after="120" w:line="259" w:lineRule="auto"/>
        <w:ind w:left="10" w:right="1" w:hanging="10"/>
        <w:jc w:val="right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II.</w:t>
      </w:r>
    </w:p>
    <w:bookmarkEnd w:id="0"/>
    <w:p w14:paraId="2DC02A3B" w14:textId="77777777" w:rsidR="00921644" w:rsidRPr="00785650" w:rsidRDefault="00921644" w:rsidP="00921644">
      <w:pPr>
        <w:spacing w:after="120" w:line="259" w:lineRule="auto"/>
        <w:ind w:left="10" w:right="1" w:hanging="10"/>
        <w:jc w:val="center"/>
        <w:rPr>
          <w:i/>
          <w:sz w:val="24"/>
          <w:szCs w:val="24"/>
          <w:rFonts w:ascii="Arial" w:hAnsi="Arial" w:cs="Arial"/>
        </w:rPr>
      </w:pPr>
      <w:r>
        <w:rPr>
          <w:i/>
          <w:sz w:val="24"/>
          <w:rFonts w:ascii="Arial" w:hAnsi="Arial"/>
        </w:rPr>
        <w:t xml:space="preserve">Projekt</w:t>
      </w:r>
    </w:p>
    <w:p w14:paraId="4020E26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ROZPORZĄDZENIE</w:t>
      </w:r>
    </w:p>
    <w:p w14:paraId="489AD333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</w:t>
      </w: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 xml:space="preserve">2022 r.,</w:t>
      </w:r>
      <w:r>
        <w:rPr>
          <w:sz w:val="24"/>
          <w:rFonts w:ascii="Arial" w:hAnsi="Arial"/>
        </w:rPr>
        <w:t xml:space="preserve"> </w:t>
      </w:r>
    </w:p>
    <w:p w14:paraId="76A52B6F" w14:textId="77777777" w:rsidR="00921644" w:rsidRPr="002F6326" w:rsidRDefault="00921644" w:rsidP="00921644">
      <w:pPr>
        <w:tabs>
          <w:tab w:val="left" w:pos="0"/>
        </w:tabs>
        <w:spacing w:after="120" w:line="259" w:lineRule="auto"/>
        <w:ind w:left="10" w:right="1" w:hanging="10"/>
        <w:jc w:val="center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zmieniające rozporządzenie nr 23/2008 w sprawie wymagań technicznych dotyczących ochrony przeciwpożarowej budynków, zmienione rozporządzeniem nr 268/2011.</w:t>
      </w:r>
    </w:p>
    <w:p w14:paraId="39802E58" w14:textId="77777777" w:rsidR="00921644" w:rsidRPr="002F6326" w:rsidRDefault="00921644" w:rsidP="00921644">
      <w:pPr>
        <w:spacing w:after="120" w:line="259" w:lineRule="auto"/>
        <w:ind w:left="1" w:right="1" w:firstLine="0"/>
        <w:jc w:val="left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 </w:t>
      </w:r>
    </w:p>
    <w:p w14:paraId="057ECAE7" w14:textId="77777777" w:rsidR="00921644" w:rsidRPr="002F6326" w:rsidRDefault="00921644" w:rsidP="00921644">
      <w:pPr>
        <w:spacing w:after="120"/>
        <w:ind w:left="-13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Zgodnie z § 24 ust. 3 ustawy nr 133/1985 o ochronie przeciwpożarowej, zmienionej ustawą nr 186/2006, Ministerstwo Spraw Wewnętrznych określa, co następuje:</w:t>
      </w:r>
      <w:r>
        <w:rPr>
          <w:sz w:val="24"/>
          <w:rFonts w:ascii="Arial" w:hAnsi="Arial"/>
        </w:rPr>
        <w:t xml:space="preserve"> </w:t>
      </w:r>
    </w:p>
    <w:p w14:paraId="6C3AA6B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Artykuł I</w:t>
      </w:r>
      <w:r>
        <w:rPr>
          <w:sz w:val="24"/>
          <w:rFonts w:ascii="Arial" w:hAnsi="Arial"/>
        </w:rPr>
        <w:t xml:space="preserve"> </w:t>
      </w:r>
    </w:p>
    <w:p w14:paraId="211B3139" w14:textId="77777777" w:rsidR="0041256E" w:rsidRDefault="00921644" w:rsidP="00D73F1E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rozporządzeniu nr 23/2008 w sprawie wymagań technicznych dotyczących ochrony przeciwpożarowej budynków, zmienionym rozporządzeniem nr 268/2011, wprowadza się następujące zmiany:</w:t>
      </w:r>
      <w:r>
        <w:rPr>
          <w:sz w:val="24"/>
          <w:rFonts w:ascii="Arial" w:hAnsi="Arial"/>
        </w:rPr>
        <w:t xml:space="preserve">  </w:t>
      </w:r>
    </w:p>
    <w:p w14:paraId="2B3C10BB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3A5A922D" w14:textId="77777777" w:rsidR="00921644" w:rsidRP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§ 1 ust. 2 otrzymuje następujące brzmienie:</w:t>
      </w:r>
      <w:r>
        <w:rPr>
          <w:sz w:val="24"/>
          <w:rFonts w:ascii="Arial" w:hAnsi="Arial"/>
        </w:rPr>
        <w:t xml:space="preserve"> </w:t>
      </w:r>
    </w:p>
    <w:p w14:paraId="3FA6A3B0" w14:textId="77777777" w:rsidR="00921644" w:rsidRDefault="00921644" w:rsidP="00D73F1E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„(2)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Niniejsze rozporządzenie zostało zgłoszone zgodnie z dyrektywą (UE) 2015/1535 Parlamentu Europejskiego i Rady z dnia 9 września 2015 r. ustanawiającą procedurę udzielania informacji w dziedzinie przepisów technicznych oraz zasad dotyczących usług społeczeństwa informacyjnego.</w:t>
      </w:r>
      <w:r>
        <w:rPr>
          <w:sz w:val="24"/>
          <w:rFonts w:ascii="Arial" w:hAnsi="Arial"/>
        </w:rPr>
        <w:t xml:space="preserve"> </w:t>
      </w:r>
    </w:p>
    <w:p w14:paraId="76E25A85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64B79A5F" w14:textId="77777777" w:rsidR="00921644" w:rsidRP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§ 18 ust. 2 zostaje uchylony.</w:t>
      </w:r>
      <w:r>
        <w:rPr>
          <w:sz w:val="24"/>
          <w:rFonts w:ascii="Arial" w:hAnsi="Arial"/>
        </w:rPr>
        <w:t xml:space="preserve"> </w:t>
      </w:r>
    </w:p>
    <w:p w14:paraId="72AA2AAA" w14:textId="77777777" w:rsid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Ustępy 3–6 otrzymują oznaczenie 2–5.</w:t>
      </w:r>
    </w:p>
    <w:p w14:paraId="0533BB24" w14:textId="77777777" w:rsidR="00D73F1E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2C9EFF77" w14:textId="77777777" w:rsidR="00921644" w:rsidRPr="00921644" w:rsidRDefault="00D73F1E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3.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§ 23, w tym tytuł i przypisy 9 i 10, otrzymuje następujące brzmienie:</w:t>
      </w:r>
      <w:r>
        <w:rPr>
          <w:sz w:val="24"/>
          <w:rFonts w:ascii="Arial" w:hAnsi="Arial"/>
        </w:rPr>
        <w:t xml:space="preserve"> </w:t>
      </w:r>
    </w:p>
    <w:p w14:paraId="6ABB3239" w14:textId="77777777" w:rsidR="00921644" w:rsidRPr="00921644" w:rsidRDefault="00921644" w:rsidP="00921644">
      <w:pPr>
        <w:spacing w:after="120"/>
        <w:ind w:right="1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„§ 23</w:t>
      </w:r>
    </w:p>
    <w:p w14:paraId="2A82A52D" w14:textId="77777777" w:rsidR="00921644" w:rsidRPr="00921644" w:rsidRDefault="00921644" w:rsidP="00921644">
      <w:pPr>
        <w:spacing w:after="120"/>
        <w:ind w:right="1"/>
        <w:jc w:val="center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Budynek lub jego część przeznaczony do działalności szkoły, placówki szkolnej lub świadczenia opieki przedszkolnej</w:t>
      </w:r>
    </w:p>
    <w:p w14:paraId="71077B79" w14:textId="77777777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(1)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Przy projektowaniu budynku lub jego części przeznaczonego do działalności szkoły, placówki szkolnej lub świadczenia regularnej, długoterminowej i powtarzalnej opieki nad dziećmi przed rozpoczęciem ich obowiązkowej nauki szkolnej</w:t>
      </w:r>
      <w:r>
        <w:rPr>
          <w:sz w:val="24"/>
          <w:vertAlign w:val="superscript"/>
          <w:rFonts w:ascii="Arial" w:hAnsi="Arial"/>
        </w:rPr>
        <w:t xml:space="preserve">9)</w:t>
      </w:r>
      <w:r>
        <w:rPr>
          <w:sz w:val="24"/>
          <w:rFonts w:ascii="Arial" w:hAnsi="Arial"/>
        </w:rPr>
        <w:t xml:space="preserve"> stosuje się czeską normę techniczną, o której mowa w załączniku 1 część 1 pkt 1, o ile poniżej nie określono inaczej.</w:t>
      </w:r>
      <w:r>
        <w:rPr>
          <w:sz w:val="24"/>
          <w:rFonts w:ascii="Arial" w:hAnsi="Arial"/>
        </w:rPr>
        <w:t xml:space="preserve"> </w:t>
      </w:r>
    </w:p>
    <w:p w14:paraId="4718BFC7" w14:textId="77777777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(2)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Każda sala przedszkolna musi stanowić oddzielną strefę pożarową.</w:t>
      </w:r>
      <w:r>
        <w:rPr>
          <w:sz w:val="24"/>
          <w:rFonts w:ascii="Arial" w:hAnsi="Arial"/>
        </w:rPr>
        <w:t xml:space="preserve"> </w:t>
      </w:r>
    </w:p>
    <w:p w14:paraId="1B8201A6" w14:textId="77777777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(3)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Sala przedszkolna nie może znajdować się na piętrze wyższym niż druga kondygnacja lub na kondygnacji podziemnej, chyba że wyjście ewakuacyjne prowadzi bezpośrednio na otwarte powietrze.</w:t>
      </w:r>
      <w:r>
        <w:rPr>
          <w:sz w:val="24"/>
          <w:rFonts w:ascii="Arial" w:hAnsi="Arial"/>
        </w:rPr>
        <w:t xml:space="preserve"> </w:t>
      </w:r>
    </w:p>
    <w:p w14:paraId="6585F44D" w14:textId="77777777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(4)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budynku przedszkola, szkoły podstawowej, szkoły podstawowej lub średniej przeznaczonej dla uczniów lub dzieci z niepełnosprawnościami</w:t>
      </w:r>
      <w:r>
        <w:rPr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oraz w budynku, w którym znajdują się pomieszczenia przeznaczone do świadczenia usług opieki nad dziećmi w grupie dzieci, na drodze ewakuacyjnej nie mogą być używane drzwi wahadłowe lub obrotowe.</w:t>
      </w:r>
      <w:r>
        <w:rPr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  </w:t>
      </w:r>
    </w:p>
    <w:p w14:paraId="5EFA1440" w14:textId="246E20C4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(5)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Budynek placówki szkolnej przeznaczony na zakwaterowanie</w:t>
      </w:r>
      <w:r>
        <w:rPr>
          <w:sz w:val="24"/>
          <w:vertAlign w:val="superscript"/>
          <w:rFonts w:ascii="Arial" w:hAnsi="Arial"/>
        </w:rPr>
        <w:t xml:space="preserve">10) </w:t>
      </w:r>
      <w:r>
        <w:rPr>
          <w:sz w:val="24"/>
          <w:rFonts w:ascii="Arial" w:hAnsi="Arial"/>
        </w:rPr>
        <w:t xml:space="preserve">lub lokal przeznaczony na zakwaterowanie w budynku placówki szkolnej musi spełniać warunki określone w § 17 i 17a.</w:t>
      </w:r>
      <w:r>
        <w:rPr>
          <w:sz w:val="24"/>
          <w:rFonts w:ascii="Arial" w:hAnsi="Arial"/>
        </w:rPr>
        <w:t xml:space="preserve"> </w:t>
      </w:r>
    </w:p>
    <w:p w14:paraId="3AE7B2C4" w14:textId="77777777" w:rsidR="00921644" w:rsidRP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_______________________</w:t>
      </w:r>
    </w:p>
    <w:p w14:paraId="65C1E909" w14:textId="47F545C4" w:rsidR="00921644" w:rsidRPr="00921644" w:rsidRDefault="00921644" w:rsidP="00921644">
      <w:pPr>
        <w:spacing w:after="120" w:line="247" w:lineRule="auto"/>
        <w:ind w:left="11" w:right="0" w:hanging="11"/>
        <w:rPr>
          <w:sz w:val="20"/>
          <w:szCs w:val="20"/>
          <w:rFonts w:ascii="Arial" w:hAnsi="Arial" w:cs="Arial"/>
        </w:rPr>
      </w:pPr>
      <w:r>
        <w:rPr>
          <w:sz w:val="20"/>
          <w:vertAlign w:val="superscript"/>
          <w:rFonts w:ascii="Arial" w:hAnsi="Arial"/>
        </w:rPr>
        <w:t xml:space="preserve">9)</w:t>
      </w:r>
      <w:r>
        <w:rPr>
          <w:sz w:val="20"/>
          <w:rFonts w:ascii="Arial" w:hAnsi="Arial"/>
        </w:rPr>
        <w:t xml:space="preserve"> </w:t>
      </w:r>
      <w:r>
        <w:rPr>
          <w:sz w:val="20"/>
          <w:rFonts w:ascii="Arial" w:hAnsi="Arial"/>
        </w:rPr>
        <w:t xml:space="preserve">Na przykład ustawa nr 561/2004 o przedszkolach, szkołach podstawowych, średnich, wyższych zawodowych i innych (ustawa o edukacji), z późniejszymi zmianami, ustawa nr 247/2014 o świadczeniu usług opieki nad dziećmi w grupie dzieci oraz zmieniająca ustawy pokrewne, z późniejszymi zmianami, ustawa nr 455/1991 o handlu, z późniejszymi zmianami.</w:t>
      </w:r>
      <w:r>
        <w:rPr>
          <w:sz w:val="20"/>
          <w:rFonts w:ascii="Arial" w:hAnsi="Arial"/>
        </w:rPr>
        <w:t xml:space="preserve"> </w:t>
      </w:r>
    </w:p>
    <w:p w14:paraId="5B15E452" w14:textId="77777777" w:rsidR="00921644" w:rsidRPr="00921644" w:rsidRDefault="00921644" w:rsidP="00921644">
      <w:pPr>
        <w:spacing w:after="120" w:line="247" w:lineRule="auto"/>
        <w:ind w:left="11" w:right="0" w:hanging="11"/>
        <w:rPr>
          <w:sz w:val="24"/>
          <w:szCs w:val="24"/>
          <w:rFonts w:ascii="Arial" w:hAnsi="Arial" w:cs="Arial"/>
        </w:rPr>
      </w:pPr>
      <w:r>
        <w:rPr>
          <w:sz w:val="20"/>
          <w:vertAlign w:val="superscript"/>
          <w:rFonts w:ascii="Arial" w:hAnsi="Arial"/>
        </w:rPr>
        <w:t xml:space="preserve">10)</w:t>
      </w:r>
      <w:r>
        <w:rPr>
          <w:rFonts w:ascii="Arial" w:hAnsi="Arial"/>
        </w:rPr>
        <w:t xml:space="preserve"> </w:t>
      </w:r>
      <w:r>
        <w:rPr>
          <w:sz w:val="20"/>
          <w:rFonts w:ascii="Arial" w:hAnsi="Arial"/>
        </w:rPr>
        <w:t xml:space="preserve">Ustawa nr 561/2004</w:t>
      </w:r>
      <w:r>
        <w:rPr>
          <w:rFonts w:ascii="Arial" w:hAnsi="Arial"/>
        </w:rPr>
        <w:t xml:space="preserve"> </w:t>
      </w:r>
      <w:r>
        <w:rPr>
          <w:sz w:val="20"/>
          <w:rFonts w:ascii="Arial" w:hAnsi="Arial"/>
        </w:rPr>
        <w:t xml:space="preserve">o przedszkolach, szkołach podstawowych, średnich, wyższych zawodowych i innych (ustawa o edukacji), z późniejszymi zmianami.</w:t>
      </w:r>
      <w:r>
        <w:rPr>
          <w:sz w:val="24"/>
          <w:rFonts w:ascii="Arial" w:hAnsi="Arial"/>
        </w:rPr>
        <w:t xml:space="preserve">'</w:t>
      </w:r>
      <w:r>
        <w:rPr>
          <w:rFonts w:ascii="Arial" w:hAnsi="Arial"/>
        </w:rPr>
        <w:t xml:space="preserve"> </w:t>
      </w:r>
    </w:p>
    <w:p w14:paraId="71E506C3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7A415308" w14:textId="77777777" w:rsidR="00921644" w:rsidRPr="00921644" w:rsidRDefault="00D73F1E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4.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 § 23 dodaje się § 23a wraz z tytułem, w brzmieniu:</w:t>
      </w:r>
      <w:r>
        <w:rPr>
          <w:sz w:val="24"/>
          <w:rFonts w:ascii="Arial" w:hAnsi="Arial"/>
        </w:rPr>
        <w:t xml:space="preserve"> </w:t>
      </w:r>
    </w:p>
    <w:p w14:paraId="371B6533" w14:textId="77777777" w:rsidR="00921644" w:rsidRPr="00921644" w:rsidRDefault="00921644" w:rsidP="00921644">
      <w:pPr>
        <w:spacing w:after="120"/>
        <w:ind w:right="1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„§ 23a</w:t>
      </w:r>
    </w:p>
    <w:p w14:paraId="310622C8" w14:textId="77777777" w:rsidR="00921644" w:rsidRPr="00921644" w:rsidRDefault="00921644" w:rsidP="00921644">
      <w:pPr>
        <w:spacing w:after="120"/>
        <w:ind w:right="1"/>
        <w:jc w:val="center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Wymogi ochrony przeciwpożarowej do zastosowania w pomieszczeniach, w których usługa opieki nad dziećmi jest świadczona dla grupy dzieci</w:t>
      </w:r>
    </w:p>
    <w:p w14:paraId="5371108C" w14:textId="5DAB7907" w:rsid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(1)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pomieszczeniach, w których opieka nad dziećmi jest świadczona w grupie dzieci, z wyjątkiem urządzeń sanitarnych, połączona niezabezpieczona droga ewakuacyjna musi być wyposażona w autonomiczny system wykrywania i sygnalizacji lub równie skuteczny sprzęt.</w:t>
      </w:r>
      <w:r>
        <w:rPr>
          <w:sz w:val="24"/>
          <w:rFonts w:ascii="Arial" w:hAnsi="Arial"/>
        </w:rPr>
        <w:t xml:space="preserve"> </w:t>
      </w:r>
    </w:p>
    <w:p w14:paraId="3394A60C" w14:textId="2F2B7BB1" w:rsidR="00921644" w:rsidRPr="00921644" w:rsidRDefault="00921644" w:rsidP="00921644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(2)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Pomieszczenia, w których opieka nad dziećmi jest świadczona w grupie dzieci muszą być wyposażone w co najmniej jedną przenośną gaśnicę o skuteczności gaśniczej co najmniej 21A.</w:t>
      </w:r>
      <w:r>
        <w:rPr>
          <w:sz w:val="24"/>
          <w:rFonts w:ascii="Arial" w:hAnsi="Arial"/>
        </w:rPr>
        <w:t xml:space="preserve"> </w:t>
      </w:r>
    </w:p>
    <w:p w14:paraId="57A6EEBF" w14:textId="65D58744" w:rsidR="00921644" w:rsidRDefault="00921644" w:rsidP="00B43DF6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(3)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Pomieszczenia, w których opieka nad dziećmi jest świadczona w grupie dzieci muszą stanowić oddzielną strefę pożarową lub być oddzielone od innych pomieszczeń budynku przegrodą pożarową o odporności ogniowej co najmniej 30 minut.</w:t>
      </w:r>
      <w:r>
        <w:rPr>
          <w:sz w:val="24"/>
          <w:rFonts w:ascii="Arial" w:hAnsi="Arial"/>
        </w:rPr>
        <w:t xml:space="preserve">  </w:t>
      </w:r>
      <w:r>
        <w:rPr>
          <w:sz w:val="24"/>
          <w:rFonts w:ascii="Arial" w:hAnsi="Arial"/>
        </w:rPr>
        <w:t xml:space="preserve">W pomieszczeniach, o których mowa w zdaniu pierwszym może być świadczona tylko jedna usługa opieki nad dziećmi w grupie dzieci.</w:t>
      </w:r>
      <w:r>
        <w:rPr>
          <w:sz w:val="24"/>
          <w:rFonts w:ascii="Arial" w:hAnsi="Arial"/>
        </w:rPr>
        <w:t xml:space="preserve"> </w:t>
      </w:r>
    </w:p>
    <w:p w14:paraId="42C69709" w14:textId="3D1F4A69" w:rsidR="00786A92" w:rsidRPr="00921644" w:rsidRDefault="00786A92" w:rsidP="00786A92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 xml:space="preserve">(4)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strefie pożarowej może być świadczona jedna lub więcej usług opieki nad dziećmi w grupie dzieci, pod warunkiem że całkowita liczebność grupy nie przekracza 12 dzieci.</w:t>
      </w:r>
      <w:r>
        <w:rPr>
          <w:sz w:val="24"/>
          <w:rFonts w:ascii="Arial" w:hAnsi="Arial"/>
        </w:rPr>
        <w:t xml:space="preserve">  </w:t>
      </w:r>
    </w:p>
    <w:p w14:paraId="3F8F15B5" w14:textId="6CE42C5A" w:rsidR="00921644" w:rsidRPr="00921644" w:rsidRDefault="00921644" w:rsidP="00D23B99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(5)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Pomieszczenia, w których opieka nad dziećmi jest świadczona w grupie dzieci nie mogą znajdować się na piętrze wyższym niż druga kondygnacja lub na kondygnacji podziemnej, chyba że wyjście ewakuacyjne prowadzi bezpośrednio na otwarte powietrze.</w:t>
      </w:r>
      <w:r>
        <w:rPr>
          <w:sz w:val="24"/>
          <w:rFonts w:ascii="Arial" w:hAnsi="Arial"/>
        </w:rPr>
        <w:t xml:space="preserve"> </w:t>
      </w:r>
    </w:p>
    <w:p w14:paraId="5CC42DEC" w14:textId="5FE3417D" w:rsidR="00921644" w:rsidRPr="00921644" w:rsidRDefault="00572613" w:rsidP="00364982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 xml:space="preserve">(6)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 pomieszczeń, w których opieka nad dziećmi jest świadczona w grupie liczącej ponad 12 dzieci muszą prowadzić co najmniej dwie drogi ewakuacyjne.</w:t>
      </w:r>
      <w:r>
        <w:rPr>
          <w:sz w:val="24"/>
          <w:rFonts w:ascii="Arial" w:hAnsi="Arial"/>
        </w:rPr>
        <w:t xml:space="preserve"> </w:t>
      </w:r>
    </w:p>
    <w:p w14:paraId="6D22973D" w14:textId="2C5448CE" w:rsidR="00921644" w:rsidRPr="00921644" w:rsidRDefault="00921644" w:rsidP="00921644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(7)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Niezabezpieczona droga ewakuacyjna z pomieszczeń, w których opieka nad dziećmi jest świadczona w grupie dzieci musi być zgodna z wartością graniczną, która wynosi:</w:t>
      </w:r>
      <w:r>
        <w:rPr>
          <w:sz w:val="24"/>
          <w:rFonts w:ascii="Arial" w:hAnsi="Arial"/>
        </w:rPr>
        <w:t xml:space="preserve"> </w:t>
      </w:r>
    </w:p>
    <w:p w14:paraId="6310FD90" w14:textId="5D75DFBD" w:rsidR="00921644" w:rsidRP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25 m w przypadku pomieszczeń z jedną drogą ewakuacyjną;</w:t>
      </w:r>
    </w:p>
    <w:p w14:paraId="1DDC67A3" w14:textId="06510FB2" w:rsid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40 m w przypadku pomieszczeń z wieloma drogami ewakuacyjnymi.</w:t>
      </w:r>
    </w:p>
    <w:p w14:paraId="66AC7E07" w14:textId="3879CBFF" w:rsidR="00572613" w:rsidRPr="00921644" w:rsidRDefault="00572613" w:rsidP="00572613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(8)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pomieszczeniach, w których opieka nad dziećmi jest świadczona w grupie dzieci:</w:t>
      </w:r>
      <w:r>
        <w:rPr>
          <w:sz w:val="24"/>
          <w:rFonts w:ascii="Arial" w:hAnsi="Arial"/>
        </w:rPr>
        <w:t xml:space="preserve"> </w:t>
      </w:r>
    </w:p>
    <w:p w14:paraId="026BD24D" w14:textId="77777777" w:rsidR="00572613" w:rsidRPr="00921644" w:rsidRDefault="00572613" w:rsidP="00572613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a) do wykończenia powierzchni sufitu i sufitu podwieszanego muszą być stosowane wyroby budowlane klasy reakcji ogniowej co najmniej B-s1-d0;</w:t>
      </w:r>
    </w:p>
    <w:p w14:paraId="7D6F7BD5" w14:textId="77777777" w:rsidR="00572613" w:rsidRPr="00921644" w:rsidRDefault="00572613" w:rsidP="00572613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b) do wykończenia powierzchni ścian muszą być stosowane wyroby budowlane klasy reakcji ogniowej co najmniej D-s1-d0;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oraz</w:t>
      </w:r>
      <w:r>
        <w:rPr>
          <w:sz w:val="24"/>
          <w:rFonts w:ascii="Arial" w:hAnsi="Arial"/>
        </w:rPr>
        <w:t xml:space="preserve"> </w:t>
      </w:r>
    </w:p>
    <w:p w14:paraId="6ED3DA1B" w14:textId="38EE8C7F" w:rsidR="00572613" w:rsidRPr="00921644" w:rsidRDefault="00572613" w:rsidP="00572613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c) wykładziny podłogowe muszą być zgodne z najmniejszą klasą reakcji ogniowej C</w:t>
      </w:r>
      <w:r>
        <w:rPr>
          <w:sz w:val="24"/>
          <w:vertAlign w:val="subscript"/>
          <w:rFonts w:ascii="Arial" w:hAnsi="Arial"/>
        </w:rPr>
        <w:t xml:space="preserve">FL</w:t>
      </w:r>
      <w:r>
        <w:rPr>
          <w:sz w:val="24"/>
          <w:rFonts w:ascii="Arial" w:hAnsi="Arial"/>
        </w:rPr>
        <w:t xml:space="preserve">-s1.</w:t>
      </w:r>
    </w:p>
    <w:p w14:paraId="2B80A864" w14:textId="3B85DEFD" w:rsidR="00921644" w:rsidRDefault="00921644" w:rsidP="009144EA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(9)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Ustępy 3–8 nie mają zastosowania w przypadku, gdy w budynku świadczona jest co najmniej jedna usługa opieki nad dziećmi w grupie liczącej łącznie nie więcej niż 6 dzieci.”.</w:t>
      </w:r>
      <w:r>
        <w:rPr>
          <w:sz w:val="24"/>
          <w:rFonts w:ascii="Arial" w:hAnsi="Arial"/>
        </w:rPr>
        <w:t xml:space="preserve"> </w:t>
      </w:r>
    </w:p>
    <w:p w14:paraId="01C8C572" w14:textId="26895ED2" w:rsidR="00FB331F" w:rsidRDefault="00FB331F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0E4B53F9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color w:val="auto"/>
          <w:sz w:val="24"/>
          <w:szCs w:val="24"/>
          <w:rFonts w:ascii="Arial" w:hAnsi="Arial" w:cs="Arial"/>
        </w:rPr>
      </w:pPr>
      <w:r>
        <w:rPr>
          <w:color w:val="auto"/>
          <w:sz w:val="24"/>
          <w:rFonts w:ascii="Arial" w:hAnsi="Arial"/>
        </w:rPr>
        <w:t xml:space="preserve">Artykuł II</w:t>
      </w:r>
    </w:p>
    <w:p w14:paraId="7AE13BB7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Przepisy przejściowe</w:t>
      </w:r>
    </w:p>
    <w:p w14:paraId="2DBCDE88" w14:textId="7555FBA7" w:rsidR="00FB331F" w:rsidRDefault="00FB331F" w:rsidP="00FB331F">
      <w:pPr>
        <w:spacing w:after="120" w:line="259" w:lineRule="auto"/>
        <w:ind w:left="1" w:right="1" w:firstLine="707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przypadku budynku</w:t>
      </w:r>
      <w:r>
        <w:rPr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lub jego części przeznaczonej na działalność szkoły, placówki szkolnej lub opieki przedszkolnej rozpoczętej przed datą wejścia w życie niniejszego rozporządzenia, zgodność z wymaganiami technicznymi w zakresie ochrony przeciwpożarowej budynków ocenia się zgodnie z rozporządzeniem nr 23/2008, zmienionym przed datą wejścia w życie niniejszego rozporządzenia.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Pozostaje to bez uszczerbku dla wymogów dotyczących użytkowania budynków zgodnie z § 23a rozporządzenia nr 23/2008, zmienionego z dniem wejścia w życie niniejszego rozporządzenia.</w:t>
      </w:r>
      <w:r>
        <w:rPr>
          <w:sz w:val="24"/>
          <w:rFonts w:ascii="Arial" w:hAnsi="Arial"/>
        </w:rPr>
        <w:t xml:space="preserve"> </w:t>
      </w:r>
    </w:p>
    <w:p w14:paraId="41B1D568" w14:textId="77777777" w:rsidR="00FB331F" w:rsidRDefault="00FB331F" w:rsidP="00FB331F">
      <w:pPr>
        <w:spacing w:after="120" w:line="259" w:lineRule="auto"/>
        <w:ind w:left="1" w:right="1" w:firstLine="707"/>
        <w:rPr>
          <w:rFonts w:ascii="Arial" w:hAnsi="Arial" w:cs="Arial"/>
          <w:sz w:val="24"/>
          <w:szCs w:val="24"/>
        </w:rPr>
      </w:pPr>
    </w:p>
    <w:p w14:paraId="5E54D3FE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Artykuł III</w:t>
      </w:r>
      <w:r>
        <w:rPr>
          <w:sz w:val="24"/>
          <w:rFonts w:ascii="Arial" w:hAnsi="Arial"/>
        </w:rPr>
        <w:t xml:space="preserve"> </w:t>
      </w:r>
    </w:p>
    <w:p w14:paraId="77558F9C" w14:textId="22AF147E" w:rsidR="00FB331F" w:rsidRPr="00FB331F" w:rsidRDefault="00FB331F" w:rsidP="00FB331F">
      <w:pPr>
        <w:spacing w:after="120" w:line="259" w:lineRule="auto"/>
        <w:ind w:left="10" w:right="1" w:firstLine="69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Niniejsze rozporządzenie zostało zgłoszone zgodnie z dyrektywą (UE) 2015/1535 Parlamentu Europejskiego i Rady z dnia 9 września 2015 r. ustanawiającą procedurę udzielania informacji w dziedzinie przepisów technicznych oraz zasad dotyczących usług społeczeństwa informacyjnego.</w:t>
      </w:r>
    </w:p>
    <w:p w14:paraId="287359CC" w14:textId="77777777" w:rsid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  <w:highlight w:val="green"/>
        </w:rPr>
      </w:pPr>
    </w:p>
    <w:p w14:paraId="6C489FFA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Artykuł IV</w:t>
      </w:r>
    </w:p>
    <w:p w14:paraId="392E34DA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Data wejścia w życie</w:t>
      </w:r>
    </w:p>
    <w:p w14:paraId="3CAE72ED" w14:textId="77777777" w:rsidR="00FB331F" w:rsidRPr="00FB331F" w:rsidRDefault="00FB331F" w:rsidP="0057674D">
      <w:pPr>
        <w:keepNext/>
        <w:keepLines/>
        <w:spacing w:after="120" w:line="259" w:lineRule="auto"/>
        <w:ind w:left="10" w:right="1" w:firstLine="698"/>
        <w:outlineLvl w:val="0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Niniejsze rozporządzenie wchodzi w życie z dniem 1 lipca 2023 r., z wyjątkiem postanowień art. I pkt 4, które wchodzą w życie z dniem 1 lipca 2024 r.</w:t>
      </w:r>
    </w:p>
    <w:p w14:paraId="0B7BBEE0" w14:textId="77777777" w:rsidR="00FB331F" w:rsidRPr="00FB331F" w:rsidRDefault="00FB331F" w:rsidP="00FB331F">
      <w:pPr>
        <w:spacing w:after="120"/>
        <w:ind w:left="0" w:firstLine="0"/>
        <w:rPr>
          <w:rFonts w:ascii="Arial" w:hAnsi="Arial" w:cs="Arial"/>
          <w:color w:val="auto"/>
          <w:sz w:val="24"/>
        </w:rPr>
      </w:pPr>
    </w:p>
    <w:p w14:paraId="25564382" w14:textId="77777777" w:rsidR="00FB331F" w:rsidRPr="00FB331F" w:rsidRDefault="00FB331F" w:rsidP="00FB331F">
      <w:pPr>
        <w:spacing w:after="120" w:line="247" w:lineRule="auto"/>
        <w:ind w:left="11" w:right="0" w:hanging="11"/>
        <w:jc w:val="center"/>
        <w:rPr>
          <w:color w:val="auto"/>
          <w:sz w:val="24"/>
          <w:rFonts w:ascii="Arial" w:hAnsi="Arial" w:cs="Arial"/>
        </w:rPr>
      </w:pPr>
      <w:r>
        <w:rPr>
          <w:color w:val="auto"/>
          <w:sz w:val="24"/>
          <w:rFonts w:ascii="Arial" w:hAnsi="Arial"/>
        </w:rPr>
        <w:t xml:space="preserve">Minister:</w:t>
      </w:r>
    </w:p>
    <w:p w14:paraId="7968AB8A" w14:textId="77777777" w:rsidR="00921644" w:rsidRDefault="00921644" w:rsidP="00921644"/>
    <w:sectPr w:rsidR="009216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6EEBF" w14:textId="77777777" w:rsidR="003B3F75" w:rsidRDefault="003B3F75" w:rsidP="003B3F75">
      <w:pPr>
        <w:spacing w:after="0" w:line="240" w:lineRule="auto"/>
      </w:pPr>
      <w:r>
        <w:separator/>
      </w:r>
    </w:p>
  </w:endnote>
  <w:endnote w:type="continuationSeparator" w:id="0">
    <w:p w14:paraId="143E3E13" w14:textId="77777777" w:rsidR="003B3F75" w:rsidRDefault="003B3F75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48707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593A679" w14:textId="22973B08" w:rsidR="003B3F75" w:rsidRPr="003B3F75" w:rsidRDefault="003B3F75" w:rsidP="003B3F75">
        <w:pPr>
          <w:pStyle w:val="Zpat"/>
          <w:ind w:right="0"/>
          <w:jc w:val="center"/>
          <w:rPr>
            <w:rFonts w:ascii="Arial" w:hAnsi="Arial" w:cs="Arial"/>
          </w:rPr>
        </w:pPr>
        <w:r w:rsidRPr="003B3F75">
          <w:rPr>
            <w:rFonts w:ascii="Arial" w:hAnsi="Arial" w:cs="Arial"/>
          </w:rPr>
          <w:fldChar w:fldCharType="begin"/>
        </w:r>
        <w:r w:rsidRPr="003B3F75">
          <w:rPr>
            <w:rFonts w:ascii="Arial" w:hAnsi="Arial" w:cs="Arial"/>
          </w:rPr>
          <w:instrText>PAGE   \* MERGEFORMAT</w:instrText>
        </w:r>
        <w:r w:rsidRPr="003B3F7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3</w:t>
        </w:r>
        <w:r w:rsidRPr="003B3F75">
          <w:rPr>
            <w:rFonts w:ascii="Arial" w:hAnsi="Arial" w:cs="Arial"/>
          </w:rPr>
          <w:fldChar w:fldCharType="end"/>
        </w:r>
      </w:p>
    </w:sdtContent>
  </w:sdt>
  <w:p w14:paraId="1FC77E60" w14:textId="77777777" w:rsidR="003B3F75" w:rsidRDefault="003B3F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70A85" w14:textId="77777777" w:rsidR="003B3F75" w:rsidRDefault="003B3F75" w:rsidP="003B3F75">
      <w:pPr>
        <w:spacing w:after="0" w:line="240" w:lineRule="auto"/>
      </w:pPr>
      <w:r>
        <w:separator/>
      </w:r>
    </w:p>
  </w:footnote>
  <w:footnote w:type="continuationSeparator" w:id="0">
    <w:p w14:paraId="57D63DFC" w14:textId="77777777" w:rsidR="003B3F75" w:rsidRDefault="003B3F75" w:rsidP="003B3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44"/>
    <w:rsid w:val="000725BF"/>
    <w:rsid w:val="00237976"/>
    <w:rsid w:val="002F0B32"/>
    <w:rsid w:val="003244CF"/>
    <w:rsid w:val="00364982"/>
    <w:rsid w:val="00390931"/>
    <w:rsid w:val="003B3F75"/>
    <w:rsid w:val="004109ED"/>
    <w:rsid w:val="0041256E"/>
    <w:rsid w:val="00423196"/>
    <w:rsid w:val="00425B2E"/>
    <w:rsid w:val="00447C12"/>
    <w:rsid w:val="00474A04"/>
    <w:rsid w:val="00562BBB"/>
    <w:rsid w:val="00571E21"/>
    <w:rsid w:val="00572613"/>
    <w:rsid w:val="0057674D"/>
    <w:rsid w:val="005932EE"/>
    <w:rsid w:val="005D52F1"/>
    <w:rsid w:val="00602F1B"/>
    <w:rsid w:val="006345A6"/>
    <w:rsid w:val="00642386"/>
    <w:rsid w:val="006A78CE"/>
    <w:rsid w:val="00786A92"/>
    <w:rsid w:val="007C7A8D"/>
    <w:rsid w:val="008B52F8"/>
    <w:rsid w:val="009144EA"/>
    <w:rsid w:val="00920937"/>
    <w:rsid w:val="00921644"/>
    <w:rsid w:val="009444A8"/>
    <w:rsid w:val="009B6883"/>
    <w:rsid w:val="00A012F2"/>
    <w:rsid w:val="00B3120C"/>
    <w:rsid w:val="00B43DF6"/>
    <w:rsid w:val="00BB0610"/>
    <w:rsid w:val="00BC4E87"/>
    <w:rsid w:val="00C21F17"/>
    <w:rsid w:val="00C47ED4"/>
    <w:rsid w:val="00D1214E"/>
    <w:rsid w:val="00D23B99"/>
    <w:rsid w:val="00D25024"/>
    <w:rsid w:val="00D65B43"/>
    <w:rsid w:val="00D73F1E"/>
    <w:rsid w:val="00F50DAA"/>
    <w:rsid w:val="00F7056F"/>
    <w:rsid w:val="00FB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389A"/>
  <w15:chartTrackingRefBased/>
  <w15:docId w15:val="{47026BD0-26BB-44C1-AADA-036E8AC2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1644"/>
    <w:pPr>
      <w:spacing w:after="5" w:line="248" w:lineRule="auto"/>
      <w:ind w:left="9" w:right="1298" w:hanging="9"/>
      <w:jc w:val="both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976"/>
    <w:rPr>
      <w:rFonts w:ascii="Segoe UI" w:eastAsia="Calibri" w:hAnsi="Segoe UI" w:cs="Segoe UI"/>
      <w:color w:val="000000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109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ED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ED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F75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F75"/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79E2-AECA-4820-A14C-446EA57F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Henych</dc:creator>
  <cp:keywords/>
  <dc:description/>
  <cp:lastModifiedBy>BEŇÁK Ondrej, Mgr.</cp:lastModifiedBy>
  <cp:revision>11</cp:revision>
  <dcterms:created xsi:type="dcterms:W3CDTF">2022-12-20T12:26:00Z</dcterms:created>
  <dcterms:modified xsi:type="dcterms:W3CDTF">2023-02-02T12:56:00Z</dcterms:modified>
</cp:coreProperties>
</file>