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E18" w:rsidRPr="00BC2E09" w:rsidRDefault="00483E18" w:rsidP="00483E18">
      <w:pPr>
        <w:spacing w:line="360" w:lineRule="auto"/>
        <w:ind w:right="-1065"/>
        <w:jc w:val="center"/>
        <w:rPr>
          <w:sz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------IND- 2019 0520 DK- SL- ------ 20191106 --- --- PROJET</w:t>
      </w:r>
    </w:p>
    <w:p w:rsidR="00483E18" w:rsidRPr="00186765" w:rsidRDefault="00483E18" w:rsidP="00483E18">
      <w:pPr>
        <w:shd w:val="clear" w:color="auto" w:fill="316529"/>
        <w:spacing w:after="150" w:line="240" w:lineRule="auto"/>
        <w:jc w:val="center"/>
        <w:rPr>
          <w:b/>
          <w:bCs/>
          <w:color w:val="FFFFFF"/>
          <w:sz w:val="17"/>
          <w:szCs w:val="17"/>
          <w:rFonts w:ascii="Tahoma" w:eastAsia="Times New Roman" w:hAnsi="Tahoma" w:cs="Tahoma"/>
        </w:rPr>
      </w:pPr>
      <w:r>
        <w:rPr>
          <w:b/>
          <w:color w:val="FFFFFF"/>
          <w:sz w:val="17"/>
          <w:rFonts w:ascii="Tahoma" w:hAnsi="Tahoma"/>
        </w:rPr>
        <w:t xml:space="preserve">Pregled (kazalo)</w:t>
      </w:r>
    </w:p>
    <w:tbl>
      <w:tblPr>
        <w:tblW w:w="0" w:type="auto"/>
        <w:tblCellSpacing w:w="15" w:type="dxa"/>
        <w:tblInd w:w="7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"/>
        <w:gridCol w:w="8159"/>
      </w:tblGrid>
      <w:tr w:rsidR="00483E18" w:rsidRPr="00186765" w:rsidTr="00B155CB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B155CB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0" w:anchor="id685d588d-ae10-40bd-9311-7b00c97823a1">
              <w:r>
                <w:rPr>
                  <w:color w:val="000000"/>
                  <w:sz w:val="17"/>
                  <w:u w:val="single"/>
                  <w:rFonts w:ascii="Tahoma" w:hAnsi="Tahoma"/>
                </w:rPr>
                <w:t xml:space="preserve">Poglavje 1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rFonts w:ascii="Tahoma" w:hAnsi="Tahoma"/>
              </w:rPr>
              <w:t xml:space="preserve">Področje uporabe in opredelitev pojmov</w:t>
            </w:r>
          </w:p>
        </w:tc>
      </w:tr>
      <w:tr w:rsidR="00483E18" w:rsidRPr="00186765" w:rsidTr="00B155CB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B155CB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1" w:anchor="id5917f88d-42d6-4bb9-8f93-427401eba0f1">
              <w:r>
                <w:rPr>
                  <w:color w:val="000000"/>
                  <w:sz w:val="17"/>
                  <w:u w:val="single"/>
                  <w:rFonts w:ascii="Tahoma" w:hAnsi="Tahoma"/>
                </w:rPr>
                <w:t xml:space="preserve">Poglavje 2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rFonts w:ascii="Tahoma" w:hAnsi="Tahoma"/>
              </w:rPr>
              <w:t xml:space="preserve">Dajanje na trg, uporaba in umik proizvodov</w:t>
            </w:r>
          </w:p>
        </w:tc>
      </w:tr>
      <w:tr w:rsidR="00483E18" w:rsidRPr="00186765" w:rsidTr="00B155CB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B155CB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2" w:anchor="idd3a105ef-f0af-459c-958d-b1608c138d28">
              <w:r>
                <w:rPr>
                  <w:color w:val="000000"/>
                  <w:sz w:val="17"/>
                  <w:u w:val="single"/>
                  <w:rFonts w:ascii="Tahoma" w:hAnsi="Tahoma"/>
                </w:rPr>
                <w:t xml:space="preserve">Poglavje 3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rFonts w:ascii="Tahoma" w:hAnsi="Tahoma"/>
              </w:rPr>
              <w:t xml:space="preserve">Posebna proizvodnja, pogoji uporabe in preskusov itd. za nekatere materiale, namenjene za stik z živili</w:t>
            </w:r>
          </w:p>
        </w:tc>
      </w:tr>
      <w:tr w:rsidR="00483E18" w:rsidRPr="00186765" w:rsidTr="00B155CB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B155CB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3" w:anchor="idb693be80-d842-43d8-b163-057dbb430e68">
              <w:r>
                <w:rPr>
                  <w:color w:val="000000"/>
                  <w:sz w:val="17"/>
                  <w:u w:val="single"/>
                  <w:rFonts w:ascii="Tahoma" w:hAnsi="Tahoma"/>
                </w:rPr>
                <w:t xml:space="preserve">Poglavje 4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rFonts w:ascii="Tahoma" w:hAnsi="Tahoma"/>
              </w:rPr>
              <w:t xml:space="preserve">Posebne zahteve glede dokumentacije in izjav</w:t>
            </w:r>
          </w:p>
        </w:tc>
      </w:tr>
      <w:tr w:rsidR="00483E18" w:rsidRPr="00186765" w:rsidTr="00B155CB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B155CB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4" w:anchor="idf5eb7174-34f8-4210-8397-01c92b549260">
              <w:r>
                <w:rPr>
                  <w:color w:val="000000"/>
                  <w:sz w:val="17"/>
                  <w:u w:val="single"/>
                  <w:rFonts w:ascii="Tahoma" w:hAnsi="Tahoma"/>
                </w:rPr>
                <w:t xml:space="preserve">Poglavje 5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rFonts w:ascii="Tahoma" w:hAnsi="Tahoma"/>
              </w:rPr>
              <w:t xml:space="preserve">Preskus migracije</w:t>
            </w:r>
          </w:p>
        </w:tc>
      </w:tr>
      <w:tr w:rsidR="00483E18" w:rsidRPr="00186765" w:rsidTr="00B155CB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B155CB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5" w:anchor="id63dc768c-1caa-4703-b098-01c250a0df74">
              <w:r>
                <w:rPr>
                  <w:color w:val="000000"/>
                  <w:sz w:val="17"/>
                  <w:u w:val="single"/>
                  <w:rFonts w:ascii="Tahoma" w:hAnsi="Tahoma"/>
                </w:rPr>
                <w:t xml:space="preserve">Poglavje 6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rFonts w:ascii="Tahoma" w:hAnsi="Tahoma"/>
              </w:rPr>
              <w:t xml:space="preserve">Kazenske določbe in začetek veljavnosti</w:t>
            </w:r>
          </w:p>
        </w:tc>
      </w:tr>
      <w:tr w:rsidR="00483E18" w:rsidRPr="00186765" w:rsidTr="00B155CB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B155CB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6" w:anchor="ideec75add-8f90-409f-8c95-2860d550aa81">
              <w:r>
                <w:rPr>
                  <w:color w:val="000000"/>
                  <w:sz w:val="17"/>
                  <w:u w:val="single"/>
                  <w:rFonts w:ascii="Tahoma" w:hAnsi="Tahoma"/>
                </w:rPr>
                <w:t xml:space="preserve">Priloga 1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rFonts w:ascii="Tahoma" w:hAnsi="Tahoma"/>
              </w:rPr>
              <w:t xml:space="preserve">Seznam aditivov, ki delujejo izključno kot površinski biocidi in katerih namen je, da ostanejo v končnem predmetu, prim. oddelek 9</w:t>
            </w:r>
          </w:p>
        </w:tc>
      </w:tr>
      <w:tr w:rsidR="00483E18" w:rsidRPr="00186765" w:rsidTr="00B155CB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B155CB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7" w:anchor="id9ecab0af-61a6-40f7-a1d9-ea09862dcaea">
              <w:r>
                <w:rPr>
                  <w:color w:val="000000"/>
                  <w:sz w:val="17"/>
                  <w:u w:val="single"/>
                  <w:rFonts w:ascii="Tahoma" w:hAnsi="Tahoma"/>
                </w:rPr>
                <w:t xml:space="preserve">Priloga 2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rFonts w:ascii="Tahoma" w:hAnsi="Tahoma"/>
              </w:rPr>
              <w:t xml:space="preserve">Merila, ki se uporabljajo za metodo za določanje vsebnosti vinilklorida v materialih, namenjenih za stik z živili, in za določanje vinilklorida, ki ga sprostijo materiali, namenjeni za stik z živili, prim. oddelek 10</w:t>
            </w:r>
          </w:p>
        </w:tc>
      </w:tr>
      <w:tr w:rsidR="00483E18" w:rsidRPr="00186765" w:rsidTr="00B155CB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B155CB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8" w:anchor="idc951062f-f17d-41a9-b6b7-0384edf5831e">
              <w:r>
                <w:rPr>
                  <w:color w:val="000000"/>
                  <w:sz w:val="17"/>
                  <w:u w:val="single"/>
                  <w:rFonts w:ascii="Tahoma" w:hAnsi="Tahoma"/>
                </w:rPr>
                <w:t xml:space="preserve">Priloga 3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rFonts w:ascii="Tahoma" w:hAnsi="Tahoma"/>
              </w:rPr>
              <w:t xml:space="preserve">Seznam snovi, ki se lahko uporabljajo pri proizvodnji regenerirane celulozne folije, prim. oddelek 11</w:t>
            </w:r>
          </w:p>
        </w:tc>
      </w:tr>
      <w:tr w:rsidR="00483E18" w:rsidRPr="00186765" w:rsidTr="00B155CB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B155CB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19" w:anchor="id0bc76272-e565-4695-a7a1-05c8af7a9145">
              <w:r>
                <w:rPr>
                  <w:color w:val="000000"/>
                  <w:sz w:val="17"/>
                  <w:u w:val="single"/>
                  <w:rFonts w:ascii="Tahoma" w:hAnsi="Tahoma"/>
                </w:rPr>
                <w:t xml:space="preserve">Priloga 4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rFonts w:ascii="Tahoma" w:hAnsi="Tahoma"/>
              </w:rPr>
              <w:t xml:space="preserve">Mejne vrednosti za svinec in kadmij iz keramičnih in emajliranih ter steklenih izdelkov, prim. oddelek 14</w:t>
            </w:r>
          </w:p>
        </w:tc>
      </w:tr>
      <w:tr w:rsidR="00483E18" w:rsidRPr="00186765" w:rsidTr="00B155CB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B155CB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20" w:anchor="id679f1ca0-54c0-4f66-8372-8024df5c051c">
              <w:r>
                <w:rPr>
                  <w:color w:val="000000"/>
                  <w:sz w:val="17"/>
                  <w:u w:val="single"/>
                  <w:rFonts w:ascii="Tahoma" w:hAnsi="Tahoma"/>
                </w:rPr>
                <w:t xml:space="preserve">Priloga 5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rFonts w:ascii="Tahoma" w:hAnsi="Tahoma"/>
              </w:rPr>
              <w:t xml:space="preserve">Zahteve za dokumentacijo za podjetja, ki dajejo na trg materiale, namenjene za stik z živili, prim. oddelek 15</w:t>
            </w:r>
          </w:p>
        </w:tc>
      </w:tr>
      <w:tr w:rsidR="00483E18" w:rsidRPr="00186765" w:rsidTr="00B155CB">
        <w:trPr>
          <w:tblCellSpacing w:w="15" w:type="dxa"/>
        </w:trPr>
        <w:tc>
          <w:tcPr>
            <w:tcW w:w="0" w:type="auto"/>
            <w:noWrap/>
            <w:tcMar>
              <w:top w:w="80" w:type="dxa"/>
              <w:left w:w="0" w:type="dxa"/>
              <w:bottom w:w="40" w:type="dxa"/>
              <w:right w:w="0" w:type="dxa"/>
            </w:tcMar>
            <w:hideMark/>
          </w:tcPr>
          <w:p w:rsidR="00483E18" w:rsidRPr="00186765" w:rsidRDefault="00B155CB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hyperlink r:id="rId21" w:anchor="idc43903f4-acaf-4979-bb13-ca48ddc7ae9d">
              <w:r>
                <w:rPr>
                  <w:color w:val="000000"/>
                  <w:sz w:val="17"/>
                  <w:u w:val="single"/>
                  <w:rFonts w:ascii="Tahoma" w:hAnsi="Tahoma"/>
                </w:rPr>
                <w:t xml:space="preserve">Priloga 6</w:t>
              </w:r>
            </w:hyperlink>
          </w:p>
        </w:tc>
        <w:tc>
          <w:tcPr>
            <w:tcW w:w="0" w:type="auto"/>
            <w:tcMar>
              <w:top w:w="80" w:type="dxa"/>
              <w:left w:w="200" w:type="dxa"/>
              <w:bottom w:w="40" w:type="dxa"/>
              <w:right w:w="0" w:type="dxa"/>
            </w:tcMar>
            <w:hideMark/>
          </w:tcPr>
          <w:p w:rsidR="00483E18" w:rsidRPr="00186765" w:rsidRDefault="00483E18" w:rsidP="00B155CB">
            <w:pPr>
              <w:spacing w:before="80" w:after="80" w:line="240" w:lineRule="auto"/>
              <w:rPr>
                <w:color w:val="000000"/>
                <w:sz w:val="17"/>
                <w:szCs w:val="17"/>
                <w:rFonts w:ascii="Tahoma" w:eastAsia="Times New Roman" w:hAnsi="Tahoma" w:cs="Tahoma"/>
              </w:rPr>
            </w:pPr>
            <w:r>
              <w:rPr>
                <w:color w:val="000000"/>
                <w:sz w:val="17"/>
                <w:rFonts w:ascii="Tahoma" w:hAnsi="Tahoma"/>
              </w:rPr>
              <w:t xml:space="preserve">Keramični in emajlirani ter stekleni izdelki, prim. oddelek 16</w:t>
            </w:r>
          </w:p>
        </w:tc>
      </w:tr>
    </w:tbl>
    <w:p w:rsidR="00483E18" w:rsidRPr="00186765" w:rsidRDefault="00483E18" w:rsidP="00483E18">
      <w:pPr>
        <w:shd w:val="clear" w:color="auto" w:fill="316529"/>
        <w:spacing w:after="150" w:line="240" w:lineRule="auto"/>
        <w:jc w:val="center"/>
        <w:rPr>
          <w:b/>
          <w:bCs/>
          <w:color w:val="FFFFFF"/>
          <w:sz w:val="17"/>
          <w:szCs w:val="17"/>
          <w:rFonts w:ascii="Tahoma" w:eastAsia="Times New Roman" w:hAnsi="Tahoma" w:cs="Tahoma"/>
        </w:rPr>
      </w:pPr>
      <w:r>
        <w:rPr>
          <w:b/>
          <w:color w:val="FFFFFF"/>
          <w:sz w:val="17"/>
          <w:rFonts w:ascii="Tahoma" w:hAnsi="Tahoma"/>
        </w:rPr>
        <w:t xml:space="preserve">Celotno besedilo</w:t>
      </w:r>
    </w:p>
    <w:p w:rsidR="00B10085" w:rsidRPr="00186765" w:rsidRDefault="00B10085" w:rsidP="00EC4A7B">
      <w:pPr>
        <w:keepNext/>
        <w:spacing w:before="200" w:after="200" w:line="240" w:lineRule="auto"/>
        <w:jc w:val="center"/>
        <w:rPr>
          <w:color w:val="000000"/>
          <w:sz w:val="28"/>
          <w:szCs w:val="28"/>
          <w:rFonts w:ascii="Tahoma" w:eastAsia="Times New Roman" w:hAnsi="Tahoma" w:cs="Tahoma"/>
        </w:rPr>
      </w:pPr>
      <w:r>
        <w:rPr>
          <w:color w:val="000000"/>
          <w:sz w:val="28"/>
          <w:rFonts w:ascii="Tahoma" w:hAnsi="Tahoma"/>
        </w:rPr>
        <w:t xml:space="preserve">Odredba o materialih, namenjenih za stik z živili, in določbah o kaznih za kršitve povezane zakonodaje</w:t>
      </w:r>
      <w:r>
        <w:rPr>
          <w:color w:val="000000"/>
          <w:sz w:val="28"/>
          <w:color w:val="000000"/>
          <w:sz w:val="28"/>
          <w:rFonts w:ascii="Tahoma" w:hAnsi="Tahoma"/>
        </w:rPr>
        <w:t xml:space="preserve"> EU</w:t>
      </w:r>
      <w:hyperlink r:id="rId22" w:anchor="id1f4c3218-9ee3-46b4-a215-7b17fdf58f29">
        <w:r>
          <w:rPr>
            <w:color w:val="000000"/>
            <w:sz w:val="14"/>
            <w:u w:val="single"/>
            <w:vertAlign w:val="superscript"/>
            <w:rFonts w:ascii="Tahoma" w:hAnsi="Tahoma"/>
          </w:rPr>
          <w:t xml:space="preserve">1</w:t>
        </w:r>
      </w:hyperlink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V skladu z oddelkom 25, oddelkom 25 a, oddelkom 49(1) in oddelkom 60(1) Zakona o živilih (glej prečiščeno besedilo Zakona št. 999 z dne 2. julija 2018) se na podlagi pooblastila v okviru oddelka 7(3) Odredbe št. 1614 z dne 18. decembra 2018 o dolžnostih in pooblastilih Danske uprave za veterinarstvo in prehrano določa naslednje:</w:t>
      </w:r>
    </w:p>
    <w:p w:rsidR="00B10085" w:rsidRPr="00186765" w:rsidRDefault="00B10085" w:rsidP="00EC4A7B">
      <w:pPr>
        <w:keepNext/>
        <w:spacing w:before="400" w:after="10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Poglavje 1</w:t>
      </w:r>
    </w:p>
    <w:p w:rsidR="00B10085" w:rsidRPr="00186765" w:rsidRDefault="00B10085" w:rsidP="00EC4A7B">
      <w:pPr>
        <w:keepNext/>
        <w:spacing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color w:val="000000"/>
          <w:sz w:val="17"/>
          <w:rFonts w:ascii="Tahoma" w:hAnsi="Tahoma"/>
        </w:rPr>
        <w:t xml:space="preserve">Področje uporabe in opredelitev pojmov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1.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Določba se uporablja za materiale, namenjene za stik z živili, ki jih zajema Uredba Evropskega parlamenta in Sveta (ES) št. 1935/2004 z dne 27. oktobra 2004 o materialih in izdelkih, namenjenih za stik z živili, in o razveljavitvi direktiv 80/590/EGS in 89/109/EGS.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2.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Za namene te odredbe imajo spodaj navedeni pojmi naslednji pomen:</w:t>
      </w:r>
    </w:p>
    <w:p w:rsidR="00B10085" w:rsidRPr="00186765" w:rsidRDefault="00B10085" w:rsidP="00EC4A7B">
      <w:pPr>
        <w:keepNext/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Regenerirana celulozna folija: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tanka plast materiala, pridobljenega iz rafinirane celuloze iz nerecikliranega lesa ali bombaža.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Za izpolnjevanje tehničnih zahtev se lahko v maso ali na površino dodajo ustrezne snovi.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Regenerirana celulozna folija lahko ima premaz na eni ali obeh straneh.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Regenerirana celulozna folija vključuje:</w:t>
      </w:r>
    </w:p>
    <w:p w:rsidR="00B10085" w:rsidRPr="00186765" w:rsidRDefault="00B10085" w:rsidP="00B10085">
      <w:pPr>
        <w:spacing w:after="0" w:line="240" w:lineRule="auto"/>
        <w:ind w:left="56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(a) folijo iz regenerirane celuloze brez premaza;</w:t>
      </w:r>
    </w:p>
    <w:p w:rsidR="00B10085" w:rsidRPr="00186765" w:rsidRDefault="00B10085" w:rsidP="00B10085">
      <w:pPr>
        <w:spacing w:after="0" w:line="240" w:lineRule="auto"/>
        <w:ind w:left="56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(b) regenerirano celulozno folijo s premazom, pridobljenim iz celuloze; ali</w:t>
      </w:r>
    </w:p>
    <w:p w:rsidR="00B10085" w:rsidRPr="00186765" w:rsidRDefault="00B10085" w:rsidP="00B10085">
      <w:pPr>
        <w:spacing w:after="0" w:line="240" w:lineRule="auto"/>
        <w:ind w:left="56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(c) regenerirano celulozno folijo s premazom, pridobljenim iz plastične mase.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Keramični izdelki: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izdelki, proizvedeni iz mešanice neorganskih materialov z na splošno visoko vsebnostjo gline ali silikata, ki so jim lahko dodane majhne količine organskih materialov.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Ti izdelki se najprej oblikujejo, ta oblika pa se trajno utrdi z žganjem.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Lahko so glazirani, emajlirani in/ali okrašeni.</w:t>
      </w:r>
      <w:r>
        <w:rPr>
          <w:color w:val="000000"/>
          <w:sz w:val="17"/>
          <w:rFonts w:ascii="Tahoma" w:hAnsi="Tahoma"/>
        </w:rPr>
        <w:t xml:space="preserve"> 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3) Papir in lepenka: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materiali in izdelki iz naravnih beljenih in nebeljenih vlaken na osnovi celuloze iz primarnih in recikliranih virov.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Papir in lepenka lahko poleg tega vsebujeta umetna vlakna, funkcionalne aditive in druge snovi za obdelavo, polimerne vezivne snovi za organske in neorganske pigmente in plastično folijo.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Papir in lepenka lahko vsebujeta tudi barve, lake, površinsko obdelavo, lepilo in plastično folijo, ki se uporabljajo v postopku predelave.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3.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V tej odredbi so materiali, namenjeni za stik z živili, opredeljeni kot materiali in snovi, kot so navedeni v členu 1(2) Uredbe Evropskega parlamenta in Sveta (ES) št. 1935/2004 o materialih in izdelkih, namenjenih za stik z živili, in o razveljavitvi direktiv 80/590/EGS in 89/109/EGS.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4.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V tej odredbi je polimerni material opredeljen kot v členu 3(1)(a) in (b) Uredbe Komisije (EU) št. 10/2011 z dne 14. januarja 2011 o polimernih materialih in izdelkih, namenjenih za stik z živili, ter kot polimerni material, opredeljen v členu 3(2) iste uredbe.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Za uporabo te odredbe se uporabljajo druge ustrezne opredelitve pojmov iz člena 3 Uredbe Komisije (EU) št. 10/2011 z dne 14. januarja 2011 o polimernih materialih in izdelkih, namenjenih za stik z živili.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5.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Poleg opredelitev pojmov iz oddelkov 2 do 4 se uporabljajo opredelitve pojmov iz Uredbe Evropskega parlamenta in Sveta (ES) št. 1935/2004 z dne 27. oktobra 2004 o materialih in izdelkih, namenjenih za stik z živili, in o razveljavitvi direktiv 80/590/EGS in 89/109/EGS.</w:t>
      </w:r>
    </w:p>
    <w:p w:rsidR="00B10085" w:rsidRPr="00186765" w:rsidRDefault="00B10085" w:rsidP="00EC4A7B">
      <w:pPr>
        <w:keepNext/>
        <w:spacing w:before="400" w:after="10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Poglavje 2</w:t>
      </w:r>
    </w:p>
    <w:p w:rsidR="00B10085" w:rsidRPr="00186765" w:rsidRDefault="00B10085" w:rsidP="00EC4A7B">
      <w:pPr>
        <w:keepNext/>
        <w:spacing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color w:val="000000"/>
          <w:sz w:val="17"/>
          <w:rFonts w:ascii="Tahoma" w:hAnsi="Tahoma"/>
        </w:rPr>
        <w:t xml:space="preserve">Dajanje na trg, uporaba in umik proizvodov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6.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Snovi, namenjene za stik z živili, se ne smejo dajati na trg, če ne izpolnjujejo splošnih zahtev iz Uredbe (ES) št. 1935/2004 z dne 27. oktobra 2004 o materialih in izdelkih, namenjenih za stik z živili, in o razveljavitvi direktiv 80/590/EGS in 89/109/EGS ter predpisov, izdanih na njeni podlagi.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Podjetja, ki uvažajo, proizvajajo ali pakirajo živila, ne smejo uporabljati materialov, namenjenih za stik z živili, če ne izpolnjujejo splošnih zahtev iz Uredbe (ES) št. 1935/2004 z dne 27. oktobra 2004 o materialih in izdelkih, namenjenih za stik z živili, in o razveljavitvi direktiv 80/590/EGS in 89/109/EGS ter predpisov, izdanih na njeni podlagi.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Podjetja morajo zagotoviti tudi, da uporabljajo samo materiale, namenjene za stik z živili, za namene, za katere so bili predvideni.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7.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Materiali, namenjeni za stik z živili, ki so proizvedeni iz papirja in lepenke in v katerih so bile uporabljene perfluoroalkilne in polifluoroalkilne snovi (PFAS), se ne smejo dajati na trg.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Ne glede na odstavek 1 se smejo materiali, namenjeni za stik z živili, ki so proizvedeni iz papirja in lepenke in v katerih so bile uporabljene perfluoroalkilne in polifluoroalkilne snovi (PFAS), dajati na trg, če se v proizvodu uporabi funkcionalna pregrada, ki preprečuje migracijo snovi v živila.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8.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Če podjetje, proizvajalec ali uvoznik materialov, namenjenih za stik z živili, domneva ali ima razlog za domnevo, da materiali, namenjeni za stik z živili, ki jih podjetje proizvaja, uvaža ali distribuira, ne izpolnjujejo zahtev za varnost hrane in proizvodov ne nadzoruje več vodilni delavec, proizvajalec ali uvoznik podjetja, sprejme ukrepe z namenom umika zadevnih materialov, namenjenih za stik z živili, s trga.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V primerih, navedenih v odstavku 1, vodilni delavec, proizvajalec ali uvoznik takoj obvesti Dansko upravo za veterinarstvo in prehrano.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3</w:t>
      </w:r>
      <w:r>
        <w:rPr>
          <w:color w:val="000000"/>
          <w:sz w:val="17"/>
          <w:rFonts w:ascii="Tahoma" w:hAnsi="Tahoma"/>
        </w:rPr>
        <w:t xml:space="preserve"> Če so materiali, namenjeni za stik z živili, prišli do potrošnikov, vodilni delavec, proizvajalec ali uvoznik učinkovito in podrobno obvesti potrošnike o razlogih za umik proizvoda.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Podjetje po potrebi odpokliče proizvod s trga.</w:t>
      </w:r>
    </w:p>
    <w:p w:rsidR="00B10085" w:rsidRPr="00186765" w:rsidRDefault="00B10085" w:rsidP="00EC4A7B">
      <w:pPr>
        <w:keepNext/>
        <w:spacing w:before="400" w:after="10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Poglavje 3</w:t>
      </w:r>
    </w:p>
    <w:p w:rsidR="00B10085" w:rsidRPr="00186765" w:rsidRDefault="00B10085" w:rsidP="00EC4A7B">
      <w:pPr>
        <w:keepNext/>
        <w:spacing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color w:val="000000"/>
          <w:sz w:val="17"/>
          <w:rFonts w:ascii="Tahoma" w:hAnsi="Tahoma"/>
        </w:rPr>
        <w:t xml:space="preserve">Posebna proizvodnja, pogoji uporabe in preskusov itd. za nekatere materiale, namenjene za stik z živili</w:t>
      </w:r>
    </w:p>
    <w:p w:rsidR="00B10085" w:rsidRPr="00186765" w:rsidRDefault="00B10085" w:rsidP="00EC4A7B">
      <w:pPr>
        <w:keepNext/>
        <w:spacing w:before="300"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color w:val="000000"/>
          <w:sz w:val="17"/>
          <w:rFonts w:ascii="Tahoma" w:hAnsi="Tahoma"/>
        </w:rPr>
        <w:t xml:space="preserve">Polimerni materiali in reciklirani polimerni materiali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9.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Pri uporabi aditivov, ki se uporabljajo izključno kot površinski biocidi in so namenjeni, da ostanejo v končnem materiali ali končnem izdelku, se smejo uporabljati samo biocidi, navedeni v Prilogi 1, in samo ob upoštevanju omejitev in/ali specifikacij iz priloge.</w:t>
      </w:r>
    </w:p>
    <w:p w:rsidR="00B10085" w:rsidRPr="00186765" w:rsidRDefault="00B10085" w:rsidP="00EC4A7B">
      <w:pPr>
        <w:keepNext/>
        <w:spacing w:before="300"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color w:val="000000"/>
          <w:sz w:val="17"/>
          <w:rFonts w:ascii="Tahoma" w:hAnsi="Tahoma"/>
        </w:rPr>
        <w:t xml:space="preserve">Vinilklorid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10.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Materiali, namenjeni za stik z živili, ne smejo sproščati vinilklorida, kar se lahko prikaže z uporabo metode, ki izpolnjuje merila iz poglavja 2 za živila, ki so ali so bila v stiku s temi materiali, namenjenimi za stik z živili.</w:t>
      </w:r>
    </w:p>
    <w:p w:rsidR="00B10085" w:rsidRPr="00186765" w:rsidRDefault="00B10085" w:rsidP="00EC4A7B">
      <w:pPr>
        <w:keepNext/>
        <w:spacing w:before="300"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color w:val="000000"/>
          <w:sz w:val="17"/>
          <w:rFonts w:ascii="Tahoma" w:hAnsi="Tahoma"/>
        </w:rPr>
        <w:t xml:space="preserve">Regenerirana celulozna folija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11.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Regenerirana celulozna folija, kot je opredeljena v oddelku 2(1)(a) in (b), se sme proizvajati samo iz snovi ali skupin snovi, navedenih v poglavju 3, in samo v skladu s tam navedenimi pogoji.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Regenerirana celulozna folija, kot je opredeljena v oddelku 2(1)(c), se sme proizvajati samo pred premazom iz snovi ali skupin snovi, navedenih v poglavju 3, in samo v skladu s tam navedenimi pogoji.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Snov, ki se uporablja za premaz folije, opredeljene v oddelku 2(1)(c), se sme proizvajati samo iz snovi ali skupin snovi, navedenih v prilogah k Uredbi (EU) št. 10/2011 o polimernih materialih in izdelkih, namenjenih za stik z živili, in samo v skladu z opredeljenimi pogoji, ob upoštevanju člena 6 Uredbe (EU) št. 10/2011 o polimernih materialih in izdelkih, namenjenih za stik z živili.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3</w:t>
      </w:r>
      <w:r>
        <w:rPr>
          <w:color w:val="000000"/>
          <w:sz w:val="17"/>
          <w:rFonts w:ascii="Tahoma" w:hAnsi="Tahoma"/>
        </w:rPr>
        <w:t xml:space="preserve"> Ne glede na odstavka 1 in 2 se smejo druge snovi ali skupine snovi uporabljati kot barve ali veziva, če te snovi ne prehajajo v živila.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4</w:t>
      </w:r>
      <w:r>
        <w:rPr>
          <w:color w:val="000000"/>
          <w:sz w:val="17"/>
          <w:rFonts w:ascii="Tahoma" w:hAnsi="Tahoma"/>
        </w:rPr>
        <w:t xml:space="preserve"> Materiali, namenjeni za stik z živili, narejeni iz regenerirane celulozne folije, kot je opredeljena v oddelku 2(1)(c), so skladni s predpisi o polimernih materialih, prim. Uredbo (EU) št. 10/2011 o polimernih materialih in izdelkih, namenjenih za stik z živili.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12.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Površine regenerirane celulozne folije ne smejo priti v stik z živili.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13.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Določbe iz odstavka 11 se ne uporabljajo za sintetične ovoje iz regenerirane celuloze.</w:t>
      </w:r>
    </w:p>
    <w:p w:rsidR="00B10085" w:rsidRPr="00186765" w:rsidRDefault="00B10085" w:rsidP="00EC4A7B">
      <w:pPr>
        <w:keepNext/>
        <w:spacing w:before="300"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color w:val="000000"/>
          <w:sz w:val="17"/>
          <w:rFonts w:ascii="Tahoma" w:hAnsi="Tahoma"/>
        </w:rPr>
        <w:t xml:space="preserve">Keramični in emajlirani ter stekleni izdelki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14.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Keramični in emajlirani ter stekleni izdelki ne smejo sproščati svinca ali kadmija, kot je navedeno v poglavju 4, vendar prim. odstavek 2.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Če keramični ali emajlirani ali stekleni izdelki sproščajo svinec ali kadmij v količinah, ki presegajo mejne vrednosti iz poglavja 4, vendar ne za več kot 50 %, se lahko izdelek zakonito prodaja, če analize vsaj treh drugih izdelkov enake oblike in mer ter z enakim okrasom in glazuro pokažejo, da količina svinca ali kadmija, ki se sprošča iz teh izdelkov, v povprečju ne presega mejnih vrednosti iz poglavja 4 in noben od teh izdelkov ne presega teh mejnih vrednosti za več kot 50 %.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3</w:t>
      </w:r>
      <w:r>
        <w:rPr>
          <w:color w:val="000000"/>
          <w:sz w:val="17"/>
          <w:rFonts w:ascii="Tahoma" w:hAnsi="Tahoma"/>
        </w:rPr>
        <w:t xml:space="preserve"> Keramični in emajlirani ter stekleni izdelki morajo biti skladni s temeljnimi predpisi o splošnem in posebnem spremljanju migracije iz oddelka 16 te odredbe.</w:t>
      </w:r>
    </w:p>
    <w:p w:rsidR="00B10085" w:rsidRPr="00186765" w:rsidRDefault="00B10085" w:rsidP="00EC4A7B">
      <w:pPr>
        <w:keepNext/>
        <w:spacing w:before="400" w:after="10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Poglavje 4</w:t>
      </w:r>
    </w:p>
    <w:p w:rsidR="00B10085" w:rsidRPr="00186765" w:rsidRDefault="00B10085" w:rsidP="00EC4A7B">
      <w:pPr>
        <w:keepNext/>
        <w:spacing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color w:val="000000"/>
          <w:sz w:val="17"/>
          <w:rFonts w:ascii="Tahoma" w:hAnsi="Tahoma"/>
        </w:rPr>
        <w:t xml:space="preserve">Posebne zahteve glede dokumentacije in izjav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15.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Materialom, namenjenim za stik z živili, morajo biti priložene izjave o skladnosti v skladu z zahtevami iz poglavja 5.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Vodstveni delavec podjetja poleg tega na zahtevo predloži ustrezno osnovno dokumentacijo, prim. poglavje 5.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Šteje se, da je zahteva iz odstavka 1(1) izpolnjena, če so izjave o skladnosti objavljene na domačem spletnem mestu proizvajalca ali uvoznika in je bila naslednja raven v verigi ustrezno obveščena.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3</w:t>
      </w:r>
      <w:r>
        <w:rPr>
          <w:color w:val="000000"/>
          <w:sz w:val="17"/>
          <w:rFonts w:ascii="Tahoma" w:hAnsi="Tahoma"/>
        </w:rPr>
        <w:t xml:space="preserve"> Podjetja za materiale, namenjene za stik z živili, v skladu s členom 7 Uredbe Komisije (ES) št. 2023/2006 z dne 22. decembra 2006 o dobri proizvodni praksi za materiale in izdelke, namenjene za stik z živili, dokumentirajo, da so bili materiali, namenjeni za stik z živili, proizvedeni v skladu s pravili iz navedene uredbe, prim. tudi oddelek 25 Odredbe št. 1404 z dne 29. novembra 2018 o dovoljenju za živilska podjetja in njihovi registraciji itd.</w:t>
      </w:r>
    </w:p>
    <w:p w:rsidR="00B10085" w:rsidRPr="00186765" w:rsidRDefault="00B10085" w:rsidP="00EC4A7B">
      <w:pPr>
        <w:keepNext/>
        <w:spacing w:before="400" w:after="10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Poglavje 5</w:t>
      </w:r>
    </w:p>
    <w:p w:rsidR="00B10085" w:rsidRPr="00186765" w:rsidRDefault="00B10085" w:rsidP="00EC4A7B">
      <w:pPr>
        <w:keepNext/>
        <w:spacing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color w:val="000000"/>
          <w:sz w:val="17"/>
          <w:rFonts w:ascii="Tahoma" w:hAnsi="Tahoma"/>
        </w:rPr>
        <w:t xml:space="preserve">Preskus migracije</w:t>
      </w:r>
    </w:p>
    <w:p w:rsidR="00B10085" w:rsidRPr="00186765" w:rsidRDefault="00B10085" w:rsidP="00EC4A7B">
      <w:pPr>
        <w:keepNext/>
        <w:spacing w:before="300"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color w:val="000000"/>
          <w:sz w:val="17"/>
          <w:rFonts w:ascii="Tahoma" w:hAnsi="Tahoma"/>
        </w:rPr>
        <w:t xml:space="preserve">Keramični in emajlirani ter stekleni izdelki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16.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Migracija svinca in kadmija iz keramičnih ali emajliranih ali steklenih izdelkov se določi v skladu s poglavjem 6.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Če je keramični predmet sestavljen iz vsebnika s keramičnim premazom, je mejna vrednost svinca ali kadmija, ki se je ne sme preseči (izmerjena v mg/dm</w:t>
      </w:r>
      <w:r>
        <w:rPr>
          <w:color w:val="000000"/>
          <w:sz w:val="12"/>
          <w:vertAlign w:val="superscript"/>
          <w:rFonts w:ascii="Tahoma" w:hAnsi="Tahoma"/>
        </w:rPr>
        <w:t xml:space="preserve">2</w:t>
      </w:r>
      <w:r>
        <w:rPr>
          <w:color w:val="000000"/>
          <w:sz w:val="17"/>
          <w:rFonts w:ascii="Tahoma" w:hAnsi="Tahoma"/>
        </w:rPr>
        <w:t xml:space="preserve"> ali mg/l), enaka vrednosti, ki se uporablja za sam vsebnik.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3</w:t>
      </w:r>
      <w:r>
        <w:rPr>
          <w:color w:val="000000"/>
          <w:sz w:val="17"/>
          <w:rFonts w:ascii="Tahoma" w:hAnsi="Tahoma"/>
        </w:rPr>
        <w:t xml:space="preserve"> Sam vsebnik in notranja površina pokrova se preskusita ločeno in v enakih pogojih.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Vsota obeh količin sproščenega svinca in/ali kadmija se nanaša na površino ali prostornino samega vsebnika.</w:t>
      </w:r>
    </w:p>
    <w:p w:rsidR="00B10085" w:rsidRPr="00186765" w:rsidRDefault="00B10085" w:rsidP="00EC4A7B">
      <w:pPr>
        <w:keepNext/>
        <w:spacing w:before="400" w:after="10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Poglavje 6</w:t>
      </w:r>
    </w:p>
    <w:p w:rsidR="00B10085" w:rsidRPr="00186765" w:rsidRDefault="00B10085" w:rsidP="00EC4A7B">
      <w:pPr>
        <w:keepNext/>
        <w:spacing w:after="100" w:line="240" w:lineRule="auto"/>
        <w:jc w:val="center"/>
        <w:rPr>
          <w:i/>
          <w:iCs/>
          <w:color w:val="000000"/>
          <w:sz w:val="17"/>
          <w:szCs w:val="17"/>
          <w:rFonts w:ascii="Tahoma" w:eastAsia="Times New Roman" w:hAnsi="Tahoma" w:cs="Tahoma"/>
        </w:rPr>
      </w:pPr>
      <w:r>
        <w:rPr>
          <w:i/>
          <w:color w:val="000000"/>
          <w:sz w:val="17"/>
          <w:rFonts w:ascii="Tahoma" w:hAnsi="Tahoma"/>
        </w:rPr>
        <w:t xml:space="preserve">Kazenske določbe in začetek veljavnosti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17.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Če v drugem zakonodajnem aktu niso določene višje kazni, se globe naložijo osebam, ki kršijo določbe oddelkov 6 do 8, oddelkov 9 do 12 ali oddelkov 14 in 15.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Kazen se lahko zviša na največ dvoletno zaporno kazen, če je kršitev z dejanjem ali opustitvijo storjena namerno ali iz hude malomarnosti in če kršitev: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povzroči škodo za zdravje ali če se je pojavilo tveganje za zdravje ali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povzroči finančno korist ali je bila namenjena pridobivanju finančne koristi za zadevne strani ali druge osebe.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3</w:t>
      </w:r>
      <w:r>
        <w:rPr>
          <w:color w:val="000000"/>
          <w:sz w:val="17"/>
          <w:rFonts w:ascii="Tahoma" w:hAnsi="Tahoma"/>
        </w:rPr>
        <w:t xml:space="preserve"> Subjekti ipd. (pravne osebe) so lahko kazensko odgovorni v skladu z določbami poglavja 5 Kazenskega zakonika [Straffeloven].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18.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Če v drugem zakonodajnem aktu niso določene višje kazni, se globe naložijo osebam, ki kršijo naslednje določbe Uredbe (EU) št. 1935/2004 Evropskega parlamenta in Sveta z dne 27. oktobra 2004 o materialih in izdelkih, namenjenih za stik z živili, in o razveljavitvi direktiv 80/590/EGS in 89/109/EGS: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člen 3;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člen 4(1) ali (3) do (6);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3) člen 11(5);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4) člen 15;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5) člen 17.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Kazen se lahko zviša na največ dvoletno zaporno kazen, če je kršitev z dejanjem ali opustitvijo storjena namerno ali iz hude malomarnosti in če kršitev: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povzroči škodo za zdravje ali če se je pojavilo tveganje za zdravje ali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povzroči finančno korist ali je bila namenjena pridobivanju finančne koristi za zadevne strani ali druge osebe.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3</w:t>
      </w:r>
      <w:r>
        <w:rPr>
          <w:color w:val="000000"/>
          <w:sz w:val="17"/>
          <w:rFonts w:ascii="Tahoma" w:hAnsi="Tahoma"/>
        </w:rPr>
        <w:t xml:space="preserve"> Subjekti ipd. (pravne osebe) so lahko kazensko odgovorni v skladu z določbami poglavja 5 Kazenskega zakonika [Straffeloven].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19.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Če v drugem zakonodajnem aktu niso določene višje kazni, se globe naložijo osebam, ki kršijo naslednje določbe Uredbe Komisije (ES) št. 2023/2006 z dne 22. decembra 2006 o dobri proizvodni praksi za materiale in izdelke, namenjene za stik z živili: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člen 4;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člen 5;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3) člen 6;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4) člen 7.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Kazen se lahko zviša na največ dvoletno zaporno kazen, če je kršitev z dejanjem ali opustitvijo storjena namerno ali iz hude malomarnosti in če kršitev: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povzroči škodo za zdravje ali če se je pojavilo tveganje za zdravje ali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povzroči finančno korist ali je bila namenjena pridobivanju finančne koristi za zadevne strani ali druge osebe.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3</w:t>
      </w:r>
      <w:r>
        <w:rPr>
          <w:color w:val="000000"/>
          <w:sz w:val="17"/>
          <w:rFonts w:ascii="Tahoma" w:hAnsi="Tahoma"/>
        </w:rPr>
        <w:t xml:space="preserve"> Subjekti ipd. (pravne osebe) so lahko kazensko odgovorni v skladu z določbami poglavja 5 Kazenskega zakonika [Straffeloven].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20.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Če v drugem zakonodajnem aktu niso določene višje kazni, se globe naložijo osebam, ki kršijo naslednje določbe Uredbe Komisije (ES) št. 1895/2005 z dne 18. novembra 2005 o omejitvi uporabe nekaterih epoksi derivatov v materialih in izdelkih, namenjenih za stik z živili: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člen 2;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člen 3;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3) člen 4;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4) člen 5;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5) člen 6(4).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Kazen se lahko zviša na največ dvoletno zaporno kazen, če je kršitev z dejanjem ali opustitvijo storjena namerno ali iz hude malomarnosti in če kršitev: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povzroči škodo za zdravje ali če se je pojavilo tveganje za zdravje ali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povzroči finančno korist ali je bila namenjena pridobivanju finančne koristi za zadevne strani ali druge osebe.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3</w:t>
      </w:r>
      <w:r>
        <w:rPr>
          <w:color w:val="000000"/>
          <w:sz w:val="17"/>
          <w:rFonts w:ascii="Tahoma" w:hAnsi="Tahoma"/>
        </w:rPr>
        <w:t xml:space="preserve"> Subjekti ipd. (pravne osebe) so lahko kazensko odgovorni v skladu z določbami poglavja 5 Kazenskega zakonika [Straffeloven].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21.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Če v drugem zakonodajnem aktu niso določene višje kazni, se globe naložijo osebam, ki kršijo naslednje določbe Uredbe Komisije (EU) št. 282/2008 z dne 27. marca 2008 o recikliranih polimernih materialih in izdelkih, namenjenih za stik z živili, in spremembi Uredbe (ES) št. 2023/2006: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člen 3(1);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člen 7(1) in (2);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3) člen 11;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4) člen 12.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Kazen se lahko zviša na največ dvoletno zaporno kazen, če je kršitev z dejanjem ali opustitvijo storjena namerno ali iz hude malomarnosti in če kršitev: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povzroči škodo za zdravje ali če se je pojavilo tveganje za zdravje ali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povzroči finančno korist ali je bila namenjena pridobivanju finančne koristi za zadevne strani ali druge osebe.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3</w:t>
      </w:r>
      <w:r>
        <w:rPr>
          <w:color w:val="000000"/>
          <w:sz w:val="17"/>
          <w:rFonts w:ascii="Tahoma" w:hAnsi="Tahoma"/>
        </w:rPr>
        <w:t xml:space="preserve"> Subjekti ipd. (pravne osebe) so lahko kazensko odgovorni v skladu z določbami poglavja 5 Kazenskega zakonika [Straffeloven].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22.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Če v drugem zakonodajnem aktu niso določene višje kazni, se globe naložijo osebam, ki kršijo naslednje določbe Uredbe Komisije (ES) št. 450/2009 z dne 29. maja 2009 o aktivnih in inteligentnih materialih in izdelkih, namenjenih za stik z živili: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člen 4;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člen 5;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3) člen 9;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4) člen 10;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5) člen 11;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6) člen 12;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7) člen 13;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8) člen 14.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Kazen se lahko zviša na največ dvoletno zaporno kazen, če je kršitev z dejanjem ali opustitvijo storjena namerno ali iz hude malomarnosti in če kršitev: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povzroči škodo za zdravje ali če se je pojavilo tveganje za zdravje ali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povzroči finančno korist ali je bila namenjena pridobivanju finančne koristi za zadevne strani ali druge osebe.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3</w:t>
      </w:r>
      <w:r>
        <w:rPr>
          <w:color w:val="000000"/>
          <w:sz w:val="17"/>
          <w:rFonts w:ascii="Tahoma" w:hAnsi="Tahoma"/>
        </w:rPr>
        <w:t xml:space="preserve"> Subjekti ipd. (pravne osebe) so lahko kazensko odgovorni v skladu z določbami poglavja 5 Kazenskega zakonika [Straffeloven].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23.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Če v drugem zakonodajnem aktu niso določene višje kazni, se globe naložijo osebam, ki kršijo naslednje določbe Uredbe Komisije (EU) št. 10/2011 z dne 14. januarja 2011 o polimernih materialih in izdelkih, namenjenih za stik z živili: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člen 4;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člen 5;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3) člen 6(3);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4) člen 8;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5) člen 9;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6) člen 10;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7) člen 11;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8) člen 12;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9) člen 13;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10) člen 14(1), (3) ali (5);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11) člen 15;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12) člen 16;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13) člen 17.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Kazen se lahko zviša na največ dvoletno zaporno kazen, če je kršitev z dejanjem ali opustitvijo storjena namerno ali iz hude malomarnosti in če kršitev: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povzroči škodo za zdravje ali če se je pojavilo tveganje za zdravje ali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povzroči finančno korist ali je bila namenjena pridobivanju finančne koristi za zadevne strani ali druge osebe.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3</w:t>
      </w:r>
      <w:r>
        <w:rPr>
          <w:color w:val="000000"/>
          <w:sz w:val="17"/>
          <w:rFonts w:ascii="Tahoma" w:hAnsi="Tahoma"/>
        </w:rPr>
        <w:t xml:space="preserve"> Subjekti ipd. (pravne osebe) so lahko kazensko odgovorni v skladu z določbami poglavja 5 Kazenskega zakonika [Straffeloven].</w:t>
      </w:r>
    </w:p>
    <w:p w:rsidR="00B10085" w:rsidRPr="00186765" w:rsidRDefault="00B10085" w:rsidP="00EC4A7B">
      <w:pPr>
        <w:keepNext/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24.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Če v drugem zakonodajnem aktu niso določene višje kazni, se globe naložijo osebam, ki kršijo naslednje določbe Uredbe Komisije (EU) št. 2018/213 z dne 12. februarja 2018 o uporabi bisfenola A v lakih in premazih, namenjenih za stik z živili, ter o spremembi Uredbe (EU) št. 10/2011 glede uporabe navedene snovi v polimernih materialih, namenjenih za stik z živili: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člen 2;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člen 3;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3) člen 4.</w:t>
      </w:r>
    </w:p>
    <w:p w:rsidR="00B10085" w:rsidRPr="00186765" w:rsidRDefault="00B10085" w:rsidP="00EC4A7B">
      <w:pPr>
        <w:keepNext/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Kazen se lahko zviša na največ dvoletno zaporno kazen, če je kršitev z dejanjem ali opustitvijo storjena namerno ali iz hude malomarnosti in če kršitev: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povzroči škodo za zdravje ali če se je pojavilo tveganje za zdravje ali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povzroči finančno korist ali je bila namenjena pridobivanju finančne koristi za zadevne strani ali druge osebe.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3</w:t>
      </w:r>
      <w:r>
        <w:rPr>
          <w:color w:val="000000"/>
          <w:sz w:val="17"/>
          <w:rFonts w:ascii="Tahoma" w:hAnsi="Tahoma"/>
        </w:rPr>
        <w:t xml:space="preserve"> Subjekti ipd. (pravne osebe) so lahko kazensko odgovorni v skladu z določbami poglavja 5 Kazenskega zakonika [Straffeloven].</w:t>
      </w:r>
    </w:p>
    <w:p w:rsidR="00B10085" w:rsidRPr="00186765" w:rsidRDefault="00B10085" w:rsidP="00B10085">
      <w:pPr>
        <w:spacing w:before="200"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b/>
          <w:rFonts w:ascii="Tahoma" w:hAnsi="Tahoma"/>
        </w:rPr>
        <w:t xml:space="preserve">Oddelek 25.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Ta odredba začne veljati 1. julija 2020.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2</w:t>
      </w:r>
      <w:r>
        <w:rPr>
          <w:color w:val="000000"/>
          <w:sz w:val="17"/>
          <w:rFonts w:ascii="Tahoma" w:hAnsi="Tahoma"/>
        </w:rPr>
        <w:t xml:space="preserve"> Odredba št. 1248 z dne 30. oktobra 2018 o materialih, namenjenih za stik z živili, se prekliče.</w:t>
      </w:r>
    </w:p>
    <w:p w:rsidR="00B10085" w:rsidRPr="00186765" w:rsidRDefault="00B10085" w:rsidP="00B10085">
      <w:pPr>
        <w:spacing w:after="0" w:line="240" w:lineRule="auto"/>
        <w:ind w:firstLine="24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i/>
          <w:rFonts w:ascii="Tahoma" w:hAnsi="Tahoma"/>
        </w:rPr>
        <w:t xml:space="preserve">Odstavek 3</w:t>
      </w:r>
      <w:r>
        <w:rPr>
          <w:color w:val="000000"/>
          <w:sz w:val="17"/>
          <w:rFonts w:ascii="Tahoma" w:hAnsi="Tahoma"/>
        </w:rPr>
        <w:t xml:space="preserve"> Materiali, namenjeni za stik z živili, iz papirja in lepenke, ki ne izpolnjujejo zahtev iz oddelka 7, vendar so skladni z oddelkom 6(1) in so bili dani na trg pred 1. julijem 2020, se smejo še naprej dajati na trg do porabe obstoječih zalog.</w:t>
      </w:r>
    </w:p>
    <w:p w:rsidR="00B10085" w:rsidRPr="00186765" w:rsidRDefault="00B155CB" w:rsidP="00B10085">
      <w:pPr>
        <w:spacing w:before="200" w:after="20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pict>
          <v:rect id="_x0000_i1025" style="width:337.35pt;height:.75pt" o:hrpct="700" o:hralign="center" o:hrstd="t" o:hrnoshade="t" o:hr="t" fillcolor="#dedede" stroked="f"/>
        </w:pict>
      </w:r>
    </w:p>
    <w:p w:rsidR="00B10085" w:rsidRPr="00186765" w:rsidRDefault="00B10085" w:rsidP="00EC4A7B">
      <w:pPr>
        <w:keepNext/>
        <w:spacing w:before="400" w:after="120" w:line="240" w:lineRule="auto"/>
        <w:jc w:val="right"/>
        <w:rPr>
          <w:b/>
          <w:bCs/>
          <w:color w:val="000000"/>
          <w:sz w:val="24"/>
          <w:szCs w:val="24"/>
          <w:rFonts w:ascii="Tahoma" w:eastAsia="Times New Roman" w:hAnsi="Tahoma" w:cs="Tahoma"/>
        </w:rPr>
      </w:pPr>
      <w:r>
        <w:rPr>
          <w:b/>
          <w:color w:val="000000"/>
          <w:sz w:val="24"/>
          <w:rFonts w:ascii="Tahoma" w:hAnsi="Tahoma"/>
        </w:rPr>
        <w:t xml:space="preserve">Priloga 1</w:t>
      </w:r>
    </w:p>
    <w:p w:rsidR="00B10085" w:rsidRPr="00186765" w:rsidRDefault="00B10085" w:rsidP="00EC4A7B">
      <w:pPr>
        <w:keepNext/>
        <w:spacing w:after="120" w:line="240" w:lineRule="auto"/>
        <w:jc w:val="center"/>
        <w:rPr>
          <w:b/>
          <w:bCs/>
          <w:color w:val="000000"/>
          <w:sz w:val="21"/>
          <w:szCs w:val="21"/>
          <w:rFonts w:ascii="Tahoma" w:eastAsia="Times New Roman" w:hAnsi="Tahoma" w:cs="Tahoma"/>
        </w:rPr>
      </w:pPr>
      <w:r>
        <w:rPr>
          <w:b/>
          <w:color w:val="000000"/>
          <w:sz w:val="21"/>
          <w:rFonts w:ascii="Tahoma" w:hAnsi="Tahoma"/>
        </w:rPr>
        <w:t xml:space="preserve">Seznam aditivov, ki delujejo izključno kot površinski biocidi in katerih namen je, da ostanejo v končnem predmetu, prim. oddelek 9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0"/>
      </w:tblGrid>
      <w:tr w:rsidR="00B10085" w:rsidRPr="00186765" w:rsidTr="00B1008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1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0"/>
              <w:gridCol w:w="486"/>
              <w:gridCol w:w="5928"/>
              <w:gridCol w:w="1916"/>
            </w:tblGrid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EC4A7B">
                  <w:pPr>
                    <w:keepNext/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PM/REF št.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EC4A7B">
                  <w:pPr>
                    <w:keepNext/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Št. CAS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EC4A7B">
                  <w:pPr>
                    <w:keepNext/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Opis kemikalije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EC4A7B">
                  <w:pPr>
                    <w:keepNext/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Omejitve in/ali specifikacije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86432/40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Steklo, ki vsebuje srebro (srebro-magnezij-aluminij-natrij-fosfat-silikat-borat), vsebnost srebra manj kot 0,5 %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SML = 0,05 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86432/60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Steklo, ki vsebuje srebro (srebro-magnezij-natrij-fosfat), vsebnost srebra manj kot 3 %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SML = 0,05 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86434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Srebro natrij vodik cirkonijev fosfat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SML = 0,05 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86437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Srebro zeolite A (srebro cink natrij amonij aluminijev silikat), vsebnost srebra 2–5 %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SML = 0,05 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86437/50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Srebro-cink-aluminij-bor-fosfatno steklo, mešano s 5–20 % barijevega sulfata, vsebnost srebra 0,35–0,6 %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SML = 0,05 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86438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Srebro cink zeolite A (srebro cink natrij aluminijev silikat kalcijev metafosfat), vsebnost srebra 1–1,6 %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SML = 0,05 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86438/50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Srebro cink zeolite A (srebro-cink natrij magnezij aluminijev silikat kalcijev fosfat), vsebnost srebra 0,34–0,54 %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SML = 0,05 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86430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20 % (m/m) srebrovega klorida, s premazom 80 % (m/m) titanovega dioksida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SML = 0,05 mg Ag/kg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86432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jc w:val="center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Steklo, ki vsebuje srebro (srebro-magnezij-kalcij-fosfat-borat)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SML = 0,05 mg Ag/kg</w:t>
                  </w:r>
                </w:p>
              </w:tc>
            </w:tr>
          </w:tbl>
          <w:p w:rsidR="00B10085" w:rsidRPr="00186765" w:rsidRDefault="00B10085" w:rsidP="00B10085">
            <w:pPr>
              <w:spacing w:before="200" w:after="20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</w:tr>
    </w:tbl>
    <w:p w:rsidR="00B10085" w:rsidRPr="00186765" w:rsidRDefault="00B155CB" w:rsidP="00B10085">
      <w:pPr>
        <w:spacing w:before="200" w:after="20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pict>
          <v:rect id="_x0000_i1026" style="width:337.35pt;height:.75pt" o:hrpct="700" o:hralign="center" o:hrstd="t" o:hrnoshade="t" o:hr="t" fillcolor="#dedede" stroked="f"/>
        </w:pict>
      </w:r>
    </w:p>
    <w:p w:rsidR="00B10085" w:rsidRPr="00186765" w:rsidRDefault="00B10085" w:rsidP="00EC4A7B">
      <w:pPr>
        <w:keepNext/>
        <w:spacing w:before="400" w:after="120" w:line="240" w:lineRule="auto"/>
        <w:jc w:val="right"/>
        <w:rPr>
          <w:b/>
          <w:bCs/>
          <w:color w:val="000000"/>
          <w:sz w:val="24"/>
          <w:szCs w:val="24"/>
          <w:rFonts w:ascii="Tahoma" w:eastAsia="Times New Roman" w:hAnsi="Tahoma" w:cs="Tahoma"/>
        </w:rPr>
      </w:pPr>
      <w:r>
        <w:rPr>
          <w:b/>
          <w:color w:val="000000"/>
          <w:sz w:val="24"/>
          <w:rFonts w:ascii="Tahoma" w:hAnsi="Tahoma"/>
        </w:rPr>
        <w:t xml:space="preserve">Priloga 2</w:t>
      </w:r>
    </w:p>
    <w:p w:rsidR="00B10085" w:rsidRPr="00186765" w:rsidRDefault="00B10085" w:rsidP="00EC4A7B">
      <w:pPr>
        <w:keepNext/>
        <w:spacing w:after="120" w:line="240" w:lineRule="auto"/>
        <w:jc w:val="center"/>
        <w:rPr>
          <w:b/>
          <w:bCs/>
          <w:color w:val="000000"/>
          <w:sz w:val="21"/>
          <w:szCs w:val="21"/>
          <w:rFonts w:ascii="Tahoma" w:eastAsia="Times New Roman" w:hAnsi="Tahoma" w:cs="Tahoma"/>
        </w:rPr>
      </w:pPr>
      <w:r>
        <w:rPr>
          <w:b/>
          <w:color w:val="000000"/>
          <w:sz w:val="21"/>
          <w:rFonts w:ascii="Tahoma" w:hAnsi="Tahoma"/>
        </w:rPr>
        <w:t xml:space="preserve">Merila, ki se uporabljajo za metodo za določanje vsebnosti vinilklorida v materialih, namenjenih za stik z živili, in za določanje vinilklorida, ki ga sprostijo materiali, namenjeni za stik z živili, prim. oddelek 10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1) Raven vinilklorida v materialih in izdelkih ter raven vinilklorida, ki jo materiali in izdelki sprostijo v živila, se določita s plinsko kromatografijo z metodo „headspace“.</w:t>
      </w:r>
      <w:r>
        <w:rPr>
          <w:color w:val="000000"/>
          <w:sz w:val="17"/>
          <w:rFonts w:ascii="Tahoma" w:hAnsi="Tahoma"/>
        </w:rPr>
        <w:t xml:space="preserve"> 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2) Za namene določanja vinilklorida, ki ga materiali in izdelki sprostijo v živila, je meja zaznavanja 0,01 mg/kg.</w:t>
      </w:r>
      <w:r>
        <w:rPr>
          <w:color w:val="000000"/>
          <w:sz w:val="17"/>
          <w:rFonts w:ascii="Tahoma" w:hAnsi="Tahoma"/>
        </w:rPr>
        <w:t xml:space="preserve"> 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3) Vinilklorid, ki se iz materialov in izdelkov sprošča v živila, se načeloma določi v živilih.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Kadar se izkaže, da je določanje v nekaterih živilih iz tehničnih razlogov nemogoče, lahko države članice za ta živila dovolijo določanje v modelni raztopini.</w:t>
      </w:r>
      <w:r>
        <w:rPr>
          <w:color w:val="000000"/>
          <w:sz w:val="17"/>
          <w:rFonts w:ascii="Tahoma" w:hAnsi="Tahoma"/>
        </w:rPr>
        <w:t xml:space="preserve"> </w:t>
      </w:r>
    </w:p>
    <w:p w:rsidR="00B10085" w:rsidRPr="00186765" w:rsidRDefault="00B155CB" w:rsidP="00B10085">
      <w:pPr>
        <w:spacing w:before="200" w:after="20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pict>
          <v:rect id="_x0000_i1027" style="width:337.35pt;height:.75pt" o:hrpct="700" o:hralign="center" o:hrstd="t" o:hrnoshade="t" o:hr="t" fillcolor="#dedede" stroked="f"/>
        </w:pict>
      </w:r>
    </w:p>
    <w:p w:rsidR="00B10085" w:rsidRPr="00186765" w:rsidRDefault="00B10085" w:rsidP="00EC4A7B">
      <w:pPr>
        <w:keepNext/>
        <w:spacing w:before="400" w:after="120" w:line="240" w:lineRule="auto"/>
        <w:jc w:val="right"/>
        <w:rPr>
          <w:b/>
          <w:bCs/>
          <w:color w:val="000000"/>
          <w:sz w:val="24"/>
          <w:szCs w:val="24"/>
          <w:rFonts w:ascii="Tahoma" w:eastAsia="Times New Roman" w:hAnsi="Tahoma" w:cs="Tahoma"/>
        </w:rPr>
      </w:pPr>
      <w:r>
        <w:rPr>
          <w:b/>
          <w:color w:val="000000"/>
          <w:sz w:val="24"/>
          <w:rFonts w:ascii="Tahoma" w:hAnsi="Tahoma"/>
        </w:rPr>
        <w:t xml:space="preserve">Priloga 3</w:t>
      </w:r>
    </w:p>
    <w:p w:rsidR="00B10085" w:rsidRPr="00186765" w:rsidRDefault="00B10085" w:rsidP="00EC4A7B">
      <w:pPr>
        <w:keepNext/>
        <w:spacing w:after="120" w:line="240" w:lineRule="auto"/>
        <w:jc w:val="center"/>
        <w:rPr>
          <w:b/>
          <w:bCs/>
          <w:color w:val="000000"/>
          <w:sz w:val="21"/>
          <w:szCs w:val="21"/>
          <w:rFonts w:ascii="Tahoma" w:eastAsia="Times New Roman" w:hAnsi="Tahoma" w:cs="Tahoma"/>
        </w:rPr>
      </w:pPr>
      <w:r>
        <w:rPr>
          <w:b/>
          <w:color w:val="000000"/>
          <w:sz w:val="21"/>
          <w:rFonts w:ascii="Tahoma" w:hAnsi="Tahoma"/>
        </w:rPr>
        <w:t xml:space="preserve">Seznam snovi, ki se lahko uporabljajo pri proizvodnji regenerirane celulozne folije, prim. oddelek 11</w:t>
      </w:r>
    </w:p>
    <w:p w:rsidR="00B10085" w:rsidRPr="00186765" w:rsidRDefault="00B10085" w:rsidP="00EC4A7B">
      <w:pPr>
        <w:keepNext/>
        <w:spacing w:before="240" w:after="0" w:line="240" w:lineRule="auto"/>
        <w:jc w:val="center"/>
        <w:rPr>
          <w:b/>
          <w:bCs/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color w:val="000000"/>
          <w:sz w:val="17"/>
          <w:rFonts w:ascii="Tahoma" w:hAnsi="Tahoma"/>
        </w:rPr>
        <w:t xml:space="preserve">Opis regenerirane celulozne folije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Regenerirana celulozna folija je tanka plast materiala, pridobljenega iz rafinirane celuloze iz nerecikliranega lesa ali bombaža.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Za izpolnjevanje tehničnih zahtev se lahko v maso ali na površino dodajo ustrezne snovi.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Regenerirana celulozna folija lahko ima premaz (obdelava površine) na eni ali obeh straneh.</w:t>
      </w:r>
    </w:p>
    <w:p w:rsidR="00B10085" w:rsidRPr="00186765" w:rsidRDefault="00B10085" w:rsidP="00EC4A7B">
      <w:pPr>
        <w:keepNext/>
        <w:spacing w:before="240" w:after="0" w:line="240" w:lineRule="auto"/>
        <w:jc w:val="center"/>
        <w:rPr>
          <w:b/>
          <w:bCs/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color w:val="000000"/>
          <w:sz w:val="17"/>
          <w:rFonts w:ascii="Tahoma" w:hAnsi="Tahoma"/>
        </w:rPr>
        <w:t xml:space="preserve">Seznam snovi, ki so dovoljene pri proizvodnji regenerirane celulozne folije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– Odstotki v prvem in drugem delu te priloge so izraženi kot utežno razmerje (m/m) in izračunani glede na količino brezvodne folije iz regenerirane celuloze brez premaza.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– Običajna tehnična imena so navedena v oglatih oklepajih.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– Uporabljene snovi so, kar zadeva merila čistosti, dobre tehnične kakovosti.</w:t>
      </w:r>
    </w:p>
    <w:p w:rsidR="00B10085" w:rsidRPr="00186765" w:rsidRDefault="00B10085" w:rsidP="00EC4A7B">
      <w:pPr>
        <w:keepNext/>
        <w:spacing w:before="240" w:after="0" w:line="240" w:lineRule="auto"/>
        <w:jc w:val="center"/>
        <w:rPr>
          <w:b/>
          <w:bCs/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color w:val="000000"/>
          <w:sz w:val="17"/>
          <w:rFonts w:ascii="Tahoma" w:hAnsi="Tahoma"/>
        </w:rPr>
        <w:t xml:space="preserve">Del 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5"/>
      </w:tblGrid>
      <w:tr w:rsidR="00B10085" w:rsidRPr="00186765" w:rsidTr="00B1008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43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"/>
              <w:gridCol w:w="175"/>
              <w:gridCol w:w="92"/>
              <w:gridCol w:w="4727"/>
              <w:gridCol w:w="4257"/>
            </w:tblGrid>
            <w:tr w:rsidR="00B10085" w:rsidRPr="00186765" w:rsidTr="00186765">
              <w:tc>
                <w:tcPr>
                  <w:tcW w:w="0" w:type="auto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b/>
                      <w:bCs/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b/>
                      <w:color w:val="000000"/>
                      <w:sz w:val="17"/>
                      <w:rFonts w:ascii="Tahoma" w:hAnsi="Tahoma"/>
                    </w:rPr>
                    <w:t xml:space="preserve">Regenerirana celulozna folija brez premaza</w:t>
                  </w:r>
                  <w:r>
                    <w:rPr>
                      <w:b/>
                      <w:color w:val="000000"/>
                      <w:sz w:val="17"/>
                      <w:rFonts w:ascii="Tahoma" w:hAnsi="Tahoma"/>
                    </w:rPr>
                    <w:t xml:space="preserve"> </w:t>
                  </w:r>
                </w:p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Imena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Omejitve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A.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Regenerirana celuloza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Ne manj kakor 72 % (m/m)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B.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Aditivi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1.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Mehčala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Skupno ne več kakor 27 % (m/m)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Bis (2-hidroksietil) eter [= dietilen glikol]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Samo za folije, ki bodo prekrite s premazi in nato uporabljene za živila, ki niso vlažna, in sicer ki ne vsebujejo vode na površini.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Skupna količina bis(2-hidroksietil)etra in etandiola v živilih, ki so bila v stiku s folijo tega tipa, ne sme presegati 30 mg/kg živila.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Etandiol [= monoetilen glikol]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1,3-butandiol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Glicerol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1,2-propandiol [= 1,2 propilen glikol]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Polietilen oksid [= polietilen glikol]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Povprečna molska masa med 250 in 1 200.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1,2-polipropilen oksid [= 1,2 polipropilen glikol]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Povprečna molska masa ni večja od 400 in vsebnost prostega 1,3-propandiola v snovi ni večja kakor 1 % (m/m).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Sorbitol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Tetraetilen glikol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Trietilen glikol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Urea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2.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Drugi aditivi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Skupno ne več kakor 1 % (m/m).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Prva skupina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Količina snovi ali skupine snovi v vsaki alinei ne sme presegati</w:t>
                  </w:r>
                  <w:r>
                    <w:rPr>
                      <w:color w:val="000000"/>
                      <w:sz w:val="17"/>
                      <w:sz w:val="17"/>
                      <w:rFonts w:ascii="Tahoma" w:hAnsi="Tahoma"/>
                    </w:rPr>
                    <w:t xml:space="preserve"> 2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folije brez premaza.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Ocetna kislina in njene soli: NH4, Ca, Mg, K in 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Askorbinska kislina in njene soli: NH4, Ca, Mg, K in 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Benzojeva kislina in natrijev benzoat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Mravljinčna kislina in njene soli: NH4, Ca, Mg, K in 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Linearne maščobne kisline, nasičene ali nenasičene, s sodim številom ogljikovih atomov (C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-C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20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) in tudi dokozanojska in ricinolna kislina in NH4, Ca, Mg, K, Na, Al, Zn soli teh kislin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Citronska, D- in L-mlečna, maleinska, L-vinska kislina in njihove Na in K soli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Sorbinska kislina in njene NH4, Ca, Mg, K in Na soli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Amidi linearnih maščobnih kislin, nasičenih ali nenasičenih, s sodim številom ogljikovih atomov (od 8 do vključno 20) in tudi amidi dokozanojske in ricinolne kisline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Naravni jedilni škrobi in moke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Jedilni škrobi in moke, spremenjeni s kemijskim postopkom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Amiloza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Kalcijevi in magnezijevi karbonati in kloridi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Estri glicerola z linearnimi maščobnimi kislinami, nasičenimi ali nenasičenimi, s sodim številom ogljikovih atomov (od 8 do vključno 20) in/ali z adipinsko, citronsko, 12-hidroksistearinsko (oksistearin), ricinolno kislino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Estri polioksietilena (8 do 14 oksietilenskih skupin) z linearnimi maščobnimi kislinami, nasičenimi ali nenasičenimi, s sodim številom ogljikovih atomov (od 8 do vključno 20)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Estri sorbitola z linearnimi maščobnimi kislinami, nasičenimi ali nenasičenimi, s sodim številom ogljikovih atomov (C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-C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20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Mono- in/ali diestri stearinske kisline z etandiolom in/ali bis(2-hidroksietil)etrom in/ali trietilen glikolom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Oksidi in hidroksidi aluminija, kalcija, magnezija, silicija in silikati ter hidratirani silikati aluminija, kalcija, magnezija in kalija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Polietilen oksid [= polietilen glikol]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Povprečna molska masa med 1 200 in 4 000.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Natrijev propionat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Druga skupina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Skupna količina snovi ne sme presegati 1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folije brez premaza in količina snovi ali skupine snovi v vsaki alinei ne sme presegati 0,2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folije brez premaza (ali manj, kjer je tako določeno).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Natrijev alkil (C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-C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18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) benzen sulfonat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Natrijev izopropilnaftalen sulfonat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Natrijev alkil (C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-C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18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) sulfat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Natrijev alkil (C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-C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18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) sulfonat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Natrijev dioktilsulfosukcinat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Distearat dihidroksietil dietilen triamin monoacetat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Ne več kakor 0,05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folije brez premaza.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Amonijev, magnezijev in kalijev lavril sulfat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N,N′-distearoil diaminoetan, N,N′-di-palmitoil diaminoetan in N,N′-dioleoil diaminoetan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2-heptadecil–4,4-bis(metilen-stearat) oksazolin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Polietilen-aminostearamidetilsulfat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Ne več kakor 0,1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folije brez premaza.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Tretja skupina – sredstva za utrjevanje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Skupna količina snovi ne sme presegati 1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folije brez premaza.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Kondenzacijski produkt nemodificiranega melamin-formaldehida ali melamin-formaldehida, modificiranega z eno ali več naslednjimi spojinami: butanolom, dietilentriaminom, etanolom, trietilentetraminom, tetraetilenpentaminom, tri-(2- hidroksietil) aminom, 3,3′-diaminodipropilaminom, 4,4′-diaminodibutilaminom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Vsebnost prostega formaldehida ne sme biti večja od 0,5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folije brez premaza.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Vsebnost prostega melamina ne sme biti večja od 0,3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folije brez premaza.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Kondenzacijski produkt melamin-urea-formaldehida, ki je modificiran s tris-(2-hidroksietil)aminom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Vsebnost prostega formaldehida ne sme biti večja od 0,5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folije brez premaza.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Vsebnost prostega melamina ne sme biti večja od 0,3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folije brez premaza.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Zamreženi kationski polialkilenamini:</w:t>
                  </w:r>
                </w:p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a) poliamid-epiklorhidrinska smola na osnovi diaminopropilmetilamina in epiklorhidrina</w:t>
                  </w:r>
                </w:p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b) poliamid-epiklorhidrinska smola na osnovi epiklorhidrina, adipinske kisline, kaprolaktama, dietilentriamina in/ali etilendiamina</w:t>
                  </w:r>
                </w:p>
                <w:p w:rsidR="00B10085" w:rsidRPr="00186765" w:rsidRDefault="00B10085" w:rsidP="00E2264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c) poliamid-epiklorhidrinska smola na osnovi adipinske kisline, dietilentriamina in epiklorhidrina ali mešanice epiklorhidrina in amonijaka</w:t>
                  </w:r>
                </w:p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d) poliamid-poliamin-epiklorhidrinska smola na osnovi epiklorhidrina, dimetil adipata in dietilentriamina</w:t>
                  </w:r>
                </w:p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e) poliamid-poliamin-epiklorhidrinska smola na osnovi epiklorhidrina, adipamida in diaminopropilmetilamina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Polietilenamini in polietilenimini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Ne več kakor 0,75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folije brez premaza.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Kondenzacijski produkt nemodificiranega urea-formaldehida ali urea-formaldehida, modificiranega z enim ali več naslednjimi spojinami:</w:t>
                  </w:r>
                </w:p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aminometilsulfonsko kislino, sulfanilno kislino, butanolom, dietilentriaminom, diaminodietilaminom, metanolom, trietilentetraminom, tetraetilenpentaminom, gvanidinom, natrijevim sulfitom, etanolom, 3.3’-diaminodipropilaminom, diaminopropanom, diaminobutanom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Vsebnost prostega formaldehida ne več od 0,5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folije brez premaza.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Četrta skupina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Skupna količina snovi ne sme presegati 0,01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folije brez premaza.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Proizvodi, ki nastanejo z reakcijo aminov jedilnih olj s polietilen oksidom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Monoetanolamin lavril sulfat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</w:tbl>
          <w:p w:rsidR="00B10085" w:rsidRPr="00186765" w:rsidRDefault="00B10085" w:rsidP="00B10085">
            <w:pPr>
              <w:spacing w:before="200" w:after="20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</w:tr>
    </w:tbl>
    <w:p w:rsidR="00B10085" w:rsidRPr="00186765" w:rsidRDefault="00B10085" w:rsidP="00B10085">
      <w:pPr>
        <w:keepNext/>
        <w:spacing w:before="240" w:after="0" w:line="240" w:lineRule="auto"/>
        <w:jc w:val="center"/>
        <w:rPr>
          <w:b/>
          <w:bCs/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color w:val="000000"/>
          <w:sz w:val="17"/>
          <w:rFonts w:ascii="Tahoma" w:hAnsi="Tahoma"/>
        </w:rPr>
        <w:t xml:space="preserve">Del B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0"/>
      </w:tblGrid>
      <w:tr w:rsidR="00B10085" w:rsidRPr="00186765" w:rsidTr="00B1008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79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"/>
              <w:gridCol w:w="36"/>
              <w:gridCol w:w="92"/>
              <w:gridCol w:w="4815"/>
              <w:gridCol w:w="2853"/>
            </w:tblGrid>
            <w:tr w:rsidR="00B10085" w:rsidRPr="00186765" w:rsidTr="00186765">
              <w:tc>
                <w:tcPr>
                  <w:tcW w:w="0" w:type="auto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b/>
                      <w:bCs/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b/>
                      <w:color w:val="000000"/>
                      <w:sz w:val="17"/>
                      <w:rFonts w:ascii="Tahoma" w:hAnsi="Tahoma"/>
                    </w:rPr>
                    <w:t xml:space="preserve">Regenerirana celulozna folija s premazom</w:t>
                  </w:r>
                  <w:r>
                    <w:rPr>
                      <w:b/>
                      <w:color w:val="000000"/>
                      <w:sz w:val="17"/>
                      <w:rFonts w:ascii="Tahoma" w:hAnsi="Tahoma"/>
                    </w:rPr>
                    <w:t xml:space="preserve"> </w:t>
                  </w:r>
                </w:p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Imena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Omejitve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A.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Regenerirana celuloza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Glej del A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B.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Aditivi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Glej del A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C.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Laki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1.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Polimeri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Skupna količina snovi ne sme presegati 50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premaza na tisti strani, ki je v stiku z živili.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Etil, hidroksietil, hidroksipropil in metil etri celuloze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Celulozni nitrat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Ne več kakor 20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premaza na tisti strani, ki je v stiku z živili; vsebnost dušika v celuloznem nitratu med 10,8 % (w/w) in 12,2 % (w/w).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2.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Smole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Skupna količina snovi ne sme presegati 12,5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premaza na tisti strani, ki je v stiku z živili, in izključno za izdelavo folij iz regenerirane celuloze s premazi na osnovi celuloznega nitrata.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Kazein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Kolofonija in/ali produkti njene polimerizacije, hidrogeniranja ali disproporcionacije ter njihovi estri z metil, etil ali (C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-C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6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) polivalentnimi alkoholi ali mešanicami teh alkoholov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Kolofonija in/ali produkti njene polimerizacije, hidrogeniranja ali disproporcionacije, kondenzirani z akrilno, maleinsko, citronsko, fumarno in/ali ftalno kislino in/ali 2,2-bis(4-hidroksifenil) propan formaldehidom in zaestreni z metil, etil ali (C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-C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6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) polivalentnimi alkoholi ali mešanicami teh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Estri, ki izhajajo iz bis(2-hidroksietil) etra z adicijskimi produkti betapinena in/ali dipentena in/ali diterpena ter anhidrida maleinske kisline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(Jedilna) želatina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Ricinusovo olje in njegovi produkti dehidracije ali hidrogeniranja in kondenzacijski produkti s poliglicerolom, adipinsko, citronsko, maleinsko, ftalno in sebacinsko kislino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Naravna guma [damar]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Poli-beta-pinen [terpenske smole]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Urea-formaldehidne smole (glej sredstva za utrjevanje)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3.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Mehčala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Skupna količina snovi ne sme presegati 6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premaza na tisti strani, ki je v stiku z živili.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Acetil tributil citrat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Acetil tri(2-etilheksil) citrat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Di-izobutil adipat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Di-n-butil adipat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Di-n-heksil azelat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Dicikloheksil ftalat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Ne več kakor 4,0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premaza na tisti strani, ki je v stiku z živili.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2-etilheksil difenil fosfat (sopomenka: difenil 2-etilheksil ester fosforjeve kisline)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Količina 2-etilheksil difenil fosfata ne sme presegati: a) 2,4 mg/kg živila, ki je v stiku s to vrsto folije, ali b) 0,4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premaza na tisti strani, ki je v stiku z živili.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Gliceril monoacetat [monoacetin]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Gliceril diacetat [diacetin]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Gliceril triacetat [triacetin]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Di-butil sebacat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Di-n-butil tartrat (vinska kislina, di-n-butil ester)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Di-izobutil tartrat (vinska kislina, di-izobutil ester)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4.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Drugi aditivi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Skupna količina snovi ne sme presegati 6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pri foliji iz regenerirane celuloze brez premaza, vključujoč premaz na tisti strani, ki je v stiku z živili.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4.1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Aditivi, našteti v prvem delu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Enake omejitve kakor v prvem delu (količine v 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se nanašajo na na folijo iz regenerirane celuloze brez premaza, vključujoč premaz na tisti strani, ki je v stiku z živili)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4.2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Posebni aditivi za premaze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Količina snovi ali skupine snovi v vsaki alinei ne sme presegati 2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premaza na tisti strani, ki je v stiku z živili (ali manj, kjer je tako določeno).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1-heksadekanol in 1-oktadekanol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Estri linearnih maščobnih kislin, nasičenih ali nenasičenih, s sodim številom ogljikovih atomov 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-C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20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in ricinolne kisline z etil, butil, amil in oleil linearnimi alkoholi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Montanski voski, ki vsebujejo prečiščene montanske kisline (C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26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-C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32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) in/ali njihove estre z etandiolom in/ali njihove kalcijeve in kalijeve soli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Vosek karnauba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Čebelji vosek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Vosek esparto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Vosek rastlin iz družine mlečkovk (Candellia)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Dimetilpolisiloksan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Ne več kakor 1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premaza na tisti strani, ki je v stiku z živili.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Epoksidirano sojino olje (vsebnost oksirana 6 do 8 %)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Prečiščeni parafin in mikrokristalinični voski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Pentaeritritol tetrastearat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Mono- in bis(oktadecildietilenoksid)-fosfati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Ne več kakor 0,2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premaza na tisti strani, ki je v stiku z živili.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Alifatske kisline (C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8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-C</w:t>
                  </w:r>
                  <w:r>
                    <w:rPr>
                      <w:color w:val="000000"/>
                      <w:sz w:val="12"/>
                      <w:vertAlign w:val="subscript"/>
                      <w:rFonts w:ascii="Tahoma" w:hAnsi="Tahoma"/>
                    </w:rPr>
                    <w:t xml:space="preserve">20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) zaestrene z mono- ali di-(2-hidroksietil)aminom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2- in 3-terc-butil-4-hidroksianizol [butilhidroksianizol – BHA]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Ne več kakor 0,06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premaza na tisti strani, ki je v stiku z živili.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2,6-di-terc-butil-4-metilfenol [butil hidroksitoluen – BHT]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Ne več kakor 0,06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premaza na tisti strani, ki je v stiku z živili.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Di-n-oktilkositer-bis(2-etilheksil) maleat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Ne več kakor 0,06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premaza na tisti strani, ki je v stiku z živili.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5.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Topila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Skupna količina snovi ne sme presegati 0,6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premaza na tisti strani, ki je v stiku z živili.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Butil acetat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Etil acetat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Izobutil acetat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Izopropil acetat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Propil acetat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Aceton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1-butanol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Etanol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2-butanol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2-propanol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1-propanol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Cikloheksan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Etilenglikol monobutil eter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Etilenglikol monobutil eter acetat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Metil etil keton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Metil izobutil keton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Tetrahidrofuran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—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Toluen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Ne več kakor 0,06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premaza na tisti strani, ki je v stiku z živili.</w:t>
                  </w:r>
                </w:p>
              </w:tc>
            </w:tr>
          </w:tbl>
          <w:p w:rsidR="00B10085" w:rsidRPr="00186765" w:rsidRDefault="00B10085" w:rsidP="00B10085">
            <w:pPr>
              <w:spacing w:before="200" w:after="20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</w:tr>
    </w:tbl>
    <w:p w:rsidR="00B10085" w:rsidRPr="00186765" w:rsidRDefault="00B155CB" w:rsidP="00B10085">
      <w:pPr>
        <w:spacing w:before="200" w:after="20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pict>
          <v:rect id="_x0000_i1028" style="width:337.35pt;height:.75pt" o:hrpct="700" o:hralign="center" o:hrstd="t" o:hrnoshade="t" o:hr="t" fillcolor="#dedede" stroked="f"/>
        </w:pict>
      </w:r>
    </w:p>
    <w:p w:rsidR="00B10085" w:rsidRPr="00186765" w:rsidRDefault="00B10085" w:rsidP="00B10085">
      <w:pPr>
        <w:spacing w:before="400" w:after="120" w:line="240" w:lineRule="auto"/>
        <w:jc w:val="right"/>
        <w:rPr>
          <w:b/>
          <w:bCs/>
          <w:color w:val="000000"/>
          <w:sz w:val="24"/>
          <w:szCs w:val="24"/>
          <w:rFonts w:ascii="Tahoma" w:eastAsia="Times New Roman" w:hAnsi="Tahoma" w:cs="Tahoma"/>
        </w:rPr>
      </w:pPr>
      <w:r>
        <w:rPr>
          <w:b/>
          <w:color w:val="000000"/>
          <w:sz w:val="24"/>
          <w:rFonts w:ascii="Tahoma" w:hAnsi="Tahoma"/>
        </w:rPr>
        <w:t xml:space="preserve">Priloga 4</w:t>
      </w:r>
    </w:p>
    <w:p w:rsidR="00B10085" w:rsidRPr="00186765" w:rsidRDefault="00B10085" w:rsidP="00B10085">
      <w:pPr>
        <w:spacing w:after="120" w:line="240" w:lineRule="auto"/>
        <w:jc w:val="center"/>
        <w:rPr>
          <w:b/>
          <w:bCs/>
          <w:color w:val="000000"/>
          <w:sz w:val="21"/>
          <w:szCs w:val="21"/>
          <w:rFonts w:ascii="Tahoma" w:eastAsia="Times New Roman" w:hAnsi="Tahoma" w:cs="Tahoma"/>
        </w:rPr>
      </w:pPr>
      <w:r>
        <w:rPr>
          <w:b/>
          <w:color w:val="000000"/>
          <w:sz w:val="21"/>
          <w:rFonts w:ascii="Tahoma" w:hAnsi="Tahoma"/>
        </w:rPr>
        <w:t xml:space="preserve">Mejne vrednosti za svinec in kadmij iz keramičnih in emajliranih ter steklenih izdelkov, prim. oddelek 14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5"/>
      </w:tblGrid>
      <w:tr w:rsidR="00B10085" w:rsidRPr="00186765" w:rsidTr="00B1008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799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"/>
              <w:gridCol w:w="5973"/>
              <w:gridCol w:w="903"/>
              <w:gridCol w:w="996"/>
            </w:tblGrid>
            <w:tr w:rsidR="00B10085" w:rsidRPr="00186765" w:rsidTr="00186765"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Člen</w:t>
                  </w:r>
                  <w:hyperlink r:id="rId23" w:anchor="id835caacb-4119-4178-ba06-3950f67510a3">
                    <w:r>
                      <w:rPr>
                        <w:color w:val="000000"/>
                        <w:sz w:val="14"/>
                        <w:u w:val="single"/>
                        <w:vertAlign w:val="superscript"/>
                        <w:rFonts w:ascii="Tahoma" w:hAnsi="Tahoma"/>
                      </w:rPr>
                      <w:t xml:space="preserve">1)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Svinec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Kadmij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Kategorija I: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0,8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0,07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1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Izdelki, ki jih ni mogoče napolniti.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0,8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0,07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Izdelki, ki se napolnijo in katerih notranja globina, merjena med najnižjo točko in vodoravno ravnino zgornjega roba, ni več kot 25 mm (ploščati izdelki).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0,8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0,07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3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Izdelki, ki se uporabljajo za pitje (rob za usta).</w:t>
                  </w:r>
                  <w:hyperlink r:id="rId24" w:anchor="id282a03e6-f261-49db-ba66-b8afd0975492">
                    <w:r>
                      <w:rPr>
                        <w:color w:val="000000"/>
                        <w:sz w:val="14"/>
                        <w:u w:val="single"/>
                        <w:vertAlign w:val="superscript"/>
                        <w:rFonts w:ascii="Tahoma" w:hAnsi="Tahoma"/>
                      </w:rPr>
                      <w:t xml:space="preserve">2)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0,8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0,07 mg/dm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Kategorija II: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4,0 mg/l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0,3 mg/l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Izdelki, ki se lahko napolnijo, z izjemo ploščatih izdelkov (točka 2 kategorije I).</w:t>
                  </w: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 </w:t>
                  </w:r>
                  <w:r>
                    <w:rPr>
                      <w:color w:val="000000"/>
                      <w:sz w:val="12"/>
                      <w:vertAlign w:val="superscript"/>
                      <w:rFonts w:ascii="Tahoma" w:hAnsi="Tahoma"/>
                    </w:rPr>
                    <w:t xml:space="preserve">2)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4,0 mg/l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0,3 mg/l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Kategorija III: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1,5 mg/l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0,1 mg/l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1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Ponve in ponve za cvrtje.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1,5 mg/l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0,1 mg/l</w:t>
                  </w:r>
                </w:p>
              </w:tc>
            </w:tr>
            <w:tr w:rsidR="00B10085" w:rsidRPr="00186765" w:rsidTr="00186765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Vsebniki za pakiranje in shranjevanje s prostornino, ki presega 3 litre.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1,5 mg/l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B10085" w:rsidRPr="00186765" w:rsidRDefault="00B10085" w:rsidP="00B10085">
                  <w:pPr>
                    <w:spacing w:after="0" w:line="240" w:lineRule="auto"/>
                    <w:rPr>
                      <w:color w:val="000000"/>
                      <w:sz w:val="17"/>
                      <w:szCs w:val="17"/>
                      <w:rFonts w:ascii="Tahoma" w:eastAsia="Times New Roman" w:hAnsi="Tahoma" w:cs="Tahoma"/>
                    </w:rPr>
                  </w:pPr>
                  <w:r>
                    <w:rPr>
                      <w:color w:val="000000"/>
                      <w:sz w:val="17"/>
                      <w:rFonts w:ascii="Tahoma" w:hAnsi="Tahoma"/>
                    </w:rPr>
                    <w:t xml:space="preserve">0,1 mg/l</w:t>
                  </w:r>
                </w:p>
              </w:tc>
            </w:tr>
          </w:tbl>
          <w:p w:rsidR="00B10085" w:rsidRPr="00186765" w:rsidRDefault="00B10085" w:rsidP="00B10085">
            <w:pPr>
              <w:spacing w:before="200" w:after="20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</w:tr>
    </w:tbl>
    <w:p w:rsidR="00B10085" w:rsidRPr="00186765" w:rsidRDefault="00B10085" w:rsidP="00B10085">
      <w:pPr>
        <w:spacing w:before="40" w:after="40" w:line="240" w:lineRule="auto"/>
        <w:rPr>
          <w:color w:val="000000"/>
          <w:sz w:val="14"/>
          <w:szCs w:val="14"/>
          <w:rFonts w:ascii="Tahoma" w:eastAsia="Times New Roman" w:hAnsi="Tahoma" w:cs="Tahoma"/>
        </w:rPr>
      </w:pPr>
      <w:r>
        <w:rPr>
          <w:color w:val="000000"/>
          <w:sz w:val="14"/>
          <w:rFonts w:ascii="Tahoma" w:hAnsi="Tahoma"/>
        </w:rPr>
        <w:t xml:space="preserve">1) Če ima proizvod pokrov, je treba ločeno analizirati vsebnik in notranjo površino pokrova.</w:t>
      </w:r>
      <w:r>
        <w:rPr>
          <w:color w:val="000000"/>
          <w:sz w:val="14"/>
          <w:rFonts w:ascii="Tahoma" w:hAnsi="Tahoma"/>
        </w:rPr>
        <w:t xml:space="preserve"> </w:t>
      </w:r>
      <w:r>
        <w:rPr>
          <w:color w:val="000000"/>
          <w:sz w:val="14"/>
          <w:rFonts w:ascii="Tahoma" w:hAnsi="Tahoma"/>
        </w:rPr>
        <w:t xml:space="preserve">Vsota ugotovljenih količin svinca ali kadmija (mg) se določi sorazmerno s prostornino (1) izdelkov (toda d</w:t>
      </w:r>
      <w:r>
        <w:rPr>
          <w:color w:val="000000"/>
          <w:sz w:val="17"/>
          <w:rFonts w:ascii="Tahoma" w:hAnsi="Tahoma"/>
        </w:rPr>
        <w:t xml:space="preserve">m</w:t>
      </w:r>
      <w:r>
        <w:rPr>
          <w:color w:val="000000"/>
          <w:sz w:val="12"/>
          <w:vertAlign w:val="superscript"/>
          <w:rFonts w:ascii="Tahoma" w:hAnsi="Tahoma"/>
        </w:rPr>
        <w:t xml:space="preserve">2</w:t>
      </w:r>
      <w:r>
        <w:rPr>
          <w:color w:val="000000"/>
          <w:sz w:val="14"/>
          <w:rFonts w:ascii="Tahoma" w:hAnsi="Tahoma"/>
        </w:rPr>
        <w:t xml:space="preserve"> površine izdelka za kategorijo I).</w:t>
      </w:r>
    </w:p>
    <w:p w:rsidR="00B10085" w:rsidRPr="00186765" w:rsidRDefault="00B10085" w:rsidP="00B10085">
      <w:pPr>
        <w:spacing w:before="40" w:after="40" w:line="240" w:lineRule="auto"/>
        <w:rPr>
          <w:color w:val="000000"/>
          <w:sz w:val="14"/>
          <w:szCs w:val="14"/>
          <w:rFonts w:ascii="Tahoma" w:eastAsia="Times New Roman" w:hAnsi="Tahoma" w:cs="Tahoma"/>
        </w:rPr>
      </w:pPr>
      <w:r>
        <w:rPr>
          <w:color w:val="000000"/>
          <w:sz w:val="14"/>
          <w:rFonts w:ascii="Tahoma" w:hAnsi="Tahoma"/>
        </w:rPr>
        <w:t xml:space="preserve">2) Skodelice in podobni izdelki, ki se uporabljajo za pitje, morajo izpolnjevati zahteve kategorije I za prenos z roba za usta in zahteve kategorije II.</w:t>
      </w:r>
      <w:r>
        <w:rPr>
          <w:color w:val="000000"/>
          <w:sz w:val="14"/>
          <w:rFonts w:ascii="Tahoma" w:hAnsi="Tahoma"/>
        </w:rPr>
        <w:t xml:space="preserve"> </w:t>
      </w:r>
    </w:p>
    <w:p w:rsidR="00B10085" w:rsidRPr="00186765" w:rsidRDefault="00B155CB" w:rsidP="00B10085">
      <w:pPr>
        <w:spacing w:before="200" w:after="20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pict>
          <v:rect id="_x0000_i1029" style="width:337.35pt;height:.75pt" o:hrpct="700" o:hralign="center" o:hrstd="t" o:hrnoshade="t" o:hr="t" fillcolor="#dedede" stroked="f"/>
        </w:pict>
      </w:r>
    </w:p>
    <w:p w:rsidR="00B10085" w:rsidRPr="00186765" w:rsidRDefault="00B10085" w:rsidP="009D2EDC">
      <w:pPr>
        <w:keepNext/>
        <w:spacing w:before="400" w:after="120" w:line="240" w:lineRule="auto"/>
        <w:jc w:val="right"/>
        <w:rPr>
          <w:b/>
          <w:bCs/>
          <w:color w:val="000000"/>
          <w:sz w:val="24"/>
          <w:szCs w:val="24"/>
          <w:rFonts w:ascii="Tahoma" w:eastAsia="Times New Roman" w:hAnsi="Tahoma" w:cs="Tahoma"/>
        </w:rPr>
      </w:pPr>
      <w:r>
        <w:rPr>
          <w:b/>
          <w:color w:val="000000"/>
          <w:sz w:val="24"/>
          <w:rFonts w:ascii="Tahoma" w:hAnsi="Tahoma"/>
        </w:rPr>
        <w:t xml:space="preserve">Priloga 5</w:t>
      </w:r>
    </w:p>
    <w:p w:rsidR="00B10085" w:rsidRPr="00186765" w:rsidRDefault="00B10085" w:rsidP="009D2EDC">
      <w:pPr>
        <w:keepNext/>
        <w:spacing w:after="120" w:line="240" w:lineRule="auto"/>
        <w:jc w:val="center"/>
        <w:rPr>
          <w:b/>
          <w:bCs/>
          <w:color w:val="000000"/>
          <w:sz w:val="21"/>
          <w:szCs w:val="21"/>
          <w:rFonts w:ascii="Tahoma" w:eastAsia="Times New Roman" w:hAnsi="Tahoma" w:cs="Tahoma"/>
        </w:rPr>
      </w:pPr>
      <w:r>
        <w:rPr>
          <w:b/>
          <w:color w:val="000000"/>
          <w:sz w:val="21"/>
          <w:rFonts w:ascii="Tahoma" w:hAnsi="Tahoma"/>
        </w:rPr>
        <w:t xml:space="preserve">Zahteve za dokumentacijo za podjetja, ki dajejo na trg materiale, namenjene za stik z živili, prim. oddelek 15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Zahteve za dokumentacijo se uporabljajo za vse materiale, namenjene za stik z živili, ki se dajo na trg v zgodnejših fazah od faze prodaje na drobno.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Vendar glej točko 4 v zvezi s keramičnimi proizvodi.</w:t>
      </w:r>
    </w:p>
    <w:p w:rsidR="00B10085" w:rsidRPr="00186765" w:rsidRDefault="00B10085" w:rsidP="00B10085">
      <w:pPr>
        <w:keepNext/>
        <w:spacing w:before="240" w:after="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color w:val="000000"/>
          <w:sz w:val="17"/>
          <w:rFonts w:ascii="Tahoma" w:hAnsi="Tahoma"/>
        </w:rPr>
        <w:t xml:space="preserve">1) Polimerni materiali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Kadar se monomerni materiali, namenjeni za stik z živili, vključno z delno proizvedenimi proizvodi, dajo na trg v zgodnejših fazah od faze prodaje, jim mora biti priložena izjava o skladnosti, prim. člen 15 Uredbe (EU) št. 10/2011 o polimernih materialih in izdelkih, namenjenih za stik z živili.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Vodilni delavec podjetja na zahtevo predloži tudi ustrezno osnovno dokumentacijo, ki kaže, da materiali, izdelki in snovi, uporabljene pri proizvodnji teh materialov, namenjenih za stik z živili, izpolnjujejo zahteve iz Uredbe (EU) št. 10/2011 o polimernih materialih in izdelkih, namenjenih za stik z živili, prim. člen 16 uredbe.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Te osnovne informacije se dajo na voljo organom.</w:t>
      </w:r>
    </w:p>
    <w:p w:rsidR="00B10085" w:rsidRPr="00186765" w:rsidRDefault="00B10085" w:rsidP="00B10085">
      <w:pPr>
        <w:keepNext/>
        <w:spacing w:before="240" w:after="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color w:val="000000"/>
          <w:sz w:val="17"/>
          <w:rFonts w:ascii="Tahoma" w:hAnsi="Tahoma"/>
        </w:rPr>
        <w:t xml:space="preserve">2) Reciklirani polimerni materiali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Dodatne zahteve za izjavo o skladnosti so navedene v členu 12 Uredbe Komisije (EU) št. 282/2008 z dne 27. marca 2008 o recikliranih polimernih materialih in izdelkih, namenjenih za stik z živili, in spremembi Uredbe (ES) št. 2023/2006.</w:t>
      </w:r>
    </w:p>
    <w:p w:rsidR="00B10085" w:rsidRPr="00186765" w:rsidRDefault="00B10085" w:rsidP="00B10085">
      <w:pPr>
        <w:keepNext/>
        <w:spacing w:before="240" w:after="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color w:val="000000"/>
          <w:sz w:val="17"/>
          <w:rFonts w:ascii="Tahoma" w:hAnsi="Tahoma"/>
        </w:rPr>
        <w:t xml:space="preserve">3) Aktivni in inteligentni materiali, namenjeni za stik z živili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Zahteva glede izjave o skladnosti in zahteva glede osnovne dokumentacije sta navedeni v členih 12 in 13 Uredbe Komisije (ES) št. 450/2009 z dne 29. maja 2009 o aktivnih in inteligentnih materialih in izdelkih, namenjenih za stik z živili.</w:t>
      </w:r>
    </w:p>
    <w:p w:rsidR="00B10085" w:rsidRPr="00186765" w:rsidRDefault="00B10085" w:rsidP="00B10085">
      <w:pPr>
        <w:keepNext/>
        <w:spacing w:before="240" w:after="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color w:val="000000"/>
          <w:sz w:val="17"/>
          <w:rFonts w:ascii="Tahoma" w:hAnsi="Tahoma"/>
        </w:rPr>
        <w:t xml:space="preserve">4) Keramični proizvodi</w:t>
      </w:r>
    </w:p>
    <w:p w:rsidR="00B10085" w:rsidRPr="00186765" w:rsidRDefault="00B10085" w:rsidP="009D2EDC">
      <w:pPr>
        <w:keepNext/>
        <w:spacing w:before="200" w:after="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Kadar se na trg dajejo keramični proizvodi, ki še niso bili v stiku z živili, jim mora biti do faze prodaje na drobno in med njo priložena pisna izjava v skladu s členom 16 Uredbe Evropskega parlamenta in Sveta (ES) št. 1935/2004.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Namen pisne izjave je olajšati identifikacijo proizvodov, za katere se izda, in jo je treba obnoviti, če bistvene spremembe proizvodnje povzročijo spremembe migracije svinca in kadmija.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Izjavo izda proizvajalec ali trgovec s sedežem v Evropski uniji.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Pisna izjava vsebuje naslednje informacije: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a) ime in naslov podjetja, ki proizvaja končni keramični izdelek, in uvoznika, ki ga uvaža v Evropsko unijo;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b) identiteta izdelka;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c) datum izdaje izjave;</w:t>
      </w:r>
    </w:p>
    <w:p w:rsidR="00B10085" w:rsidRPr="00186765" w:rsidRDefault="00B10085" w:rsidP="00B10085">
      <w:pPr>
        <w:spacing w:after="0" w:line="240" w:lineRule="auto"/>
        <w:ind w:left="280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d) potrdilo, da keramični izdelek izpolnjuje ustrezne zahteve iz te odredbe in Uredbe 1935/2004.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Proizvajalci in uvozniki keramičnih izdelkov na zahtevo zagotovijo tudi ustrezno osnovno dokumentacijo, ki kaže, da so keramični izdelki skladni z mejnimi vrednostmi za migracijo svinca in kadmija, ter jo dajo na voljo organom.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Ta dokumentacija zajema rezultate opravljenih analiz, preskusne pogoje in ime ter naslov laboratorija, ki je opravil preskuse.</w:t>
      </w:r>
    </w:p>
    <w:p w:rsidR="00B10085" w:rsidRPr="00186765" w:rsidRDefault="00B10085" w:rsidP="00B10085">
      <w:pPr>
        <w:keepNext/>
        <w:spacing w:before="240" w:after="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color w:val="000000"/>
          <w:sz w:val="17"/>
          <w:rFonts w:ascii="Tahoma" w:hAnsi="Tahoma"/>
        </w:rPr>
        <w:t xml:space="preserve">5) Drugi materiali, namenjeni za stik z živili, vključno s polizdelki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Če se materiali, namenjeni za stiki z živili, ki niso materiali iz točk 1)–4), dajo na trg v zgodnejših fazah od faze prodaje na drobno, jim mora biti priložena izjava o skladnosti.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Pisna izjava o skladnosti olajša identifikacijo materialov, namenjenih za stik z živili, in snovi, za katere je izdana, ter dokazuje, da so skladni z veljavnimi predpisi.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Izjava o skladnosti se obnovi, če bistvene spremembe proizvodnje povzročijo spremembe migracije ali ko so na voljo novi znanstveni podatki.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Vodilni delavec podjetja v zvezi s temi materiali, namenjenimi za stik z živili, na zahtevo predloži tudi ustrezno osnovno dokumentacijo, ki kaže, da materiali, namenjeni za stik z živili, in snovi/polproizvodi, uporabljeni za njihovo proizvodnjo, izpolnjujejo zahteve te odredbe, ter jo dajo na voljo organom.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Ta dokumentacija lahko zajema preskusne pogoje in rezultate preskusov, izračune, druge podatke in dokazilo o varnosti ali informacije, ki kažejo, da so zahteve izpolnjene.</w:t>
      </w:r>
    </w:p>
    <w:p w:rsidR="00B10085" w:rsidRPr="00186765" w:rsidRDefault="00B155CB" w:rsidP="00B10085">
      <w:pPr>
        <w:spacing w:before="200" w:after="200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szCs w:val="17"/>
          <w:rFonts w:ascii="Tahoma" w:hAnsi="Tahoma"/>
        </w:rPr>
        <w:pict>
          <v:rect id="_x0000_i1030" style="width:337.35pt;height:.75pt" o:hrpct="700" o:hralign="center" o:hrstd="t" o:hrnoshade="t" o:hr="t" fillcolor="#dedede" stroked="f"/>
        </w:pict>
      </w:r>
    </w:p>
    <w:p w:rsidR="00B10085" w:rsidRPr="00186765" w:rsidRDefault="00B10085" w:rsidP="009D2EDC">
      <w:pPr>
        <w:keepNext/>
        <w:spacing w:before="400" w:after="120" w:line="240" w:lineRule="auto"/>
        <w:jc w:val="right"/>
        <w:rPr>
          <w:b/>
          <w:bCs/>
          <w:color w:val="000000"/>
          <w:sz w:val="24"/>
          <w:szCs w:val="24"/>
          <w:rFonts w:ascii="Tahoma" w:eastAsia="Times New Roman" w:hAnsi="Tahoma" w:cs="Tahoma"/>
        </w:rPr>
      </w:pPr>
      <w:r>
        <w:rPr>
          <w:b/>
          <w:color w:val="000000"/>
          <w:sz w:val="24"/>
          <w:rFonts w:ascii="Tahoma" w:hAnsi="Tahoma"/>
        </w:rPr>
        <w:t xml:space="preserve">Priloga 6</w:t>
      </w:r>
    </w:p>
    <w:p w:rsidR="00B10085" w:rsidRPr="00186765" w:rsidRDefault="00B10085" w:rsidP="009D2EDC">
      <w:pPr>
        <w:keepNext/>
        <w:spacing w:after="120" w:line="240" w:lineRule="auto"/>
        <w:jc w:val="center"/>
        <w:rPr>
          <w:b/>
          <w:bCs/>
          <w:color w:val="000000"/>
          <w:sz w:val="21"/>
          <w:szCs w:val="21"/>
          <w:rFonts w:ascii="Tahoma" w:eastAsia="Times New Roman" w:hAnsi="Tahoma" w:cs="Tahoma"/>
        </w:rPr>
      </w:pPr>
      <w:r>
        <w:rPr>
          <w:b/>
          <w:color w:val="000000"/>
          <w:sz w:val="21"/>
          <w:rFonts w:ascii="Tahoma" w:hAnsi="Tahoma"/>
        </w:rPr>
        <w:t xml:space="preserve">Keramični in emajlirani ter stekleni izdelki, prim. oddelek 16</w:t>
      </w:r>
    </w:p>
    <w:p w:rsidR="00B10085" w:rsidRPr="00186765" w:rsidRDefault="00B10085" w:rsidP="009D2EDC">
      <w:pPr>
        <w:keepNext/>
        <w:spacing w:before="240" w:after="0" w:line="240" w:lineRule="auto"/>
        <w:jc w:val="center"/>
        <w:rPr>
          <w:b/>
          <w:bCs/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color w:val="000000"/>
          <w:sz w:val="17"/>
          <w:rFonts w:ascii="Tahoma" w:hAnsi="Tahoma"/>
        </w:rPr>
        <w:t xml:space="preserve">A. Osnovna pravila za določanje migracije svinca in kadmija</w:t>
      </w:r>
    </w:p>
    <w:p w:rsidR="00B10085" w:rsidRPr="00186765" w:rsidRDefault="00B10085" w:rsidP="009D2EDC">
      <w:pPr>
        <w:keepNext/>
        <w:spacing w:before="240" w:after="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Preskusni pogoji itd.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Preskusna tekočina: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4 % (v/v) ocetne kisline v sveže pripravljeni vodni raztopini.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Ekstrahirajte pri 22 ± 2 °C v obdobju 24 ± 0,5 ur.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Pokrijte vzorec, da je njegova površina v popolni temi.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Vendar to ni potrebno, če se določa samo migracija svinca.</w:t>
      </w:r>
    </w:p>
    <w:p w:rsidR="00B10085" w:rsidRPr="00186765" w:rsidRDefault="00B10085" w:rsidP="009D2EDC">
      <w:pPr>
        <w:keepNext/>
        <w:spacing w:before="240" w:after="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Priprava preiskovanih vzorcev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2.1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Izdelki, ki jih ni mogoče napolniti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Površina vzorca, ki ni namenjen za stik z živili, se najprej prekrije s primerno zaščitno plastjo, ki je odporna na delovanje 4-odstotne (v/v) raztopine ocetne kisline.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Vzorec se nato potopi v vsebnik z znano količino raztopine ocetne kisline tako, da površino, namenjeno za stik z živili, povsem prekriva preskusna tekočina.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2.2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Izdelki, ki jih je mogoče napolniti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Izdelek se napolni s 4-odstotno (v/v) raztopino ocetne kisline do roba (ne več kot 1 mm od prelivne točke).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Če ima izdelek ploščat ali nekoliko nagnjen rob, se napolni tako, da razdalja med površino tekočine in prelivno točko ne presega 6 mm, merjeno vzdolž nagiba roba.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2.3 Izdelki, ki se preučijo v zvezi z migracijo z „roba za usta“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Izdelek se potopi v vsebnik s 4-odstotno (V/v) raztopino ocetne kisline tako, da 2 cm širok pas vzdolž zgornjega roba izdelka prekriva vzorčna tekočina.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Deli izdelka, ki se ne ekstrahirajo, vendar jih zaradi oblike izdelka prekriva vzorčna tekočina, se prekrijejo, kot je opisano v točki 2.1.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Določanje površine za izdelke kategorije I, prim. poglavje 4 o keramičnih in emajliranih ter steklenih izdelkih.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Površina izdelkov, ki jih ni mogoče napolniti (kategorija I, točka 1 poglavja 4), se izračuna kot celotna potopljena površina, ki lahko pride v stik z živili in ni prekrita, prim. točko 2.1.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Morebitne odprtine v izdelku se ne upoštevajo.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Površina izdelkov iz točke 2 kategorije I se izračuna kot območje površine tekočine, ko je izdelek napolnjen, kot je opisano v točki 2.1.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Površina izdelkov iz točke 3 kategorije I se izračuna kot območje 2 cm širokega pasu vzdolž zgornjega roba izdelka na notranji in zunanji strani, tako imenovanega „roba za usta“.</w:t>
      </w:r>
    </w:p>
    <w:p w:rsidR="00B10085" w:rsidRPr="00186765" w:rsidRDefault="00B10085" w:rsidP="00B10085">
      <w:pPr>
        <w:keepNext/>
        <w:spacing w:before="240" w:after="0" w:line="240" w:lineRule="auto"/>
        <w:jc w:val="center"/>
        <w:rPr>
          <w:b/>
          <w:bCs/>
          <w:color w:val="000000"/>
          <w:sz w:val="17"/>
          <w:szCs w:val="17"/>
          <w:rFonts w:ascii="Tahoma" w:eastAsia="Times New Roman" w:hAnsi="Tahoma" w:cs="Tahoma"/>
        </w:rPr>
      </w:pPr>
      <w:r>
        <w:rPr>
          <w:b/>
          <w:color w:val="000000"/>
          <w:sz w:val="17"/>
          <w:rFonts w:ascii="Tahoma" w:hAnsi="Tahoma"/>
        </w:rPr>
        <w:t xml:space="preserve">B. Analizne metode za določanje migracije svinca in kadmija</w:t>
      </w:r>
    </w:p>
    <w:p w:rsidR="00B10085" w:rsidRPr="00186765" w:rsidRDefault="00B10085" w:rsidP="00B10085">
      <w:pPr>
        <w:keepNext/>
        <w:spacing w:before="240" w:after="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1.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Načelo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Določanje specifične migracije svinca in kadmija se izvede s potopitvijo v 4-odstotno ocetno kislino za 24 ur pri 22 °C. Določanje migracije svinca in/ali kadmija se izvede z instrumentalno analizno metodo.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Količina migracije svinca in kadmija se primerja s površino ali prostornino izdelka.</w:t>
      </w:r>
    </w:p>
    <w:p w:rsidR="00B10085" w:rsidRPr="00186765" w:rsidRDefault="00B10085" w:rsidP="00B10085">
      <w:pPr>
        <w:keepNext/>
        <w:spacing w:before="240" w:after="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Reagenti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Vsi reagenti morajo biti analitske kakovosti, če ni drugače določeno v tej prilogi.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Kjer se v nadaljevanju navaja voda, to vedno pomeni destilirano vodo oziroma vodo ustrezne kakovosti.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2.1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4odstotna (v/v) ocetna kislina v vodni raztopini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V 1 000-mililitrski bučki, do polovice napolnjeni z vodo, se 40 ml ledocetne kisline razredči z vodo do 1 000 ml.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Ta raztopina se pripravi na dan, ko se začne ekstrakcija.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2.2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Koncentrirane standardne raztopine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Pripravijo se temeljne standardne raztopine, ki vsebujejo 1 000 mg/l svinca in najmanj 500 mg/l kadmija v 4-odstotni raztopini ocetne kisline (2.1).</w:t>
      </w:r>
    </w:p>
    <w:p w:rsidR="00B10085" w:rsidRPr="00186765" w:rsidRDefault="00B10085" w:rsidP="00B10085">
      <w:pPr>
        <w:keepNext/>
        <w:spacing w:before="240" w:after="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3.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Zahteve za instrumentalno analizno metodo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3.1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Meja zaznavnosti za svinec in kadmij mora biti enaka ali nižja kot: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0,1 mg/liter za svinec,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0,01 mg/liter za kadmij.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Meja zaznavnosti je opredeljena kot koncentracija elementa v 4-odstotni raztopini ocetne kisline, prim. točko 3.1, ki da signal, dvakrat močnejši od šuma ozadja instrumenta.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3.2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Meja zaznavnosti za svinec in kadmij mora biti enaka ali nižja kot: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0,2 mg/liter za svinec,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0,02 mg/liter za kadmij.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3.3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Predelava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Predelava svinca in kadmija, dodanih 4-odstotni raztopini ocetne kisline, prim. točko 3.1, mora biti med 80 in 120 % dodane količine.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3.4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Specifičnost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Pri uporabljeni instrumentalni analizni metodi ne sme biti interferenc zaradi matriksa ali spektralnih interferenc.</w:t>
      </w:r>
    </w:p>
    <w:p w:rsidR="00B10085" w:rsidRPr="00186765" w:rsidRDefault="00B10085" w:rsidP="009D2EDC">
      <w:pPr>
        <w:keepNext/>
        <w:spacing w:before="240" w:after="0" w:line="240" w:lineRule="auto"/>
        <w:jc w:val="center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4.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Postopek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4.1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Priprava izdelka na ekstrakcijo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Izdelek mora biti čist, brez maščob ali drugih snovi, ki bi lahko vplivale na analizo.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Izdelek se opere v raztopini tekočega gospodinjskega detergenta pri temperaturi približno 40 °C. Vzorec se splakne najprej s tekočo vodo, nato pa z destilirano vodo (oziroma z vodo ustrezne kakovosti).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Pusti se, da voda odteče, in se izdelek osuši, tako da na njem ne ostanejo onesnaženja.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Očiščene površine za preskus se ne sme več dotikati.</w:t>
      </w:r>
    </w:p>
    <w:p w:rsidR="00B10085" w:rsidRPr="00186765" w:rsidRDefault="00B10085" w:rsidP="009D2EDC">
      <w:pPr>
        <w:keepNext/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4.2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Določitev svinca in/ali kadmija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Tako pripravljeni izdelek se preskusi pod pogoji, določenimi v poglavju A te priloge.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Pred odvzemom preskusne raztopine za določanje svinca in/ali kadmija se vsebina vzorca primerno premeša, da se ne izgubi del raztopine in se preskušana površina ne odrgne.</w:t>
      </w:r>
      <w:r>
        <w:rPr>
          <w:color w:val="000000"/>
          <w:sz w:val="17"/>
          <w:rFonts w:ascii="Tahoma" w:hAnsi="Tahoma"/>
        </w:rPr>
        <w:t xml:space="preserve"> </w:t>
      </w:r>
      <w:r>
        <w:rPr>
          <w:color w:val="000000"/>
          <w:sz w:val="17"/>
          <w:rFonts w:ascii="Tahoma" w:hAnsi="Tahoma"/>
        </w:rPr>
        <w:t xml:space="preserve">Za vsako serijo določitev se izvede slepi preskus z reagenti.</w:t>
      </w:r>
    </w:p>
    <w:p w:rsidR="00B10085" w:rsidRPr="00186765" w:rsidRDefault="00B10085" w:rsidP="00B10085">
      <w:pPr>
        <w:spacing w:before="100" w:beforeAutospacing="1" w:after="100" w:afterAutospacing="1" w:line="240" w:lineRule="auto"/>
        <w:rPr>
          <w:color w:val="000000"/>
          <w:sz w:val="17"/>
          <w:szCs w:val="17"/>
          <w:rFonts w:ascii="Tahoma" w:eastAsia="Times New Roman" w:hAnsi="Tahoma" w:cs="Tahoma"/>
        </w:rPr>
      </w:pPr>
      <w:r>
        <w:rPr>
          <w:color w:val="000000"/>
          <w:sz w:val="17"/>
          <w:rFonts w:ascii="Tahoma" w:hAnsi="Tahoma"/>
        </w:rPr>
        <w:t xml:space="preserve">Svinec in/ali kadmij se določita pod ustreznimi preskusnimi pogoji.</w:t>
      </w:r>
    </w:p>
    <w:p w:rsidR="00B10085" w:rsidRPr="00186765" w:rsidRDefault="00B10085" w:rsidP="009D2EDC">
      <w:pPr>
        <w:keepNext/>
        <w:shd w:val="clear" w:color="auto" w:fill="316529"/>
        <w:spacing w:after="150" w:line="240" w:lineRule="auto"/>
        <w:jc w:val="center"/>
        <w:rPr>
          <w:b/>
          <w:bCs/>
          <w:color w:val="FFFFFF"/>
          <w:sz w:val="17"/>
          <w:szCs w:val="17"/>
          <w:rFonts w:ascii="Tahoma" w:eastAsia="Times New Roman" w:hAnsi="Tahoma" w:cs="Tahoma"/>
        </w:rPr>
      </w:pPr>
      <w:r>
        <w:rPr>
          <w:b/>
          <w:color w:val="FFFFFF"/>
          <w:sz w:val="17"/>
          <w:rFonts w:ascii="Tahoma" w:hAnsi="Tahoma"/>
        </w:rPr>
        <w:t xml:space="preserve">Uradne opombe</w:t>
      </w:r>
    </w:p>
    <w:p w:rsidR="00B10085" w:rsidRPr="00186765" w:rsidRDefault="00B155CB" w:rsidP="00B10085">
      <w:pPr>
        <w:spacing w:before="40" w:after="40" w:line="240" w:lineRule="auto"/>
        <w:rPr>
          <w:color w:val="000000"/>
          <w:sz w:val="14"/>
          <w:szCs w:val="14"/>
          <w:rFonts w:ascii="Tahoma" w:eastAsia="Times New Roman" w:hAnsi="Tahoma" w:cs="Tahoma"/>
        </w:rPr>
      </w:pPr>
      <w:hyperlink r:id="rId25" w:anchor="Henvisning_id1f4c3218-9ee3-46b4-a215-7b17fdf58f29">
        <w:r>
          <w:rPr>
            <w:color w:val="000000"/>
            <w:sz w:val="12"/>
            <w:u w:val="single"/>
            <w:vertAlign w:val="superscript"/>
            <w:rFonts w:ascii="Tahoma" w:hAnsi="Tahoma"/>
          </w:rPr>
          <w:t xml:space="preserve">1</w:t>
        </w:r>
      </w:hyperlink>
      <w:r>
        <w:rPr>
          <w:color w:val="000000"/>
          <w:sz w:val="14"/>
          <w:rFonts w:ascii="Tahoma" w:hAnsi="Tahoma"/>
        </w:rPr>
        <w:t xml:space="preserve"> Odredba zajema določbe, ki v nacionalno pravo prenašajo Direktivo Sveta 84/500/EGS z dne 15. oktobra 1984 o približevanju zakonodaje držav članic, ki se nanaša na keramične izdelke, namenjene za stik z živili, UL L 277, 20.10.1984, str. 12–16, kakor je bila spremenjena z Direktivo Komisije 2005/31/ES z dne 29. aprila 2005, UL L 110, 30.4.2005, str. 36–39, Direktivo Komisije 2007/42/ES z dne 29. junija 2007 o materialih in izdelkih iz regenerirane celulozne folije, namenjenih za stik z živili, UL L 172, 30.6.2007, str. 71–82, in Direktivo Sveta 78/142/EGS z dne 30. januarja 1978 o približevanju zakonodaje držav članic o materialih in izdelkih, ki vsebujejo monomere vinilklorida in so namenjeni za stik z živili, UL L 44, 15.2.1978, str. 15–17.</w:t>
      </w:r>
      <w:r>
        <w:rPr>
          <w:color w:val="000000"/>
          <w:sz w:val="14"/>
          <w:rFonts w:ascii="Tahoma" w:hAnsi="Tahoma"/>
        </w:rPr>
        <w:t xml:space="preserve"> </w:t>
      </w:r>
      <w:r>
        <w:rPr>
          <w:color w:val="000000"/>
          <w:sz w:val="14"/>
          <w:rFonts w:ascii="Tahoma" w:hAnsi="Tahoma"/>
        </w:rPr>
        <w:t xml:space="preserve">Odredba vključuje nekatere določbe Uredbe Komisije (EU) št. 10/2011 z dne 14. januarja 2006 o polimernih materialih in izdelkih, namenjen za stik z živili, UL L 12, 15.1.2011, str. 1–89.</w:t>
      </w:r>
      <w:r>
        <w:rPr>
          <w:color w:val="000000"/>
          <w:sz w:val="14"/>
          <w:rFonts w:ascii="Tahoma" w:hAnsi="Tahoma"/>
        </w:rPr>
        <w:t xml:space="preserve"> </w:t>
      </w:r>
      <w:r>
        <w:rPr>
          <w:color w:val="000000"/>
          <w:sz w:val="14"/>
          <w:rFonts w:ascii="Tahoma" w:hAnsi="Tahoma"/>
        </w:rPr>
        <w:t xml:space="preserve">Uredba se v skladu s členom 288 Pogodbe o delovanju Evropske unije neposredno uporablja v vseh državah članicah.</w:t>
      </w:r>
      <w:r>
        <w:rPr>
          <w:color w:val="000000"/>
          <w:sz w:val="14"/>
          <w:rFonts w:ascii="Tahoma" w:hAnsi="Tahoma"/>
        </w:rPr>
        <w:t xml:space="preserve"> </w:t>
      </w:r>
      <w:r>
        <w:rPr>
          <w:color w:val="000000"/>
          <w:sz w:val="14"/>
          <w:rFonts w:ascii="Tahoma" w:hAnsi="Tahoma"/>
        </w:rPr>
        <w:t xml:space="preserve">Uredbe so v tej odredbi ponovljene le zavoljo praktičnosti in to ne vpliva na neposredno veljavnost predpisov na Danskem.</w:t>
      </w:r>
      <w:r>
        <w:rPr>
          <w:color w:val="000000"/>
          <w:sz w:val="14"/>
          <w:rFonts w:ascii="Tahoma" w:hAnsi="Tahoma"/>
        </w:rPr>
        <w:t xml:space="preserve"> </w:t>
      </w:r>
      <w:r>
        <w:rPr>
          <w:color w:val="000000"/>
          <w:sz w:val="14"/>
          <w:rFonts w:ascii="Tahoma" w:hAnsi="Tahoma"/>
        </w:rPr>
        <w:t xml:space="preserve">Osnutek odredbe je bil priglašen v skladu z Direktivo 98/34/ES Evropskega parlamenta in Sveta (direktiva o postopku za zbiranje informacij), kakor je bila spremenjena z Direktivo 98/48/ES.</w:t>
      </w:r>
    </w:p>
    <w:sectPr w:rsidR="00B10085" w:rsidRPr="001867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5CB" w:rsidRDefault="00B155CB" w:rsidP="00A15EE9">
      <w:pPr>
        <w:spacing w:after="0" w:line="240" w:lineRule="auto"/>
      </w:pPr>
      <w:r>
        <w:separator/>
      </w:r>
    </w:p>
  </w:endnote>
  <w:endnote w:type="continuationSeparator" w:id="0">
    <w:p w:rsidR="00B155CB" w:rsidRDefault="00B155CB" w:rsidP="00A15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5CB" w:rsidRDefault="00B155CB" w:rsidP="00A15EE9">
      <w:pPr>
        <w:spacing w:after="0" w:line="240" w:lineRule="auto"/>
      </w:pPr>
      <w:r>
        <w:separator/>
      </w:r>
    </w:p>
  </w:footnote>
  <w:footnote w:type="continuationSeparator" w:id="0">
    <w:p w:rsidR="00B155CB" w:rsidRDefault="00B155CB" w:rsidP="00A15E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1304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85"/>
    <w:rsid w:val="00186765"/>
    <w:rsid w:val="00483E18"/>
    <w:rsid w:val="004B0B9D"/>
    <w:rsid w:val="00724AE7"/>
    <w:rsid w:val="007D7072"/>
    <w:rsid w:val="008C78F5"/>
    <w:rsid w:val="009D2EDC"/>
    <w:rsid w:val="00A15EE9"/>
    <w:rsid w:val="00B10085"/>
    <w:rsid w:val="00B155CB"/>
    <w:rsid w:val="00E22645"/>
    <w:rsid w:val="00EC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2E2C02F-C957-41A4-89AA-EBC71A6C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100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100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100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08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1008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1008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numbering" w:customStyle="1" w:styleId="Ingenoversigt1">
    <w:name w:val="Ingen oversigt1"/>
    <w:next w:val="NoList"/>
    <w:uiPriority w:val="99"/>
    <w:semiHidden/>
    <w:unhideWhenUsed/>
    <w:rsid w:val="00B10085"/>
  </w:style>
  <w:style w:type="character" w:styleId="Hyperlink">
    <w:name w:val="Hyperlink"/>
    <w:basedOn w:val="DefaultParagraphFont"/>
    <w:uiPriority w:val="99"/>
    <w:semiHidden/>
    <w:unhideWhenUsed/>
    <w:rsid w:val="00B10085"/>
    <w:rPr>
      <w:rFonts w:ascii="Tahoma" w:hAnsi="Tahoma" w:cs="Tahoma" w:hint="default"/>
      <w:color w:val="000000"/>
      <w:sz w:val="24"/>
      <w:szCs w:val="24"/>
      <w:u w:val="single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B10085"/>
    <w:rPr>
      <w:rFonts w:ascii="Tahoma" w:hAnsi="Tahoma" w:cs="Tahoma" w:hint="default"/>
      <w:color w:val="000000"/>
      <w:sz w:val="24"/>
      <w:szCs w:val="24"/>
      <w:u w:val="singl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B10085"/>
    <w:rPr>
      <w:b/>
      <w:bCs/>
    </w:rPr>
  </w:style>
  <w:style w:type="paragraph" w:customStyle="1" w:styleId="msonormal0">
    <w:name w:val="msonormal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givet">
    <w:name w:val="givet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sign1">
    <w:name w:val="sign1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egl">
    <w:name w:val="segl"/>
    <w:basedOn w:val="Normal"/>
    <w:rsid w:val="00B10085"/>
    <w:pPr>
      <w:keepNext/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ign2">
    <w:name w:val="sign2"/>
    <w:basedOn w:val="Normal"/>
    <w:rsid w:val="00B10085"/>
    <w:pPr>
      <w:spacing w:before="100" w:beforeAutospacing="1"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endringspunkt">
    <w:name w:val="aendringspunkt"/>
    <w:basedOn w:val="Normal"/>
    <w:rsid w:val="00B10085"/>
    <w:pPr>
      <w:tabs>
        <w:tab w:val="left" w:pos="170"/>
      </w:tabs>
      <w:spacing w:before="240"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endretbestemmelse">
    <w:name w:val="aendretbestemmels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af">
    <w:name w:val="af"/>
    <w:basedOn w:val="Normal"/>
    <w:rsid w:val="00B10085"/>
    <w:pPr>
      <w:spacing w:before="100" w:after="0" w:line="240" w:lineRule="auto"/>
      <w:ind w:left="425" w:hanging="425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f2">
    <w:name w:val="af2"/>
    <w:basedOn w:val="Normal"/>
    <w:rsid w:val="00B10085"/>
    <w:pPr>
      <w:spacing w:before="260" w:after="0" w:line="240" w:lineRule="auto"/>
      <w:ind w:left="425" w:hanging="425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fsnitsnummer">
    <w:name w:val="afsnitsnummer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afsnitsoverskrift">
    <w:name w:val="afsnitsoverskrift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anmaerkninger">
    <w:name w:val="anmaerkninger"/>
    <w:basedOn w:val="Normal"/>
    <w:rsid w:val="00B10085"/>
    <w:pPr>
      <w:spacing w:before="24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bemtil">
    <w:name w:val="bemtil"/>
    <w:basedOn w:val="Normal"/>
    <w:rsid w:val="00B10085"/>
    <w:pPr>
      <w:spacing w:before="36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emtilci">
    <w:name w:val="bemtilci"/>
    <w:basedOn w:val="Normal"/>
    <w:rsid w:val="00B10085"/>
    <w:pPr>
      <w:spacing w:before="36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bemtillfs">
    <w:name w:val="bemtillfs"/>
    <w:basedOn w:val="Normal"/>
    <w:rsid w:val="00B10085"/>
    <w:pPr>
      <w:pageBreakBefore/>
      <w:spacing w:before="240" w:after="240" w:line="240" w:lineRule="auto"/>
      <w:jc w:val="center"/>
    </w:pPr>
    <w:rPr>
      <w:rFonts w:ascii="Tahoma" w:eastAsia="Times New Roman" w:hAnsi="Tahoma" w:cs="Tahoma"/>
      <w:b/>
      <w:bCs/>
      <w:i/>
      <w:iCs/>
      <w:color w:val="000000"/>
      <w:sz w:val="40"/>
      <w:szCs w:val="40"/>
    </w:rPr>
  </w:style>
  <w:style w:type="paragraph" w:customStyle="1" w:styleId="bemtilv">
    <w:name w:val="bemtilv"/>
    <w:basedOn w:val="Normal"/>
    <w:rsid w:val="00B10085"/>
    <w:pPr>
      <w:spacing w:before="360"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emtilvbf">
    <w:name w:val="bemtilvbf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emtilvi">
    <w:name w:val="bemtilvi"/>
    <w:basedOn w:val="Normal"/>
    <w:rsid w:val="00B10085"/>
    <w:pPr>
      <w:spacing w:before="360" w:after="0" w:line="240" w:lineRule="auto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bilagsoverskrift">
    <w:name w:val="bilagsoverskrift"/>
    <w:basedOn w:val="Normal"/>
    <w:rsid w:val="00B10085"/>
    <w:pPr>
      <w:keepNext/>
      <w:spacing w:before="360" w:after="24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bilagstekst">
    <w:name w:val="bilagstekst"/>
    <w:basedOn w:val="Normal"/>
    <w:rsid w:val="00B10085"/>
    <w:pPr>
      <w:spacing w:before="60" w:after="6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ilagstitel">
    <w:name w:val="bilagstitel"/>
    <w:basedOn w:val="Normal"/>
    <w:rsid w:val="00B10085"/>
    <w:pPr>
      <w:pageBreakBefore/>
      <w:spacing w:after="240" w:line="240" w:lineRule="auto"/>
      <w:jc w:val="right"/>
    </w:pPr>
    <w:rPr>
      <w:rFonts w:ascii="Tahoma" w:eastAsia="Times New Roman" w:hAnsi="Tahoma" w:cs="Tahoma"/>
      <w:b/>
      <w:bCs/>
      <w:color w:val="000000"/>
      <w:sz w:val="35"/>
      <w:szCs w:val="35"/>
    </w:rPr>
  </w:style>
  <w:style w:type="paragraph" w:customStyle="1" w:styleId="bilagtekstliste">
    <w:name w:val="bilagtekstliste"/>
    <w:basedOn w:val="Normal"/>
    <w:rsid w:val="00B10085"/>
    <w:pPr>
      <w:spacing w:before="200"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ullet">
    <w:name w:val="bullet"/>
    <w:basedOn w:val="Normal"/>
    <w:rsid w:val="00B10085"/>
    <w:pPr>
      <w:tabs>
        <w:tab w:val="left" w:pos="197"/>
      </w:tabs>
      <w:spacing w:before="60" w:after="0" w:line="240" w:lineRule="auto"/>
      <w:ind w:left="197" w:hanging="197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ullet1">
    <w:name w:val="bullet1"/>
    <w:basedOn w:val="Normal"/>
    <w:rsid w:val="00B10085"/>
    <w:pPr>
      <w:tabs>
        <w:tab w:val="left" w:pos="851"/>
      </w:tabs>
      <w:spacing w:after="0" w:line="240" w:lineRule="auto"/>
      <w:ind w:left="851" w:hanging="397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ullet2">
    <w:name w:val="bullet2"/>
    <w:basedOn w:val="Normal"/>
    <w:rsid w:val="00B10085"/>
    <w:pPr>
      <w:tabs>
        <w:tab w:val="left" w:pos="1276"/>
      </w:tabs>
      <w:spacing w:after="0" w:line="240" w:lineRule="auto"/>
      <w:ind w:left="1276" w:hanging="425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paragrafnummer">
    <w:name w:val="cparagrafnummer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cparagraftekst">
    <w:name w:val="cparagraftekst"/>
    <w:basedOn w:val="Normal"/>
    <w:rsid w:val="00B10085"/>
    <w:pPr>
      <w:spacing w:before="240" w:after="0" w:line="240" w:lineRule="auto"/>
      <w:ind w:firstLine="17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folsam">
    <w:name w:val="folsam"/>
    <w:basedOn w:val="Normal"/>
    <w:rsid w:val="00B10085"/>
    <w:pPr>
      <w:keepNext/>
      <w:spacing w:before="240" w:after="60" w:line="240" w:lineRule="auto"/>
      <w:ind w:firstLine="170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fremsaetterundertitel">
    <w:name w:val="fremsaetterundertitel"/>
    <w:basedOn w:val="Normal"/>
    <w:rsid w:val="00B10085"/>
    <w:pPr>
      <w:spacing w:after="12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envendelse">
    <w:name w:val="henvendelse"/>
    <w:basedOn w:val="Normal"/>
    <w:rsid w:val="00B10085"/>
    <w:pPr>
      <w:spacing w:after="0" w:line="240" w:lineRule="auto"/>
      <w:ind w:left="454" w:hanging="284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ymne">
    <w:name w:val="hymne"/>
    <w:basedOn w:val="Normal"/>
    <w:rsid w:val="00B10085"/>
    <w:pPr>
      <w:spacing w:before="240" w:after="0" w:line="240" w:lineRule="auto"/>
      <w:ind w:left="397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ikkemedlemmer">
    <w:name w:val="ikkemedlemmer"/>
    <w:basedOn w:val="Normal"/>
    <w:rsid w:val="00B10085"/>
    <w:pPr>
      <w:spacing w:before="60" w:after="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ikrafttraedelse">
    <w:name w:val="ikrafttraedelse"/>
    <w:basedOn w:val="Normal"/>
    <w:rsid w:val="00B10085"/>
    <w:pPr>
      <w:spacing w:before="480" w:after="0" w:line="240" w:lineRule="auto"/>
      <w:ind w:firstLine="17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indholdhdr">
    <w:name w:val="indholdhdr"/>
    <w:basedOn w:val="Normal"/>
    <w:rsid w:val="00B10085"/>
    <w:pPr>
      <w:spacing w:before="360" w:after="0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indholdhdr2">
    <w:name w:val="indholdhdr2"/>
    <w:basedOn w:val="Normal"/>
    <w:rsid w:val="00B10085"/>
    <w:pPr>
      <w:spacing w:before="240" w:after="0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indledning">
    <w:name w:val="indledning"/>
    <w:basedOn w:val="Normal"/>
    <w:rsid w:val="00B10085"/>
    <w:pPr>
      <w:spacing w:before="240" w:after="0" w:line="240" w:lineRule="auto"/>
      <w:ind w:firstLine="397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indledning2">
    <w:name w:val="indledning2"/>
    <w:basedOn w:val="Normal"/>
    <w:rsid w:val="00B10085"/>
    <w:pPr>
      <w:spacing w:after="0" w:line="240" w:lineRule="auto"/>
      <w:ind w:firstLine="24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indstilling">
    <w:name w:val="indstilling"/>
    <w:basedOn w:val="Normal"/>
    <w:rsid w:val="00B10085"/>
    <w:pPr>
      <w:keepNext/>
      <w:spacing w:before="480" w:after="12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kapitelnummer">
    <w:name w:val="kapitelnummer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kapiteloverskrift">
    <w:name w:val="kapiteloverskrift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kapiteloverskriftbm">
    <w:name w:val="kapiteloverskriftbm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kommentar">
    <w:name w:val="kommentar"/>
    <w:basedOn w:val="Normal"/>
    <w:rsid w:val="00B10085"/>
    <w:pPr>
      <w:spacing w:before="240" w:after="0" w:line="240" w:lineRule="auto"/>
      <w:ind w:left="397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tra">
    <w:name w:val="litra"/>
    <w:basedOn w:val="Normal"/>
    <w:rsid w:val="00B10085"/>
    <w:pPr>
      <w:spacing w:after="0" w:line="240" w:lineRule="auto"/>
      <w:ind w:left="460" w:hanging="22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tra9">
    <w:name w:val="litra9"/>
    <w:basedOn w:val="Normal"/>
    <w:rsid w:val="00B10085"/>
    <w:pPr>
      <w:tabs>
        <w:tab w:val="left" w:pos="397"/>
      </w:tabs>
      <w:spacing w:after="0" w:line="240" w:lineRule="auto"/>
      <w:ind w:left="794" w:hanging="397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sp6">
    <w:name w:val="lsp6"/>
    <w:basedOn w:val="Normal"/>
    <w:rsid w:val="00B10085"/>
    <w:pPr>
      <w:spacing w:after="0" w:line="120" w:lineRule="atLeast"/>
      <w:ind w:left="454" w:hanging="284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sp8l">
    <w:name w:val="lsp8l"/>
    <w:basedOn w:val="Normal"/>
    <w:rsid w:val="00B10085"/>
    <w:pPr>
      <w:spacing w:after="0" w:line="120" w:lineRule="atLeast"/>
      <w:ind w:left="454" w:hanging="284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sp8ll">
    <w:name w:val="lsp8ll"/>
    <w:basedOn w:val="Normal"/>
    <w:rsid w:val="00B10085"/>
    <w:pPr>
      <w:spacing w:after="0" w:line="120" w:lineRule="atLeast"/>
      <w:ind w:left="454" w:hanging="284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medlemmer">
    <w:name w:val="medlemmer"/>
    <w:basedOn w:val="Normal"/>
    <w:rsid w:val="00B10085"/>
    <w:pPr>
      <w:spacing w:before="480" w:after="0" w:line="36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normal9">
    <w:name w:val="normal9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normalind">
    <w:name w:val="normalind"/>
    <w:basedOn w:val="Normal"/>
    <w:rsid w:val="00B10085"/>
    <w:pPr>
      <w:spacing w:before="60" w:after="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normalind9">
    <w:name w:val="normalind9"/>
    <w:basedOn w:val="Normal"/>
    <w:rsid w:val="00B10085"/>
    <w:pPr>
      <w:spacing w:before="60" w:after="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nummer">
    <w:name w:val="nummer"/>
    <w:basedOn w:val="Normal"/>
    <w:rsid w:val="00B10085"/>
    <w:pPr>
      <w:spacing w:after="0" w:line="240" w:lineRule="auto"/>
      <w:ind w:left="220" w:hanging="22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nummer9">
    <w:name w:val="nummer9"/>
    <w:basedOn w:val="Normal"/>
    <w:rsid w:val="00B10085"/>
    <w:pPr>
      <w:tabs>
        <w:tab w:val="left" w:pos="397"/>
        <w:tab w:val="left" w:pos="992"/>
      </w:tabs>
      <w:spacing w:after="0" w:line="240" w:lineRule="auto"/>
      <w:ind w:left="397" w:hanging="397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overskriftsp">
    <w:name w:val="overskriftsp"/>
    <w:basedOn w:val="Normal"/>
    <w:rsid w:val="00B10085"/>
    <w:pPr>
      <w:keepNext/>
      <w:spacing w:before="480" w:after="140" w:line="240" w:lineRule="auto"/>
      <w:jc w:val="center"/>
    </w:pPr>
    <w:rPr>
      <w:rFonts w:ascii="Tahoma" w:eastAsia="Times New Roman" w:hAnsi="Tahoma" w:cs="Tahoma"/>
      <w:color w:val="000000"/>
      <w:spacing w:val="60"/>
      <w:sz w:val="24"/>
      <w:szCs w:val="24"/>
    </w:rPr>
  </w:style>
  <w:style w:type="paragraph" w:customStyle="1" w:styleId="overskriftsnummer1">
    <w:name w:val="overskriftsnummer1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overskriftstekst1">
    <w:name w:val="overskriftstekst1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overskriftsnummer2">
    <w:name w:val="overskriftsnummer2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overskriftstekst2">
    <w:name w:val="overskriftstekst2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overskriftstekst3">
    <w:name w:val="overskriftstekst3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paragraftekst">
    <w:name w:val="paragraftekst"/>
    <w:basedOn w:val="Normal"/>
    <w:rsid w:val="00B10085"/>
    <w:pPr>
      <w:spacing w:before="240" w:after="0" w:line="240" w:lineRule="auto"/>
      <w:ind w:firstLine="17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araoverskrift">
    <w:name w:val="paraoverskrift"/>
    <w:basedOn w:val="Normal"/>
    <w:rsid w:val="00B10085"/>
    <w:pPr>
      <w:keepNext/>
      <w:spacing w:before="120" w:after="12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araoverskriftbm">
    <w:name w:val="paraoverskriftbm"/>
    <w:basedOn w:val="Normal"/>
    <w:rsid w:val="00B10085"/>
    <w:pPr>
      <w:keepNext/>
      <w:spacing w:before="120" w:after="12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ind">
    <w:name w:val="pind"/>
    <w:basedOn w:val="Normal"/>
    <w:rsid w:val="00B10085"/>
    <w:pPr>
      <w:spacing w:after="0" w:line="240" w:lineRule="auto"/>
      <w:ind w:left="640" w:hanging="14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ind2">
    <w:name w:val="pind2"/>
    <w:basedOn w:val="Normal"/>
    <w:rsid w:val="00B10085"/>
    <w:pPr>
      <w:tabs>
        <w:tab w:val="left" w:pos="397"/>
      </w:tabs>
      <w:spacing w:after="0" w:line="240" w:lineRule="auto"/>
      <w:ind w:left="397" w:hanging="284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ind29">
    <w:name w:val="pind29"/>
    <w:basedOn w:val="Normal"/>
    <w:rsid w:val="00B10085"/>
    <w:pPr>
      <w:tabs>
        <w:tab w:val="left" w:pos="397"/>
      </w:tabs>
      <w:spacing w:after="0" w:line="240" w:lineRule="auto"/>
      <w:ind w:left="397" w:hanging="284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ind9">
    <w:name w:val="pind9"/>
    <w:basedOn w:val="Normal"/>
    <w:rsid w:val="00B10085"/>
    <w:pPr>
      <w:tabs>
        <w:tab w:val="left" w:pos="397"/>
      </w:tabs>
      <w:spacing w:after="0" w:line="240" w:lineRule="auto"/>
      <w:ind w:left="397" w:hanging="397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retitel0">
    <w:name w:val="pretitel0"/>
    <w:basedOn w:val="Normal"/>
    <w:rsid w:val="00B10085"/>
    <w:pPr>
      <w:spacing w:after="72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retitel1">
    <w:name w:val="pretitel1"/>
    <w:basedOn w:val="Normal"/>
    <w:rsid w:val="00B10085"/>
    <w:pPr>
      <w:spacing w:before="240" w:after="60" w:line="240" w:lineRule="auto"/>
      <w:jc w:val="center"/>
    </w:pPr>
    <w:rPr>
      <w:rFonts w:ascii="Tahoma" w:eastAsia="Times New Roman" w:hAnsi="Tahoma" w:cs="Tahoma"/>
      <w:b/>
      <w:bCs/>
      <w:color w:val="000000"/>
      <w:sz w:val="40"/>
      <w:szCs w:val="40"/>
    </w:rPr>
  </w:style>
  <w:style w:type="paragraph" w:customStyle="1" w:styleId="pretitel2">
    <w:name w:val="pretitel2"/>
    <w:basedOn w:val="Normal"/>
    <w:rsid w:val="00B10085"/>
    <w:pPr>
      <w:spacing w:before="120" w:after="2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resume">
    <w:name w:val="resume"/>
    <w:basedOn w:val="Normal"/>
    <w:rsid w:val="00B10085"/>
    <w:pPr>
      <w:shd w:val="clear" w:color="auto" w:fill="CCCCCC"/>
      <w:spacing w:before="180" w:after="330" w:line="240" w:lineRule="auto"/>
      <w:ind w:firstLine="56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resumetekst">
    <w:name w:val="resumetekst"/>
    <w:basedOn w:val="Normal"/>
    <w:rsid w:val="00B10085"/>
    <w:pPr>
      <w:spacing w:before="60" w:after="6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ign0">
    <w:name w:val="sign0"/>
    <w:basedOn w:val="Normal"/>
    <w:rsid w:val="00B10085"/>
    <w:pPr>
      <w:spacing w:before="240" w:after="60" w:line="36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krfrem">
    <w:name w:val="skrfrem"/>
    <w:basedOn w:val="Normal"/>
    <w:rsid w:val="00B10085"/>
    <w:pPr>
      <w:pageBreakBefore/>
      <w:spacing w:before="720" w:after="240" w:line="240" w:lineRule="auto"/>
      <w:jc w:val="center"/>
    </w:pPr>
    <w:rPr>
      <w:rFonts w:ascii="Tahoma" w:eastAsia="Times New Roman" w:hAnsi="Tahoma" w:cs="Tahoma"/>
      <w:b/>
      <w:bCs/>
      <w:i/>
      <w:iCs/>
      <w:color w:val="000000"/>
      <w:sz w:val="40"/>
      <w:szCs w:val="40"/>
    </w:rPr>
  </w:style>
  <w:style w:type="paragraph" w:customStyle="1" w:styleId="slutnotetekst">
    <w:name w:val="slutnotetekst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paragraph" w:customStyle="1" w:styleId="smalltabeltekst">
    <w:name w:val="smalltabeltekst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paragraph" w:customStyle="1" w:styleId="stk">
    <w:name w:val="stk"/>
    <w:basedOn w:val="Normal"/>
    <w:rsid w:val="00B10085"/>
    <w:pPr>
      <w:spacing w:after="0" w:line="240" w:lineRule="auto"/>
      <w:ind w:firstLine="17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ab1">
    <w:name w:val="tab1"/>
    <w:basedOn w:val="Normal"/>
    <w:rsid w:val="00B10085"/>
    <w:pPr>
      <w:spacing w:after="0" w:line="240" w:lineRule="auto"/>
      <w:ind w:left="220" w:hanging="22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ab2">
    <w:name w:val="tab2"/>
    <w:basedOn w:val="Normal"/>
    <w:rsid w:val="00B10085"/>
    <w:pPr>
      <w:spacing w:after="0" w:line="240" w:lineRule="auto"/>
      <w:ind w:left="440" w:hanging="22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ab3">
    <w:name w:val="tab3"/>
    <w:basedOn w:val="Normal"/>
    <w:rsid w:val="00B10085"/>
    <w:pPr>
      <w:spacing w:after="0" w:line="240" w:lineRule="auto"/>
      <w:ind w:left="660" w:hanging="22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abelfod">
    <w:name w:val="tabelfod"/>
    <w:basedOn w:val="Normal"/>
    <w:rsid w:val="00B10085"/>
    <w:pPr>
      <w:spacing w:after="0" w:line="240" w:lineRule="auto"/>
      <w:ind w:left="284" w:hanging="284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abelhoved">
    <w:name w:val="tabelhoved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abeloverskrift">
    <w:name w:val="tabeloverskrift"/>
    <w:basedOn w:val="Normal"/>
    <w:rsid w:val="00B10085"/>
    <w:pPr>
      <w:spacing w:after="0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tabeltekst">
    <w:name w:val="tabeltekst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abeltekst9">
    <w:name w:val="tabeltekst9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abelteksthjre">
    <w:name w:val="tabelteksthjre"/>
    <w:basedOn w:val="Normal"/>
    <w:rsid w:val="00B10085"/>
    <w:pPr>
      <w:spacing w:after="0" w:line="240" w:lineRule="auto"/>
      <w:jc w:val="right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abelteksthjre0">
    <w:name w:val="tabelteksthøjre"/>
    <w:basedOn w:val="Normal"/>
    <w:rsid w:val="00B10085"/>
    <w:pPr>
      <w:spacing w:after="0" w:line="240" w:lineRule="auto"/>
      <w:jc w:val="right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ekst">
    <w:name w:val="tekst"/>
    <w:basedOn w:val="Normal"/>
    <w:rsid w:val="00B10085"/>
    <w:pPr>
      <w:spacing w:before="60" w:after="6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ekst0">
    <w:name w:val="tekst0"/>
    <w:basedOn w:val="Normal"/>
    <w:rsid w:val="00B10085"/>
    <w:pPr>
      <w:spacing w:after="6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ekst1">
    <w:name w:val="tekst1"/>
    <w:basedOn w:val="Normal"/>
    <w:rsid w:val="00B10085"/>
    <w:pPr>
      <w:spacing w:after="6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ekst1sp">
    <w:name w:val="tekst1sp"/>
    <w:basedOn w:val="Normal"/>
    <w:rsid w:val="00B10085"/>
    <w:pPr>
      <w:spacing w:before="60" w:after="6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ekst9">
    <w:name w:val="tekst9"/>
    <w:basedOn w:val="Normal"/>
    <w:rsid w:val="00B10085"/>
    <w:pPr>
      <w:spacing w:before="60" w:after="6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ekstoverskrift">
    <w:name w:val="tekstoverskrift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tekstoverskriftb">
    <w:name w:val="tekstoverskriftb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tekstoverskriftbm">
    <w:name w:val="tekstoverskriftbm"/>
    <w:basedOn w:val="Normal"/>
    <w:rsid w:val="00B10085"/>
    <w:pPr>
      <w:keepNext/>
      <w:spacing w:before="24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tekstoverskriftvenstre">
    <w:name w:val="tekstoverskriftvenstre"/>
    <w:basedOn w:val="Normal"/>
    <w:rsid w:val="00B10085"/>
    <w:pPr>
      <w:keepNext/>
      <w:spacing w:before="240" w:after="0" w:line="240" w:lineRule="auto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tekstoverskriftvenstrebm">
    <w:name w:val="tekstoverskriftvenstrebm"/>
    <w:basedOn w:val="Normal"/>
    <w:rsid w:val="00B10085"/>
    <w:pPr>
      <w:keepNext/>
      <w:spacing w:before="240" w:after="0" w:line="240" w:lineRule="auto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tekstoverskriftvenstren">
    <w:name w:val="tekstoverskriftvenstren"/>
    <w:basedOn w:val="Normal"/>
    <w:rsid w:val="00B10085"/>
    <w:pPr>
      <w:keepNext/>
      <w:spacing w:before="240" w:after="0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tekstoverskriftfob">
    <w:name w:val="tekstoverskriftfob"/>
    <w:basedOn w:val="Normal"/>
    <w:rsid w:val="00B10085"/>
    <w:pPr>
      <w:keepNext/>
      <w:spacing w:before="240" w:after="0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tekstresume">
    <w:name w:val="tekstresume"/>
    <w:basedOn w:val="Normal"/>
    <w:rsid w:val="00B10085"/>
    <w:pPr>
      <w:keepNext/>
      <w:spacing w:before="240" w:after="0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tekstv">
    <w:name w:val="tekstv"/>
    <w:basedOn w:val="Normal"/>
    <w:rsid w:val="00B10085"/>
    <w:pPr>
      <w:spacing w:before="60" w:after="60" w:line="240" w:lineRule="auto"/>
      <w:jc w:val="both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itel">
    <w:name w:val="titel"/>
    <w:basedOn w:val="Normal"/>
    <w:rsid w:val="00B10085"/>
    <w:pPr>
      <w:spacing w:before="240" w:after="60" w:line="240" w:lineRule="auto"/>
      <w:jc w:val="center"/>
    </w:pPr>
    <w:rPr>
      <w:rFonts w:ascii="Tahoma" w:eastAsia="Times New Roman" w:hAnsi="Tahoma" w:cs="Tahoma"/>
      <w:color w:val="000000"/>
      <w:sz w:val="48"/>
      <w:szCs w:val="48"/>
    </w:rPr>
  </w:style>
  <w:style w:type="paragraph" w:customStyle="1" w:styleId="Title1">
    <w:name w:val="Title1"/>
    <w:basedOn w:val="Normal"/>
    <w:rsid w:val="00B10085"/>
    <w:pPr>
      <w:spacing w:before="240" w:after="60" w:line="240" w:lineRule="auto"/>
      <w:jc w:val="center"/>
    </w:pPr>
    <w:rPr>
      <w:rFonts w:ascii="Tahoma" w:eastAsia="Times New Roman" w:hAnsi="Tahoma" w:cs="Tahoma"/>
      <w:b/>
      <w:bCs/>
      <w:color w:val="000000"/>
      <w:sz w:val="48"/>
      <w:szCs w:val="48"/>
    </w:rPr>
  </w:style>
  <w:style w:type="paragraph" w:customStyle="1" w:styleId="undertitel">
    <w:name w:val="undertitel"/>
    <w:basedOn w:val="Normal"/>
    <w:rsid w:val="00B10085"/>
    <w:pPr>
      <w:spacing w:after="6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styleId="Subtitle">
    <w:name w:val="Subtitle"/>
    <w:basedOn w:val="Normal"/>
    <w:link w:val="SubtitleChar"/>
    <w:uiPriority w:val="11"/>
    <w:qFormat/>
    <w:rsid w:val="00B10085"/>
    <w:pPr>
      <w:spacing w:after="6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085"/>
    <w:rPr>
      <w:rFonts w:ascii="Tahoma" w:eastAsia="Times New Roman" w:hAnsi="Tahoma" w:cs="Tahoma"/>
      <w:color w:val="000000"/>
      <w:sz w:val="24"/>
      <w:szCs w:val="24"/>
      <w:lang w:eastAsia="en-GB"/>
    </w:rPr>
  </w:style>
  <w:style w:type="paragraph" w:customStyle="1" w:styleId="afsnit">
    <w:name w:val="afsnit"/>
    <w:basedOn w:val="Normal"/>
    <w:rsid w:val="00B10085"/>
    <w:pPr>
      <w:spacing w:before="400" w:after="12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afsnitoverskrift">
    <w:name w:val="afsnitoverskrift"/>
    <w:basedOn w:val="Normal"/>
    <w:rsid w:val="00B10085"/>
    <w:pPr>
      <w:spacing w:before="120" w:after="2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aendringmednummer">
    <w:name w:val="aendringmednummer"/>
    <w:basedOn w:val="Normal"/>
    <w:rsid w:val="00B10085"/>
    <w:pPr>
      <w:spacing w:before="200"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endringudennummer">
    <w:name w:val="aendringudennummer"/>
    <w:basedOn w:val="Normal"/>
    <w:rsid w:val="00B10085"/>
    <w:pPr>
      <w:spacing w:before="200" w:after="0" w:line="240" w:lineRule="auto"/>
      <w:ind w:firstLine="24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endringnr">
    <w:name w:val="aendringn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aendringnytekst">
    <w:name w:val="aendringnytekst"/>
    <w:basedOn w:val="Normal"/>
    <w:rsid w:val="00B10085"/>
    <w:pPr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endringsbeskrivelse">
    <w:name w:val="aendringsbeskrivelse"/>
    <w:basedOn w:val="Normal"/>
    <w:rsid w:val="00B10085"/>
    <w:pPr>
      <w:spacing w:after="6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endringsforslagindhold">
    <w:name w:val="aendringsforslagindhold"/>
    <w:basedOn w:val="Normal"/>
    <w:rsid w:val="00B10085"/>
    <w:pPr>
      <w:spacing w:before="220" w:after="80" w:line="240" w:lineRule="auto"/>
      <w:jc w:val="center"/>
    </w:pPr>
    <w:rPr>
      <w:rFonts w:ascii="Tahoma" w:eastAsia="Times New Roman" w:hAnsi="Tahoma" w:cs="Tahoma"/>
      <w:color w:val="000000"/>
      <w:spacing w:val="44"/>
      <w:sz w:val="24"/>
      <w:szCs w:val="24"/>
    </w:rPr>
  </w:style>
  <w:style w:type="paragraph" w:customStyle="1" w:styleId="aendringbilag">
    <w:name w:val="aendringbilag"/>
    <w:basedOn w:val="Normal"/>
    <w:rsid w:val="00B10085"/>
    <w:pPr>
      <w:spacing w:after="120" w:line="240" w:lineRule="auto"/>
      <w:jc w:val="right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ilag">
    <w:name w:val="bilag"/>
    <w:basedOn w:val="Normal"/>
    <w:rsid w:val="00B10085"/>
    <w:pPr>
      <w:spacing w:before="400" w:after="120" w:line="240" w:lineRule="auto"/>
      <w:jc w:val="right"/>
    </w:pPr>
    <w:rPr>
      <w:rFonts w:ascii="Tahoma" w:eastAsia="Times New Roman" w:hAnsi="Tahoma" w:cs="Tahoma"/>
      <w:b/>
      <w:bCs/>
      <w:color w:val="000000"/>
      <w:sz w:val="35"/>
      <w:szCs w:val="35"/>
    </w:rPr>
  </w:style>
  <w:style w:type="paragraph" w:customStyle="1" w:styleId="bilagtekst">
    <w:name w:val="bilagtekst"/>
    <w:basedOn w:val="Normal"/>
    <w:rsid w:val="00B10085"/>
    <w:pPr>
      <w:spacing w:after="120" w:line="240" w:lineRule="auto"/>
      <w:jc w:val="center"/>
    </w:pPr>
    <w:rPr>
      <w:rFonts w:ascii="Tahoma" w:eastAsia="Times New Roman" w:hAnsi="Tahoma" w:cs="Tahoma"/>
      <w:b/>
      <w:bCs/>
      <w:color w:val="000000"/>
      <w:sz w:val="30"/>
      <w:szCs w:val="30"/>
    </w:rPr>
  </w:style>
  <w:style w:type="paragraph" w:customStyle="1" w:styleId="bog">
    <w:name w:val="bog"/>
    <w:basedOn w:val="Normal"/>
    <w:rsid w:val="00B10085"/>
    <w:pPr>
      <w:spacing w:before="400" w:after="12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bogoverskrift">
    <w:name w:val="bogoverskrift"/>
    <w:basedOn w:val="Normal"/>
    <w:rsid w:val="00B10085"/>
    <w:pPr>
      <w:spacing w:before="120" w:after="2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centreretparagraf">
    <w:name w:val="centreretparagraf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ikraftcentreretparagrafnummer">
    <w:name w:val="ikraftcentreretparagrafnummer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centreretparagraftekst">
    <w:name w:val="centreretparagraftekst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dokumenthoved">
    <w:name w:val="dokumenthoved"/>
    <w:basedOn w:val="Normal"/>
    <w:rsid w:val="00B10085"/>
    <w:pPr>
      <w:spacing w:before="100" w:beforeAutospacing="1"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indholdsfortegnelse">
    <w:name w:val="indholdsfortegnelse"/>
    <w:basedOn w:val="Normal"/>
    <w:rsid w:val="00B10085"/>
    <w:pPr>
      <w:spacing w:before="80" w:after="80" w:line="240" w:lineRule="auto"/>
      <w:ind w:left="70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indholdsfortegnelseid">
    <w:name w:val="indholdsfortegnelseid"/>
    <w:basedOn w:val="Normal"/>
    <w:rsid w:val="00B10085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indholdsfortegnelsetekst">
    <w:name w:val="indholdsfortegnelsetekst"/>
    <w:basedOn w:val="Normal"/>
    <w:rsid w:val="00B10085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ymne2">
    <w:name w:val="hymne2"/>
    <w:basedOn w:val="Normal"/>
    <w:rsid w:val="00B10085"/>
    <w:pPr>
      <w:spacing w:before="120" w:after="120" w:line="240" w:lineRule="auto"/>
      <w:ind w:left="28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kapitel">
    <w:name w:val="kapitel"/>
    <w:basedOn w:val="Normal"/>
    <w:rsid w:val="00B10085"/>
    <w:pPr>
      <w:spacing w:before="400" w:after="10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kapiteloverskrift2">
    <w:name w:val="kapiteloverskrift2"/>
    <w:basedOn w:val="Normal"/>
    <w:rsid w:val="00B10085"/>
    <w:pPr>
      <w:spacing w:after="10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paragrafgruppeoverskrift">
    <w:name w:val="paragrafgruppeoverskrift"/>
    <w:basedOn w:val="Normal"/>
    <w:rsid w:val="00B10085"/>
    <w:pPr>
      <w:spacing w:before="300" w:after="10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paragraf">
    <w:name w:val="paragraf"/>
    <w:basedOn w:val="Normal"/>
    <w:rsid w:val="00B10085"/>
    <w:pPr>
      <w:spacing w:before="200" w:after="0" w:line="240" w:lineRule="auto"/>
      <w:ind w:firstLine="24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aragrafoverskrift">
    <w:name w:val="paragrafoverskrift"/>
    <w:basedOn w:val="Normal"/>
    <w:rsid w:val="00B10085"/>
    <w:pPr>
      <w:spacing w:before="120" w:after="20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paragrafnr">
    <w:name w:val="paragrafn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stk2">
    <w:name w:val="stk2"/>
    <w:basedOn w:val="Normal"/>
    <w:rsid w:val="00B10085"/>
    <w:pPr>
      <w:spacing w:after="0" w:line="240" w:lineRule="auto"/>
      <w:ind w:firstLine="24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tknr">
    <w:name w:val="stkn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traktatstk">
    <w:name w:val="traktatstk"/>
    <w:basedOn w:val="Normal"/>
    <w:rsid w:val="00B10085"/>
    <w:pPr>
      <w:spacing w:before="200" w:after="200" w:line="240" w:lineRule="auto"/>
      <w:ind w:firstLine="24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e1">
    <w:name w:val="liste1"/>
    <w:basedOn w:val="Normal"/>
    <w:rsid w:val="00B10085"/>
    <w:pPr>
      <w:spacing w:after="0" w:line="240" w:lineRule="auto"/>
      <w:ind w:left="28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e1nr">
    <w:name w:val="liste1nr"/>
    <w:basedOn w:val="Normal"/>
    <w:rsid w:val="00B10085"/>
    <w:pPr>
      <w:spacing w:before="100" w:beforeAutospacing="1" w:after="100" w:afterAutospacing="1" w:line="240" w:lineRule="auto"/>
      <w:ind w:left="-28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e2">
    <w:name w:val="liste2"/>
    <w:basedOn w:val="Normal"/>
    <w:rsid w:val="00B10085"/>
    <w:pPr>
      <w:spacing w:after="0" w:line="240" w:lineRule="auto"/>
      <w:ind w:left="56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e2nr">
    <w:name w:val="liste2nr"/>
    <w:basedOn w:val="Normal"/>
    <w:rsid w:val="00B10085"/>
    <w:pPr>
      <w:spacing w:before="100" w:beforeAutospacing="1" w:after="100" w:afterAutospacing="1" w:line="240" w:lineRule="auto"/>
      <w:ind w:left="-28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e3">
    <w:name w:val="liste3"/>
    <w:basedOn w:val="Normal"/>
    <w:rsid w:val="00B10085"/>
    <w:pPr>
      <w:spacing w:after="0" w:line="240" w:lineRule="auto"/>
      <w:ind w:left="84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e3nr">
    <w:name w:val="liste3nr"/>
    <w:basedOn w:val="Normal"/>
    <w:rsid w:val="00B10085"/>
    <w:pPr>
      <w:spacing w:before="100" w:beforeAutospacing="1" w:after="100" w:afterAutospacing="1" w:line="240" w:lineRule="auto"/>
      <w:ind w:left="-28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e4">
    <w:name w:val="liste4"/>
    <w:basedOn w:val="Normal"/>
    <w:rsid w:val="00B10085"/>
    <w:pPr>
      <w:spacing w:after="0" w:line="240" w:lineRule="auto"/>
      <w:ind w:left="112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e4nr">
    <w:name w:val="liste4nr"/>
    <w:basedOn w:val="Normal"/>
    <w:rsid w:val="00B10085"/>
    <w:pPr>
      <w:spacing w:before="100" w:beforeAutospacing="1" w:after="100" w:afterAutospacing="1" w:line="240" w:lineRule="auto"/>
      <w:ind w:left="-28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ekst2">
    <w:name w:val="tekst2"/>
    <w:basedOn w:val="Normal"/>
    <w:rsid w:val="00B10085"/>
    <w:pPr>
      <w:spacing w:after="0" w:line="240" w:lineRule="auto"/>
      <w:ind w:firstLine="240"/>
      <w:jc w:val="both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ekstgenerel">
    <w:name w:val="tekstgenerel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medunderskriver">
    <w:name w:val="medunderskriver"/>
    <w:basedOn w:val="Normal"/>
    <w:rsid w:val="00B10085"/>
    <w:pPr>
      <w:spacing w:before="200" w:after="0" w:line="240" w:lineRule="auto"/>
      <w:jc w:val="right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jelke2">
    <w:name w:val="bjelke2"/>
    <w:basedOn w:val="Normal"/>
    <w:rsid w:val="00B10085"/>
    <w:pPr>
      <w:shd w:val="clear" w:color="auto" w:fill="B0B0B0"/>
      <w:spacing w:before="300" w:after="150" w:line="240" w:lineRule="auto"/>
      <w:jc w:val="center"/>
    </w:pPr>
    <w:rPr>
      <w:rFonts w:ascii="Tahoma" w:eastAsia="Times New Roman" w:hAnsi="Tahoma" w:cs="Tahoma"/>
      <w:color w:val="000090"/>
      <w:sz w:val="24"/>
      <w:szCs w:val="24"/>
    </w:rPr>
  </w:style>
  <w:style w:type="paragraph" w:customStyle="1" w:styleId="bold">
    <w:name w:val="bold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notbold">
    <w:name w:val="notbold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italic">
    <w:name w:val="italic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notitalic">
    <w:name w:val="notitalic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underline">
    <w:name w:val="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u w:val="single"/>
    </w:rPr>
  </w:style>
  <w:style w:type="paragraph" w:customStyle="1" w:styleId="notunderline">
    <w:name w:val="not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olditalic">
    <w:name w:val="bolditalic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color w:val="000000"/>
      <w:sz w:val="24"/>
      <w:szCs w:val="24"/>
    </w:rPr>
  </w:style>
  <w:style w:type="paragraph" w:customStyle="1" w:styleId="boldunderline">
    <w:name w:val="bold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  <w:u w:val="single"/>
    </w:rPr>
  </w:style>
  <w:style w:type="paragraph" w:customStyle="1" w:styleId="italicunderline">
    <w:name w:val="italic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24"/>
      <w:szCs w:val="24"/>
      <w:u w:val="single"/>
    </w:rPr>
  </w:style>
  <w:style w:type="paragraph" w:customStyle="1" w:styleId="bolditalicunderline">
    <w:name w:val="bolditalic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color w:val="000000"/>
      <w:sz w:val="24"/>
      <w:szCs w:val="24"/>
      <w:u w:val="single"/>
    </w:rPr>
  </w:style>
  <w:style w:type="paragraph" w:customStyle="1" w:styleId="superscriptbold">
    <w:name w:val="superscriptbold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7"/>
      <w:szCs w:val="17"/>
      <w:vertAlign w:val="superscript"/>
    </w:rPr>
  </w:style>
  <w:style w:type="paragraph" w:customStyle="1" w:styleId="superscriptitalic">
    <w:name w:val="superscriptitalic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17"/>
      <w:szCs w:val="17"/>
      <w:vertAlign w:val="superscript"/>
    </w:rPr>
  </w:style>
  <w:style w:type="paragraph" w:customStyle="1" w:styleId="superscriptunderline">
    <w:name w:val="superscript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u w:val="single"/>
      <w:vertAlign w:val="superscript"/>
    </w:rPr>
  </w:style>
  <w:style w:type="paragraph" w:customStyle="1" w:styleId="superscriptbolditalic">
    <w:name w:val="superscriptbolditalic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color w:val="000000"/>
      <w:sz w:val="17"/>
      <w:szCs w:val="17"/>
      <w:vertAlign w:val="superscript"/>
    </w:rPr>
  </w:style>
  <w:style w:type="paragraph" w:customStyle="1" w:styleId="superscriptboldunderline">
    <w:name w:val="superscriptbold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7"/>
      <w:szCs w:val="17"/>
      <w:u w:val="single"/>
      <w:vertAlign w:val="superscript"/>
    </w:rPr>
  </w:style>
  <w:style w:type="paragraph" w:customStyle="1" w:styleId="superscriptitalicunderline">
    <w:name w:val="superscriptitalic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17"/>
      <w:szCs w:val="17"/>
      <w:u w:val="single"/>
      <w:vertAlign w:val="superscript"/>
    </w:rPr>
  </w:style>
  <w:style w:type="paragraph" w:customStyle="1" w:styleId="superscriptbolditalicunderline">
    <w:name w:val="superscriptbolditalic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color w:val="000000"/>
      <w:sz w:val="17"/>
      <w:szCs w:val="17"/>
      <w:u w:val="single"/>
      <w:vertAlign w:val="superscript"/>
    </w:rPr>
  </w:style>
  <w:style w:type="paragraph" w:customStyle="1" w:styleId="subscriptbold">
    <w:name w:val="subscriptbold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7"/>
      <w:szCs w:val="17"/>
      <w:vertAlign w:val="subscript"/>
    </w:rPr>
  </w:style>
  <w:style w:type="paragraph" w:customStyle="1" w:styleId="subscriptitalic">
    <w:name w:val="subscriptitalic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17"/>
      <w:szCs w:val="17"/>
      <w:vertAlign w:val="subscript"/>
    </w:rPr>
  </w:style>
  <w:style w:type="paragraph" w:customStyle="1" w:styleId="subscriptunderline">
    <w:name w:val="subscript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u w:val="single"/>
      <w:vertAlign w:val="subscript"/>
    </w:rPr>
  </w:style>
  <w:style w:type="paragraph" w:customStyle="1" w:styleId="subscriptbolditalic">
    <w:name w:val="subscriptbolditalic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color w:val="000000"/>
      <w:sz w:val="17"/>
      <w:szCs w:val="17"/>
      <w:vertAlign w:val="subscript"/>
    </w:rPr>
  </w:style>
  <w:style w:type="paragraph" w:customStyle="1" w:styleId="subscriptboldunderline">
    <w:name w:val="subscriptbold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7"/>
      <w:szCs w:val="17"/>
      <w:u w:val="single"/>
      <w:vertAlign w:val="subscript"/>
    </w:rPr>
  </w:style>
  <w:style w:type="paragraph" w:customStyle="1" w:styleId="subscriptitalicunderline">
    <w:name w:val="subscriptitalic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17"/>
      <w:szCs w:val="17"/>
      <w:u w:val="single"/>
      <w:vertAlign w:val="subscript"/>
    </w:rPr>
  </w:style>
  <w:style w:type="paragraph" w:customStyle="1" w:styleId="subscriptbolditalicunderline">
    <w:name w:val="subscriptbolditalicunderlin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color w:val="000000"/>
      <w:sz w:val="17"/>
      <w:szCs w:val="17"/>
      <w:u w:val="single"/>
      <w:vertAlign w:val="subscript"/>
    </w:rPr>
  </w:style>
  <w:style w:type="paragraph" w:customStyle="1" w:styleId="superscript">
    <w:name w:val="superscrip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vertAlign w:val="superscript"/>
    </w:rPr>
  </w:style>
  <w:style w:type="paragraph" w:customStyle="1" w:styleId="subscript">
    <w:name w:val="subscrip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vertAlign w:val="subscript"/>
    </w:rPr>
  </w:style>
  <w:style w:type="paragraph" w:customStyle="1" w:styleId="tabeltekst2">
    <w:name w:val="tabeltekst2"/>
    <w:basedOn w:val="Normal"/>
    <w:rsid w:val="00B10085"/>
    <w:pPr>
      <w:spacing w:before="240"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aralleltekstheader">
    <w:name w:val="paralleltekstheader"/>
    <w:basedOn w:val="Normal"/>
    <w:rsid w:val="00B10085"/>
    <w:pPr>
      <w:spacing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paralleltekst">
    <w:name w:val="paralleltekst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ilagstreg">
    <w:name w:val="bilagstreg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progstreg">
    <w:name w:val="sprogstreg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ogoverskriftstreg">
    <w:name w:val="bogoverskriftstreg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ikraftstreg">
    <w:name w:val="ikraftstreg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ikrafttekst">
    <w:name w:val="ikrafttekst"/>
    <w:basedOn w:val="Normal"/>
    <w:rsid w:val="00B10085"/>
    <w:pPr>
      <w:spacing w:before="100" w:beforeAutospacing="1" w:after="100" w:afterAutospacing="1" w:line="240" w:lineRule="auto"/>
      <w:ind w:firstLine="24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fodnote">
    <w:name w:val="fodnote"/>
    <w:basedOn w:val="Normal"/>
    <w:rsid w:val="00B10085"/>
    <w:pPr>
      <w:spacing w:before="40" w:after="40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paragraph" w:customStyle="1" w:styleId="redaktionelnote">
    <w:name w:val="redaktionelnote"/>
    <w:basedOn w:val="Normal"/>
    <w:rsid w:val="00B10085"/>
    <w:pPr>
      <w:spacing w:before="40" w:after="40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paragraph" w:customStyle="1" w:styleId="containertable">
    <w:name w:val="containertable"/>
    <w:basedOn w:val="Normal"/>
    <w:rsid w:val="00B10085"/>
    <w:pPr>
      <w:spacing w:before="200" w:after="20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maintable">
    <w:name w:val="maintable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rykningsklausul">
    <w:name w:val="rykningsklausul"/>
    <w:basedOn w:val="Normal"/>
    <w:rsid w:val="00B10085"/>
    <w:pPr>
      <w:spacing w:after="0" w:line="240" w:lineRule="auto"/>
      <w:ind w:firstLine="17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ubtable">
    <w:name w:val="subtable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raktattitel">
    <w:name w:val="traktattitel"/>
    <w:basedOn w:val="Normal"/>
    <w:rsid w:val="00B10085"/>
    <w:pPr>
      <w:spacing w:before="480" w:after="2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traktattekst">
    <w:name w:val="traktattekst"/>
    <w:basedOn w:val="Normal"/>
    <w:rsid w:val="00B10085"/>
    <w:pPr>
      <w:spacing w:before="240"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raktatliste1">
    <w:name w:val="traktatliste1"/>
    <w:basedOn w:val="Normal"/>
    <w:rsid w:val="00B10085"/>
    <w:pPr>
      <w:spacing w:before="240" w:after="0" w:line="240" w:lineRule="auto"/>
      <w:ind w:left="28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raktatsprog">
    <w:name w:val="traktatsprog"/>
    <w:basedOn w:val="Normal"/>
    <w:rsid w:val="00B10085"/>
    <w:pPr>
      <w:spacing w:before="200" w:after="0" w:line="240" w:lineRule="auto"/>
      <w:jc w:val="right"/>
    </w:pPr>
    <w:rPr>
      <w:rFonts w:ascii="Tahoma" w:eastAsia="Times New Roman" w:hAnsi="Tahoma" w:cs="Tahoma"/>
      <w:b/>
      <w:bCs/>
      <w:color w:val="000000"/>
      <w:sz w:val="35"/>
      <w:szCs w:val="35"/>
    </w:rPr>
  </w:style>
  <w:style w:type="paragraph" w:customStyle="1" w:styleId="oversaettelseangivelse">
    <w:name w:val="oversaettelseangivelse"/>
    <w:basedOn w:val="Normal"/>
    <w:rsid w:val="00B10085"/>
    <w:pPr>
      <w:spacing w:before="720"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emaerkninger">
    <w:name w:val="bemaerkninger"/>
    <w:basedOn w:val="Normal"/>
    <w:rsid w:val="00B10085"/>
    <w:pPr>
      <w:spacing w:before="480" w:after="200" w:line="240" w:lineRule="auto"/>
      <w:jc w:val="center"/>
    </w:pPr>
    <w:rPr>
      <w:rFonts w:ascii="Tahoma" w:eastAsia="Times New Roman" w:hAnsi="Tahoma" w:cs="Tahoma"/>
      <w:i/>
      <w:iCs/>
      <w:color w:val="000000"/>
      <w:sz w:val="40"/>
      <w:szCs w:val="40"/>
    </w:rPr>
  </w:style>
  <w:style w:type="paragraph" w:customStyle="1" w:styleId="almindeligebemaerkninger">
    <w:name w:val="almindeligebemaerkninger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bemaerkningtekst">
    <w:name w:val="bemaerkningtekst"/>
    <w:basedOn w:val="Normal"/>
    <w:rsid w:val="00B10085"/>
    <w:pPr>
      <w:spacing w:before="240" w:after="0" w:line="240" w:lineRule="auto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bemaerkningertilforslagetsenkeltebestemmelser">
    <w:name w:val="bemaerkningertilforslagetsenkeltebestemmelser"/>
    <w:basedOn w:val="Normal"/>
    <w:rsid w:val="00B10085"/>
    <w:pPr>
      <w:spacing w:before="480" w:after="2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bemaerkningertilparagraf">
    <w:name w:val="bemaerkningertilparagraf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bemaerkningertilkapitel">
    <w:name w:val="bemaerkningertilkapitel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bemaerkningertilaendringsnummer">
    <w:name w:val="bemaerkningertilaendringsnummer"/>
    <w:basedOn w:val="Normal"/>
    <w:rsid w:val="00B10085"/>
    <w:pPr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emaerkningertilstk">
    <w:name w:val="bemaerkningertilstk"/>
    <w:basedOn w:val="Normal"/>
    <w:rsid w:val="00B10085"/>
    <w:pPr>
      <w:spacing w:before="200" w:after="0" w:line="240" w:lineRule="auto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skriftligfremsaettelse">
    <w:name w:val="skriftligfremsaettelse"/>
    <w:basedOn w:val="Normal"/>
    <w:rsid w:val="00B10085"/>
    <w:pPr>
      <w:spacing w:before="240" w:after="200" w:line="240" w:lineRule="auto"/>
      <w:jc w:val="center"/>
    </w:pPr>
    <w:rPr>
      <w:rFonts w:ascii="Tahoma" w:eastAsia="Times New Roman" w:hAnsi="Tahoma" w:cs="Tahoma"/>
      <w:i/>
      <w:iCs/>
      <w:color w:val="000000"/>
      <w:sz w:val="40"/>
      <w:szCs w:val="40"/>
    </w:rPr>
  </w:style>
  <w:style w:type="paragraph" w:customStyle="1" w:styleId="fremsaetter">
    <w:name w:val="fremsaetter"/>
    <w:basedOn w:val="Normal"/>
    <w:rsid w:val="00B10085"/>
    <w:pPr>
      <w:spacing w:after="10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forslagstitel">
    <w:name w:val="forslagstitel"/>
    <w:basedOn w:val="Normal"/>
    <w:rsid w:val="00B10085"/>
    <w:pPr>
      <w:spacing w:before="120" w:after="40" w:line="240" w:lineRule="auto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forslagsnummer">
    <w:name w:val="forslagsnummer"/>
    <w:basedOn w:val="Normal"/>
    <w:rsid w:val="00B10085"/>
    <w:pPr>
      <w:spacing w:before="40" w:after="12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etaenkningstekst1">
    <w:name w:val="betaenkningstekst1"/>
    <w:basedOn w:val="Normal"/>
    <w:rsid w:val="00B10085"/>
    <w:pPr>
      <w:spacing w:before="200" w:after="0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betaenkningstekst2">
    <w:name w:val="betaenkningstekst2"/>
    <w:basedOn w:val="Normal"/>
    <w:rsid w:val="00B10085"/>
    <w:pPr>
      <w:spacing w:before="200" w:after="0" w:line="240" w:lineRule="auto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beretningsunderskriverpuv">
    <w:name w:val="beretningsunderskriverpuv"/>
    <w:basedOn w:val="Normal"/>
    <w:rsid w:val="00B10085"/>
    <w:pPr>
      <w:spacing w:before="700" w:after="340" w:line="240" w:lineRule="auto"/>
      <w:jc w:val="center"/>
    </w:pPr>
    <w:rPr>
      <w:rFonts w:ascii="Tahoma" w:eastAsia="Times New Roman" w:hAnsi="Tahoma" w:cs="Tahoma"/>
      <w:caps/>
      <w:color w:val="000000"/>
      <w:sz w:val="24"/>
      <w:szCs w:val="24"/>
    </w:rPr>
  </w:style>
  <w:style w:type="paragraph" w:customStyle="1" w:styleId="beretningsunderskrivertekst">
    <w:name w:val="beretningsunderskrivertekst"/>
    <w:basedOn w:val="Normal"/>
    <w:rsid w:val="00B10085"/>
    <w:pPr>
      <w:spacing w:after="0" w:line="240" w:lineRule="auto"/>
      <w:jc w:val="center"/>
    </w:pPr>
    <w:rPr>
      <w:rFonts w:ascii="Tahoma" w:eastAsia="Times New Roman" w:hAnsi="Tahoma" w:cs="Tahoma"/>
      <w:caps/>
      <w:color w:val="000000"/>
      <w:sz w:val="24"/>
      <w:szCs w:val="24"/>
    </w:rPr>
  </w:style>
  <w:style w:type="paragraph" w:customStyle="1" w:styleId="tilparagrafgruppe">
    <w:name w:val="tilparagrafgruppe"/>
    <w:basedOn w:val="Normal"/>
    <w:rsid w:val="00B10085"/>
    <w:pPr>
      <w:spacing w:before="180" w:after="6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tilparagrafgruppeoverskrift">
    <w:name w:val="tilparagrafgruppeoverskrift"/>
    <w:basedOn w:val="Normal"/>
    <w:rsid w:val="00B10085"/>
    <w:pPr>
      <w:spacing w:after="6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ilparagraf">
    <w:name w:val="tilparagraf"/>
    <w:basedOn w:val="Normal"/>
    <w:rsid w:val="00B10085"/>
    <w:pPr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tiller">
    <w:name w:val="stiller"/>
    <w:basedOn w:val="Normal"/>
    <w:rsid w:val="00B10085"/>
    <w:pPr>
      <w:spacing w:before="120"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etaenkningsbemaerkninger">
    <w:name w:val="betaenkningsbemaerkninger"/>
    <w:basedOn w:val="Normal"/>
    <w:rsid w:val="00B10085"/>
    <w:pPr>
      <w:spacing w:before="220" w:after="80" w:line="240" w:lineRule="auto"/>
      <w:jc w:val="center"/>
    </w:pPr>
    <w:rPr>
      <w:rFonts w:ascii="Tahoma" w:eastAsia="Times New Roman" w:hAnsi="Tahoma" w:cs="Tahoma"/>
      <w:color w:val="000000"/>
      <w:spacing w:val="44"/>
      <w:sz w:val="24"/>
      <w:szCs w:val="24"/>
    </w:rPr>
  </w:style>
  <w:style w:type="paragraph" w:customStyle="1" w:styleId="betaenkningtilaendringsnummer">
    <w:name w:val="betaenkningtilaendringsnummer"/>
    <w:basedOn w:val="Normal"/>
    <w:rsid w:val="00B10085"/>
    <w:pPr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udvalgssammensaetning">
    <w:name w:val="udvalgssammensaetning"/>
    <w:basedOn w:val="Normal"/>
    <w:rsid w:val="00B10085"/>
    <w:pPr>
      <w:spacing w:before="440" w:line="400" w:lineRule="atLeast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medlemstitel">
    <w:name w:val="medlemstitel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ikkemedlemmer2">
    <w:name w:val="ikkemedlemmer2"/>
    <w:basedOn w:val="Normal"/>
    <w:rsid w:val="00B10085"/>
    <w:pPr>
      <w:spacing w:before="160" w:after="400" w:line="240" w:lineRule="auto"/>
      <w:ind w:firstLine="17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artinavn">
    <w:name w:val="partinavn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artimandater">
    <w:name w:val="partimandate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artinote">
    <w:name w:val="partinot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folketingetssammensaetning">
    <w:name w:val="folketingetssammensaetning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titelprefiks1">
    <w:name w:val="titelprefiks1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b/>
      <w:bCs/>
      <w:color w:val="000000"/>
      <w:sz w:val="40"/>
      <w:szCs w:val="40"/>
    </w:rPr>
  </w:style>
  <w:style w:type="paragraph" w:customStyle="1" w:styleId="titelprefiks2">
    <w:name w:val="titelprefiks2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30"/>
      <w:szCs w:val="30"/>
    </w:rPr>
  </w:style>
  <w:style w:type="paragraph" w:customStyle="1" w:styleId="titel2">
    <w:name w:val="titel2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40"/>
      <w:szCs w:val="40"/>
    </w:rPr>
  </w:style>
  <w:style w:type="paragraph" w:customStyle="1" w:styleId="titelprefiks1b3">
    <w:name w:val="titelprefiks1_b3"/>
    <w:basedOn w:val="Normal"/>
    <w:rsid w:val="00B10085"/>
    <w:pPr>
      <w:spacing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titelprefiks2b3">
    <w:name w:val="titelprefiks2_b3"/>
    <w:basedOn w:val="Normal"/>
    <w:rsid w:val="00B10085"/>
    <w:pPr>
      <w:spacing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itel2b3">
    <w:name w:val="titel2_b3"/>
    <w:basedOn w:val="Normal"/>
    <w:rsid w:val="00B10085"/>
    <w:pPr>
      <w:spacing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itel2aendring">
    <w:name w:val="titel2aendring"/>
    <w:basedOn w:val="Normal"/>
    <w:rsid w:val="00B10085"/>
    <w:pPr>
      <w:spacing w:before="120" w:after="2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udkastprefiks1">
    <w:name w:val="udkastprefiks1"/>
    <w:basedOn w:val="Normal"/>
    <w:rsid w:val="00B10085"/>
    <w:pPr>
      <w:spacing w:before="200" w:after="200" w:line="240" w:lineRule="auto"/>
      <w:jc w:val="center"/>
    </w:pPr>
    <w:rPr>
      <w:rFonts w:ascii="Tahoma" w:eastAsia="Times New Roman" w:hAnsi="Tahoma" w:cs="Tahoma"/>
      <w:color w:val="000000"/>
      <w:sz w:val="40"/>
      <w:szCs w:val="40"/>
    </w:rPr>
  </w:style>
  <w:style w:type="paragraph" w:customStyle="1" w:styleId="udkastprefiks2">
    <w:name w:val="udkastprefiks2"/>
    <w:basedOn w:val="Normal"/>
    <w:rsid w:val="00B10085"/>
    <w:pPr>
      <w:spacing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undertitel2">
    <w:name w:val="undertitel2"/>
    <w:basedOn w:val="Normal"/>
    <w:rsid w:val="00B10085"/>
    <w:pPr>
      <w:spacing w:after="20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itelprefiks1b2">
    <w:name w:val="titelprefiks1_b2"/>
    <w:basedOn w:val="Normal"/>
    <w:rsid w:val="00B10085"/>
    <w:pPr>
      <w:keepNext/>
      <w:spacing w:before="200"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titelprefiks2b2">
    <w:name w:val="titelprefiks2_b2"/>
    <w:basedOn w:val="Normal"/>
    <w:rsid w:val="00B10085"/>
    <w:pPr>
      <w:keepNext/>
      <w:spacing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itel2b2">
    <w:name w:val="titel2_b2"/>
    <w:basedOn w:val="Normal"/>
    <w:rsid w:val="00B10085"/>
    <w:pPr>
      <w:keepNext/>
      <w:spacing w:after="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undertitel2b2">
    <w:name w:val="undertitel2_b2"/>
    <w:basedOn w:val="Normal"/>
    <w:rsid w:val="00B10085"/>
    <w:pPr>
      <w:spacing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underskriftsteddato">
    <w:name w:val="underskriftsteddato"/>
    <w:basedOn w:val="Normal"/>
    <w:rsid w:val="00B10085"/>
    <w:pPr>
      <w:spacing w:before="480" w:after="20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underskriverbemyndigelse">
    <w:name w:val="underskriverbemyndigelse"/>
    <w:basedOn w:val="Normal"/>
    <w:rsid w:val="00B10085"/>
    <w:pPr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underskriver">
    <w:name w:val="underskriver"/>
    <w:basedOn w:val="Normal"/>
    <w:rsid w:val="00B10085"/>
    <w:pPr>
      <w:spacing w:before="200" w:after="0" w:line="240" w:lineRule="auto"/>
      <w:jc w:val="center"/>
    </w:pPr>
    <w:rPr>
      <w:rFonts w:ascii="Tahoma" w:eastAsia="Times New Roman" w:hAnsi="Tahoma" w:cs="Tahoma"/>
      <w:smallCaps/>
      <w:color w:val="000000"/>
      <w:sz w:val="24"/>
      <w:szCs w:val="24"/>
    </w:rPr>
  </w:style>
  <w:style w:type="paragraph" w:customStyle="1" w:styleId="underskrivertitel">
    <w:name w:val="underskrivertitel"/>
    <w:basedOn w:val="Normal"/>
    <w:rsid w:val="00B10085"/>
    <w:pPr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ubtitle1">
    <w:name w:val="Subtitle1"/>
    <w:basedOn w:val="Normal"/>
    <w:rsid w:val="00B10085"/>
    <w:pPr>
      <w:spacing w:before="40" w:after="0" w:line="240" w:lineRule="auto"/>
      <w:jc w:val="center"/>
    </w:pPr>
    <w:rPr>
      <w:rFonts w:ascii="Tahoma" w:eastAsia="Times New Roman" w:hAnsi="Tahoma" w:cs="Tahoma"/>
      <w:color w:val="000000"/>
      <w:sz w:val="35"/>
      <w:szCs w:val="35"/>
    </w:rPr>
  </w:style>
  <w:style w:type="paragraph" w:customStyle="1" w:styleId="omtryktitel">
    <w:name w:val="omtryktitel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omtryknote">
    <w:name w:val="omtryknote"/>
    <w:basedOn w:val="Normal"/>
    <w:rsid w:val="00B10085"/>
    <w:pPr>
      <w:spacing w:before="100" w:beforeAutospacing="1" w:after="100" w:afterAutospacing="1" w:line="240" w:lineRule="auto"/>
      <w:ind w:firstLine="20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endringsforslagtiloverskrift">
    <w:name w:val="aendringsforslagtiloverskrift"/>
    <w:basedOn w:val="Normal"/>
    <w:rsid w:val="00B10085"/>
    <w:pPr>
      <w:spacing w:before="100" w:beforeAutospacing="1" w:after="10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endringsforslagtitel">
    <w:name w:val="aendringsforslagtitel"/>
    <w:basedOn w:val="Normal"/>
    <w:rsid w:val="00B10085"/>
    <w:pPr>
      <w:spacing w:before="100" w:beforeAutospacing="1" w:after="100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clr">
    <w:name w:val="cl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pacer">
    <w:name w:val="space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color w:val="000000"/>
      <w:sz w:val="24"/>
      <w:szCs w:val="24"/>
    </w:rPr>
  </w:style>
  <w:style w:type="paragraph" w:customStyle="1" w:styleId="hdntitle">
    <w:name w:val="hdntitl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color w:val="000000"/>
      <w:sz w:val="24"/>
      <w:szCs w:val="24"/>
    </w:rPr>
  </w:style>
  <w:style w:type="paragraph" w:customStyle="1" w:styleId="hdn2">
    <w:name w:val="hdn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color w:val="000000"/>
      <w:sz w:val="24"/>
      <w:szCs w:val="24"/>
    </w:rPr>
  </w:style>
  <w:style w:type="paragraph" w:customStyle="1" w:styleId="txt">
    <w:name w:val="txt"/>
    <w:basedOn w:val="Normal"/>
    <w:rsid w:val="00B10085"/>
    <w:pPr>
      <w:pBdr>
        <w:top w:val="single" w:sz="6" w:space="0" w:color="6B9860"/>
        <w:left w:val="single" w:sz="6" w:space="4" w:color="6B9860"/>
        <w:bottom w:val="single" w:sz="6" w:space="0" w:color="6B9860"/>
        <w:right w:val="single" w:sz="6" w:space="0" w:color="6B9860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tn">
    <w:name w:val="btn"/>
    <w:basedOn w:val="Normal"/>
    <w:rsid w:val="00B10085"/>
    <w:pPr>
      <w:pBdr>
        <w:top w:val="single" w:sz="6" w:space="1" w:color="000000"/>
        <w:left w:val="single" w:sz="6" w:space="0" w:color="000000"/>
        <w:bottom w:val="single" w:sz="6" w:space="1" w:color="000000"/>
        <w:right w:val="single" w:sz="6" w:space="0" w:color="000000"/>
      </w:pBdr>
      <w:shd w:val="clear" w:color="auto" w:fill="CCCCCC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ddl">
    <w:name w:val="ddl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1">
    <w:name w:val="List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hk">
    <w:name w:val="chk"/>
    <w:basedOn w:val="Normal"/>
    <w:rsid w:val="00B10085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disabled">
    <w:name w:val="disabled"/>
    <w:basedOn w:val="Normal"/>
    <w:rsid w:val="00B10085"/>
    <w:pPr>
      <w:shd w:val="clear" w:color="auto" w:fill="CECFCE"/>
      <w:spacing w:before="100" w:beforeAutospacing="1" w:after="100" w:afterAutospacing="1" w:line="240" w:lineRule="auto"/>
    </w:pPr>
    <w:rPr>
      <w:rFonts w:ascii="Tahoma" w:eastAsia="Times New Roman" w:hAnsi="Tahoma" w:cs="Tahoma"/>
      <w:color w:val="ADAA9C"/>
      <w:sz w:val="24"/>
      <w:szCs w:val="24"/>
    </w:rPr>
  </w:style>
  <w:style w:type="paragraph" w:customStyle="1" w:styleId="tbl">
    <w:name w:val="tbl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divcon1">
    <w:name w:val="divcon1"/>
    <w:basedOn w:val="Normal"/>
    <w:rsid w:val="00B10085"/>
    <w:pPr>
      <w:spacing w:after="30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divcon2">
    <w:name w:val="divcon2"/>
    <w:basedOn w:val="Normal"/>
    <w:rsid w:val="00B10085"/>
    <w:pPr>
      <w:pBdr>
        <w:left w:val="single" w:sz="6" w:space="1" w:color="FFFFFF"/>
        <w:right w:val="single" w:sz="6" w:space="1" w:color="FFFFFF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divcon3">
    <w:name w:val="divcon3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idebox">
    <w:name w:val="sidebox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earchbox">
    <w:name w:val="searchbox"/>
    <w:basedOn w:val="Normal"/>
    <w:rsid w:val="00B10085"/>
    <w:pPr>
      <w:pBdr>
        <w:bottom w:val="single" w:sz="6" w:space="0" w:color="EEEEEE"/>
      </w:pBdr>
      <w:spacing w:before="100" w:beforeAutospacing="1" w:after="100" w:afterAutospacing="1" w:line="240" w:lineRule="auto"/>
      <w:ind w:left="60"/>
    </w:pPr>
    <w:rPr>
      <w:rFonts w:ascii="Tahoma" w:eastAsia="Times New Roman" w:hAnsi="Tahoma" w:cs="Tahoma"/>
      <w:color w:val="FFFFFF"/>
      <w:sz w:val="24"/>
      <w:szCs w:val="24"/>
    </w:rPr>
  </w:style>
  <w:style w:type="paragraph" w:customStyle="1" w:styleId="txt1">
    <w:name w:val="txt1"/>
    <w:basedOn w:val="Normal"/>
    <w:rsid w:val="00B10085"/>
    <w:pPr>
      <w:pBdr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</w:pBdr>
      <w:spacing w:before="100" w:beforeAutospacing="1" w:after="105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xt2">
    <w:name w:val="txt2"/>
    <w:basedOn w:val="Normal"/>
    <w:rsid w:val="00B10085"/>
    <w:pPr>
      <w:pBdr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</w:pBdr>
      <w:spacing w:before="100" w:beforeAutospacing="1" w:after="100" w:afterAutospacing="1" w:line="240" w:lineRule="auto"/>
      <w:ind w:right="105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xt3">
    <w:name w:val="txt3"/>
    <w:basedOn w:val="Normal"/>
    <w:rsid w:val="00B10085"/>
    <w:pPr>
      <w:pBdr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ottombox">
    <w:name w:val="bottombox"/>
    <w:basedOn w:val="Normal"/>
    <w:rsid w:val="00B10085"/>
    <w:pPr>
      <w:spacing w:before="300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tmboxfront">
    <w:name w:val="btmboxfront"/>
    <w:basedOn w:val="Normal"/>
    <w:rsid w:val="00B10085"/>
    <w:pPr>
      <w:spacing w:before="300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tent">
    <w:name w:val="conten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ddl1">
    <w:name w:val="ddl1"/>
    <w:basedOn w:val="Normal"/>
    <w:rsid w:val="00B10085"/>
    <w:pPr>
      <w:spacing w:before="100" w:beforeAutospacing="1" w:after="100" w:afterAutospacing="1" w:line="240" w:lineRule="auto"/>
      <w:ind w:right="75"/>
      <w:textAlignment w:val="bottom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oplinks">
    <w:name w:val="toplinks"/>
    <w:basedOn w:val="Normal"/>
    <w:rsid w:val="00B10085"/>
    <w:pPr>
      <w:spacing w:before="100" w:beforeAutospacing="1" w:after="225" w:line="240" w:lineRule="auto"/>
      <w:ind w:left="150" w:right="15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odybox">
    <w:name w:val="bodybox"/>
    <w:basedOn w:val="Normal"/>
    <w:rsid w:val="00B10085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bcontent">
    <w:name w:val="bbcontent"/>
    <w:basedOn w:val="Normal"/>
    <w:rsid w:val="00B10085"/>
    <w:pPr>
      <w:spacing w:before="100" w:beforeAutospacing="1" w:after="100" w:afterAutospacing="1" w:line="480" w:lineRule="auto"/>
    </w:pPr>
    <w:rPr>
      <w:rFonts w:ascii="Tahoma" w:eastAsia="Times New Roman" w:hAnsi="Tahoma" w:cs="Tahoma"/>
      <w:color w:val="000000"/>
      <w:sz w:val="28"/>
      <w:szCs w:val="28"/>
    </w:rPr>
  </w:style>
  <w:style w:type="paragraph" w:customStyle="1" w:styleId="bbcontenthistoric">
    <w:name w:val="bbcontenthistoric"/>
    <w:basedOn w:val="Normal"/>
    <w:rsid w:val="00B10085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bnavigation">
    <w:name w:val="bbnavigation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odyfrontpage">
    <w:name w:val="bodyfrontpag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toptextfontpage">
    <w:name w:val="toptextfontpage"/>
    <w:basedOn w:val="Normal"/>
    <w:rsid w:val="00B10085"/>
    <w:pPr>
      <w:spacing w:after="300" w:line="240" w:lineRule="auto"/>
      <w:ind w:left="300" w:right="30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brightboxes">
    <w:name w:val="bbrightboxes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bdokumentinfo">
    <w:name w:val="bbdokumentinfo"/>
    <w:basedOn w:val="Normal"/>
    <w:rsid w:val="00B10085"/>
    <w:pPr>
      <w:spacing w:before="100" w:beforeAutospacing="1" w:after="15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bdokumentnoter">
    <w:name w:val="bbdokumentnoter"/>
    <w:basedOn w:val="Normal"/>
    <w:rsid w:val="00B10085"/>
    <w:pPr>
      <w:spacing w:before="300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euitemcontainer">
    <w:name w:val="euitemcontainer"/>
    <w:basedOn w:val="Normal"/>
    <w:rsid w:val="00B10085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euitemcontainer1">
    <w:name w:val="euitemcontainer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euitemcontainer2">
    <w:name w:val="euitemcontainer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euitemcontainer3">
    <w:name w:val="euitemcontainer3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eulinktitel">
    <w:name w:val="eulinktitel"/>
    <w:basedOn w:val="Normal"/>
    <w:rsid w:val="00B10085"/>
    <w:pPr>
      <w:spacing w:before="45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eulinkcontainer">
    <w:name w:val="eulinkcontainer"/>
    <w:basedOn w:val="Normal"/>
    <w:rsid w:val="00B10085"/>
    <w:pPr>
      <w:spacing w:before="30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eulink">
    <w:name w:val="eulink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eulinkspacer">
    <w:name w:val="eulinkspace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rbox">
    <w:name w:val="brbox"/>
    <w:basedOn w:val="Normal"/>
    <w:rsid w:val="00B10085"/>
    <w:pPr>
      <w:spacing w:before="150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gbox">
    <w:name w:val="bgbox"/>
    <w:basedOn w:val="Normal"/>
    <w:rsid w:val="00B10085"/>
    <w:pPr>
      <w:spacing w:before="150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tnvis">
    <w:name w:val="btnvis"/>
    <w:basedOn w:val="Normal"/>
    <w:rsid w:val="00B10085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divpager">
    <w:name w:val="divpager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earchfieldrow">
    <w:name w:val="searchfieldrow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earchfieldheader">
    <w:name w:val="searchfieldheade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earchfieldcol">
    <w:name w:val="searchfieldcol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nkbar">
    <w:name w:val="linkba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2C5124"/>
      <w:sz w:val="24"/>
      <w:szCs w:val="24"/>
    </w:rPr>
  </w:style>
  <w:style w:type="paragraph" w:customStyle="1" w:styleId="backtocriterias">
    <w:name w:val="backtocriterias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2C5124"/>
      <w:sz w:val="24"/>
      <w:szCs w:val="24"/>
    </w:rPr>
  </w:style>
  <w:style w:type="paragraph" w:customStyle="1" w:styleId="searchresulttitle">
    <w:name w:val="searchresulttitl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searchresultressort">
    <w:name w:val="searchresultressor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08080"/>
      <w:sz w:val="24"/>
      <w:szCs w:val="24"/>
    </w:rPr>
  </w:style>
  <w:style w:type="paragraph" w:customStyle="1" w:styleId="searchresultextrafield">
    <w:name w:val="searchresultextrafield"/>
    <w:basedOn w:val="Normal"/>
    <w:rsid w:val="00B10085"/>
    <w:pPr>
      <w:spacing w:before="100" w:beforeAutospacing="1" w:after="100" w:afterAutospacing="1" w:line="240" w:lineRule="auto"/>
      <w:ind w:left="300" w:right="450"/>
    </w:pPr>
    <w:rPr>
      <w:rFonts w:ascii="Tahoma" w:eastAsia="Times New Roman" w:hAnsi="Tahoma" w:cs="Tahoma"/>
      <w:i/>
      <w:iCs/>
      <w:color w:val="316529"/>
      <w:sz w:val="24"/>
      <w:szCs w:val="24"/>
    </w:rPr>
  </w:style>
  <w:style w:type="paragraph" w:customStyle="1" w:styleId="searchresultreferenceheader">
    <w:name w:val="searchresultreferenceheader"/>
    <w:basedOn w:val="Normal"/>
    <w:rsid w:val="00B10085"/>
    <w:pPr>
      <w:shd w:val="clear" w:color="auto" w:fill="316529"/>
      <w:spacing w:after="150" w:line="240" w:lineRule="auto"/>
      <w:ind w:left="-75"/>
    </w:pPr>
    <w:rPr>
      <w:rFonts w:ascii="Tahoma" w:eastAsia="Times New Roman" w:hAnsi="Tahoma" w:cs="Tahoma"/>
      <w:b/>
      <w:bCs/>
      <w:color w:val="FFFFFF"/>
      <w:sz w:val="26"/>
      <w:szCs w:val="26"/>
    </w:rPr>
  </w:style>
  <w:style w:type="paragraph" w:customStyle="1" w:styleId="paragraph">
    <w:name w:val="paragraph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opupbody">
    <w:name w:val="popupbody"/>
    <w:basedOn w:val="Normal"/>
    <w:rsid w:val="00B10085"/>
    <w:pPr>
      <w:shd w:val="clear" w:color="auto" w:fill="E7E7E7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opup">
    <w:name w:val="popup"/>
    <w:basedOn w:val="Normal"/>
    <w:rsid w:val="00B10085"/>
    <w:pPr>
      <w:shd w:val="clear" w:color="auto" w:fill="FFFFFF"/>
      <w:spacing w:before="150" w:after="150" w:line="240" w:lineRule="auto"/>
      <w:ind w:left="15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jelke">
    <w:name w:val="bjelke"/>
    <w:basedOn w:val="Normal"/>
    <w:rsid w:val="00B10085"/>
    <w:pPr>
      <w:shd w:val="clear" w:color="auto" w:fill="316529"/>
      <w:spacing w:before="150" w:after="150" w:line="240" w:lineRule="auto"/>
      <w:ind w:left="-75"/>
      <w:jc w:val="center"/>
    </w:pPr>
    <w:rPr>
      <w:rFonts w:ascii="Tahoma" w:eastAsia="Times New Roman" w:hAnsi="Tahoma" w:cs="Tahoma"/>
      <w:b/>
      <w:bCs/>
      <w:color w:val="FFFFFF"/>
      <w:sz w:val="24"/>
      <w:szCs w:val="24"/>
    </w:rPr>
  </w:style>
  <w:style w:type="paragraph" w:customStyle="1" w:styleId="autocomplete-w1">
    <w:name w:val="autocomplete-w1"/>
    <w:basedOn w:val="Normal"/>
    <w:rsid w:val="00B10085"/>
    <w:pPr>
      <w:spacing w:before="90" w:after="0" w:line="240" w:lineRule="auto"/>
      <w:ind w:left="9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utocomplete">
    <w:name w:val="autocomplete"/>
    <w:basedOn w:val="Normal"/>
    <w:rsid w:val="00B10085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90" w:line="240" w:lineRule="auto"/>
      <w:ind w:left="-90" w:right="9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implesearchinput">
    <w:name w:val="simplesearchinput"/>
    <w:basedOn w:val="Normal"/>
    <w:rsid w:val="00B10085"/>
    <w:pPr>
      <w:spacing w:before="105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implesearchbottom">
    <w:name w:val="simplesearchbottom"/>
    <w:basedOn w:val="Normal"/>
    <w:rsid w:val="00B10085"/>
    <w:pPr>
      <w:spacing w:before="100" w:beforeAutospacing="1" w:after="375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okie-popup">
    <w:name w:val="cookie-popup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okie-description">
    <w:name w:val="cookie-description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37383C"/>
      <w:sz w:val="24"/>
      <w:szCs w:val="24"/>
    </w:rPr>
  </w:style>
  <w:style w:type="paragraph" w:customStyle="1" w:styleId="th">
    <w:name w:val="th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row">
    <w:name w:val="row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ltrow">
    <w:name w:val="altrow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2">
    <w:name w:val="wrapper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filter">
    <w:name w:val="filte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rb">
    <w:name w:val="rb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tnsearch">
    <w:name w:val="btnsearch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nkhelp">
    <w:name w:val="lnkhelp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1">
    <w:name w:val="wrapper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dr-wrapper">
    <w:name w:val="hdr-wrappe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elp">
    <w:name w:val="help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item">
    <w:name w:val="item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ead">
    <w:name w:val="head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kortnavn">
    <w:name w:val="kortnavn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ressort">
    <w:name w:val="ressor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felt">
    <w:name w:val="fel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istorisk">
    <w:name w:val="historisk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feltdata">
    <w:name w:val="feltdata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3">
    <w:name w:val="wrapper3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urrent">
    <w:name w:val="curren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1">
    <w:name w:val="con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2">
    <w:name w:val="con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3">
    <w:name w:val="con3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4">
    <w:name w:val="con4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5">
    <w:name w:val="con5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6">
    <w:name w:val="con6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7">
    <w:name w:val="con7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8">
    <w:name w:val="con8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9">
    <w:name w:val="con9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10">
    <w:name w:val="con10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11">
    <w:name w:val="con1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body">
    <w:name w:val="conbody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ddlnyeste">
    <w:name w:val="ddlnyest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des">
    <w:name w:val="des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ovregisterlist">
    <w:name w:val="lovregisterlis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resultgroup">
    <w:name w:val="listresultgroup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resultaltgroup">
    <w:name w:val="listresultaltgroup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eft">
    <w:name w:val="lef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middle">
    <w:name w:val="middl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right">
    <w:name w:val="right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ftsearch">
    <w:name w:val="ftsearch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search">
    <w:name w:val="listsearch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4">
    <w:name w:val="wrapper4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5">
    <w:name w:val="wrapper5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6">
    <w:name w:val="wrapper6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7">
    <w:name w:val="wrapper7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value">
    <w:name w:val="valu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elected">
    <w:name w:val="selected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implesearchsuggestioncaption">
    <w:name w:val="simplesearchsuggestioncaption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efttab">
    <w:name w:val="lefttab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righttab">
    <w:name w:val="righttab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impelguide">
    <w:name w:val="simpelguid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dr">
    <w:name w:val="hdr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ctive">
    <w:name w:val="active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okie-btn">
    <w:name w:val="cookie-btn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givet1">
    <w:name w:val="givet1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sign11">
    <w:name w:val="sign11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egl1">
    <w:name w:val="segl1"/>
    <w:basedOn w:val="Normal"/>
    <w:rsid w:val="00B10085"/>
    <w:pPr>
      <w:keepNext/>
      <w:spacing w:before="200" w:after="0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ign21">
    <w:name w:val="sign21"/>
    <w:basedOn w:val="Normal"/>
    <w:rsid w:val="00B10085"/>
    <w:pPr>
      <w:spacing w:before="100" w:beforeAutospacing="1"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givet2">
    <w:name w:val="givet2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i/>
      <w:iCs/>
      <w:color w:val="000000"/>
      <w:sz w:val="19"/>
      <w:szCs w:val="19"/>
    </w:rPr>
  </w:style>
  <w:style w:type="paragraph" w:customStyle="1" w:styleId="sign12">
    <w:name w:val="sign12"/>
    <w:basedOn w:val="Normal"/>
    <w:rsid w:val="00B10085"/>
    <w:pPr>
      <w:keepNext/>
      <w:spacing w:before="120" w:after="0" w:line="240" w:lineRule="auto"/>
      <w:jc w:val="center"/>
    </w:pPr>
    <w:rPr>
      <w:rFonts w:ascii="Tahoma" w:eastAsia="Times New Roman" w:hAnsi="Tahoma" w:cs="Tahoma"/>
      <w:color w:val="000000"/>
      <w:sz w:val="19"/>
      <w:szCs w:val="19"/>
    </w:rPr>
  </w:style>
  <w:style w:type="paragraph" w:customStyle="1" w:styleId="segl2">
    <w:name w:val="segl2"/>
    <w:basedOn w:val="Normal"/>
    <w:rsid w:val="00B10085"/>
    <w:pPr>
      <w:keepNext/>
      <w:spacing w:before="200" w:after="0" w:line="240" w:lineRule="auto"/>
      <w:jc w:val="center"/>
    </w:pPr>
    <w:rPr>
      <w:rFonts w:ascii="Tahoma" w:eastAsia="Times New Roman" w:hAnsi="Tahoma" w:cs="Tahoma"/>
      <w:color w:val="000000"/>
      <w:sz w:val="19"/>
      <w:szCs w:val="19"/>
    </w:rPr>
  </w:style>
  <w:style w:type="paragraph" w:customStyle="1" w:styleId="sign22">
    <w:name w:val="sign22"/>
    <w:basedOn w:val="Normal"/>
    <w:rsid w:val="00B10085"/>
    <w:pPr>
      <w:spacing w:before="100" w:beforeAutospacing="1" w:after="0" w:line="240" w:lineRule="auto"/>
    </w:pPr>
    <w:rPr>
      <w:rFonts w:ascii="Tahoma" w:eastAsia="Times New Roman" w:hAnsi="Tahoma" w:cs="Tahoma"/>
      <w:color w:val="000000"/>
      <w:sz w:val="19"/>
      <w:szCs w:val="19"/>
    </w:rPr>
  </w:style>
  <w:style w:type="paragraph" w:customStyle="1" w:styleId="th1">
    <w:name w:val="th1"/>
    <w:basedOn w:val="Normal"/>
    <w:rsid w:val="00B10085"/>
    <w:pPr>
      <w:pBdr>
        <w:left w:val="single" w:sz="6" w:space="4" w:color="FFFFFF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ctive1">
    <w:name w:val="active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row1">
    <w:name w:val="row1"/>
    <w:basedOn w:val="Normal"/>
    <w:rsid w:val="00B10085"/>
    <w:pPr>
      <w:shd w:val="clear" w:color="auto" w:fill="E9E9E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altrow1">
    <w:name w:val="altrow1"/>
    <w:basedOn w:val="Normal"/>
    <w:rsid w:val="00B10085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21">
    <w:name w:val="wrapper2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filter1">
    <w:name w:val="filter1"/>
    <w:basedOn w:val="Normal"/>
    <w:rsid w:val="00B10085"/>
    <w:pPr>
      <w:spacing w:before="75" w:after="180" w:line="240" w:lineRule="auto"/>
    </w:pPr>
    <w:rPr>
      <w:rFonts w:ascii="Tahoma" w:eastAsia="Times New Roman" w:hAnsi="Tahoma" w:cs="Tahoma"/>
      <w:color w:val="FFFFFF"/>
      <w:sz w:val="24"/>
      <w:szCs w:val="24"/>
    </w:rPr>
  </w:style>
  <w:style w:type="paragraph" w:customStyle="1" w:styleId="rb1">
    <w:name w:val="rb1"/>
    <w:basedOn w:val="Normal"/>
    <w:rsid w:val="00B10085"/>
    <w:pPr>
      <w:spacing w:after="0" w:line="240" w:lineRule="auto"/>
      <w:textAlignment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rb2">
    <w:name w:val="rb2"/>
    <w:basedOn w:val="Normal"/>
    <w:rsid w:val="00B10085"/>
    <w:pPr>
      <w:spacing w:after="0" w:line="240" w:lineRule="auto"/>
      <w:ind w:left="75" w:right="30"/>
      <w:textAlignment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tnsearch1">
    <w:name w:val="btnsearch1"/>
    <w:basedOn w:val="Normal"/>
    <w:rsid w:val="00B10085"/>
    <w:pPr>
      <w:spacing w:before="100" w:beforeAutospacing="1" w:after="100" w:afterAutospacing="1" w:line="240" w:lineRule="auto"/>
      <w:ind w:right="15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nkhelp1">
    <w:name w:val="lnkhelp1"/>
    <w:basedOn w:val="Normal"/>
    <w:rsid w:val="00B10085"/>
    <w:pPr>
      <w:spacing w:before="45" w:after="100" w:afterAutospacing="1" w:line="240" w:lineRule="auto"/>
      <w:ind w:right="12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dr1">
    <w:name w:val="hdr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F2511"/>
      <w:sz w:val="24"/>
      <w:szCs w:val="24"/>
    </w:rPr>
  </w:style>
  <w:style w:type="paragraph" w:customStyle="1" w:styleId="wrapper11">
    <w:name w:val="wrapper1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22">
    <w:name w:val="wrapper2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dr-wrapper1">
    <w:name w:val="hdr-wrapper1"/>
    <w:basedOn w:val="Normal"/>
    <w:rsid w:val="00B10085"/>
    <w:pPr>
      <w:pBdr>
        <w:bottom w:val="single" w:sz="6" w:space="5" w:color="DFDFDF"/>
      </w:pBdr>
      <w:spacing w:before="100" w:beforeAutospacing="1" w:after="225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elp1">
    <w:name w:val="help1"/>
    <w:basedOn w:val="Normal"/>
    <w:rsid w:val="00B10085"/>
    <w:pPr>
      <w:spacing w:before="45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lr1">
    <w:name w:val="clr1"/>
    <w:basedOn w:val="Normal"/>
    <w:rsid w:val="00B10085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item1">
    <w:name w:val="item1"/>
    <w:basedOn w:val="Normal"/>
    <w:rsid w:val="00B10085"/>
    <w:pPr>
      <w:spacing w:before="100" w:beforeAutospacing="1" w:after="150" w:line="240" w:lineRule="auto"/>
      <w:ind w:right="45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12">
    <w:name w:val="wrapper1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23">
    <w:name w:val="wrapper23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ead1">
    <w:name w:val="head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kortnavn1">
    <w:name w:val="kortnavn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ressort1">
    <w:name w:val="ressort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08080"/>
      <w:sz w:val="24"/>
      <w:szCs w:val="24"/>
    </w:rPr>
  </w:style>
  <w:style w:type="paragraph" w:customStyle="1" w:styleId="felt1">
    <w:name w:val="felt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istorisk1">
    <w:name w:val="historisk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5A5A5A"/>
      <w:sz w:val="24"/>
      <w:szCs w:val="24"/>
    </w:rPr>
  </w:style>
  <w:style w:type="paragraph" w:customStyle="1" w:styleId="feltdata1">
    <w:name w:val="feltdata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808080"/>
      <w:sz w:val="24"/>
      <w:szCs w:val="24"/>
    </w:rPr>
  </w:style>
  <w:style w:type="paragraph" w:customStyle="1" w:styleId="wrapper13">
    <w:name w:val="wrapper13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24">
    <w:name w:val="wrapper24"/>
    <w:basedOn w:val="Normal"/>
    <w:rsid w:val="00B10085"/>
    <w:pPr>
      <w:spacing w:before="100" w:beforeAutospacing="1"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31">
    <w:name w:val="wrapper31"/>
    <w:basedOn w:val="Normal"/>
    <w:rsid w:val="00B10085"/>
    <w:pPr>
      <w:spacing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urrent1">
    <w:name w:val="current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808080"/>
      <w:sz w:val="24"/>
      <w:szCs w:val="24"/>
    </w:rPr>
  </w:style>
  <w:style w:type="paragraph" w:customStyle="1" w:styleId="content1">
    <w:name w:val="content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12">
    <w:name w:val="con1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21">
    <w:name w:val="con21"/>
    <w:basedOn w:val="Normal"/>
    <w:rsid w:val="00B10085"/>
    <w:pPr>
      <w:pBdr>
        <w:bottom w:val="single" w:sz="6" w:space="0" w:color="F7F3F7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31">
    <w:name w:val="con3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41">
    <w:name w:val="con4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51">
    <w:name w:val="con5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61">
    <w:name w:val="con6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71">
    <w:name w:val="con71"/>
    <w:basedOn w:val="Normal"/>
    <w:rsid w:val="00B10085"/>
    <w:pPr>
      <w:shd w:val="clear" w:color="auto" w:fill="931601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81">
    <w:name w:val="con8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91">
    <w:name w:val="con9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101">
    <w:name w:val="con10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111">
    <w:name w:val="con11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body1">
    <w:name w:val="conbody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24"/>
      <w:szCs w:val="24"/>
    </w:rPr>
  </w:style>
  <w:style w:type="paragraph" w:customStyle="1" w:styleId="con13">
    <w:name w:val="con13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22">
    <w:name w:val="con2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32">
    <w:name w:val="con3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42">
    <w:name w:val="con4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52">
    <w:name w:val="con5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62">
    <w:name w:val="con6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72">
    <w:name w:val="con72"/>
    <w:basedOn w:val="Normal"/>
    <w:rsid w:val="00B10085"/>
    <w:pPr>
      <w:shd w:val="clear" w:color="auto" w:fill="8CA18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82">
    <w:name w:val="con8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92">
    <w:name w:val="con9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102">
    <w:name w:val="con10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112">
    <w:name w:val="con11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nbody2">
    <w:name w:val="conbody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ddlnyeste1">
    <w:name w:val="ddlnyeste1"/>
    <w:basedOn w:val="Normal"/>
    <w:rsid w:val="00B10085"/>
    <w:pPr>
      <w:spacing w:before="100" w:beforeAutospacing="1" w:after="100" w:afterAutospacing="1" w:line="240" w:lineRule="auto"/>
      <w:ind w:right="75"/>
      <w:textAlignment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filter2">
    <w:name w:val="filter2"/>
    <w:basedOn w:val="Normal"/>
    <w:rsid w:val="00B10085"/>
    <w:pPr>
      <w:spacing w:before="375" w:after="100" w:afterAutospacing="1" w:line="240" w:lineRule="auto"/>
    </w:pPr>
    <w:rPr>
      <w:rFonts w:ascii="Tahoma" w:eastAsia="Times New Roman" w:hAnsi="Tahoma" w:cs="Tahoma"/>
      <w:color w:val="FFFFFF"/>
      <w:sz w:val="24"/>
      <w:szCs w:val="24"/>
    </w:rPr>
  </w:style>
  <w:style w:type="paragraph" w:customStyle="1" w:styleId="des1">
    <w:name w:val="des1"/>
    <w:basedOn w:val="Normal"/>
    <w:rsid w:val="00B10085"/>
    <w:pPr>
      <w:spacing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rb3">
    <w:name w:val="rb3"/>
    <w:basedOn w:val="Normal"/>
    <w:rsid w:val="00B10085"/>
    <w:pPr>
      <w:spacing w:before="150" w:after="100" w:afterAutospacing="1" w:line="240" w:lineRule="auto"/>
      <w:ind w:right="225"/>
    </w:pPr>
    <w:rPr>
      <w:rFonts w:ascii="Tahoma" w:eastAsia="Times New Roman" w:hAnsi="Tahoma" w:cs="Tahoma"/>
      <w:color w:val="FFFFFF"/>
      <w:sz w:val="24"/>
      <w:szCs w:val="24"/>
    </w:rPr>
  </w:style>
  <w:style w:type="paragraph" w:customStyle="1" w:styleId="lovregisterlist1">
    <w:name w:val="lovregisterlist1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resultgroup1">
    <w:name w:val="listresultgroup1"/>
    <w:basedOn w:val="Normal"/>
    <w:rsid w:val="00B10085"/>
    <w:pPr>
      <w:shd w:val="clear" w:color="auto" w:fill="E9E9E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resultaltgroup1">
    <w:name w:val="listresultaltgroup1"/>
    <w:basedOn w:val="Normal"/>
    <w:rsid w:val="00B10085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ist10">
    <w:name w:val="list1"/>
    <w:basedOn w:val="Normal"/>
    <w:rsid w:val="00B1008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eft1">
    <w:name w:val="left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middle1">
    <w:name w:val="middle1"/>
    <w:basedOn w:val="Normal"/>
    <w:rsid w:val="00B10085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right1">
    <w:name w:val="right1"/>
    <w:basedOn w:val="Normal"/>
    <w:rsid w:val="00B10085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ftsearch1">
    <w:name w:val="ftsearch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lnkhelp2">
    <w:name w:val="lnkhelp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2C5124"/>
      <w:sz w:val="24"/>
      <w:szCs w:val="24"/>
    </w:rPr>
  </w:style>
  <w:style w:type="paragraph" w:customStyle="1" w:styleId="listsearch1">
    <w:name w:val="listsearch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ead2">
    <w:name w:val="head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C5124"/>
      <w:sz w:val="26"/>
      <w:szCs w:val="26"/>
    </w:rPr>
  </w:style>
  <w:style w:type="paragraph" w:customStyle="1" w:styleId="wrapper14">
    <w:name w:val="wrapper14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25">
    <w:name w:val="wrapper25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32">
    <w:name w:val="wrapper32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41">
    <w:name w:val="wrapper4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51">
    <w:name w:val="wrapper5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61">
    <w:name w:val="wrapper6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wrapper71">
    <w:name w:val="wrapper7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value1">
    <w:name w:val="value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selected1">
    <w:name w:val="selected1"/>
    <w:basedOn w:val="Normal"/>
    <w:rsid w:val="00B10085"/>
    <w:pPr>
      <w:shd w:val="clear" w:color="auto" w:fill="F0F0F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implesearchsuggestioncaption1">
    <w:name w:val="simplesearchsuggestioncaption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24"/>
      <w:szCs w:val="24"/>
    </w:rPr>
  </w:style>
  <w:style w:type="paragraph" w:customStyle="1" w:styleId="lefttab1">
    <w:name w:val="lefttab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righttab1">
    <w:name w:val="righttab1"/>
    <w:basedOn w:val="Normal"/>
    <w:rsid w:val="00B100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impelguide1">
    <w:name w:val="simpelguide1"/>
    <w:basedOn w:val="Normal"/>
    <w:rsid w:val="00B10085"/>
    <w:pPr>
      <w:spacing w:before="100" w:beforeAutospacing="1" w:after="225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okie-popup1">
    <w:name w:val="cookie-popup1"/>
    <w:basedOn w:val="Normal"/>
    <w:rsid w:val="00B1008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ookie-btn1">
    <w:name w:val="cookie-btn1"/>
    <w:basedOn w:val="Normal"/>
    <w:rsid w:val="00B10085"/>
    <w:pPr>
      <w:pBdr>
        <w:top w:val="single" w:sz="6" w:space="6" w:color="2C5124"/>
        <w:left w:val="single" w:sz="6" w:space="6" w:color="2C5124"/>
        <w:bottom w:val="single" w:sz="6" w:space="6" w:color="2C5124"/>
        <w:right w:val="single" w:sz="6" w:space="6" w:color="2C5124"/>
      </w:pBdr>
      <w:spacing w:after="75" w:line="240" w:lineRule="auto"/>
      <w:jc w:val="center"/>
    </w:pPr>
    <w:rPr>
      <w:rFonts w:ascii="Tahoma" w:eastAsia="Times New Roman" w:hAnsi="Tahoma" w:cs="Tahoma"/>
      <w:b/>
      <w:bCs/>
      <w:color w:val="37383C"/>
      <w:sz w:val="24"/>
      <w:szCs w:val="24"/>
    </w:rPr>
  </w:style>
  <w:style w:type="character" w:customStyle="1" w:styleId="paragrafnr1">
    <w:name w:val="paragrafnr1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">
    <w:name w:val="paragrafnr2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liste1nr1">
    <w:name w:val="liste1nr1"/>
    <w:basedOn w:val="DefaultParagraphFont"/>
    <w:rsid w:val="00B10085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customStyle="1" w:styleId="liste2nr1">
    <w:name w:val="liste2nr1"/>
    <w:basedOn w:val="DefaultParagraphFont"/>
    <w:rsid w:val="00B10085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customStyle="1" w:styleId="paragrafnr3">
    <w:name w:val="paragrafnr3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4">
    <w:name w:val="paragrafnr4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stknr1">
    <w:name w:val="stknr1"/>
    <w:basedOn w:val="DefaultParagraphFont"/>
    <w:rsid w:val="00B10085"/>
    <w:rPr>
      <w:rFonts w:ascii="Tahoma" w:hAnsi="Tahoma" w:cs="Tahoma" w:hint="default"/>
      <w:i/>
      <w:iCs/>
      <w:color w:val="000000"/>
      <w:sz w:val="24"/>
      <w:szCs w:val="24"/>
      <w:shd w:val="clear" w:color="auto" w:fill="auto"/>
    </w:rPr>
  </w:style>
  <w:style w:type="character" w:customStyle="1" w:styleId="paragrafnr5">
    <w:name w:val="paragrafnr5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6">
    <w:name w:val="paragrafnr6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7">
    <w:name w:val="paragrafnr7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8">
    <w:name w:val="paragrafnr8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9">
    <w:name w:val="paragrafnr9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0">
    <w:name w:val="paragrafnr10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1">
    <w:name w:val="paragrafnr11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2">
    <w:name w:val="paragrafnr12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3">
    <w:name w:val="paragrafnr13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4">
    <w:name w:val="paragrafnr14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5">
    <w:name w:val="paragrafnr15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6">
    <w:name w:val="paragrafnr16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superscript1">
    <w:name w:val="superscript1"/>
    <w:basedOn w:val="DefaultParagraphFont"/>
    <w:rsid w:val="00B10085"/>
    <w:rPr>
      <w:rFonts w:ascii="Tahoma" w:hAnsi="Tahoma" w:cs="Tahoma" w:hint="default"/>
      <w:color w:val="000000"/>
      <w:sz w:val="17"/>
      <w:szCs w:val="17"/>
      <w:shd w:val="clear" w:color="auto" w:fill="auto"/>
      <w:vertAlign w:val="superscript"/>
    </w:rPr>
  </w:style>
  <w:style w:type="character" w:customStyle="1" w:styleId="paragrafnr17">
    <w:name w:val="paragrafnr17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8">
    <w:name w:val="paragrafnr18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19">
    <w:name w:val="paragrafnr19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0">
    <w:name w:val="paragrafnr20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1">
    <w:name w:val="paragrafnr21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2">
    <w:name w:val="paragrafnr22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3">
    <w:name w:val="paragrafnr23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4">
    <w:name w:val="paragrafnr24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5">
    <w:name w:val="paragrafnr25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bold1">
    <w:name w:val="bold1"/>
    <w:basedOn w:val="DefaultParagraphFont"/>
    <w:rsid w:val="00B10085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subscript1">
    <w:name w:val="subscript1"/>
    <w:basedOn w:val="DefaultParagraphFont"/>
    <w:rsid w:val="00B10085"/>
    <w:rPr>
      <w:rFonts w:ascii="Tahoma" w:hAnsi="Tahoma" w:cs="Tahoma" w:hint="default"/>
      <w:color w:val="000000"/>
      <w:sz w:val="17"/>
      <w:szCs w:val="17"/>
      <w:shd w:val="clear" w:color="auto" w:fill="auto"/>
      <w:vertAlign w:val="subscript"/>
    </w:rPr>
  </w:style>
  <w:style w:type="paragraph" w:styleId="Header">
    <w:name w:val="header"/>
    <w:basedOn w:val="Normal"/>
    <w:link w:val="HeaderChar"/>
    <w:uiPriority w:val="99"/>
    <w:unhideWhenUsed/>
    <w:rsid w:val="00A15E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EE9"/>
  </w:style>
  <w:style w:type="paragraph" w:styleId="Footer">
    <w:name w:val="footer"/>
    <w:basedOn w:val="Normal"/>
    <w:link w:val="FooterChar"/>
    <w:uiPriority w:val="99"/>
    <w:unhideWhenUsed/>
    <w:rsid w:val="00A15E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EE9"/>
  </w:style>
  <w:style w:type="paragraph" w:styleId="CommentText">
    <w:name w:val="annotation text"/>
    <w:basedOn w:val="Normal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1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7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6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2853">
                          <w:marLeft w:val="-75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799922">
                          <w:marLeft w:val="-75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2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1599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45477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516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90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49222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73799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1718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11807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7843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65596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1699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5592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7147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4739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6375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74523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023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3942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50783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86448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49288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14878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4349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08533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40663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18358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02380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13478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25397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57582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18167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7771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02481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5434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7886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60521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76413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1327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54458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177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10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939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60540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733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046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69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0535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14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9538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20466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3257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68822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32822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32162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7849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65162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37056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28676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77143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1394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0604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83625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65882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6547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58930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77307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49837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772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0634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67013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6640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87535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780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4437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9412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2542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9885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23312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9133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21195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0367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5895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0889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9153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17584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7030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63299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05493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7988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1730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23768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96379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0285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8255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6936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06901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36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49667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95662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80837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75202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51288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6919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99536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7428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30928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13502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01066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06632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9883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42481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33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9759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0168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73319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0915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69058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20066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39221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14273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27672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72361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89104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10560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70100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9934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67035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53727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64444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65268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0203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45549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84776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04057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11665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85065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7427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3573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62305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9567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7287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839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92236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78085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1859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3064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91612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25228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18734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79156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22136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84752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3224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30761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1161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636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70006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1784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486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2638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01279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0288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21700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70868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13126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99849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16954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3585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95700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1676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56906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37186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2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324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1929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2457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96000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25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96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7171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44819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9284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0131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2018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10334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9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39287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61670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0205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3686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46811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07606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69321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286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4044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412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927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28164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5748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35224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0273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8371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06605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29332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0719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7443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5245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6869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92944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0036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221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917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54052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07700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4878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1826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5377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80047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54060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29394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70253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61832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08343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0499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55974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50566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89699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72087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25895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37661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72415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90655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9907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01894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70305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9405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055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33448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3289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48946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73029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0053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869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68659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30032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86179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21188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24442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95128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56923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6141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20579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7441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837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2874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74481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4954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183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26290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614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0983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0385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21995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34519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49904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2584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8276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282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04050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2342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0527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49759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71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0809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208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80615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4475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07538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8465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3555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78883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1671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27276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9628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2693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97970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32595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79141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87238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81211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18816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14468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60010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87964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40009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908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03146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55232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694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38449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00329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35558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93590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52585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36930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6221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85517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04939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6627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9730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1141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0687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17573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44016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4773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201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9779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5810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4568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9980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4713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28164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59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4777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07039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068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85728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87413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65381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95528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3167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8193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98150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2627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656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2574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80792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7499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56057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39240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9786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65964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6767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48738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2727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090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59348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41495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33599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1490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61978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5540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710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87959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91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52632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8798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99228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919842">
                          <w:marLeft w:val="-75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file:///C:\Users\B026633\AppData\Local\Temp\LexDaniaPreview\e1629bfbf6d54a32b17ed55474817fb3\preview.html" TargetMode="External"/><Relationship Id="rId18" Type="http://schemas.openxmlformats.org/officeDocument/2006/relationships/hyperlink" Target="file:///C:\Users\B026633\AppData\Local\Temp\LexDaniaPreview\e1629bfbf6d54a32b17ed55474817fb3\preview.html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file:///C:\Users\B026633\AppData\Local\Temp\LexDaniaPreview\e1629bfbf6d54a32b17ed55474817fb3\preview.htm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file:///C:\Users\B026633\AppData\Local\Temp\LexDaniaPreview\e1629bfbf6d54a32b17ed55474817fb3\preview.html" TargetMode="External"/><Relationship Id="rId17" Type="http://schemas.openxmlformats.org/officeDocument/2006/relationships/hyperlink" Target="file:///C:\Users\B026633\AppData\Local\Temp\LexDaniaPreview\e1629bfbf6d54a32b17ed55474817fb3\preview.html" TargetMode="External"/><Relationship Id="rId25" Type="http://schemas.openxmlformats.org/officeDocument/2006/relationships/hyperlink" Target="file:///C:\Users\B026633\AppData\Local\Temp\LexDaniaPreview\e1629bfbf6d54a32b17ed55474817fb3\preview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B026633\AppData\Local\Temp\LexDaniaPreview\e1629bfbf6d54a32b17ed55474817fb3\preview.html" TargetMode="External"/><Relationship Id="rId20" Type="http://schemas.openxmlformats.org/officeDocument/2006/relationships/hyperlink" Target="file:///C:\Users\B026633\AppData\Local\Temp\LexDaniaPreview\e1629bfbf6d54a32b17ed55474817fb3\preview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C:\Users\B026633\AppData\Local\Temp\LexDaniaPreview\e1629bfbf6d54a32b17ed55474817fb3\preview.html" TargetMode="External"/><Relationship Id="rId24" Type="http://schemas.openxmlformats.org/officeDocument/2006/relationships/hyperlink" Target="file:///C:\Users\B026633\AppData\Local\Temp\LexDaniaPreview\e1629bfbf6d54a32b17ed55474817fb3\preview.html" TargetMode="External"/><Relationship Id="rId5" Type="http://schemas.openxmlformats.org/officeDocument/2006/relationships/styles" Target="styles.xml"/><Relationship Id="rId15" Type="http://schemas.openxmlformats.org/officeDocument/2006/relationships/hyperlink" Target="file:///C:\Users\B026633\AppData\Local\Temp\LexDaniaPreview\e1629bfbf6d54a32b17ed55474817fb3\preview.html" TargetMode="External"/><Relationship Id="rId23" Type="http://schemas.openxmlformats.org/officeDocument/2006/relationships/hyperlink" Target="file:///C:\Users\B026633\AppData\Local\Temp\LexDaniaPreview\e1629bfbf6d54a32b17ed55474817fb3\preview.html" TargetMode="External"/><Relationship Id="rId10" Type="http://schemas.openxmlformats.org/officeDocument/2006/relationships/hyperlink" Target="file:///C:\Users\B026633\AppData\Local\Temp\LexDaniaPreview\e1629bfbf6d54a32b17ed55474817fb3\preview.html" TargetMode="External"/><Relationship Id="rId19" Type="http://schemas.openxmlformats.org/officeDocument/2006/relationships/hyperlink" Target="file:///C:\Users\B026633\AppData\Local\Temp\LexDaniaPreview\e1629bfbf6d54a32b17ed55474817fb3\preview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file:///C:\Users\B026633\AppData\Local\Temp\LexDaniaPreview\e1629bfbf6d54a32b17ed55474817fb3\preview.html" TargetMode="External"/><Relationship Id="rId22" Type="http://schemas.openxmlformats.org/officeDocument/2006/relationships/hyperlink" Target="file:///C:\Users\B026633\AppData\Local\Temp\LexDaniaPreview\e1629bfbf6d54a32b17ed55474817fb3\preview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EAEXP2DD475P-1149199250-4443458</_dlc_DocId>
    <_dlc_DocIdUrl xmlns="8f557624-d6a7-40e5-a06f-ebe44359847b">
      <Url>https://erstdk.sharepoint.com/teams/share/_layouts/15/DocIdRedir.aspx?ID=EAEXP2DD475P-1149199250-4443458</Url>
      <Description>EAEXP2DD475P-1149199250-4443458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896" ma:contentTypeDescription="Opret et nyt dokument." ma:contentTypeScope="" ma:versionID="955128df3a0a1b63f1d35187f68c4dbd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d16e8d07703f996dab192e3a0650c65d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2B435D-A6E3-42AE-9B67-95439FD6101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255D133-DCD7-499B-B1EB-AD7BBB20C8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F5D1C9-146A-4B92-ADC4-36B695EA007A}">
  <ds:schemaRefs>
    <ds:schemaRef ds:uri="http://schemas.microsoft.com/office/2006/metadata/properties"/>
    <ds:schemaRef ds:uri="http://schemas.microsoft.com/office/infopath/2007/PartnerControls"/>
    <ds:schemaRef ds:uri="8f557624-d6a7-40e5-a06f-ebe44359847b"/>
  </ds:schemaRefs>
</ds:datastoreItem>
</file>

<file path=customXml/itemProps4.xml><?xml version="1.0" encoding="utf-8"?>
<ds:datastoreItem xmlns:ds="http://schemas.openxmlformats.org/officeDocument/2006/customXml" ds:itemID="{B077820A-C69A-4C85-A46B-4C12AA803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15</Pages>
  <Words>7151</Words>
  <Characters>40763</Characters>
  <Application>Microsoft Office Word</Application>
  <DocSecurity>0</DocSecurity>
  <Lines>339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Statens It</Company>
  <LinksUpToDate>false</LinksUpToDate>
  <CharactersWithSpaces>47819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Kessy Jensen (FVST)</dc:creator>
  <cp:keywords/>
  <dc:description/>
  <cp:lastModifiedBy>John McCarthy</cp:lastModifiedBy>
  <cp:revision>5</cp:revision>
  <dcterms:created xsi:type="dcterms:W3CDTF">2019-10-08T09:09:00Z</dcterms:created>
  <dcterms:modified xsi:type="dcterms:W3CDTF">2019-10-31T09:00:00Z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0x01010028823DAD65BFDC47A3186F100C863B32</vt:lpwstr>
  </property>
  <property fmtid="{D5CDD505-2E9C-101B-9397-08002B2CF9AE}" pid="3" name="_dlc_policyId">
    <vt:lpwstr>/teams/share/data</vt:lpwstr>
  </property>
  <property fmtid="{D5CDD505-2E9C-101B-9397-08002B2CF9AE}" pid="4" name="ItemRetentionFormula">
    <vt:lpwstr/>
  </property>
  <property fmtid="{D5CDD505-2E9C-101B-9397-08002B2CF9AE}" pid="5" name="_dlc_DocIdItemGuid">
    <vt:lpwstr>3aeea060-d6de-4100-9027-5de1aa74b5f7</vt:lpwstr>
  </property>
</Properties>
</file>