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02B" w:rsidRPr="00BC2E09" w:rsidRDefault="0084002B" w:rsidP="0084002B">
      <w:pPr>
        <w:spacing w:line="360" w:lineRule="auto"/>
        <w:jc w:val="center"/>
        <w:rPr>
          <w:rFonts w:ascii="Courier New" w:hAnsi="Courier New" w:cs="Courier New"/>
          <w:sz w:val="20"/>
        </w:rPr>
      </w:pPr>
      <w:r>
        <w:rPr>
          <w:rFonts w:ascii="Courier New" w:hAnsi="Courier New"/>
          <w:sz w:val="20"/>
        </w:rPr>
        <w:t>1.------IND- 2019 0638 F-- RO- ------ 20191223 --- --- PROIECT</w:t>
      </w:r>
    </w:p>
    <w:p w:rsidR="0084002B" w:rsidRDefault="0084002B"/>
    <w:tbl>
      <w:tblPr>
        <w:tblW w:w="3982" w:type="dxa"/>
        <w:tblInd w:w="57" w:type="dxa"/>
        <w:tblCellMar>
          <w:top w:w="57" w:type="dxa"/>
          <w:left w:w="57" w:type="dxa"/>
          <w:bottom w:w="57" w:type="dxa"/>
          <w:right w:w="57" w:type="dxa"/>
        </w:tblCellMar>
        <w:tblLook w:val="0000"/>
      </w:tblPr>
      <w:tblGrid>
        <w:gridCol w:w="1527"/>
        <w:gridCol w:w="968"/>
        <w:gridCol w:w="1487"/>
      </w:tblGrid>
      <w:tr w:rsidR="00225C75" w:rsidRPr="009A2B80">
        <w:trPr>
          <w:cantSplit/>
        </w:trPr>
        <w:tc>
          <w:tcPr>
            <w:tcW w:w="3982" w:type="dxa"/>
            <w:gridSpan w:val="3"/>
            <w:shd w:val="clear" w:color="auto" w:fill="auto"/>
          </w:tcPr>
          <w:p w:rsidR="00225C75" w:rsidRPr="009A2B80" w:rsidRDefault="00E86068" w:rsidP="00BC6B35">
            <w:pPr>
              <w:pStyle w:val="SNREPUBLIQUE"/>
            </w:pPr>
            <w:r>
              <w:t>REPUBLICA FRANCEZĂ</w:t>
            </w:r>
          </w:p>
        </w:tc>
      </w:tr>
      <w:tr w:rsidR="00225C75" w:rsidRPr="009A2B80">
        <w:trPr>
          <w:cantSplit/>
          <w:trHeight w:hRule="exact" w:val="113"/>
        </w:trPr>
        <w:tc>
          <w:tcPr>
            <w:tcW w:w="1527" w:type="dxa"/>
            <w:shd w:val="clear" w:color="auto" w:fill="auto"/>
          </w:tcPr>
          <w:p w:rsidR="00225C75" w:rsidRPr="009A2B80" w:rsidRDefault="00225C75" w:rsidP="00BC6B35"/>
        </w:tc>
        <w:tc>
          <w:tcPr>
            <w:tcW w:w="968" w:type="dxa"/>
            <w:tcBorders>
              <w:bottom w:val="single" w:sz="2" w:space="0" w:color="000001"/>
            </w:tcBorders>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225C75" w:rsidRPr="009A2B80">
        <w:trPr>
          <w:cantSplit/>
        </w:trPr>
        <w:tc>
          <w:tcPr>
            <w:tcW w:w="3982" w:type="dxa"/>
            <w:gridSpan w:val="3"/>
            <w:shd w:val="clear" w:color="auto" w:fill="auto"/>
          </w:tcPr>
          <w:p w:rsidR="00225C75" w:rsidRPr="009A2B80" w:rsidRDefault="00E86068" w:rsidP="00BC6B35">
            <w:pPr>
              <w:pStyle w:val="SNTimbre"/>
            </w:pPr>
            <w:r>
              <w:t>Ministerul Solidarității și Sănătății</w:t>
            </w:r>
          </w:p>
        </w:tc>
      </w:tr>
      <w:tr w:rsidR="00225C75" w:rsidRPr="009A2B80">
        <w:trPr>
          <w:cantSplit/>
          <w:trHeight w:hRule="exact" w:val="227"/>
        </w:trPr>
        <w:tc>
          <w:tcPr>
            <w:tcW w:w="1527" w:type="dxa"/>
            <w:shd w:val="clear" w:color="auto" w:fill="auto"/>
          </w:tcPr>
          <w:p w:rsidR="00225C75" w:rsidRPr="009A2B80" w:rsidRDefault="00225C75" w:rsidP="00BC6B35"/>
        </w:tc>
        <w:tc>
          <w:tcPr>
            <w:tcW w:w="968" w:type="dxa"/>
            <w:tcBorders>
              <w:bottom w:val="single" w:sz="2" w:space="0" w:color="000001"/>
            </w:tcBorders>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225C75" w:rsidRPr="009A2B80">
        <w:trPr>
          <w:cantSplit/>
          <w:trHeight w:hRule="exact" w:val="227"/>
        </w:trPr>
        <w:tc>
          <w:tcPr>
            <w:tcW w:w="1527" w:type="dxa"/>
            <w:shd w:val="clear" w:color="auto" w:fill="auto"/>
          </w:tcPr>
          <w:p w:rsidR="00225C75" w:rsidRPr="009A2B80" w:rsidRDefault="00225C75" w:rsidP="00BC6B35"/>
        </w:tc>
        <w:tc>
          <w:tcPr>
            <w:tcW w:w="968" w:type="dxa"/>
            <w:shd w:val="clear" w:color="auto" w:fill="auto"/>
          </w:tcPr>
          <w:p w:rsidR="00225C75" w:rsidRPr="009A2B80" w:rsidRDefault="00225C75" w:rsidP="00BC6B35"/>
        </w:tc>
        <w:tc>
          <w:tcPr>
            <w:tcW w:w="1487" w:type="dxa"/>
            <w:shd w:val="clear" w:color="auto" w:fill="auto"/>
          </w:tcPr>
          <w:p w:rsidR="00225C75" w:rsidRPr="009A2B80" w:rsidRDefault="00225C75" w:rsidP="00BC6B35"/>
        </w:tc>
      </w:tr>
      <w:tr w:rsidR="00A87464" w:rsidRPr="009A2B80">
        <w:trPr>
          <w:cantSplit/>
          <w:trHeight w:hRule="exact" w:val="227"/>
        </w:trPr>
        <w:tc>
          <w:tcPr>
            <w:tcW w:w="1527" w:type="dxa"/>
            <w:shd w:val="clear" w:color="auto" w:fill="auto"/>
          </w:tcPr>
          <w:p w:rsidR="00A87464" w:rsidRPr="009A2B80" w:rsidRDefault="00A87464" w:rsidP="00BC6B35"/>
        </w:tc>
        <w:tc>
          <w:tcPr>
            <w:tcW w:w="968" w:type="dxa"/>
            <w:shd w:val="clear" w:color="auto" w:fill="auto"/>
          </w:tcPr>
          <w:p w:rsidR="00A87464" w:rsidRPr="009A2B80" w:rsidRDefault="00A87464" w:rsidP="00BC6B35"/>
        </w:tc>
        <w:tc>
          <w:tcPr>
            <w:tcW w:w="1487" w:type="dxa"/>
            <w:shd w:val="clear" w:color="auto" w:fill="auto"/>
          </w:tcPr>
          <w:p w:rsidR="00A87464" w:rsidRPr="009A2B80" w:rsidRDefault="00A87464" w:rsidP="00BC6B35"/>
        </w:tc>
      </w:tr>
    </w:tbl>
    <w:p w:rsidR="00225C75" w:rsidRPr="009A2B80" w:rsidRDefault="00520E32" w:rsidP="00BC6B35">
      <w:pPr>
        <w:pStyle w:val="SNNature"/>
      </w:pPr>
      <w:r>
        <w:t>Decretul din […]</w:t>
      </w:r>
    </w:p>
    <w:p w:rsidR="00225C75" w:rsidRPr="009A2B80" w:rsidRDefault="00E86068" w:rsidP="00BC6B35">
      <w:pPr>
        <w:pStyle w:val="SNNORCentr"/>
        <w:rPr>
          <w:b/>
          <w:bCs w:val="0"/>
          <w:szCs w:val="24"/>
        </w:rPr>
      </w:pPr>
      <w:r>
        <w:rPr>
          <w:b/>
          <w:bCs w:val="0"/>
          <w:szCs w:val="24"/>
        </w:rPr>
        <w:t>privind informarea prealabilă care trebuie comunicată cumpărătorilor de plante care pot afecta sănătatea umană</w:t>
      </w:r>
    </w:p>
    <w:p w:rsidR="00225C75" w:rsidRPr="009A2B80" w:rsidRDefault="00225C75" w:rsidP="00BC6B35">
      <w:pPr>
        <w:pStyle w:val="SNNORCentr"/>
        <w:rPr>
          <w:b/>
          <w:bCs w:val="0"/>
          <w:szCs w:val="24"/>
        </w:rPr>
      </w:pPr>
    </w:p>
    <w:p w:rsidR="00225C75" w:rsidRPr="009A2B80" w:rsidRDefault="00225C75" w:rsidP="00BC6B35">
      <w:pPr>
        <w:pStyle w:val="SNNORCentr"/>
      </w:pPr>
    </w:p>
    <w:p w:rsidR="00225C75" w:rsidRDefault="00E86068" w:rsidP="00BC6B35">
      <w:pPr>
        <w:pStyle w:val="SNNORCentr"/>
        <w:rPr>
          <w:b/>
        </w:rPr>
      </w:pPr>
      <w:r>
        <w:rPr>
          <w:b/>
        </w:rPr>
        <w:t>NR:AFSP1623107A</w:t>
      </w:r>
    </w:p>
    <w:p w:rsidR="00CB7C84" w:rsidRPr="009A2B80" w:rsidRDefault="00CB7C84" w:rsidP="00BC6B35">
      <w:pPr>
        <w:pStyle w:val="SNNORCentr"/>
        <w:rPr>
          <w:b/>
        </w:rPr>
      </w:pPr>
    </w:p>
    <w:p w:rsidR="007B6F4E" w:rsidRPr="009A2B80" w:rsidRDefault="00E86068" w:rsidP="00BC6B35">
      <w:pPr>
        <w:pStyle w:val="SNAutorit"/>
        <w:rPr>
          <w:i/>
        </w:rPr>
      </w:pPr>
      <w:r>
        <w:rPr>
          <w:i/>
        </w:rPr>
        <w:t>Public vizat: distribuitori și vânzători de plante.</w:t>
      </w:r>
    </w:p>
    <w:p w:rsidR="00032FFB" w:rsidRPr="009A2B80" w:rsidRDefault="00032FFB" w:rsidP="00BC6B35">
      <w:pPr>
        <w:pStyle w:val="SNAutorit"/>
        <w:rPr>
          <w:i/>
        </w:rPr>
      </w:pPr>
    </w:p>
    <w:p w:rsidR="00437A1B" w:rsidRPr="009A2B80" w:rsidRDefault="00E86068" w:rsidP="00BC6B35">
      <w:pPr>
        <w:pStyle w:val="SNAutorit"/>
        <w:rPr>
          <w:i/>
        </w:rPr>
      </w:pPr>
      <w:r>
        <w:rPr>
          <w:i/>
        </w:rPr>
        <w:t>Obiect: definirea tipului și a modalităților de informare prealabilă, înainte de cumpărare, cu privire la riscurile pentru sănătate asociate anumitor plante.</w:t>
      </w:r>
    </w:p>
    <w:p w:rsidR="00032FFB" w:rsidRPr="009A2B80" w:rsidRDefault="00032FFB" w:rsidP="00BC6B35">
      <w:pPr>
        <w:pStyle w:val="SNAutorit"/>
        <w:rPr>
          <w:i/>
        </w:rPr>
      </w:pPr>
    </w:p>
    <w:p w:rsidR="00225C75" w:rsidRPr="009A2B80" w:rsidRDefault="00E86068" w:rsidP="00BC6B35">
      <w:pPr>
        <w:pStyle w:val="SNAutorit"/>
        <w:rPr>
          <w:b/>
          <w:i/>
        </w:rPr>
      </w:pPr>
      <w:r>
        <w:rPr>
          <w:i/>
        </w:rPr>
        <w:t>Intrare în vigoare: prezentul decret intră în vigoare la șase luni de la publicarea sa în Jurnalul Oficial al Republicii Franceze.</w:t>
      </w:r>
    </w:p>
    <w:p w:rsidR="00032FFB" w:rsidRPr="009A2B80" w:rsidRDefault="00032FFB" w:rsidP="00BC6B35">
      <w:pPr>
        <w:pStyle w:val="SNAutorit"/>
        <w:rPr>
          <w:i/>
        </w:rPr>
      </w:pPr>
    </w:p>
    <w:p w:rsidR="00437A1B" w:rsidRPr="009A2B80" w:rsidRDefault="00E86068" w:rsidP="00BC6B35">
      <w:pPr>
        <w:pStyle w:val="SNAutorit"/>
        <w:rPr>
          <w:i/>
        </w:rPr>
      </w:pPr>
      <w:r>
        <w:rPr>
          <w:i/>
        </w:rPr>
        <w:t>Notă: distribuitorii și vânzătorii de plante trebuie să informeze persoanele care cumpără anumite plante cu privire la posibilele riscuri pentru sănătate.</w:t>
      </w:r>
      <w:r w:rsidR="00B23D2C">
        <w:rPr>
          <w:i/>
        </w:rPr>
        <w:t xml:space="preserve"> </w:t>
      </w:r>
      <w:r>
        <w:rPr>
          <w:i/>
        </w:rPr>
        <w:t>Această informare trebuie comunicată înainte de vânzare, fie că este vorba despre o vânzare cu amănuntul, la distanță, de o achiziție publică, sau o prestare de servicii.</w:t>
      </w:r>
    </w:p>
    <w:p w:rsidR="00437A1B" w:rsidRPr="009A2B80" w:rsidRDefault="00CA5DE3" w:rsidP="00BC6B35">
      <w:pPr>
        <w:pStyle w:val="SNAutorit"/>
        <w:rPr>
          <w:i/>
        </w:rPr>
      </w:pPr>
      <w:r>
        <w:rPr>
          <w:i/>
        </w:rPr>
        <w:t>Prezentul decret stabilește modalitățile de informare a cumpărătorilor (conținut, format și modalitate de difuzare a mențiunilor care trebuie să apară pe documentele care însoțesc vânzarea plantelor).Lista plantelor care pot afecta sănătatea umană (risc de intoxicare prin ingerare, risc de alergie respiratorie, risc de reacții cutaneo-mucoase, risc de reacții cutanate anormale în cazul expunerii la soare) și modalitățile de protejarea împotriva lor sunt prezentate în anexă.</w:t>
      </w:r>
    </w:p>
    <w:p w:rsidR="0039448C" w:rsidRPr="009A2B80" w:rsidRDefault="0039448C" w:rsidP="00BC6B35">
      <w:pPr>
        <w:pStyle w:val="SNAutorit"/>
        <w:rPr>
          <w:i/>
        </w:rPr>
      </w:pPr>
      <w:r>
        <w:rPr>
          <w:i/>
        </w:rPr>
        <w:t>În ceea ce privește plantele vizate: materialul forestier de reproducere, plantele vândute pentru consum, florile tăiate, ramurile cu frunze, copacii tăiați care își păstrează foliajul, culturile de țesuturi vegetale și amestecurile de semințe de gazon sunt excluse din prezentul decret.</w:t>
      </w:r>
    </w:p>
    <w:p w:rsidR="0039448C" w:rsidRPr="009A2B80" w:rsidRDefault="0039448C" w:rsidP="00BC6B35">
      <w:pPr>
        <w:pStyle w:val="SNAutorit"/>
        <w:rPr>
          <w:i/>
        </w:rPr>
      </w:pPr>
      <w:r>
        <w:rPr>
          <w:i/>
        </w:rPr>
        <w:t>În ceea ce privește cumpărătorii vizați: profesioniștii din sectorul agricol sunt excluși din prezentul decret.</w:t>
      </w:r>
    </w:p>
    <w:p w:rsidR="0039448C" w:rsidRPr="009A2B80" w:rsidRDefault="0039448C" w:rsidP="00BC6B35">
      <w:pPr>
        <w:pStyle w:val="SNAutorit"/>
        <w:rPr>
          <w:i/>
        </w:rPr>
      </w:pPr>
      <w:r>
        <w:rPr>
          <w:i/>
        </w:rPr>
        <w:t>Achizițiile temporare de plante prin rezervare sunt excluse din prezentul decret.</w:t>
      </w:r>
    </w:p>
    <w:p w:rsidR="00032FFB" w:rsidRPr="009A2B80" w:rsidRDefault="00032FFB" w:rsidP="00BC6B35">
      <w:pPr>
        <w:pStyle w:val="SNAutorit"/>
        <w:rPr>
          <w:i/>
        </w:rPr>
      </w:pPr>
    </w:p>
    <w:p w:rsidR="00225C75" w:rsidRPr="009A2B80" w:rsidRDefault="00E86068" w:rsidP="00BC6B35">
      <w:pPr>
        <w:pStyle w:val="SNAutorit"/>
        <w:rPr>
          <w:b/>
          <w:i/>
        </w:rPr>
      </w:pPr>
      <w:r>
        <w:rPr>
          <w:i/>
        </w:rPr>
        <w:t>Referințe: prezentul decret este adoptat în temeiul articolului L. 1338-3 din Codul sănătății publice, rezultat din articolul 57 din Legea nr. 2016-41 privind modernizarea sistemului de sănătate național.</w:t>
      </w:r>
      <w:r w:rsidR="00B23D2C">
        <w:rPr>
          <w:i/>
        </w:rPr>
        <w:t xml:space="preserve"> </w:t>
      </w:r>
      <w:r>
        <w:rPr>
          <w:i/>
        </w:rPr>
        <w:t>Decretul poate fi consultat pe site-ul Légifrance (http://www.legifrance.gouv.fr).</w:t>
      </w:r>
    </w:p>
    <w:p w:rsidR="00032FFB" w:rsidRPr="009A2B80" w:rsidRDefault="00032FFB" w:rsidP="00BC6B35">
      <w:pPr>
        <w:pStyle w:val="SNAutorit"/>
      </w:pPr>
    </w:p>
    <w:p w:rsidR="00225C75" w:rsidRPr="009A2B80" w:rsidRDefault="00E86068" w:rsidP="00BC6B35">
      <w:pPr>
        <w:pStyle w:val="SNAutorit"/>
      </w:pPr>
      <w:r>
        <w:t>Ministrul solidarității și sănătății, ministrul economiei și finanțelor și ministrul agriculturii și alimentației;</w:t>
      </w:r>
    </w:p>
    <w:p w:rsidR="00032FFB" w:rsidRPr="009A2B80" w:rsidRDefault="00032FFB" w:rsidP="00BC6B35">
      <w:pPr>
        <w:jc w:val="both"/>
      </w:pPr>
    </w:p>
    <w:p w:rsidR="00225C75" w:rsidRPr="009A2B80" w:rsidRDefault="00E86068" w:rsidP="00BC6B35">
      <w:pPr>
        <w:jc w:val="both"/>
      </w:pPr>
      <w:r>
        <w:t>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w:t>
      </w:r>
    </w:p>
    <w:p w:rsidR="00225C75" w:rsidRPr="009A2B80" w:rsidRDefault="00225C75" w:rsidP="00BC6B35">
      <w:pPr>
        <w:jc w:val="both"/>
      </w:pPr>
    </w:p>
    <w:p w:rsidR="00225C75" w:rsidRPr="009A2B80" w:rsidRDefault="00E86068" w:rsidP="00BC6B35">
      <w:pPr>
        <w:jc w:val="both"/>
      </w:pPr>
      <w:r>
        <w:t>având în vedere Codul achizițiilor publice, în special articolul L. 2152-2;</w:t>
      </w:r>
    </w:p>
    <w:p w:rsidR="002257F8" w:rsidRPr="009A2B80" w:rsidRDefault="002257F8" w:rsidP="00BC6B35">
      <w:pPr>
        <w:jc w:val="both"/>
      </w:pPr>
    </w:p>
    <w:p w:rsidR="002257F8" w:rsidRPr="009A2B80" w:rsidRDefault="002257F8" w:rsidP="00BC6B35">
      <w:pPr>
        <w:jc w:val="both"/>
      </w:pPr>
      <w:r>
        <w:lastRenderedPageBreak/>
        <w:t>având în vedere Codul sănătății publice, în special articolul L. 1338-3;</w:t>
      </w:r>
    </w:p>
    <w:p w:rsidR="00F018F1" w:rsidRPr="009A2B80" w:rsidRDefault="00F018F1" w:rsidP="00BC6B35">
      <w:pPr>
        <w:jc w:val="both"/>
      </w:pPr>
    </w:p>
    <w:p w:rsidR="00F018F1" w:rsidRPr="001E1E38" w:rsidRDefault="00F018F1" w:rsidP="00BC6B35">
      <w:pPr>
        <w:jc w:val="both"/>
        <w:rPr>
          <w:rStyle w:val="Strong"/>
          <w:b w:val="0"/>
        </w:rPr>
      </w:pPr>
      <w:r>
        <w:rPr>
          <w:rStyle w:val="Strong"/>
          <w:b w:val="0"/>
        </w:rPr>
        <w:t>având în vedere Decretul din 26 iunie 2018 privind comercializarea amestecurilor de semințe de plante furajere;</w:t>
      </w:r>
    </w:p>
    <w:p w:rsidR="00225C75" w:rsidRPr="001E1E38" w:rsidRDefault="00225C75" w:rsidP="00BC6B35">
      <w:pPr>
        <w:jc w:val="both"/>
        <w:rPr>
          <w:rStyle w:val="Strong"/>
          <w:b w:val="0"/>
        </w:rPr>
      </w:pPr>
    </w:p>
    <w:p w:rsidR="001D6E5D" w:rsidRPr="001E1E38" w:rsidRDefault="001D6E5D" w:rsidP="00BC6B35">
      <w:pPr>
        <w:jc w:val="both"/>
        <w:rPr>
          <w:rStyle w:val="Strong"/>
          <w:b w:val="0"/>
        </w:rPr>
      </w:pPr>
      <w:r>
        <w:rPr>
          <w:rStyle w:val="Strong"/>
          <w:b w:val="0"/>
        </w:rPr>
        <w:t>având în vedere avizul Consiliului național al consumatorilor din 22 septembrie 2017;</w:t>
      </w:r>
    </w:p>
    <w:p w:rsidR="001D6E5D" w:rsidRPr="009A2B80" w:rsidRDefault="001D6E5D" w:rsidP="00BC6B35">
      <w:pPr>
        <w:jc w:val="both"/>
      </w:pPr>
    </w:p>
    <w:p w:rsidR="00225C75" w:rsidRPr="009A2B80" w:rsidRDefault="00E86068" w:rsidP="00BC6B35">
      <w:pPr>
        <w:jc w:val="both"/>
      </w:pPr>
      <w:r>
        <w:t>având în vedere avizul Consiliului Superior al Sănătății Publice din 16 noiembrie 2017;</w:t>
      </w:r>
    </w:p>
    <w:p w:rsidR="00B02998" w:rsidRPr="009A2B80" w:rsidRDefault="00B02998" w:rsidP="00BC6B35">
      <w:pPr>
        <w:jc w:val="both"/>
      </w:pPr>
    </w:p>
    <w:p w:rsidR="00B02998" w:rsidRPr="009A2B80" w:rsidRDefault="00B02998" w:rsidP="00BC6B35">
      <w:pPr>
        <w:jc w:val="both"/>
      </w:pPr>
    </w:p>
    <w:p w:rsidR="00225C75" w:rsidRPr="009A2B80" w:rsidRDefault="00225C75" w:rsidP="00BC6B35">
      <w:pPr>
        <w:jc w:val="both"/>
      </w:pPr>
    </w:p>
    <w:p w:rsidR="00225C75" w:rsidRPr="009A2B80" w:rsidRDefault="00E86068" w:rsidP="00CB7C84">
      <w:pPr>
        <w:keepNext/>
        <w:jc w:val="center"/>
      </w:pPr>
      <w:r>
        <w:t>Hotărăsc:</w:t>
      </w:r>
    </w:p>
    <w:p w:rsidR="005B14CD" w:rsidRPr="009A2B80" w:rsidRDefault="005B14CD" w:rsidP="00CB7C84">
      <w:pPr>
        <w:keepNext/>
        <w:jc w:val="center"/>
      </w:pPr>
    </w:p>
    <w:p w:rsidR="00225C75" w:rsidRPr="009A2B80" w:rsidRDefault="00E86068" w:rsidP="00CB7C84">
      <w:pPr>
        <w:pStyle w:val="SNArticle"/>
        <w:keepNext/>
        <w:rPr>
          <w:vertAlign w:val="superscript"/>
        </w:rPr>
      </w:pPr>
      <w:r>
        <w:t>Articolul 1</w:t>
      </w:r>
    </w:p>
    <w:p w:rsidR="00225C75" w:rsidRPr="009A2B80" w:rsidRDefault="00E86068" w:rsidP="00CB7C84">
      <w:pPr>
        <w:pStyle w:val="BodyText"/>
        <w:keepNext/>
        <w:spacing w:after="0"/>
      </w:pPr>
      <w:r>
        <w:t>În sensul prezentului decret, se aplică următoarele definiții:</w:t>
      </w:r>
    </w:p>
    <w:p w:rsidR="00225C75" w:rsidRPr="009A2B80" w:rsidRDefault="00225C75" w:rsidP="00CB7C84">
      <w:pPr>
        <w:pStyle w:val="BodyText"/>
        <w:keepNext/>
        <w:spacing w:after="0"/>
      </w:pPr>
    </w:p>
    <w:p w:rsidR="00225C75" w:rsidRPr="009A2B80" w:rsidRDefault="00E86068" w:rsidP="00BC6B35">
      <w:pPr>
        <w:pStyle w:val="BodyText"/>
        <w:spacing w:after="0"/>
      </w:pPr>
      <w:r>
        <w:t>1. „plantă” înseamnă o plantă vie, sămânță, tubercul, bulb, rizom.</w:t>
      </w:r>
      <w:r w:rsidR="00B23D2C">
        <w:t xml:space="preserve"> </w:t>
      </w:r>
      <w:r>
        <w:t>Materialul forestier de reproducere, plantele vândute pentru consum, florile tăiate, ramurile cu frunze, copacii tăiați care își păstrează foliajul, culturile de țesuturi vegetale și amestecurile de semințe de gazon sunt excluse din această definiție în conformitate cu Decretul din 26 iunie 2018 susmenționat;</w:t>
      </w:r>
    </w:p>
    <w:p w:rsidR="00225C75" w:rsidRPr="009A2B80" w:rsidRDefault="00225C75" w:rsidP="00BC6B35">
      <w:pPr>
        <w:pStyle w:val="BodyText"/>
        <w:spacing w:after="0"/>
      </w:pPr>
    </w:p>
    <w:p w:rsidR="00225C75" w:rsidRPr="009A2B80" w:rsidRDefault="00E86068" w:rsidP="00BC6B35">
      <w:pPr>
        <w:pStyle w:val="BodyText"/>
        <w:spacing w:after="0"/>
      </w:pPr>
      <w:r>
        <w:t>2. „distribuitor” sau „vânzător” înseamnă o persoană, fizică sau juridică, care distribuie sau vinde plante unui cumpărător, inclusiv în cadrul unei prestări de servicii;</w:t>
      </w:r>
    </w:p>
    <w:p w:rsidR="00225C75" w:rsidRPr="009A2B80" w:rsidRDefault="00225C75" w:rsidP="00BC6B35">
      <w:pPr>
        <w:pStyle w:val="BodyText"/>
        <w:spacing w:after="0"/>
      </w:pPr>
    </w:p>
    <w:p w:rsidR="00225C75" w:rsidRPr="009A2B80" w:rsidRDefault="00E86068" w:rsidP="00BC6B35">
      <w:pPr>
        <w:pStyle w:val="BodyText"/>
        <w:spacing w:after="0"/>
      </w:pPr>
      <w:r>
        <w:t>3. „cumpărător” înseamnă o persoană, fizică sau juridică, care cumpără plante de la un vânzător sau distribuitor, inclusiv în cadrul unei prestări de servicii.</w:t>
      </w:r>
      <w:r w:rsidR="00B23D2C">
        <w:t xml:space="preserve"> </w:t>
      </w:r>
      <w:r>
        <w:t>Profesioniștii din sectorul agricol nu pot fi considerați cumpărători în sensul prezentului decret.</w:t>
      </w:r>
    </w:p>
    <w:p w:rsidR="00225C75" w:rsidRPr="009A2B80" w:rsidRDefault="00225C75" w:rsidP="00BC6B35">
      <w:pPr>
        <w:pStyle w:val="BodyText"/>
        <w:spacing w:after="0"/>
      </w:pPr>
    </w:p>
    <w:p w:rsidR="00225C75" w:rsidRPr="009A2B80" w:rsidRDefault="00E86068" w:rsidP="00BC6B35">
      <w:pPr>
        <w:pStyle w:val="BodyText"/>
        <w:spacing w:after="0"/>
      </w:pPr>
      <w:r>
        <w:t>4. „document de însoțire” înseamnă o etichetă, un afiș, o broșură, un afișaj, un suport descriptiv al produsului, un deviz, condiții generale de vânzare sau orice alt produs de informare conținând informațiile destinate cumpărătorului unei plante și pus la dispoziție de către distribuitor sau vânzător;</w:t>
      </w:r>
    </w:p>
    <w:p w:rsidR="0079774B" w:rsidRPr="009A2B80" w:rsidRDefault="0079774B" w:rsidP="00BC6B35">
      <w:pPr>
        <w:pStyle w:val="BodyText"/>
        <w:spacing w:after="0"/>
      </w:pPr>
    </w:p>
    <w:p w:rsidR="0079774B" w:rsidRPr="009A2B80" w:rsidRDefault="0079774B" w:rsidP="00BC6B35">
      <w:pPr>
        <w:pStyle w:val="BodyText"/>
        <w:spacing w:after="0"/>
      </w:pPr>
      <w:r>
        <w:t>5. „care poate afecta sănătatea umană” înseamnă că poate provoca persoanelor intoxicare prin ingerare, alergii respiratorii, reacții cutaneo-mucoase sau reacții cutanate anormale în cazul expunerii la soare.</w:t>
      </w:r>
    </w:p>
    <w:p w:rsidR="00225C75" w:rsidRPr="009A2B80" w:rsidRDefault="00E86068" w:rsidP="00CB7C84">
      <w:pPr>
        <w:keepNext/>
        <w:spacing w:before="240" w:after="240"/>
        <w:jc w:val="center"/>
        <w:rPr>
          <w:b/>
          <w:bCs/>
        </w:rPr>
      </w:pPr>
      <w:r>
        <w:rPr>
          <w:b/>
          <w:bCs/>
        </w:rPr>
        <w:t>Articolul 2</w:t>
      </w:r>
    </w:p>
    <w:p w:rsidR="00225C75" w:rsidRPr="009A2B80" w:rsidRDefault="00E86068" w:rsidP="00BC6B35">
      <w:pPr>
        <w:pStyle w:val="BodyText"/>
        <w:spacing w:after="0"/>
      </w:pPr>
      <w:r>
        <w:t>I.</w:t>
      </w:r>
      <w:r>
        <w:tab/>
        <w:t>Distribuitorii și vânzătorii trebuie să afișeze în mod vizibil și lizibil, pe documentul de însoțire al plantelor care pot afecta sănătatea umană a căror listă figurează în anexă, informațiile menționate în aceeași anexă.</w:t>
      </w:r>
      <w:r w:rsidR="00B23D2C">
        <w:t xml:space="preserve"> </w:t>
      </w:r>
      <w:r>
        <w:t>Documentul de însoțire este ușor accesibil pentru cumpărător înainte de vânzare.</w:t>
      </w:r>
    </w:p>
    <w:p w:rsidR="00225C75" w:rsidRPr="009A2B80" w:rsidRDefault="00225C75" w:rsidP="00BC6B35">
      <w:pPr>
        <w:pStyle w:val="BodyText"/>
        <w:spacing w:after="0"/>
      </w:pPr>
    </w:p>
    <w:p w:rsidR="00225C75" w:rsidRPr="009A2B80" w:rsidRDefault="00E86068" w:rsidP="00CB7C84">
      <w:pPr>
        <w:pStyle w:val="BodyText"/>
        <w:keepNext/>
        <w:spacing w:after="0"/>
      </w:pPr>
      <w:r>
        <w:t>II.- În cazul:</w:t>
      </w:r>
    </w:p>
    <w:p w:rsidR="00225C75" w:rsidRPr="009A2B80" w:rsidRDefault="00E86068" w:rsidP="00BC6B35">
      <w:pPr>
        <w:pStyle w:val="BodyText"/>
        <w:spacing w:after="0"/>
        <w:ind w:firstLine="284"/>
      </w:pPr>
      <w:r>
        <w:t>- unei vânzări cu amănuntul: documentul de însoțire trebuie să se afle în imediata apropiere a plantelor vizate;</w:t>
      </w:r>
    </w:p>
    <w:p w:rsidR="00225C75" w:rsidRPr="009A2B80" w:rsidRDefault="00E86068" w:rsidP="00BC6B35">
      <w:pPr>
        <w:pStyle w:val="BodyText"/>
        <w:spacing w:after="0"/>
        <w:ind w:firstLine="284"/>
      </w:pPr>
      <w:r>
        <w:t>- unei vânzări la distanță: informațiile menționate în anexă sunt afișate pe același suport de informare ca cel de prezentare a plantei care face obiectul vânzării, lângă informațiile de prezentare a plantei;</w:t>
      </w:r>
    </w:p>
    <w:p w:rsidR="00270021" w:rsidRPr="009A2B80" w:rsidRDefault="00270021" w:rsidP="00BC6B35">
      <w:pPr>
        <w:ind w:firstLine="284"/>
        <w:jc w:val="both"/>
        <w:rPr>
          <w:sz w:val="22"/>
          <w:szCs w:val="22"/>
        </w:rPr>
      </w:pPr>
      <w:r>
        <w:t>- unei proceduri de atribuire a unui contract de achiziții publice, contractantul atașează ofertei anexa la prezentul decret.</w:t>
      </w:r>
    </w:p>
    <w:p w:rsidR="00322262" w:rsidRPr="009A2B80" w:rsidRDefault="00322262" w:rsidP="00BC6B35">
      <w:pPr>
        <w:ind w:firstLine="284"/>
        <w:jc w:val="both"/>
      </w:pPr>
    </w:p>
    <w:p w:rsidR="00225C75" w:rsidRPr="009A2B80" w:rsidRDefault="00E86068" w:rsidP="00CB7C84">
      <w:pPr>
        <w:keepNext/>
        <w:spacing w:before="240" w:after="240"/>
        <w:jc w:val="center"/>
        <w:rPr>
          <w:b/>
          <w:bCs/>
        </w:rPr>
      </w:pPr>
      <w:r>
        <w:rPr>
          <w:b/>
          <w:bCs/>
        </w:rPr>
        <w:lastRenderedPageBreak/>
        <w:t>Articolul 3</w:t>
      </w:r>
    </w:p>
    <w:p w:rsidR="00225C75" w:rsidRPr="009A2B80" w:rsidRDefault="005A25EA" w:rsidP="00BC6B35">
      <w:pPr>
        <w:pStyle w:val="BodyText"/>
        <w:spacing w:after="0"/>
      </w:pPr>
      <w:r>
        <w:t xml:space="preserve">Dispozițiile prezentului decret intră în vigoare la șase luni de la publicarea sa în </w:t>
      </w:r>
      <w:r>
        <w:rPr>
          <w:i/>
          <w:iCs/>
        </w:rPr>
        <w:t>Jurnalul Oficial</w:t>
      </w:r>
      <w:r>
        <w:t xml:space="preserve"> al Republicii Franceze.</w:t>
      </w:r>
    </w:p>
    <w:p w:rsidR="00225C75" w:rsidRPr="009A2B80" w:rsidRDefault="00E86068" w:rsidP="00CB7C84">
      <w:pPr>
        <w:keepNext/>
        <w:spacing w:before="240" w:after="240"/>
        <w:jc w:val="center"/>
        <w:rPr>
          <w:b/>
          <w:bCs/>
        </w:rPr>
      </w:pPr>
      <w:r>
        <w:rPr>
          <w:b/>
          <w:bCs/>
        </w:rPr>
        <w:t>Articolul 4</w:t>
      </w:r>
    </w:p>
    <w:p w:rsidR="0011618C" w:rsidRPr="009A2B80" w:rsidRDefault="0011618C" w:rsidP="00BC6B35">
      <w:pPr>
        <w:spacing w:before="240" w:after="240"/>
        <w:jc w:val="both"/>
        <w:rPr>
          <w:bCs/>
        </w:rPr>
      </w:pPr>
      <w:r>
        <w:t xml:space="preserve">Directorul general al sănătății, directorul general al concurenței, consumului și combaterii fraudelor și directorul general al performanței economice și de mediu a întreprinderilor sunt însărcinați, fiecare în sfera sa de competență, cu punerea în aplicare a prezentului decret care va fi publicat în </w:t>
      </w:r>
      <w:r>
        <w:rPr>
          <w:i/>
          <w:iCs/>
        </w:rPr>
        <w:t>Jurnalul Oficial</w:t>
      </w:r>
      <w:r>
        <w:t xml:space="preserve"> al Republicii Franceze.</w:t>
      </w:r>
    </w:p>
    <w:p w:rsidR="00225C75" w:rsidRPr="009A2B80" w:rsidRDefault="00E86068" w:rsidP="00BC6B35">
      <w:pPr>
        <w:pStyle w:val="SNDatearrt"/>
      </w:pPr>
      <w:r>
        <w:t>Adoptat la [ ].</w:t>
      </w:r>
    </w:p>
    <w:p w:rsidR="00225C75" w:rsidRPr="009A2B80" w:rsidRDefault="00225C75" w:rsidP="00BC6B35">
      <w:pPr>
        <w:pStyle w:val="SNSignature"/>
        <w:ind w:firstLine="0"/>
      </w:pPr>
    </w:p>
    <w:p w:rsidR="008254DB" w:rsidRPr="009A2B80" w:rsidRDefault="008254DB" w:rsidP="00BC6B35">
      <w:pPr>
        <w:widowControl w:val="0"/>
        <w:spacing w:before="360" w:line="100" w:lineRule="atLeast"/>
      </w:pPr>
      <w:r>
        <w:t>Ministrul solidarității și sănătății,</w:t>
      </w:r>
    </w:p>
    <w:p w:rsidR="008254DB" w:rsidRPr="009A2B80" w:rsidRDefault="008254DB" w:rsidP="00BC6B35">
      <w:pPr>
        <w:pStyle w:val="SNSignatureGauche"/>
        <w:ind w:firstLine="0"/>
      </w:pPr>
      <w:r>
        <w:t>Pentru ministru și prin delegare:</w:t>
      </w:r>
    </w:p>
    <w:p w:rsidR="008254DB" w:rsidRPr="009A2B80" w:rsidRDefault="008254DB" w:rsidP="00BC6B35">
      <w:pPr>
        <w:pStyle w:val="SNSignatureDroite"/>
        <w:jc w:val="left"/>
      </w:pPr>
      <w:r>
        <w:t>Directorul general al sănătății</w:t>
      </w:r>
    </w:p>
    <w:p w:rsidR="008254DB" w:rsidRPr="009A2B80" w:rsidRDefault="008254DB" w:rsidP="00BC6B35">
      <w:pPr>
        <w:pStyle w:val="SNSignatureDroite"/>
        <w:jc w:val="left"/>
      </w:pPr>
      <w:r>
        <w:t>J. SALOMON</w:t>
      </w: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8254DB" w:rsidRPr="009A2B80" w:rsidRDefault="008254DB" w:rsidP="00BC6B35">
      <w:pPr>
        <w:pStyle w:val="SNSignature"/>
      </w:pPr>
    </w:p>
    <w:p w:rsidR="00225C75" w:rsidRPr="009A2B80" w:rsidRDefault="00E86068" w:rsidP="00BC6B35">
      <w:pPr>
        <w:pStyle w:val="SNSignature"/>
        <w:jc w:val="right"/>
      </w:pPr>
      <w:r>
        <w:t>Ministrul economiei și finanțelor,</w:t>
      </w:r>
    </w:p>
    <w:p w:rsidR="00225C75" w:rsidRPr="009A2B80" w:rsidRDefault="00E86068" w:rsidP="00BC6B35">
      <w:pPr>
        <w:pStyle w:val="SNSignatureGauche"/>
        <w:ind w:left="709" w:firstLine="0"/>
        <w:jc w:val="right"/>
      </w:pPr>
      <w:r>
        <w:t>Pentru ministru și prin delegare:</w:t>
      </w:r>
    </w:p>
    <w:p w:rsidR="00225C75" w:rsidRPr="009A2B80" w:rsidRDefault="00E86068" w:rsidP="00BC6B35">
      <w:pPr>
        <w:pStyle w:val="SNSignature"/>
        <w:ind w:left="708" w:firstLine="12"/>
        <w:jc w:val="right"/>
      </w:pPr>
      <w:r>
        <w:t>Directorul general al concurenței, consumului și combaterii fraudelor,</w:t>
      </w:r>
    </w:p>
    <w:p w:rsidR="00225C75" w:rsidRPr="009A2B80" w:rsidRDefault="00B511A4" w:rsidP="00BC6B35">
      <w:pPr>
        <w:pStyle w:val="SNSignature"/>
        <w:jc w:val="right"/>
      </w:pPr>
      <w:r>
        <w:t>V. BEAUMEUNIER</w:t>
      </w: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225C75" w:rsidP="00BC6B35">
      <w:pPr>
        <w:pStyle w:val="SNSignature"/>
        <w:jc w:val="right"/>
      </w:pPr>
    </w:p>
    <w:p w:rsidR="00225C75" w:rsidRPr="009A2B80" w:rsidRDefault="00E86068" w:rsidP="00BC6B35">
      <w:pPr>
        <w:pStyle w:val="SNSignature"/>
        <w:ind w:firstLine="0"/>
      </w:pPr>
      <w:r>
        <w:t>Ministrul agriculturii și alimentației,</w:t>
      </w:r>
    </w:p>
    <w:p w:rsidR="00225C75" w:rsidRPr="009A2B80" w:rsidRDefault="00E86068" w:rsidP="00BC6B35">
      <w:pPr>
        <w:pStyle w:val="SNSignatureGauche"/>
        <w:ind w:firstLine="0"/>
      </w:pPr>
      <w:r>
        <w:t>Pentru ministru și prin delegare:</w:t>
      </w:r>
    </w:p>
    <w:p w:rsidR="00225C75" w:rsidRPr="009A2B80" w:rsidRDefault="00E86068" w:rsidP="00BC6B35">
      <w:pPr>
        <w:pStyle w:val="SNSignatureDroite"/>
        <w:jc w:val="left"/>
      </w:pPr>
      <w:r>
        <w:t>Directorul general al performanței economice și de mediu a întreprinderilor,</w:t>
      </w:r>
    </w:p>
    <w:p w:rsidR="00225C75" w:rsidRPr="009A2B80" w:rsidRDefault="00C4060A" w:rsidP="00BC6B35">
      <w:pPr>
        <w:pStyle w:val="SNSignatureDroite"/>
        <w:jc w:val="left"/>
      </w:pPr>
      <w:r>
        <w:t>V. METRICH-HECQUET</w:t>
      </w:r>
    </w:p>
    <w:p w:rsidR="00225C75" w:rsidRPr="009A2B80" w:rsidRDefault="00225C75" w:rsidP="00BC6B35">
      <w:pPr>
        <w:pStyle w:val="SNSignature"/>
      </w:pPr>
    </w:p>
    <w:p w:rsidR="00103741" w:rsidRPr="009A2B80" w:rsidRDefault="00103741" w:rsidP="00BC6B35">
      <w:pPr>
        <w:pStyle w:val="SNSignature"/>
        <w:sectPr w:rsidR="00103741" w:rsidRPr="009A2B80" w:rsidSect="00DB02FE">
          <w:headerReference w:type="default" r:id="rId8"/>
          <w:footerReference w:type="default" r:id="rId9"/>
          <w:pgSz w:w="11906" w:h="16838"/>
          <w:pgMar w:top="720" w:right="720" w:bottom="720" w:left="720" w:header="709" w:footer="709" w:gutter="0"/>
          <w:cols w:space="720"/>
          <w:formProt w:val="0"/>
          <w:docGrid w:linePitch="360" w:charSpace="-6145"/>
        </w:sectPr>
      </w:pPr>
    </w:p>
    <w:p w:rsidR="00225C75" w:rsidRPr="009A2B80" w:rsidRDefault="00E86068" w:rsidP="00BC6B35">
      <w:pPr>
        <w:pStyle w:val="SNSignature"/>
        <w:ind w:firstLine="0"/>
        <w:jc w:val="center"/>
        <w:rPr>
          <w:b/>
        </w:rPr>
      </w:pPr>
      <w:r>
        <w:rPr>
          <w:b/>
        </w:rPr>
        <w:lastRenderedPageBreak/>
        <w:t>ANEXĂ:</w:t>
      </w:r>
    </w:p>
    <w:p w:rsidR="00225C75" w:rsidRPr="009A2B80" w:rsidRDefault="00E86068" w:rsidP="00BC6B35">
      <w:pPr>
        <w:pStyle w:val="SNSignature"/>
        <w:ind w:firstLine="0"/>
        <w:jc w:val="center"/>
      </w:pPr>
      <w:r>
        <w:rPr>
          <w:b/>
        </w:rPr>
        <w:t>Lista plantelor care pot afecta sănătatea umană și informațiile care trebuie menționate pe documentele de însoțire a plantelor.</w:t>
      </w:r>
    </w:p>
    <w:p w:rsidR="00225C75" w:rsidRPr="009A2B80" w:rsidRDefault="00225C75" w:rsidP="00BC6B35">
      <w:pPr>
        <w:pStyle w:val="SNSignature"/>
        <w:ind w:firstLine="0"/>
        <w:jc w:val="both"/>
      </w:pPr>
    </w:p>
    <w:p w:rsidR="00095D1E" w:rsidRPr="009A2B80" w:rsidRDefault="00095D1E" w:rsidP="00BC6B35">
      <w:pPr>
        <w:pStyle w:val="SNSignature"/>
        <w:ind w:firstLine="0"/>
        <w:jc w:val="both"/>
      </w:pPr>
      <w:r>
        <w:t>Cu excepția unor indicații contrare, informațiile se aplică tuturor varietăților, subspeciilor și varietăților obținute prin selecție în urma unor culturi succesive ale speciilor indicate.</w:t>
      </w:r>
    </w:p>
    <w:p w:rsidR="00225C75" w:rsidRPr="009A2B80" w:rsidRDefault="00225C75" w:rsidP="00BC6B35">
      <w:pPr>
        <w:pStyle w:val="SNSignature"/>
        <w:ind w:firstLine="0"/>
        <w:jc w:val="both"/>
      </w:pPr>
    </w:p>
    <w:p w:rsidR="00225C75" w:rsidRPr="009A2B80" w:rsidRDefault="00E86068" w:rsidP="00CB7C84">
      <w:pPr>
        <w:pStyle w:val="SNSignature"/>
        <w:keepNext/>
        <w:ind w:firstLine="0"/>
        <w:jc w:val="both"/>
        <w:rPr>
          <w:b/>
          <w:u w:val="single"/>
        </w:rPr>
      </w:pPr>
      <w:r>
        <w:rPr>
          <w:b/>
          <w:u w:val="single"/>
        </w:rPr>
        <w:t>1. Lista speciilor care pot fi toxice în caz de ingerare.</w:t>
      </w:r>
    </w:p>
    <w:p w:rsidR="00225C75" w:rsidRPr="009A2B80" w:rsidRDefault="00225C75"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jc w:val="center"/>
              <w:rPr>
                <w:b/>
                <w:sz w:val="22"/>
              </w:rPr>
            </w:pPr>
            <w:r>
              <w:rPr>
                <w:b/>
                <w:sz w:val="22"/>
                <w:szCs w:val="22"/>
              </w:rPr>
              <w:t>Denumire științifică</w:t>
            </w:r>
          </w:p>
        </w:tc>
        <w:tc>
          <w:tcPr>
            <w:tcW w:w="4394" w:type="dxa"/>
            <w:shd w:val="clear" w:color="auto" w:fill="F2F2F2"/>
            <w:tcMar>
              <w:left w:w="108" w:type="dxa"/>
            </w:tcMar>
            <w:vAlign w:val="center"/>
          </w:tcPr>
          <w:p w:rsidR="007769BF" w:rsidRPr="009A2B80" w:rsidRDefault="007769BF" w:rsidP="00CB7C84">
            <w:pPr>
              <w:keepNext/>
              <w:jc w:val="center"/>
              <w:rPr>
                <w:b/>
                <w:sz w:val="22"/>
              </w:rPr>
            </w:pPr>
            <w:r>
              <w:rPr>
                <w:b/>
                <w:sz w:val="22"/>
                <w:szCs w:val="22"/>
              </w:rPr>
              <w:t>Denumire de uz general</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Aconitum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Aconit, Omag</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Aethusa cynapium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Cucută mică</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Atropa belladonna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Beladonă</w:t>
            </w:r>
          </w:p>
        </w:tc>
      </w:tr>
      <w:tr w:rsidR="00DC59D6" w:rsidRPr="009A2B80" w:rsidTr="00BC6B35">
        <w:tc>
          <w:tcPr>
            <w:tcW w:w="4962" w:type="dxa"/>
            <w:shd w:val="clear" w:color="auto" w:fill="FFFFFF"/>
            <w:tcMar>
              <w:left w:w="108" w:type="dxa"/>
            </w:tcMar>
            <w:vAlign w:val="center"/>
          </w:tcPr>
          <w:p w:rsidR="00DC59D6" w:rsidRPr="009A2B80" w:rsidRDefault="00DC59D6" w:rsidP="00BC6B35">
            <w:pPr>
              <w:rPr>
                <w:i/>
                <w:sz w:val="22"/>
              </w:rPr>
            </w:pPr>
            <w:r>
              <w:rPr>
                <w:i/>
                <w:sz w:val="22"/>
                <w:szCs w:val="22"/>
              </w:rPr>
              <w:t>Brugmansia sp.</w:t>
            </w:r>
          </w:p>
        </w:tc>
        <w:tc>
          <w:tcPr>
            <w:tcW w:w="4394" w:type="dxa"/>
            <w:shd w:val="clear" w:color="auto" w:fill="FFFFFF"/>
            <w:tcMar>
              <w:left w:w="108" w:type="dxa"/>
            </w:tcMar>
            <w:vAlign w:val="center"/>
          </w:tcPr>
          <w:p w:rsidR="00DC59D6" w:rsidRPr="009A2B80" w:rsidRDefault="00DC59D6" w:rsidP="00BC6B35">
            <w:pPr>
              <w:rPr>
                <w:sz w:val="22"/>
              </w:rPr>
            </w:pPr>
            <w:r>
              <w:rPr>
                <w:sz w:val="22"/>
                <w:szCs w:val="22"/>
              </w:rPr>
              <w:t>Brugmansia</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Cicuta virosa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Buciniș de baltă</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Colchicum autumnale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Brândușă de toamnă</w:t>
            </w:r>
          </w:p>
        </w:tc>
      </w:tr>
      <w:tr w:rsidR="007769BF" w:rsidRPr="009A2B80" w:rsidTr="00BC6B35">
        <w:tc>
          <w:tcPr>
            <w:tcW w:w="4962" w:type="dxa"/>
            <w:shd w:val="clear" w:color="auto" w:fill="FFFFFF"/>
            <w:tcMar>
              <w:left w:w="108" w:type="dxa"/>
            </w:tcMar>
            <w:vAlign w:val="center"/>
          </w:tcPr>
          <w:p w:rsidR="007769BF" w:rsidRPr="009A2B80" w:rsidDel="00384BB5" w:rsidRDefault="007769BF" w:rsidP="00BC6B35">
            <w:pPr>
              <w:rPr>
                <w:sz w:val="22"/>
              </w:rPr>
            </w:pPr>
            <w:r>
              <w:rPr>
                <w:i/>
                <w:sz w:val="22"/>
                <w:szCs w:val="22"/>
              </w:rPr>
              <w:t xml:space="preserve">Conium maculatum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Cucută</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Daphne laureola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Piperul lupului, dafin</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Daphne mezereum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Piperul lupului, mălin</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Datura stramonium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Ciumăfaia</w:t>
            </w:r>
          </w:p>
        </w:tc>
      </w:tr>
      <w:tr w:rsidR="00CA046E" w:rsidRPr="009A2B80" w:rsidTr="00BC6B35">
        <w:tc>
          <w:tcPr>
            <w:tcW w:w="4962" w:type="dxa"/>
            <w:shd w:val="clear" w:color="auto" w:fill="FFFFFF"/>
            <w:tcMar>
              <w:left w:w="108" w:type="dxa"/>
            </w:tcMar>
            <w:vAlign w:val="center"/>
          </w:tcPr>
          <w:p w:rsidR="00CA046E" w:rsidRPr="009A2B80" w:rsidRDefault="00CA046E" w:rsidP="00BC6B35">
            <w:pPr>
              <w:rPr>
                <w:i/>
                <w:sz w:val="22"/>
              </w:rPr>
            </w:pPr>
            <w:r>
              <w:rPr>
                <w:i/>
                <w:sz w:val="22"/>
                <w:szCs w:val="22"/>
              </w:rPr>
              <w:t xml:space="preserve">Datura wrightii </w:t>
            </w:r>
            <w:r>
              <w:rPr>
                <w:i/>
                <w:sz w:val="16"/>
                <w:szCs w:val="22"/>
              </w:rPr>
              <w:t>R. 1859</w:t>
            </w:r>
          </w:p>
        </w:tc>
        <w:tc>
          <w:tcPr>
            <w:tcW w:w="4394" w:type="dxa"/>
            <w:shd w:val="clear" w:color="auto" w:fill="FFFFFF"/>
            <w:tcMar>
              <w:left w:w="108" w:type="dxa"/>
            </w:tcMar>
            <w:vAlign w:val="center"/>
          </w:tcPr>
          <w:p w:rsidR="00CA046E" w:rsidRPr="009A2B80" w:rsidRDefault="00CA046E" w:rsidP="00BC6B35">
            <w:pPr>
              <w:rPr>
                <w:sz w:val="22"/>
              </w:rPr>
            </w:pPr>
            <w:r>
              <w:rPr>
                <w:sz w:val="22"/>
                <w:szCs w:val="22"/>
              </w:rPr>
              <w:t>Datura</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Delphinium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Nemțișor de grădină, nemțișor de câmp</w:t>
            </w:r>
          </w:p>
        </w:tc>
      </w:tr>
      <w:tr w:rsidR="007769BF" w:rsidRPr="009A2B80" w:rsidTr="00BC6B35">
        <w:tc>
          <w:tcPr>
            <w:tcW w:w="4962" w:type="dxa"/>
            <w:shd w:val="clear" w:color="auto" w:fill="FFFFFF"/>
            <w:tcMar>
              <w:left w:w="108" w:type="dxa"/>
            </w:tcMar>
            <w:vAlign w:val="center"/>
          </w:tcPr>
          <w:p w:rsidR="007769BF" w:rsidRPr="009A2B80" w:rsidRDefault="007769BF" w:rsidP="00BC6B35">
            <w:pPr>
              <w:ind w:left="1416" w:hanging="1416"/>
              <w:rPr>
                <w:sz w:val="22"/>
              </w:rPr>
            </w:pPr>
            <w:r>
              <w:rPr>
                <w:i/>
                <w:sz w:val="22"/>
                <w:szCs w:val="22"/>
              </w:rPr>
              <w:t xml:space="preserve">Digitalis purpurea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Degețelul roșu</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Gloriosa superba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Crin de malabar, crin agățător</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Nerium oleander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Leandru</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Lupinus L.</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Cafeluțe</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Ricinus communis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Ricin</w:t>
            </w:r>
          </w:p>
        </w:tc>
      </w:tr>
      <w:tr w:rsidR="007769BF" w:rsidRPr="009A2B80" w:rsidTr="00BC6B35">
        <w:tc>
          <w:tcPr>
            <w:tcW w:w="4962" w:type="dxa"/>
            <w:shd w:val="clear" w:color="auto" w:fill="FFFFFF"/>
            <w:tcMar>
              <w:left w:w="108" w:type="dxa"/>
            </w:tcMar>
            <w:vAlign w:val="center"/>
          </w:tcPr>
          <w:p w:rsidR="007769BF" w:rsidRPr="001E1E38" w:rsidRDefault="007769BF" w:rsidP="00BC6B35">
            <w:pPr>
              <w:rPr>
                <w:i/>
                <w:sz w:val="22"/>
              </w:rPr>
            </w:pPr>
            <w:r>
              <w:rPr>
                <w:i/>
                <w:sz w:val="22"/>
                <w:szCs w:val="22"/>
              </w:rPr>
              <w:t>Taxus baccata 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Tisă</w:t>
            </w:r>
          </w:p>
        </w:tc>
      </w:tr>
      <w:tr w:rsidR="007769BF" w:rsidRPr="009A2B80" w:rsidTr="00BC6B35">
        <w:tc>
          <w:tcPr>
            <w:tcW w:w="4962" w:type="dxa"/>
            <w:shd w:val="clear" w:color="auto" w:fill="FFFFFF"/>
            <w:tcMar>
              <w:left w:w="108" w:type="dxa"/>
            </w:tcMar>
            <w:vAlign w:val="center"/>
          </w:tcPr>
          <w:p w:rsidR="007769BF" w:rsidRPr="003A529C" w:rsidRDefault="007769BF" w:rsidP="00BC6B35">
            <w:pPr>
              <w:rPr>
                <w:i/>
                <w:sz w:val="22"/>
              </w:rPr>
            </w:pPr>
            <w:r>
              <w:rPr>
                <w:i/>
                <w:sz w:val="22"/>
                <w:szCs w:val="22"/>
              </w:rPr>
              <w:t>Thevetia peruviana (Pers.)K. Schum., 1895</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Leandru galben</w:t>
            </w:r>
          </w:p>
        </w:tc>
      </w:tr>
      <w:tr w:rsidR="007769BF" w:rsidRPr="009A2B80" w:rsidTr="00BC6B35">
        <w:tc>
          <w:tcPr>
            <w:tcW w:w="9356" w:type="dxa"/>
            <w:gridSpan w:val="2"/>
            <w:shd w:val="clear" w:color="auto" w:fill="F2F2F2"/>
            <w:tcMar>
              <w:left w:w="108" w:type="dxa"/>
            </w:tcMar>
            <w:vAlign w:val="center"/>
          </w:tcPr>
          <w:p w:rsidR="007769BF" w:rsidRPr="001E1E38" w:rsidRDefault="007769BF" w:rsidP="00CB7C84">
            <w:pPr>
              <w:keepNext/>
              <w:jc w:val="center"/>
              <w:rPr>
                <w:i/>
                <w:sz w:val="22"/>
              </w:rPr>
            </w:pPr>
            <w:r>
              <w:rPr>
                <w:i/>
                <w:sz w:val="22"/>
                <w:szCs w:val="22"/>
              </w:rPr>
              <w:t>Informații prevăzute la articolul 2</w:t>
            </w:r>
          </w:p>
        </w:tc>
      </w:tr>
      <w:tr w:rsidR="007769BF" w:rsidRPr="009A2B80" w:rsidTr="00BC6B35">
        <w:tc>
          <w:tcPr>
            <w:tcW w:w="9356" w:type="dxa"/>
            <w:gridSpan w:val="2"/>
            <w:shd w:val="clear" w:color="auto" w:fill="FFFFFF"/>
            <w:tcMar>
              <w:left w:w="108" w:type="dxa"/>
            </w:tcMar>
            <w:vAlign w:val="center"/>
          </w:tcPr>
          <w:p w:rsidR="007769BF" w:rsidRPr="001E1E38" w:rsidRDefault="007769BF" w:rsidP="00BC6B35">
            <w:pPr>
              <w:contextualSpacing/>
              <w:rPr>
                <w:i/>
                <w:sz w:val="22"/>
              </w:rPr>
            </w:pPr>
            <w:r>
              <w:rPr>
                <w:i/>
                <w:sz w:val="22"/>
                <w:szCs w:val="22"/>
              </w:rPr>
              <w:t>Informații privind riscurile:</w:t>
            </w:r>
          </w:p>
          <w:p w:rsidR="007769BF" w:rsidRPr="001E1E38" w:rsidRDefault="00CE6D49" w:rsidP="00BC6B35">
            <w:pPr>
              <w:contextualSpacing/>
              <w:rPr>
                <w:i/>
                <w:sz w:val="22"/>
              </w:rPr>
            </w:pPr>
            <w:r>
              <w:rPr>
                <w:i/>
                <w:sz w:val="22"/>
                <w:szCs w:val="22"/>
              </w:rPr>
              <w:t>Toxic în caz de ingerare.</w:t>
            </w:r>
          </w:p>
          <w:p w:rsidR="007769BF" w:rsidRPr="001E1E38" w:rsidRDefault="007769BF" w:rsidP="00BC6B35">
            <w:pPr>
              <w:contextualSpacing/>
              <w:rPr>
                <w:i/>
                <w:sz w:val="22"/>
              </w:rPr>
            </w:pPr>
          </w:p>
          <w:p w:rsidR="007769BF" w:rsidRPr="001E1E38" w:rsidRDefault="007769BF" w:rsidP="00BC6B35">
            <w:pPr>
              <w:contextualSpacing/>
              <w:rPr>
                <w:i/>
                <w:sz w:val="22"/>
              </w:rPr>
            </w:pPr>
            <w:r>
              <w:rPr>
                <w:i/>
                <w:sz w:val="22"/>
                <w:szCs w:val="22"/>
              </w:rPr>
              <w:t>Informații privind modalitățile de protejare împotriva lor:</w:t>
            </w:r>
          </w:p>
          <w:p w:rsidR="007769BF" w:rsidRPr="001E1E38" w:rsidRDefault="00554C06" w:rsidP="00BC6B35">
            <w:pPr>
              <w:contextualSpacing/>
              <w:rPr>
                <w:i/>
                <w:sz w:val="22"/>
              </w:rPr>
            </w:pPr>
            <w:r>
              <w:rPr>
                <w:i/>
                <w:sz w:val="22"/>
                <w:szCs w:val="22"/>
              </w:rPr>
              <w:t>A nu se păstra la îndemâna copiilor.</w:t>
            </w:r>
          </w:p>
          <w:p w:rsidR="00DB6906" w:rsidRPr="001E1E38" w:rsidRDefault="00DB6906" w:rsidP="00BC6B35">
            <w:pPr>
              <w:contextualSpacing/>
              <w:rPr>
                <w:i/>
                <w:sz w:val="22"/>
              </w:rPr>
            </w:pPr>
            <w:r>
              <w:rPr>
                <w:i/>
                <w:sz w:val="22"/>
                <w:szCs w:val="22"/>
              </w:rPr>
              <w:t>În caz de ingerare, a se apela la un centru toxicologic sau la 15 sau 112.</w:t>
            </w:r>
          </w:p>
          <w:p w:rsidR="00345B03" w:rsidRPr="001E1E38" w:rsidRDefault="00345B03" w:rsidP="00BC6B35">
            <w:pPr>
              <w:pStyle w:val="BodyText"/>
              <w:spacing w:after="0"/>
              <w:rPr>
                <w:i/>
                <w:sz w:val="22"/>
              </w:rPr>
            </w:pPr>
          </w:p>
          <w:p w:rsidR="00345B03" w:rsidRPr="001E1E38" w:rsidRDefault="00345B03" w:rsidP="00BC6B35">
            <w:pPr>
              <w:rPr>
                <w:i/>
                <w:sz w:val="22"/>
              </w:rPr>
            </w:pPr>
            <w:r>
              <w:rPr>
                <w:i/>
                <w:sz w:val="22"/>
                <w:szCs w:val="22"/>
              </w:rPr>
              <w:t>Informații facultative suplimentare:</w:t>
            </w:r>
          </w:p>
          <w:p w:rsidR="007769BF" w:rsidRPr="001E1E38" w:rsidRDefault="007769BF" w:rsidP="00BC6B35">
            <w:pPr>
              <w:contextualSpacing/>
              <w:rPr>
                <w:i/>
                <w:sz w:val="22"/>
              </w:rPr>
            </w:pPr>
            <w:r>
              <w:rPr>
                <w:i/>
                <w:sz w:val="22"/>
                <w:szCs w:val="22"/>
              </w:rPr>
              <w:t>A se păstra eticheta sau o imagine a plantei pentru a facilita identificarea acesteia.</w:t>
            </w:r>
          </w:p>
        </w:tc>
      </w:tr>
    </w:tbl>
    <w:p w:rsidR="007769BF" w:rsidRPr="009A2B80" w:rsidRDefault="007769BF" w:rsidP="00BC6B35">
      <w:pPr>
        <w:pStyle w:val="SNSignature"/>
        <w:ind w:firstLine="0"/>
        <w:jc w:val="both"/>
      </w:pPr>
    </w:p>
    <w:p w:rsidR="007769BF" w:rsidRPr="009A2B80" w:rsidRDefault="007769BF" w:rsidP="00CB7C84">
      <w:pPr>
        <w:pStyle w:val="SNSignature"/>
        <w:keepNext/>
        <w:ind w:firstLine="0"/>
        <w:jc w:val="both"/>
        <w:rPr>
          <w:b/>
          <w:u w:val="single"/>
        </w:rPr>
      </w:pPr>
      <w:r>
        <w:rPr>
          <w:b/>
          <w:u w:val="single"/>
        </w:rPr>
        <w:t>2. Lista speciilor care pot provoca o alergie respiratorie prin polen.</w:t>
      </w:r>
    </w:p>
    <w:p w:rsidR="007769BF" w:rsidRPr="009A2B80" w:rsidRDefault="007769BF" w:rsidP="00CB7C84">
      <w:pPr>
        <w:pStyle w:val="SNSignature"/>
        <w:keepNext/>
        <w:ind w:firstLine="0"/>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rPr>
            </w:pPr>
            <w:r>
              <w:rPr>
                <w:b/>
                <w:sz w:val="22"/>
                <w:szCs w:val="22"/>
              </w:rPr>
              <w:t>Denumire științifică</w:t>
            </w:r>
          </w:p>
        </w:tc>
        <w:tc>
          <w:tcPr>
            <w:tcW w:w="4394" w:type="dxa"/>
            <w:shd w:val="clear" w:color="auto" w:fill="F2F2F2"/>
            <w:tcMar>
              <w:left w:w="108" w:type="dxa"/>
            </w:tcMar>
            <w:vAlign w:val="center"/>
          </w:tcPr>
          <w:p w:rsidR="007769BF" w:rsidRPr="009A2B80" w:rsidRDefault="007769BF" w:rsidP="00CB7C84">
            <w:pPr>
              <w:keepNext/>
              <w:rPr>
                <w:b/>
                <w:sz w:val="22"/>
              </w:rPr>
            </w:pPr>
            <w:r>
              <w:rPr>
                <w:b/>
                <w:sz w:val="22"/>
                <w:szCs w:val="22"/>
              </w:rPr>
              <w:t>Denumire de uz general</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Alnus glutinosa </w:t>
            </w:r>
            <w:r>
              <w:rPr>
                <w:sz w:val="16"/>
                <w:szCs w:val="22"/>
              </w:rPr>
              <w:t>(L.) Gaertn., 1790</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Arinul negru</w:t>
            </w:r>
          </w:p>
        </w:tc>
      </w:tr>
      <w:tr w:rsidR="009F2917" w:rsidRPr="009A2B80" w:rsidTr="00BC6B35">
        <w:tc>
          <w:tcPr>
            <w:tcW w:w="4962" w:type="dxa"/>
            <w:shd w:val="clear" w:color="auto" w:fill="FFFFFF"/>
            <w:tcMar>
              <w:left w:w="108" w:type="dxa"/>
              <w:right w:w="0" w:type="dxa"/>
            </w:tcMar>
            <w:vAlign w:val="center"/>
          </w:tcPr>
          <w:p w:rsidR="009F2917" w:rsidRPr="009A2B80" w:rsidRDefault="009F2917" w:rsidP="00BC6B35">
            <w:pPr>
              <w:rPr>
                <w:i/>
                <w:sz w:val="22"/>
              </w:rPr>
            </w:pPr>
            <w:r>
              <w:rPr>
                <w:i/>
                <w:sz w:val="22"/>
                <w:szCs w:val="22"/>
              </w:rPr>
              <w:t xml:space="preserve">Alnus incana </w:t>
            </w:r>
            <w:r>
              <w:rPr>
                <w:i/>
                <w:sz w:val="16"/>
                <w:szCs w:val="16"/>
              </w:rPr>
              <w:t>(L.) Moench, 1794</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Arinul alb</w:t>
            </w:r>
          </w:p>
        </w:tc>
      </w:tr>
      <w:tr w:rsidR="009F2917" w:rsidRPr="009A2B80" w:rsidTr="00BC6B35">
        <w:tc>
          <w:tcPr>
            <w:tcW w:w="4962" w:type="dxa"/>
            <w:shd w:val="clear" w:color="auto" w:fill="FFFFFF"/>
            <w:tcMar>
              <w:left w:w="108" w:type="dxa"/>
              <w:right w:w="0" w:type="dxa"/>
            </w:tcMar>
            <w:vAlign w:val="center"/>
          </w:tcPr>
          <w:p w:rsidR="009F2917" w:rsidRPr="003A529C" w:rsidRDefault="009F2917" w:rsidP="00BC6B35">
            <w:pPr>
              <w:rPr>
                <w:i/>
                <w:sz w:val="22"/>
              </w:rPr>
            </w:pPr>
            <w:r>
              <w:rPr>
                <w:i/>
                <w:sz w:val="22"/>
                <w:szCs w:val="22"/>
              </w:rPr>
              <w:t>Arrhenatherum elatius</w:t>
            </w:r>
            <w:r>
              <w:rPr>
                <w:sz w:val="16"/>
                <w:szCs w:val="22"/>
              </w:rPr>
              <w:t>(L.) P. Beauv. ex J. Presl &amp; C. Presl, 1819</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Ovăscior</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Artemisia annua </w:t>
            </w:r>
            <w:r>
              <w:rPr>
                <w:sz w:val="16"/>
                <w:szCs w:val="22"/>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Peliniță</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Artemisia vulgaris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Artemisia</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CommentText"/>
              <w:rPr>
                <w:i/>
                <w:sz w:val="22"/>
                <w:szCs w:val="22"/>
              </w:rPr>
            </w:pPr>
            <w:r>
              <w:rPr>
                <w:i/>
                <w:sz w:val="22"/>
                <w:szCs w:val="22"/>
              </w:rPr>
              <w:t xml:space="preserve">Betula pendula </w:t>
            </w:r>
            <w:r>
              <w:rPr>
                <w:sz w:val="16"/>
                <w:szCs w:val="16"/>
              </w:rPr>
              <w:t>Roth, 1788</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Mesteacăn verucos, mesteacăn alb</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CommentText"/>
              <w:rPr>
                <w:i/>
                <w:sz w:val="22"/>
                <w:szCs w:val="22"/>
              </w:rPr>
            </w:pPr>
            <w:r>
              <w:rPr>
                <w:i/>
                <w:sz w:val="22"/>
                <w:szCs w:val="22"/>
              </w:rPr>
              <w:t xml:space="preserve">Betula pubescens </w:t>
            </w:r>
            <w:r>
              <w:rPr>
                <w:sz w:val="16"/>
                <w:szCs w:val="16"/>
              </w:rPr>
              <w:t>Ehrh., 1791</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Mesteacăn pufos</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Broussonetia papyrifera </w:t>
            </w:r>
            <w:r>
              <w:rPr>
                <w:sz w:val="16"/>
                <w:szCs w:val="16"/>
              </w:rPr>
              <w:t>(L.) L'Hér. ex Vent., 1799</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Agud</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Carpinus betulus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Carpen</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Corylus avellana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Alun</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lastRenderedPageBreak/>
              <w:t xml:space="preserve">Corylus colurna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Alun turcesc</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Cryptomeria japonica </w:t>
            </w:r>
            <w:r>
              <w:rPr>
                <w:sz w:val="16"/>
                <w:szCs w:val="16"/>
              </w:rPr>
              <w:t>(Thunb. ex L. f.)D. Don, 1839</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Cedru japonez</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Cupressus arizonica </w:t>
            </w:r>
            <w:r>
              <w:rPr>
                <w:sz w:val="16"/>
                <w:szCs w:val="16"/>
              </w:rPr>
              <w:t>Greene, 1882</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Chiparos de Arizona</w:t>
            </w:r>
          </w:p>
        </w:tc>
      </w:tr>
      <w:tr w:rsidR="009F2917" w:rsidRPr="009A2B80" w:rsidTr="00BC6B35">
        <w:tc>
          <w:tcPr>
            <w:tcW w:w="4962" w:type="dxa"/>
            <w:shd w:val="clear" w:color="auto" w:fill="FFFFFF"/>
            <w:tcMar>
              <w:left w:w="108" w:type="dxa"/>
            </w:tcMar>
            <w:vAlign w:val="center"/>
          </w:tcPr>
          <w:p w:rsidR="009F2917" w:rsidRPr="009A2B80" w:rsidRDefault="009F2917" w:rsidP="00BC6B35">
            <w:pPr>
              <w:pStyle w:val="SNSignature"/>
              <w:ind w:firstLine="0"/>
              <w:rPr>
                <w:sz w:val="22"/>
              </w:rPr>
            </w:pPr>
            <w:r>
              <w:rPr>
                <w:i/>
                <w:sz w:val="22"/>
                <w:szCs w:val="22"/>
              </w:rPr>
              <w:t xml:space="preserve">Cupressus sempervirens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Chiparos</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Deschampsia cespitosa </w:t>
            </w:r>
            <w:r>
              <w:rPr>
                <w:sz w:val="16"/>
                <w:szCs w:val="16"/>
              </w:rPr>
              <w:t>(L.) P. Beauv., 1812</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Păiuș de livadă</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Festuca / Lolium / Schedonorus</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Festuca</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Fraxinus angustifolia </w:t>
            </w:r>
            <w:r>
              <w:rPr>
                <w:sz w:val="16"/>
                <w:szCs w:val="16"/>
              </w:rPr>
              <w:t>Vahl, 1804</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Frasin cu frunze înguste, copac de cenușă</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i/>
                <w:sz w:val="22"/>
              </w:rPr>
            </w:pPr>
            <w:r>
              <w:rPr>
                <w:i/>
                <w:sz w:val="22"/>
                <w:szCs w:val="22"/>
              </w:rPr>
              <w:t xml:space="preserve">Fraxinus excelsior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Frasin</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Fraxinus ornus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Frasin cu flori, frasin de munte</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Juniperus oxycedrus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Ienupăr roșu</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Olea europea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Măslin</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Parietaria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Paracherniță</w:t>
            </w:r>
          </w:p>
        </w:tc>
      </w:tr>
      <w:tr w:rsidR="009F2917" w:rsidRPr="009A2B80" w:rsidTr="00BC6B35">
        <w:tc>
          <w:tcPr>
            <w:tcW w:w="4962" w:type="dxa"/>
            <w:shd w:val="clear" w:color="auto" w:fill="FFFFFF"/>
            <w:tcMar>
              <w:left w:w="108" w:type="dxa"/>
            </w:tcMar>
            <w:vAlign w:val="center"/>
          </w:tcPr>
          <w:p w:rsidR="009F2917" w:rsidRPr="009A2B80" w:rsidRDefault="009F2917" w:rsidP="00BC6B35">
            <w:pPr>
              <w:rPr>
                <w:sz w:val="22"/>
              </w:rPr>
            </w:pPr>
            <w:r>
              <w:rPr>
                <w:i/>
                <w:sz w:val="22"/>
                <w:szCs w:val="22"/>
              </w:rPr>
              <w:t xml:space="preserve">Phalaris arundinacea </w:t>
            </w:r>
            <w:r>
              <w:rPr>
                <w:sz w:val="16"/>
                <w:szCs w:val="16"/>
              </w:rPr>
              <w:t>L., 1753</w:t>
            </w:r>
          </w:p>
        </w:tc>
        <w:tc>
          <w:tcPr>
            <w:tcW w:w="4394" w:type="dxa"/>
            <w:shd w:val="clear" w:color="auto" w:fill="FFFFFF"/>
            <w:tcMar>
              <w:left w:w="108" w:type="dxa"/>
            </w:tcMar>
            <w:vAlign w:val="center"/>
          </w:tcPr>
          <w:p w:rsidR="009F2917" w:rsidRPr="009A2B80" w:rsidRDefault="009F2917" w:rsidP="00BC6B35">
            <w:pPr>
              <w:rPr>
                <w:sz w:val="22"/>
              </w:rPr>
            </w:pPr>
            <w:r>
              <w:rPr>
                <w:sz w:val="22"/>
                <w:szCs w:val="22"/>
              </w:rPr>
              <w:t>Iarbă albă</w:t>
            </w:r>
          </w:p>
        </w:tc>
      </w:tr>
      <w:tr w:rsidR="009F2917" w:rsidRPr="009A2B80" w:rsidTr="00BC6B35">
        <w:tc>
          <w:tcPr>
            <w:tcW w:w="9356" w:type="dxa"/>
            <w:gridSpan w:val="2"/>
            <w:shd w:val="clear" w:color="auto" w:fill="F2F2F2"/>
            <w:tcMar>
              <w:left w:w="108" w:type="dxa"/>
            </w:tcMar>
            <w:vAlign w:val="center"/>
          </w:tcPr>
          <w:p w:rsidR="009F2917" w:rsidRPr="009A2B80" w:rsidRDefault="009F2917" w:rsidP="00CB7C84">
            <w:pPr>
              <w:keepNext/>
              <w:jc w:val="center"/>
              <w:rPr>
                <w:sz w:val="22"/>
              </w:rPr>
            </w:pPr>
            <w:r>
              <w:rPr>
                <w:b/>
                <w:sz w:val="22"/>
                <w:szCs w:val="22"/>
              </w:rPr>
              <w:t>Informații prevăzute la articolul 2</w:t>
            </w:r>
          </w:p>
        </w:tc>
      </w:tr>
      <w:tr w:rsidR="009F2917" w:rsidRPr="009A2B80" w:rsidTr="00BC6B35">
        <w:tc>
          <w:tcPr>
            <w:tcW w:w="9356" w:type="dxa"/>
            <w:gridSpan w:val="2"/>
            <w:shd w:val="clear" w:color="auto" w:fill="FFFFFF"/>
            <w:tcMar>
              <w:left w:w="108" w:type="dxa"/>
            </w:tcMar>
            <w:vAlign w:val="center"/>
          </w:tcPr>
          <w:p w:rsidR="009F2917" w:rsidRPr="009A2B80" w:rsidRDefault="009F2917" w:rsidP="00BC6B35">
            <w:pPr>
              <w:rPr>
                <w:b/>
                <w:sz w:val="22"/>
              </w:rPr>
            </w:pPr>
            <w:r>
              <w:rPr>
                <w:b/>
                <w:sz w:val="22"/>
                <w:szCs w:val="22"/>
                <w:u w:val="single"/>
              </w:rPr>
              <w:t>Informații privind riscurile</w:t>
            </w:r>
            <w:r>
              <w:rPr>
                <w:b/>
                <w:sz w:val="22"/>
                <w:szCs w:val="22"/>
              </w:rPr>
              <w:t>:</w:t>
            </w:r>
          </w:p>
          <w:p w:rsidR="009F2917" w:rsidRPr="009A2B80" w:rsidRDefault="009F2917" w:rsidP="00BC6B35">
            <w:pPr>
              <w:pStyle w:val="BodyText"/>
              <w:spacing w:after="0"/>
              <w:rPr>
                <w:sz w:val="22"/>
              </w:rPr>
            </w:pPr>
            <w:r>
              <w:rPr>
                <w:sz w:val="22"/>
                <w:szCs w:val="22"/>
              </w:rPr>
              <w:t>Pot provoca alergii respiratorii prin polen.</w:t>
            </w:r>
          </w:p>
          <w:p w:rsidR="009F2917" w:rsidRPr="009A2B80" w:rsidRDefault="009F2917" w:rsidP="00BC6B35">
            <w:pPr>
              <w:pStyle w:val="BodyText"/>
              <w:spacing w:after="0"/>
              <w:rPr>
                <w:sz w:val="22"/>
              </w:rPr>
            </w:pPr>
          </w:p>
          <w:p w:rsidR="009F2917" w:rsidRPr="009A2B80" w:rsidRDefault="009F2917" w:rsidP="00BC6B35">
            <w:pPr>
              <w:rPr>
                <w:b/>
                <w:sz w:val="22"/>
              </w:rPr>
            </w:pPr>
            <w:r>
              <w:rPr>
                <w:b/>
                <w:sz w:val="22"/>
                <w:szCs w:val="22"/>
                <w:u w:val="single"/>
              </w:rPr>
              <w:t>Informații privind modalitățile de protejare împotriva lor</w:t>
            </w:r>
            <w:r>
              <w:rPr>
                <w:b/>
                <w:sz w:val="22"/>
                <w:szCs w:val="22"/>
              </w:rPr>
              <w:t>:</w:t>
            </w:r>
          </w:p>
          <w:p w:rsidR="009F2917" w:rsidRPr="009A2B80" w:rsidRDefault="009F2917" w:rsidP="00BC6B35">
            <w:pPr>
              <w:pStyle w:val="BodyText"/>
              <w:spacing w:after="0"/>
              <w:rPr>
                <w:sz w:val="22"/>
              </w:rPr>
            </w:pPr>
            <w:r>
              <w:rPr>
                <w:sz w:val="22"/>
                <w:szCs w:val="22"/>
              </w:rPr>
              <w:t>A se evita expunerea persoanelor alergice.</w:t>
            </w:r>
          </w:p>
        </w:tc>
      </w:tr>
    </w:tbl>
    <w:p w:rsidR="009C4330" w:rsidRPr="009A2B80" w:rsidRDefault="009C4330" w:rsidP="00BC6B35"/>
    <w:p w:rsidR="00124F7C" w:rsidRPr="009A2B80" w:rsidRDefault="00124F7C" w:rsidP="00CB7C84">
      <w:pPr>
        <w:pStyle w:val="SNSignature"/>
        <w:keepNext/>
        <w:ind w:firstLine="0"/>
        <w:jc w:val="both"/>
        <w:rPr>
          <w:b/>
          <w:u w:val="single"/>
        </w:rPr>
      </w:pPr>
      <w:r>
        <w:rPr>
          <w:b/>
          <w:u w:val="single"/>
        </w:rPr>
        <w:t>3. Lista speciilor care pot provoca reacții cutaneo-mucoase</w:t>
      </w:r>
    </w:p>
    <w:p w:rsidR="00124F7C" w:rsidRPr="009A2B80" w:rsidRDefault="00124F7C" w:rsidP="00CB7C84">
      <w:pPr>
        <w:keepN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rPr>
            </w:pPr>
            <w:r>
              <w:rPr>
                <w:b/>
                <w:sz w:val="22"/>
                <w:szCs w:val="22"/>
              </w:rPr>
              <w:t>Denumire științifică</w:t>
            </w:r>
          </w:p>
        </w:tc>
        <w:tc>
          <w:tcPr>
            <w:tcW w:w="4394" w:type="dxa"/>
            <w:shd w:val="clear" w:color="auto" w:fill="F2F2F2"/>
            <w:tcMar>
              <w:left w:w="108" w:type="dxa"/>
            </w:tcMar>
            <w:vAlign w:val="center"/>
          </w:tcPr>
          <w:p w:rsidR="007769BF" w:rsidRPr="009A2B80" w:rsidRDefault="007769BF" w:rsidP="00CB7C84">
            <w:pPr>
              <w:keepNext/>
              <w:rPr>
                <w:b/>
                <w:sz w:val="22"/>
              </w:rPr>
            </w:pPr>
            <w:r>
              <w:rPr>
                <w:b/>
                <w:sz w:val="22"/>
                <w:szCs w:val="22"/>
              </w:rPr>
              <w:t>Denumire de uz general</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Alocasia (Schott) G.Don</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Alocasia, urechea elefantului</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Caladium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Caladium</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Colocasia esculenta (L.) Schott, 1832</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Taro</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Dieffenbachia Schott, 1829</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Araceae, trestie de zahăr sălbatică</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Epipremnum aureum (Linden.&amp; André) G.S.Bunting, 1963</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Iedera diavolului</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Euphorbia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Alior</w:t>
            </w:r>
            <w:r w:rsidRPr="009A2B80">
              <w:rPr>
                <w:rStyle w:val="FootnoteReference"/>
                <w:sz w:val="22"/>
                <w:szCs w:val="22"/>
              </w:rPr>
              <w:footnoteReference w:id="2"/>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Philodendron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Filodendron</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Primula obconica Hance, 1880</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Ciuboțica cucului</w:t>
            </w:r>
          </w:p>
        </w:tc>
      </w:tr>
      <w:tr w:rsidR="00864B42" w:rsidRPr="009A2B80" w:rsidTr="00BC6B35">
        <w:tblPrEx>
          <w:shd w:val="clear" w:color="auto" w:fill="FFFFFF"/>
        </w:tblPrEx>
        <w:tc>
          <w:tcPr>
            <w:tcW w:w="496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rPr>
                <w:i/>
                <w:sz w:val="22"/>
              </w:rPr>
            </w:pPr>
            <w:r>
              <w:rPr>
                <w:i/>
                <w:sz w:val="22"/>
                <w:szCs w:val="22"/>
              </w:rPr>
              <w:t>Spatiphyllum sp.</w:t>
            </w:r>
          </w:p>
        </w:tc>
        <w:tc>
          <w:tcPr>
            <w:tcW w:w="439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rsidR="00864B42" w:rsidRPr="009A2B80" w:rsidRDefault="00864B42" w:rsidP="00BC6B35">
            <w:pPr>
              <w:pStyle w:val="BodyText"/>
              <w:rPr>
                <w:sz w:val="22"/>
              </w:rPr>
            </w:pPr>
            <w:r>
              <w:rPr>
                <w:sz w:val="22"/>
                <w:szCs w:val="22"/>
              </w:rPr>
              <w:t>Crinul Păcii</w:t>
            </w:r>
          </w:p>
        </w:tc>
      </w:tr>
      <w:tr w:rsidR="002810AD" w:rsidRPr="009A2B80" w:rsidTr="00BC6B35">
        <w:tblPrEx>
          <w:shd w:val="clear" w:color="auto" w:fill="FFFFFF"/>
        </w:tblPrEx>
        <w:tc>
          <w:tcPr>
            <w:tcW w:w="4962" w:type="dxa"/>
            <w:shd w:val="clear" w:color="auto" w:fill="FFFFFF"/>
            <w:tcMar>
              <w:left w:w="108" w:type="dxa"/>
            </w:tcMar>
            <w:vAlign w:val="center"/>
          </w:tcPr>
          <w:p w:rsidR="002810AD" w:rsidRPr="009A2B80" w:rsidRDefault="002810AD" w:rsidP="00BC6B35">
            <w:pPr>
              <w:rPr>
                <w:i/>
                <w:sz w:val="22"/>
              </w:rPr>
            </w:pPr>
            <w:r>
              <w:rPr>
                <w:i/>
                <w:sz w:val="22"/>
              </w:rPr>
              <w:t xml:space="preserve">Toxicodendron radicans </w:t>
            </w:r>
            <w:r>
              <w:rPr>
                <w:sz w:val="16"/>
                <w:szCs w:val="16"/>
              </w:rPr>
              <w:t>(L.) Kuntze, 1891</w:t>
            </w:r>
          </w:p>
        </w:tc>
        <w:tc>
          <w:tcPr>
            <w:tcW w:w="4394" w:type="dxa"/>
            <w:shd w:val="clear" w:color="auto" w:fill="FFFFFF"/>
            <w:tcMar>
              <w:left w:w="108" w:type="dxa"/>
            </w:tcMar>
            <w:vAlign w:val="center"/>
          </w:tcPr>
          <w:p w:rsidR="002810AD" w:rsidRPr="009A2B80" w:rsidRDefault="002810AD" w:rsidP="00BC6B35">
            <w:pPr>
              <w:pStyle w:val="BodyText"/>
              <w:spacing w:after="0"/>
              <w:jc w:val="left"/>
              <w:rPr>
                <w:sz w:val="22"/>
              </w:rPr>
            </w:pPr>
            <w:r>
              <w:rPr>
                <w:sz w:val="22"/>
                <w:szCs w:val="22"/>
              </w:rPr>
              <w:t>Sumac otrăvitor</w:t>
            </w:r>
          </w:p>
        </w:tc>
      </w:tr>
      <w:tr w:rsidR="002810AD" w:rsidRPr="009A2B80" w:rsidTr="00BC6B35">
        <w:tblPrEx>
          <w:shd w:val="clear" w:color="auto" w:fill="FFFFFF"/>
        </w:tblPrEx>
        <w:tc>
          <w:tcPr>
            <w:tcW w:w="9356" w:type="dxa"/>
            <w:gridSpan w:val="2"/>
            <w:shd w:val="clear" w:color="auto" w:fill="F2F2F2"/>
            <w:tcMar>
              <w:left w:w="108" w:type="dxa"/>
            </w:tcMar>
            <w:vAlign w:val="center"/>
          </w:tcPr>
          <w:p w:rsidR="002810AD" w:rsidRPr="009A2B80" w:rsidRDefault="002810AD" w:rsidP="00CB7C84">
            <w:pPr>
              <w:pStyle w:val="BodyText"/>
              <w:keepNext/>
              <w:spacing w:after="0"/>
              <w:jc w:val="center"/>
              <w:rPr>
                <w:sz w:val="22"/>
              </w:rPr>
            </w:pPr>
            <w:r>
              <w:rPr>
                <w:b/>
                <w:sz w:val="22"/>
                <w:szCs w:val="22"/>
              </w:rPr>
              <w:t>Informații prevăzute la articolul 2</w:t>
            </w:r>
          </w:p>
        </w:tc>
      </w:tr>
      <w:tr w:rsidR="002810AD" w:rsidRPr="009A2B80" w:rsidTr="00BC6B35">
        <w:tblPrEx>
          <w:shd w:val="clear" w:color="auto" w:fill="FFFFFF"/>
        </w:tblPrEx>
        <w:tc>
          <w:tcPr>
            <w:tcW w:w="9356" w:type="dxa"/>
            <w:gridSpan w:val="2"/>
            <w:shd w:val="clear" w:color="auto" w:fill="FFFFFF"/>
            <w:tcMar>
              <w:left w:w="108" w:type="dxa"/>
            </w:tcMar>
            <w:vAlign w:val="center"/>
          </w:tcPr>
          <w:p w:rsidR="002810AD" w:rsidRPr="009A2B80" w:rsidRDefault="002810AD" w:rsidP="00BC6B35">
            <w:pPr>
              <w:rPr>
                <w:b/>
                <w:sz w:val="22"/>
              </w:rPr>
            </w:pPr>
            <w:r>
              <w:rPr>
                <w:b/>
                <w:sz w:val="22"/>
                <w:szCs w:val="22"/>
                <w:u w:val="single"/>
              </w:rPr>
              <w:t>Informații privind riscurile</w:t>
            </w:r>
            <w:r>
              <w:rPr>
                <w:b/>
                <w:sz w:val="22"/>
                <w:szCs w:val="22"/>
              </w:rPr>
              <w:t>:</w:t>
            </w:r>
          </w:p>
          <w:p w:rsidR="002810AD" w:rsidRPr="009A2B80" w:rsidRDefault="002810AD" w:rsidP="00BC6B35">
            <w:pPr>
              <w:pStyle w:val="BodyText"/>
              <w:spacing w:after="0"/>
              <w:rPr>
                <w:sz w:val="22"/>
              </w:rPr>
            </w:pPr>
            <w:r>
              <w:rPr>
                <w:sz w:val="22"/>
                <w:szCs w:val="22"/>
              </w:rPr>
              <w:t>Pot provoca reacții cutanate anormale, leziuni oculare sau dificultăți de respirație în caz de ingerare.</w:t>
            </w:r>
          </w:p>
          <w:p w:rsidR="002810AD" w:rsidRPr="009A2B80" w:rsidRDefault="002810AD" w:rsidP="00BC6B35">
            <w:pPr>
              <w:pStyle w:val="BodyText"/>
              <w:spacing w:after="0"/>
              <w:rPr>
                <w:sz w:val="22"/>
              </w:rPr>
            </w:pPr>
          </w:p>
          <w:p w:rsidR="002810AD" w:rsidRPr="009A2B80" w:rsidRDefault="002810AD" w:rsidP="00BC6B35">
            <w:pPr>
              <w:rPr>
                <w:b/>
                <w:sz w:val="22"/>
              </w:rPr>
            </w:pPr>
            <w:r>
              <w:rPr>
                <w:b/>
                <w:sz w:val="22"/>
                <w:szCs w:val="22"/>
                <w:u w:val="single"/>
              </w:rPr>
              <w:t>Informații privind modalitățile de protejare împotriva lor</w:t>
            </w:r>
            <w:r>
              <w:rPr>
                <w:b/>
                <w:sz w:val="22"/>
                <w:szCs w:val="22"/>
              </w:rPr>
              <w:t>:</w:t>
            </w:r>
          </w:p>
          <w:p w:rsidR="00864B42" w:rsidRPr="009A2B80" w:rsidRDefault="00864B42" w:rsidP="00BC6B35">
            <w:pPr>
              <w:pStyle w:val="BodyText"/>
              <w:spacing w:after="0"/>
              <w:rPr>
                <w:sz w:val="22"/>
              </w:rPr>
            </w:pPr>
            <w:r>
              <w:rPr>
                <w:sz w:val="22"/>
                <w:szCs w:val="22"/>
              </w:rPr>
              <w:t>A nu se păstra la îndemâna copiilor.</w:t>
            </w:r>
          </w:p>
          <w:p w:rsidR="002810AD" w:rsidRPr="009A2B80" w:rsidRDefault="002810AD" w:rsidP="00BC6B35">
            <w:pPr>
              <w:pStyle w:val="BodyText"/>
              <w:spacing w:after="0"/>
              <w:rPr>
                <w:sz w:val="22"/>
              </w:rPr>
            </w:pPr>
            <w:r>
              <w:rPr>
                <w:sz w:val="22"/>
                <w:szCs w:val="22"/>
              </w:rPr>
              <w:t>A se evita orice contact cu pielea.</w:t>
            </w:r>
          </w:p>
          <w:p w:rsidR="002810AD" w:rsidRPr="009A2B80" w:rsidRDefault="002810AD" w:rsidP="00BC6B35">
            <w:pPr>
              <w:rPr>
                <w:sz w:val="22"/>
              </w:rPr>
            </w:pPr>
            <w:r>
              <w:rPr>
                <w:sz w:val="22"/>
                <w:szCs w:val="22"/>
              </w:rPr>
              <w:t>În caz de contact cu pielea, gura sau ochii, a se clăti cu apă zonele expuse și a se spăla îmbrăcămintea care a intrat în contact.</w:t>
            </w:r>
          </w:p>
          <w:p w:rsidR="002810AD" w:rsidRPr="009A2B80" w:rsidRDefault="002810AD" w:rsidP="00BC6B35">
            <w:pPr>
              <w:rPr>
                <w:sz w:val="22"/>
              </w:rPr>
            </w:pPr>
            <w:r>
              <w:rPr>
                <w:sz w:val="22"/>
                <w:szCs w:val="22"/>
              </w:rPr>
              <w:t>În cazul apariției unei reacții cutanate anormale, a se consulta un centru toxicologic sau un medic.</w:t>
            </w:r>
          </w:p>
          <w:p w:rsidR="002810AD" w:rsidRPr="009A2B80" w:rsidRDefault="00864B42" w:rsidP="00BC6B35">
            <w:pPr>
              <w:pStyle w:val="BodyText"/>
              <w:spacing w:after="0"/>
              <w:rPr>
                <w:sz w:val="22"/>
              </w:rPr>
            </w:pPr>
            <w:r>
              <w:rPr>
                <w:sz w:val="22"/>
                <w:szCs w:val="22"/>
              </w:rPr>
              <w:t>În caz de dificultăți de respirație, a se apela imediat 15 sau 122.</w:t>
            </w:r>
          </w:p>
          <w:p w:rsidR="00864B42" w:rsidRPr="009A2B80" w:rsidRDefault="00864B42" w:rsidP="00BC6B35">
            <w:pPr>
              <w:pStyle w:val="BodyText"/>
              <w:spacing w:after="0"/>
              <w:rPr>
                <w:sz w:val="22"/>
              </w:rPr>
            </w:pPr>
          </w:p>
          <w:p w:rsidR="002810AD" w:rsidRPr="009A2B80" w:rsidRDefault="002810AD" w:rsidP="00BC6B35">
            <w:pPr>
              <w:rPr>
                <w:b/>
                <w:sz w:val="22"/>
              </w:rPr>
            </w:pPr>
            <w:r>
              <w:rPr>
                <w:b/>
                <w:sz w:val="22"/>
                <w:szCs w:val="22"/>
                <w:u w:val="single"/>
              </w:rPr>
              <w:t>Informații facultative suplimentare:</w:t>
            </w:r>
          </w:p>
          <w:p w:rsidR="002810AD" w:rsidRPr="009A2B80" w:rsidRDefault="002810AD" w:rsidP="00BC6B35">
            <w:pPr>
              <w:pStyle w:val="BodyText"/>
              <w:spacing w:after="0"/>
              <w:jc w:val="left"/>
              <w:rPr>
                <w:sz w:val="22"/>
              </w:rPr>
            </w:pPr>
            <w:r>
              <w:rPr>
                <w:sz w:val="22"/>
                <w:szCs w:val="22"/>
              </w:rPr>
              <w:t>A se păstra eticheta sau o imagine a plantei pentru a facilita identificarea acesteia.</w:t>
            </w:r>
          </w:p>
        </w:tc>
      </w:tr>
    </w:tbl>
    <w:p w:rsidR="00864B42" w:rsidRPr="009A2B80" w:rsidRDefault="00864B42" w:rsidP="00BC6B35"/>
    <w:p w:rsidR="007769BF" w:rsidRPr="009A2B80" w:rsidRDefault="00864B42" w:rsidP="00CB7C84">
      <w:pPr>
        <w:keepNext/>
        <w:jc w:val="both"/>
        <w:rPr>
          <w:b/>
          <w:u w:val="single"/>
        </w:rPr>
      </w:pPr>
      <w:r>
        <w:rPr>
          <w:b/>
          <w:u w:val="single"/>
        </w:rPr>
        <w:lastRenderedPageBreak/>
        <w:t>4. Lista speciilor care pot provoca reacții cutanate anormale în cazul contactului cu apă și al expunerii la soare (fotodermatoză).</w:t>
      </w:r>
    </w:p>
    <w:p w:rsidR="007769BF" w:rsidRPr="009A2B80" w:rsidRDefault="007769BF" w:rsidP="00CB7C84">
      <w:pPr>
        <w:keepNext/>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4394"/>
      </w:tblGrid>
      <w:tr w:rsidR="007769BF" w:rsidRPr="009A2B80" w:rsidTr="00BC6B35">
        <w:tc>
          <w:tcPr>
            <w:tcW w:w="4962" w:type="dxa"/>
            <w:shd w:val="clear" w:color="auto" w:fill="F2F2F2"/>
            <w:tcMar>
              <w:left w:w="108" w:type="dxa"/>
            </w:tcMar>
            <w:vAlign w:val="center"/>
          </w:tcPr>
          <w:p w:rsidR="007769BF" w:rsidRPr="009A2B80" w:rsidRDefault="007769BF" w:rsidP="00CB7C84">
            <w:pPr>
              <w:keepNext/>
              <w:rPr>
                <w:b/>
                <w:sz w:val="22"/>
              </w:rPr>
            </w:pPr>
            <w:r>
              <w:rPr>
                <w:b/>
                <w:sz w:val="22"/>
                <w:szCs w:val="22"/>
              </w:rPr>
              <w:t>Denumire științifică</w:t>
            </w:r>
          </w:p>
        </w:tc>
        <w:tc>
          <w:tcPr>
            <w:tcW w:w="4394" w:type="dxa"/>
            <w:shd w:val="clear" w:color="auto" w:fill="F2F2F2"/>
            <w:tcMar>
              <w:left w:w="108" w:type="dxa"/>
            </w:tcMar>
            <w:vAlign w:val="center"/>
          </w:tcPr>
          <w:p w:rsidR="007769BF" w:rsidRPr="009A2B80" w:rsidRDefault="007769BF" w:rsidP="00CB7C84">
            <w:pPr>
              <w:keepNext/>
              <w:rPr>
                <w:b/>
                <w:sz w:val="22"/>
              </w:rPr>
            </w:pPr>
            <w:r>
              <w:rPr>
                <w:b/>
                <w:sz w:val="22"/>
                <w:szCs w:val="22"/>
              </w:rPr>
              <w:t>Denumire de uz general</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Angelica archangelica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Angelică</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Angelica sylvestris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Angelică de pădure, angelică sălbatică</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Dictamnus albus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Maghiran alb, frăsinel, frăsinel alb</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i/>
                <w:sz w:val="22"/>
              </w:rPr>
            </w:pPr>
            <w:r>
              <w:rPr>
                <w:i/>
                <w:sz w:val="22"/>
                <w:szCs w:val="22"/>
              </w:rPr>
              <w:t xml:space="preserve">Heracleum sphondylium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Brânca ursului</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Levisticum officinale </w:t>
            </w:r>
            <w:r>
              <w:rPr>
                <w:sz w:val="16"/>
                <w:szCs w:val="16"/>
              </w:rPr>
              <w:t>W.D.J.Koch, 1824</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Leuștean</w:t>
            </w:r>
          </w:p>
        </w:tc>
      </w:tr>
      <w:tr w:rsidR="007769BF" w:rsidRPr="009A2B80" w:rsidTr="00BC6B35">
        <w:tc>
          <w:tcPr>
            <w:tcW w:w="4962" w:type="dxa"/>
            <w:shd w:val="clear" w:color="auto" w:fill="FFFFFF"/>
            <w:tcMar>
              <w:left w:w="108" w:type="dxa"/>
            </w:tcMar>
            <w:vAlign w:val="center"/>
          </w:tcPr>
          <w:p w:rsidR="007769BF" w:rsidRPr="009A2B80" w:rsidRDefault="007769BF" w:rsidP="00BC6B35">
            <w:pPr>
              <w:rPr>
                <w:sz w:val="22"/>
              </w:rPr>
            </w:pPr>
            <w:r>
              <w:rPr>
                <w:i/>
                <w:sz w:val="22"/>
                <w:szCs w:val="22"/>
              </w:rPr>
              <w:t xml:space="preserve">Ruta graveolens </w:t>
            </w:r>
            <w:r>
              <w:rPr>
                <w:sz w:val="16"/>
                <w:szCs w:val="16"/>
              </w:rPr>
              <w:t>L., 1753</w:t>
            </w:r>
          </w:p>
        </w:tc>
        <w:tc>
          <w:tcPr>
            <w:tcW w:w="4394" w:type="dxa"/>
            <w:shd w:val="clear" w:color="auto" w:fill="FFFFFF"/>
            <w:tcMar>
              <w:left w:w="108" w:type="dxa"/>
            </w:tcMar>
            <w:vAlign w:val="center"/>
          </w:tcPr>
          <w:p w:rsidR="007769BF" w:rsidRPr="009A2B80" w:rsidRDefault="007769BF" w:rsidP="00BC6B35">
            <w:pPr>
              <w:rPr>
                <w:sz w:val="22"/>
              </w:rPr>
            </w:pPr>
            <w:r>
              <w:rPr>
                <w:sz w:val="22"/>
                <w:szCs w:val="22"/>
              </w:rPr>
              <w:t>Virnant</w:t>
            </w:r>
          </w:p>
        </w:tc>
      </w:tr>
      <w:tr w:rsidR="007769BF" w:rsidRPr="009A2B80" w:rsidTr="00BC6B35">
        <w:tc>
          <w:tcPr>
            <w:tcW w:w="9356" w:type="dxa"/>
            <w:gridSpan w:val="2"/>
            <w:shd w:val="clear" w:color="auto" w:fill="F2F2F2"/>
            <w:tcMar>
              <w:left w:w="108" w:type="dxa"/>
            </w:tcMar>
            <w:vAlign w:val="center"/>
          </w:tcPr>
          <w:p w:rsidR="007769BF" w:rsidRPr="009A2B80" w:rsidRDefault="007769BF" w:rsidP="00CB7C84">
            <w:pPr>
              <w:keepNext/>
              <w:jc w:val="center"/>
              <w:rPr>
                <w:sz w:val="22"/>
              </w:rPr>
            </w:pPr>
            <w:r>
              <w:rPr>
                <w:b/>
                <w:sz w:val="22"/>
                <w:szCs w:val="22"/>
              </w:rPr>
              <w:t>Informații prevăzute la articolul 2</w:t>
            </w:r>
          </w:p>
        </w:tc>
      </w:tr>
      <w:tr w:rsidR="007769BF" w:rsidRPr="009A2B80" w:rsidTr="00BC6B35">
        <w:tc>
          <w:tcPr>
            <w:tcW w:w="9356" w:type="dxa"/>
            <w:gridSpan w:val="2"/>
            <w:shd w:val="clear" w:color="auto" w:fill="FFFFFF"/>
            <w:tcMar>
              <w:left w:w="108" w:type="dxa"/>
            </w:tcMar>
            <w:vAlign w:val="center"/>
          </w:tcPr>
          <w:p w:rsidR="007769BF" w:rsidRPr="009A2B80" w:rsidRDefault="007769BF" w:rsidP="00BC6B35">
            <w:pPr>
              <w:rPr>
                <w:b/>
                <w:sz w:val="22"/>
              </w:rPr>
            </w:pPr>
            <w:r>
              <w:rPr>
                <w:b/>
                <w:sz w:val="22"/>
                <w:szCs w:val="22"/>
                <w:u w:val="single"/>
              </w:rPr>
              <w:t>Informații privind riscurile</w:t>
            </w:r>
            <w:r>
              <w:rPr>
                <w:b/>
                <w:sz w:val="22"/>
                <w:szCs w:val="22"/>
              </w:rPr>
              <w:t>:</w:t>
            </w:r>
          </w:p>
          <w:p w:rsidR="007769BF" w:rsidRPr="009A2B80" w:rsidRDefault="00554C06" w:rsidP="00BC6B35">
            <w:pPr>
              <w:pStyle w:val="CommentText"/>
              <w:rPr>
                <w:sz w:val="22"/>
                <w:szCs w:val="22"/>
              </w:rPr>
            </w:pPr>
            <w:r>
              <w:rPr>
                <w:sz w:val="22"/>
                <w:szCs w:val="22"/>
              </w:rPr>
              <w:t>Pot provoca reacții cutanate anormale în cazul contactului cutanat urmat de expunerea la soare.</w:t>
            </w:r>
          </w:p>
          <w:p w:rsidR="007769BF" w:rsidRPr="009A2B80" w:rsidRDefault="007769BF" w:rsidP="00BC6B35">
            <w:pPr>
              <w:pStyle w:val="CommentText"/>
              <w:rPr>
                <w:sz w:val="22"/>
                <w:szCs w:val="22"/>
              </w:rPr>
            </w:pPr>
          </w:p>
          <w:p w:rsidR="007769BF" w:rsidRPr="009A2B80" w:rsidRDefault="007769BF" w:rsidP="00BC6B35">
            <w:pPr>
              <w:pStyle w:val="CommentText"/>
              <w:rPr>
                <w:b/>
                <w:sz w:val="22"/>
                <w:szCs w:val="22"/>
              </w:rPr>
            </w:pPr>
            <w:r>
              <w:rPr>
                <w:b/>
                <w:sz w:val="22"/>
                <w:szCs w:val="22"/>
                <w:u w:val="single"/>
              </w:rPr>
              <w:t>Informații privind modalitățile de protejare împotriva lor</w:t>
            </w:r>
            <w:r>
              <w:rPr>
                <w:b/>
                <w:sz w:val="22"/>
                <w:szCs w:val="22"/>
              </w:rPr>
              <w:t>:</w:t>
            </w:r>
          </w:p>
          <w:p w:rsidR="007769BF" w:rsidRPr="009A2B80" w:rsidRDefault="007769BF" w:rsidP="00BC6B35">
            <w:pPr>
              <w:pStyle w:val="CommentText"/>
              <w:rPr>
                <w:sz w:val="22"/>
                <w:szCs w:val="22"/>
              </w:rPr>
            </w:pPr>
            <w:r>
              <w:rPr>
                <w:sz w:val="22"/>
                <w:szCs w:val="22"/>
              </w:rPr>
              <w:t>A se evita expunerea la soare după manipularea acestei plantei.</w:t>
            </w:r>
          </w:p>
          <w:p w:rsidR="00073F36" w:rsidRPr="009A2B80" w:rsidRDefault="00073F36" w:rsidP="00BC6B35">
            <w:pPr>
              <w:rPr>
                <w:sz w:val="22"/>
              </w:rPr>
            </w:pPr>
            <w:r>
              <w:rPr>
                <w:sz w:val="22"/>
                <w:szCs w:val="22"/>
              </w:rPr>
              <w:t>În caz de contact, a se clăti cu apă zonele expuse și a se spăla îmbrăcămintea care a intrat în contact.</w:t>
            </w:r>
          </w:p>
          <w:p w:rsidR="00D55ABC" w:rsidRPr="009A2B80" w:rsidRDefault="00073F36" w:rsidP="00BC6B35">
            <w:pPr>
              <w:pStyle w:val="CommentText"/>
              <w:rPr>
                <w:sz w:val="22"/>
                <w:szCs w:val="22"/>
              </w:rPr>
            </w:pPr>
            <w:r>
              <w:rPr>
                <w:sz w:val="22"/>
                <w:szCs w:val="22"/>
              </w:rPr>
              <w:t>În cazul apariției unei reacții cutanate anormale, a se consulta un centru toxicologic sau un medic.</w:t>
            </w:r>
          </w:p>
          <w:p w:rsidR="00827078" w:rsidRPr="009A2B80" w:rsidRDefault="00827078" w:rsidP="00BC6B35">
            <w:pPr>
              <w:pStyle w:val="BodyText"/>
              <w:spacing w:after="0"/>
              <w:rPr>
                <w:sz w:val="22"/>
              </w:rPr>
            </w:pPr>
          </w:p>
          <w:p w:rsidR="00827078" w:rsidRPr="009A2B80" w:rsidRDefault="00827078" w:rsidP="00BC6B35">
            <w:pPr>
              <w:rPr>
                <w:b/>
                <w:sz w:val="22"/>
              </w:rPr>
            </w:pPr>
            <w:r>
              <w:rPr>
                <w:b/>
                <w:sz w:val="22"/>
                <w:szCs w:val="22"/>
                <w:u w:val="single"/>
              </w:rPr>
              <w:t>Informații facultative suplimentare:</w:t>
            </w:r>
          </w:p>
          <w:p w:rsidR="007769BF" w:rsidRPr="009A2B80" w:rsidRDefault="007769BF" w:rsidP="00BC6B35">
            <w:pPr>
              <w:rPr>
                <w:sz w:val="22"/>
              </w:rPr>
            </w:pPr>
            <w:r>
              <w:rPr>
                <w:sz w:val="22"/>
                <w:szCs w:val="22"/>
              </w:rPr>
              <w:t>A se păstra eticheta sau o imagine a plantei pentru a facilita identificarea acesteia.</w:t>
            </w:r>
          </w:p>
        </w:tc>
      </w:tr>
    </w:tbl>
    <w:p w:rsidR="009C4330" w:rsidRPr="009A2B80" w:rsidRDefault="009C4330" w:rsidP="00BC6B35">
      <w:pPr>
        <w:jc w:val="both"/>
      </w:pPr>
    </w:p>
    <w:sectPr w:rsidR="009C4330" w:rsidRPr="009A2B80" w:rsidSect="00957A2E">
      <w:headerReference w:type="even" r:id="rId10"/>
      <w:headerReference w:type="default" r:id="rId11"/>
      <w:footerReference w:type="default" r:id="rId12"/>
      <w:headerReference w:type="first" r:id="rId13"/>
      <w:pgSz w:w="11906" w:h="16838"/>
      <w:pgMar w:top="1134" w:right="1418" w:bottom="1418" w:left="1134" w:header="709" w:footer="709"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40C" w:rsidRDefault="008B140C">
      <w:r>
        <w:separator/>
      </w:r>
    </w:p>
  </w:endnote>
  <w:endnote w:type="continuationSeparator" w:id="1">
    <w:p w:rsidR="008B140C" w:rsidRDefault="008B1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07" w:rsidRDefault="00BD36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07" w:rsidRPr="00BC6B35" w:rsidRDefault="00BD3607" w:rsidP="00BC6B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40C" w:rsidRDefault="008B140C">
      <w:r>
        <w:separator/>
      </w:r>
    </w:p>
  </w:footnote>
  <w:footnote w:type="continuationSeparator" w:id="1">
    <w:p w:rsidR="008B140C" w:rsidRDefault="008B140C">
      <w:r>
        <w:continuationSeparator/>
      </w:r>
    </w:p>
  </w:footnote>
  <w:footnote w:id="2">
    <w:p w:rsidR="00864B42" w:rsidRDefault="00864B42" w:rsidP="00864B42">
      <w:pPr>
        <w:pStyle w:val="FootnoteText"/>
      </w:pPr>
      <w:r>
        <w:rPr>
          <w:rStyle w:val="FootnoteReference"/>
        </w:rPr>
        <w:footnoteRef/>
      </w:r>
      <w:r>
        <w:t xml:space="preserve"> Cu excepția</w:t>
      </w:r>
      <w:r>
        <w:rPr>
          <w:i/>
        </w:rPr>
        <w:t xml:space="preserve">Euphorbia pulcherrima Willd. ex Klotzsch, 1834 </w:t>
      </w:r>
      <w:r>
        <w:t>(Crăciuniță, Steaua Crăciunului)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07" w:rsidRDefault="00957A2E">
    <w:pPr>
      <w:pStyle w:val="Header"/>
    </w:pPr>
    <w:sdt>
      <w:sdtPr>
        <w:id w:val="-634407245"/>
        <w:docPartObj>
          <w:docPartGallery w:val="Watermarks"/>
          <w:docPartUnique/>
        </w:docPartObj>
      </w:sdtPr>
      <w:sdtContent>
        <w:r w:rsidRPr="00957A2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7205" o:spid="_x0000_s2051" type="#_x0000_t136" style="position:absolute;margin-left:0;margin-top:0;width:439.6pt;height:219.8pt;rotation:315;z-index:-251657216;mso-position-horizontal:center;mso-position-horizontal-relative:margin;mso-position-vertical:center;mso-position-vertical-relative:margin" o:allowincell="f" fillcolor="#938953 [1614]" stroked="f">
              <v:fill opacity=".5"/>
              <v:textpath style="font-family:&quot;calibri&quot;;font-size:1pt" string="PROIECT"/>
              <w10:wrap anchorx="margin" anchory="margin"/>
            </v:shape>
          </w:pict>
        </w:r>
      </w:sdtContent>
    </w:sdt>
    <w:r w:rsidRPr="00957A2E">
      <w:pict>
        <v:shape id="shapetype_136" o:spid="_x0000_s2054" style="position:absolute;margin-left:0;margin-top:0;width:50pt;height:50pt;z-index:251656192;visibility:hidden;mso-position-horizontal-relative:text;mso-position-vertical-relative:text"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adj="0,,0" path="m,l21600,em,21600r21600,e">
          <v:stroke joinstyle="miter"/>
          <v:formulas/>
          <v:path o:connecttype="custom" o:connectlocs="0,0;635000,0;0,635000;635000,635000" o:connectangles="0,0,0,0"/>
          <o:lock v:ext="edit" selection="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D09" w:rsidRDefault="00A45D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607" w:rsidRDefault="00957A2E">
    <w:pPr>
      <w:pStyle w:val="Header"/>
    </w:pPr>
    <w:r w:rsidRPr="00957A2E">
      <w:pict>
        <v:shape id="AutoShape 3" o:spid="_x0000_s2053" style="position:absolute;margin-left:0;margin-top:0;width:50pt;height:50pt;z-index:251657216;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" adj="0,,0" path="m,l21600,em,21600r21600,e">
          <v:stroke joinstyle="miter"/>
          <v:formulas/>
          <v:path o:connecttype="custom" o:connectlocs="0,0;635000,0;0,635000;635000,635000" o:connectangles="0,0,0,0"/>
          <o:lock v:ext="edit" selection="t"/>
        </v:shape>
      </w:pict>
    </w:r>
    <w:r w:rsidRPr="00957A2E">
      <w:pict>
        <v:shape id="shape_0" o:spid="_x0000_s2052" style="position:absolute;margin-left:0;margin-top:0;width:612.25pt;height:47.05pt;rotation:-45;z-index:251658240;visibility:visible;mso-position-horizontal:center;mso-position-vertical:center;mso-position-vertical-relative:margi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" adj="0,,0" path="m,l21600,em,21600r21600,e" fillcolor="black" stroked="f" strokecolor="#3465a4">
          <v:fill opacity="32896f"/>
          <v:stroke joinstyle="round"/>
          <v:formulas/>
          <v:path o:connecttype="custom" o:connectlocs="0,0;7775575,0;0,597535;7775575,597535" o:connectangles="0,0,0,0" textboxrect="3163,3163,18437,18437"/>
          <w10:wrap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D09" w:rsidRDefault="00A45D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6154"/>
    <w:multiLevelType w:val="hybridMultilevel"/>
    <w:tmpl w:val="09FA2918"/>
    <w:lvl w:ilvl="0" w:tplc="EE8E63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25C75"/>
    <w:rsid w:val="000109B4"/>
    <w:rsid w:val="0002747C"/>
    <w:rsid w:val="00027561"/>
    <w:rsid w:val="00032FFB"/>
    <w:rsid w:val="00033723"/>
    <w:rsid w:val="00036CDA"/>
    <w:rsid w:val="00054310"/>
    <w:rsid w:val="00065A3F"/>
    <w:rsid w:val="00073F36"/>
    <w:rsid w:val="000911CD"/>
    <w:rsid w:val="000929EB"/>
    <w:rsid w:val="00095D1E"/>
    <w:rsid w:val="000A1875"/>
    <w:rsid w:val="000B1EF3"/>
    <w:rsid w:val="000B3E3F"/>
    <w:rsid w:val="000D1E11"/>
    <w:rsid w:val="000E7CE0"/>
    <w:rsid w:val="00103741"/>
    <w:rsid w:val="0011618C"/>
    <w:rsid w:val="00124F7C"/>
    <w:rsid w:val="00127928"/>
    <w:rsid w:val="0013595B"/>
    <w:rsid w:val="00145834"/>
    <w:rsid w:val="00150C2B"/>
    <w:rsid w:val="0015391C"/>
    <w:rsid w:val="00164712"/>
    <w:rsid w:val="00184E39"/>
    <w:rsid w:val="001C380F"/>
    <w:rsid w:val="001D0560"/>
    <w:rsid w:val="001D6E5D"/>
    <w:rsid w:val="001E1E38"/>
    <w:rsid w:val="002257F8"/>
    <w:rsid w:val="00225C75"/>
    <w:rsid w:val="00226BB6"/>
    <w:rsid w:val="00245909"/>
    <w:rsid w:val="002647A3"/>
    <w:rsid w:val="00270021"/>
    <w:rsid w:val="002810AD"/>
    <w:rsid w:val="00294EEF"/>
    <w:rsid w:val="002B08F6"/>
    <w:rsid w:val="002E0EC7"/>
    <w:rsid w:val="002E7374"/>
    <w:rsid w:val="002F20B7"/>
    <w:rsid w:val="002F6BA3"/>
    <w:rsid w:val="00302A03"/>
    <w:rsid w:val="0030355E"/>
    <w:rsid w:val="00317778"/>
    <w:rsid w:val="00322262"/>
    <w:rsid w:val="0032233B"/>
    <w:rsid w:val="00325AAA"/>
    <w:rsid w:val="00327FD7"/>
    <w:rsid w:val="003423F5"/>
    <w:rsid w:val="003447D4"/>
    <w:rsid w:val="00345B03"/>
    <w:rsid w:val="00352F01"/>
    <w:rsid w:val="0035533F"/>
    <w:rsid w:val="003636CF"/>
    <w:rsid w:val="00372C8C"/>
    <w:rsid w:val="0039448C"/>
    <w:rsid w:val="003A529C"/>
    <w:rsid w:val="003B0E1A"/>
    <w:rsid w:val="003C5483"/>
    <w:rsid w:val="003D1441"/>
    <w:rsid w:val="003D6000"/>
    <w:rsid w:val="003E341C"/>
    <w:rsid w:val="004061C2"/>
    <w:rsid w:val="00424654"/>
    <w:rsid w:val="00424870"/>
    <w:rsid w:val="0042590C"/>
    <w:rsid w:val="004314A7"/>
    <w:rsid w:val="0043310A"/>
    <w:rsid w:val="00437A1B"/>
    <w:rsid w:val="00482337"/>
    <w:rsid w:val="004967FA"/>
    <w:rsid w:val="004A52AE"/>
    <w:rsid w:val="004A6E91"/>
    <w:rsid w:val="004D0125"/>
    <w:rsid w:val="004D069F"/>
    <w:rsid w:val="005100C7"/>
    <w:rsid w:val="00520E32"/>
    <w:rsid w:val="00523145"/>
    <w:rsid w:val="00523951"/>
    <w:rsid w:val="00526A74"/>
    <w:rsid w:val="00550159"/>
    <w:rsid w:val="00554C06"/>
    <w:rsid w:val="00583DC8"/>
    <w:rsid w:val="005844B3"/>
    <w:rsid w:val="00591C29"/>
    <w:rsid w:val="0059577A"/>
    <w:rsid w:val="005A25EA"/>
    <w:rsid w:val="005B14CD"/>
    <w:rsid w:val="005B48E2"/>
    <w:rsid w:val="005E0A35"/>
    <w:rsid w:val="005F4EC6"/>
    <w:rsid w:val="00604C12"/>
    <w:rsid w:val="0061045E"/>
    <w:rsid w:val="00641ADB"/>
    <w:rsid w:val="006446F9"/>
    <w:rsid w:val="00646061"/>
    <w:rsid w:val="0065650D"/>
    <w:rsid w:val="00656615"/>
    <w:rsid w:val="00666CB1"/>
    <w:rsid w:val="00673FD9"/>
    <w:rsid w:val="00686634"/>
    <w:rsid w:val="00686FDD"/>
    <w:rsid w:val="00690E09"/>
    <w:rsid w:val="006A5C97"/>
    <w:rsid w:val="006B5E66"/>
    <w:rsid w:val="006B5F2C"/>
    <w:rsid w:val="006B7520"/>
    <w:rsid w:val="006C45AA"/>
    <w:rsid w:val="006E50B4"/>
    <w:rsid w:val="006F3851"/>
    <w:rsid w:val="006F3D7F"/>
    <w:rsid w:val="0070320B"/>
    <w:rsid w:val="00703552"/>
    <w:rsid w:val="007541D5"/>
    <w:rsid w:val="00754440"/>
    <w:rsid w:val="0075497C"/>
    <w:rsid w:val="00756DA0"/>
    <w:rsid w:val="007752A4"/>
    <w:rsid w:val="007769BF"/>
    <w:rsid w:val="007779AB"/>
    <w:rsid w:val="00784F6C"/>
    <w:rsid w:val="00787C7C"/>
    <w:rsid w:val="00794C15"/>
    <w:rsid w:val="0079774B"/>
    <w:rsid w:val="007B6882"/>
    <w:rsid w:val="007B6EF2"/>
    <w:rsid w:val="007B6F4E"/>
    <w:rsid w:val="007C47BC"/>
    <w:rsid w:val="007D02BF"/>
    <w:rsid w:val="007D7C0E"/>
    <w:rsid w:val="007E5401"/>
    <w:rsid w:val="007F049A"/>
    <w:rsid w:val="007F4CF9"/>
    <w:rsid w:val="0081085A"/>
    <w:rsid w:val="0081674A"/>
    <w:rsid w:val="00817057"/>
    <w:rsid w:val="008254DB"/>
    <w:rsid w:val="00827078"/>
    <w:rsid w:val="00834EB3"/>
    <w:rsid w:val="0084002B"/>
    <w:rsid w:val="00842719"/>
    <w:rsid w:val="00842D81"/>
    <w:rsid w:val="008441E8"/>
    <w:rsid w:val="00864B42"/>
    <w:rsid w:val="0088162D"/>
    <w:rsid w:val="00891C99"/>
    <w:rsid w:val="008B140C"/>
    <w:rsid w:val="008B27AD"/>
    <w:rsid w:val="008E3F93"/>
    <w:rsid w:val="008E5B0B"/>
    <w:rsid w:val="0090508C"/>
    <w:rsid w:val="0091150B"/>
    <w:rsid w:val="009136C0"/>
    <w:rsid w:val="00944855"/>
    <w:rsid w:val="00953AB9"/>
    <w:rsid w:val="00957A2E"/>
    <w:rsid w:val="00964F8F"/>
    <w:rsid w:val="009735B0"/>
    <w:rsid w:val="0097700B"/>
    <w:rsid w:val="00986AD4"/>
    <w:rsid w:val="009972B3"/>
    <w:rsid w:val="009A2B80"/>
    <w:rsid w:val="009C2816"/>
    <w:rsid w:val="009C3FF1"/>
    <w:rsid w:val="009C4330"/>
    <w:rsid w:val="009D4846"/>
    <w:rsid w:val="009D724A"/>
    <w:rsid w:val="009F2917"/>
    <w:rsid w:val="00A006FA"/>
    <w:rsid w:val="00A023C8"/>
    <w:rsid w:val="00A03FB6"/>
    <w:rsid w:val="00A05381"/>
    <w:rsid w:val="00A1412F"/>
    <w:rsid w:val="00A25CAD"/>
    <w:rsid w:val="00A267D6"/>
    <w:rsid w:val="00A45D09"/>
    <w:rsid w:val="00A726CA"/>
    <w:rsid w:val="00A87312"/>
    <w:rsid w:val="00A87464"/>
    <w:rsid w:val="00AA5906"/>
    <w:rsid w:val="00AD22A1"/>
    <w:rsid w:val="00AF1588"/>
    <w:rsid w:val="00B02998"/>
    <w:rsid w:val="00B229F9"/>
    <w:rsid w:val="00B23D2C"/>
    <w:rsid w:val="00B26ABF"/>
    <w:rsid w:val="00B32C6A"/>
    <w:rsid w:val="00B36D3B"/>
    <w:rsid w:val="00B44923"/>
    <w:rsid w:val="00B511A4"/>
    <w:rsid w:val="00B71F2D"/>
    <w:rsid w:val="00B772C0"/>
    <w:rsid w:val="00B84C47"/>
    <w:rsid w:val="00BC6B35"/>
    <w:rsid w:val="00BD3607"/>
    <w:rsid w:val="00C0588B"/>
    <w:rsid w:val="00C1549F"/>
    <w:rsid w:val="00C33034"/>
    <w:rsid w:val="00C4060A"/>
    <w:rsid w:val="00C5582A"/>
    <w:rsid w:val="00C74599"/>
    <w:rsid w:val="00C8252D"/>
    <w:rsid w:val="00C8568D"/>
    <w:rsid w:val="00C87BB4"/>
    <w:rsid w:val="00C96E84"/>
    <w:rsid w:val="00CA046E"/>
    <w:rsid w:val="00CA0AD8"/>
    <w:rsid w:val="00CA5DE3"/>
    <w:rsid w:val="00CB7C84"/>
    <w:rsid w:val="00CC61DB"/>
    <w:rsid w:val="00CE3B55"/>
    <w:rsid w:val="00CE6CA6"/>
    <w:rsid w:val="00CE6D49"/>
    <w:rsid w:val="00CF575A"/>
    <w:rsid w:val="00D20925"/>
    <w:rsid w:val="00D21134"/>
    <w:rsid w:val="00D24E92"/>
    <w:rsid w:val="00D406F8"/>
    <w:rsid w:val="00D55ABC"/>
    <w:rsid w:val="00D61B9E"/>
    <w:rsid w:val="00D6714E"/>
    <w:rsid w:val="00D73FF0"/>
    <w:rsid w:val="00DA742B"/>
    <w:rsid w:val="00DB02FE"/>
    <w:rsid w:val="00DB6906"/>
    <w:rsid w:val="00DC59D6"/>
    <w:rsid w:val="00DD6089"/>
    <w:rsid w:val="00DF1DA8"/>
    <w:rsid w:val="00E64B02"/>
    <w:rsid w:val="00E67D94"/>
    <w:rsid w:val="00E7107C"/>
    <w:rsid w:val="00E72AC0"/>
    <w:rsid w:val="00E77492"/>
    <w:rsid w:val="00E83DC4"/>
    <w:rsid w:val="00E86068"/>
    <w:rsid w:val="00E960D2"/>
    <w:rsid w:val="00E9648C"/>
    <w:rsid w:val="00EB21C8"/>
    <w:rsid w:val="00EB2484"/>
    <w:rsid w:val="00EC06B4"/>
    <w:rsid w:val="00EE41B3"/>
    <w:rsid w:val="00F001AC"/>
    <w:rsid w:val="00F018F1"/>
    <w:rsid w:val="00F03AEF"/>
    <w:rsid w:val="00F05B16"/>
    <w:rsid w:val="00F26EBD"/>
    <w:rsid w:val="00F27274"/>
    <w:rsid w:val="00F32C1A"/>
    <w:rsid w:val="00F415FF"/>
    <w:rsid w:val="00F44F3A"/>
    <w:rsid w:val="00F535A8"/>
    <w:rsid w:val="00F65175"/>
    <w:rsid w:val="00F65B95"/>
    <w:rsid w:val="00F70CEC"/>
    <w:rsid w:val="00F837A3"/>
    <w:rsid w:val="00F96CBF"/>
    <w:rsid w:val="00FD1219"/>
    <w:rsid w:val="00FE2C8D"/>
    <w:rsid w:val="00FE7888"/>
    <w:rsid w:val="00FE7E89"/>
    <w:rsid w:val="00FF38C4"/>
    <w:rsid w:val="00FF59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58C"/>
    <w:pPr>
      <w:suppressAutoHyphens/>
      <w:jc w:val="left"/>
    </w:pPr>
    <w:rPr>
      <w:rFonts w:ascii="Times New Roman" w:eastAsia="Times New Roman" w:hAnsi="Times New Roman" w:cs="Times New Roman"/>
      <w:sz w:val="24"/>
      <w:szCs w:val="24"/>
      <w:lang w:eastAsia="fr-FR"/>
    </w:rPr>
  </w:style>
  <w:style w:type="paragraph" w:styleId="Heading1">
    <w:name w:val="heading 1"/>
    <w:basedOn w:val="Title"/>
    <w:rsid w:val="00957A2E"/>
    <w:pPr>
      <w:outlineLvl w:val="0"/>
    </w:pPr>
  </w:style>
  <w:style w:type="paragraph" w:styleId="Heading2">
    <w:name w:val="heading 2"/>
    <w:basedOn w:val="Title"/>
    <w:rsid w:val="00957A2E"/>
    <w:pPr>
      <w:outlineLvl w:val="1"/>
    </w:pPr>
  </w:style>
  <w:style w:type="paragraph" w:styleId="Heading3">
    <w:name w:val="heading 3"/>
    <w:basedOn w:val="Title"/>
    <w:rsid w:val="00957A2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rsid w:val="008F158C"/>
    <w:rPr>
      <w:rFonts w:ascii="Times New Roman" w:eastAsia="Times New Roman" w:hAnsi="Times New Roman" w:cs="Times New Roman"/>
      <w:sz w:val="24"/>
      <w:szCs w:val="24"/>
      <w:lang w:eastAsia="fr-FR"/>
    </w:rPr>
  </w:style>
  <w:style w:type="character" w:customStyle="1" w:styleId="SNTimbreCar">
    <w:name w:val="SNTimbre Car"/>
    <w:basedOn w:val="DefaultParagraphFont"/>
    <w:link w:val="SNTimbre"/>
    <w:uiPriority w:val="99"/>
    <w:qFormat/>
    <w:locked/>
    <w:rsid w:val="008F158C"/>
    <w:rPr>
      <w:rFonts w:ascii="Times New Roman" w:eastAsia="Times New Roman" w:hAnsi="Times New Roman" w:cs="Times New Roman"/>
      <w:sz w:val="24"/>
      <w:szCs w:val="24"/>
      <w:lang w:eastAsia="fr-FR"/>
    </w:rPr>
  </w:style>
  <w:style w:type="character" w:customStyle="1" w:styleId="SNDatearrtCar">
    <w:name w:val="SNDate arrêté Car"/>
    <w:basedOn w:val="DefaultParagraphFont"/>
    <w:link w:val="SNDatearrt"/>
    <w:uiPriority w:val="99"/>
    <w:qFormat/>
    <w:locked/>
    <w:rsid w:val="008F158C"/>
    <w:rPr>
      <w:rFonts w:ascii="Times New Roman" w:eastAsia="Times New Roman" w:hAnsi="Times New Roman" w:cs="Times New Roman"/>
      <w:sz w:val="24"/>
      <w:szCs w:val="24"/>
      <w:lang w:eastAsia="fr-FR"/>
    </w:rPr>
  </w:style>
  <w:style w:type="character" w:customStyle="1" w:styleId="SNArticleCar">
    <w:name w:val="SNArticle Car"/>
    <w:basedOn w:val="DefaultParagraphFont"/>
    <w:link w:val="SNArticle"/>
    <w:uiPriority w:val="99"/>
    <w:qFormat/>
    <w:locked/>
    <w:rsid w:val="008F158C"/>
    <w:rPr>
      <w:rFonts w:ascii="Times New Roman" w:eastAsia="Times New Roman" w:hAnsi="Times New Roman" w:cs="Times New Roman"/>
      <w:b/>
      <w:sz w:val="24"/>
      <w:szCs w:val="24"/>
      <w:lang w:eastAsia="fr-FR"/>
    </w:rPr>
  </w:style>
  <w:style w:type="character" w:customStyle="1" w:styleId="CommentTextChar">
    <w:name w:val="Comment Text Char"/>
    <w:basedOn w:val="DefaultParagraphFont"/>
    <w:link w:val="CommentText"/>
    <w:uiPriority w:val="99"/>
    <w:qFormat/>
    <w:rsid w:val="008F158C"/>
    <w:rPr>
      <w:rFonts w:ascii="Times New Roman" w:eastAsia="Times New Roman" w:hAnsi="Times New Roman" w:cs="Times New Roman"/>
      <w:sz w:val="20"/>
      <w:szCs w:val="20"/>
      <w:lang w:eastAsia="fr-FR"/>
    </w:rPr>
  </w:style>
  <w:style w:type="character" w:customStyle="1" w:styleId="FooterChar">
    <w:name w:val="Footer Char"/>
    <w:basedOn w:val="DefaultParagraphFont"/>
    <w:link w:val="Footer"/>
    <w:uiPriority w:val="99"/>
    <w:qFormat/>
    <w:rsid w:val="008F158C"/>
    <w:rPr>
      <w:rFonts w:ascii="Times New Roman" w:eastAsia="Times New Roman" w:hAnsi="Times New Roman" w:cs="Times New Roman"/>
      <w:sz w:val="24"/>
      <w:szCs w:val="24"/>
      <w:lang w:eastAsia="fr-FR"/>
    </w:rPr>
  </w:style>
  <w:style w:type="character" w:styleId="PageNumber">
    <w:name w:val="page number"/>
    <w:basedOn w:val="DefaultParagraphFont"/>
    <w:uiPriority w:val="99"/>
    <w:qFormat/>
    <w:rsid w:val="008F158C"/>
    <w:rPr>
      <w:rFonts w:cs="Times New Roman"/>
    </w:rPr>
  </w:style>
  <w:style w:type="character" w:customStyle="1" w:styleId="En-tteCar">
    <w:name w:val="En-tête Car"/>
    <w:basedOn w:val="DefaultParagraphFont"/>
    <w:uiPriority w:val="99"/>
    <w:semiHidden/>
    <w:qFormat/>
    <w:rsid w:val="008F158C"/>
    <w:rPr>
      <w:rFonts w:ascii="Times New Roman" w:eastAsia="Times New Roman" w:hAnsi="Times New Roman" w:cs="Times New Roman"/>
      <w:sz w:val="24"/>
      <w:szCs w:val="24"/>
      <w:lang w:eastAsia="fr-FR"/>
    </w:rPr>
  </w:style>
  <w:style w:type="character" w:styleId="CommentReference">
    <w:name w:val="annotation reference"/>
    <w:basedOn w:val="DefaultParagraphFont"/>
    <w:uiPriority w:val="99"/>
    <w:semiHidden/>
    <w:unhideWhenUsed/>
    <w:qFormat/>
    <w:rsid w:val="00FA3013"/>
    <w:rPr>
      <w:sz w:val="16"/>
      <w:szCs w:val="16"/>
    </w:rPr>
  </w:style>
  <w:style w:type="character" w:customStyle="1" w:styleId="CommentSubjectChar">
    <w:name w:val="Comment Subject Char"/>
    <w:basedOn w:val="CommentTextChar"/>
    <w:link w:val="CommentSubject"/>
    <w:uiPriority w:val="99"/>
    <w:semiHidden/>
    <w:qFormat/>
    <w:rsid w:val="00FA3013"/>
    <w:rPr>
      <w:rFonts w:ascii="Times New Roman" w:eastAsia="Times New Roman" w:hAnsi="Times New Roman" w:cs="Times New Roman"/>
      <w:b/>
      <w:bCs/>
      <w:sz w:val="20"/>
      <w:szCs w:val="20"/>
      <w:lang w:eastAsia="fr-FR"/>
    </w:rPr>
  </w:style>
  <w:style w:type="character" w:customStyle="1" w:styleId="BalloonTextChar">
    <w:name w:val="Balloon Text Char"/>
    <w:basedOn w:val="DefaultParagraphFont"/>
    <w:link w:val="BalloonText"/>
    <w:uiPriority w:val="99"/>
    <w:semiHidden/>
    <w:qFormat/>
    <w:rsid w:val="00FA3013"/>
    <w:rPr>
      <w:rFonts w:ascii="Tahoma" w:eastAsia="Times New Roman" w:hAnsi="Tahoma" w:cs="Tahoma"/>
      <w:sz w:val="16"/>
      <w:szCs w:val="16"/>
      <w:lang w:eastAsia="fr-FR"/>
    </w:rPr>
  </w:style>
  <w:style w:type="character" w:customStyle="1" w:styleId="ListLabel1">
    <w:name w:val="ListLabel 1"/>
    <w:qFormat/>
    <w:rsid w:val="00957A2E"/>
    <w:rPr>
      <w:rFonts w:eastAsia="Times New Roman" w:cs="Times New Roman"/>
    </w:rPr>
  </w:style>
  <w:style w:type="character" w:customStyle="1" w:styleId="ListLabel2">
    <w:name w:val="ListLabel 2"/>
    <w:qFormat/>
    <w:rsid w:val="00957A2E"/>
    <w:rPr>
      <w:rFonts w:cs="Courier New"/>
    </w:rPr>
  </w:style>
  <w:style w:type="paragraph" w:styleId="Title">
    <w:name w:val="Title"/>
    <w:basedOn w:val="Normal"/>
    <w:next w:val="BodyText"/>
    <w:qFormat/>
    <w:rsid w:val="00957A2E"/>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8F158C"/>
    <w:pPr>
      <w:spacing w:after="120"/>
      <w:jc w:val="both"/>
    </w:pPr>
  </w:style>
  <w:style w:type="paragraph" w:styleId="List">
    <w:name w:val="List"/>
    <w:basedOn w:val="BodyText"/>
    <w:rsid w:val="00957A2E"/>
    <w:rPr>
      <w:rFonts w:cs="Mangal"/>
    </w:rPr>
  </w:style>
  <w:style w:type="paragraph" w:styleId="Caption">
    <w:name w:val="caption"/>
    <w:basedOn w:val="Normal"/>
    <w:rsid w:val="00957A2E"/>
    <w:pPr>
      <w:suppressLineNumbers/>
      <w:spacing w:before="120" w:after="120"/>
    </w:pPr>
    <w:rPr>
      <w:rFonts w:cs="Mangal"/>
      <w:i/>
      <w:iCs/>
    </w:rPr>
  </w:style>
  <w:style w:type="paragraph" w:customStyle="1" w:styleId="Index">
    <w:name w:val="Index"/>
    <w:basedOn w:val="Normal"/>
    <w:qFormat/>
    <w:rsid w:val="00957A2E"/>
    <w:pPr>
      <w:suppressLineNumbers/>
    </w:pPr>
    <w:rPr>
      <w:rFonts w:cs="Mangal"/>
    </w:rPr>
  </w:style>
  <w:style w:type="paragraph" w:customStyle="1" w:styleId="SNREPUBLIQUE">
    <w:name w:val="SNREPUBLIQUE"/>
    <w:basedOn w:val="Normal"/>
    <w:uiPriority w:val="99"/>
    <w:qFormat/>
    <w:rsid w:val="008F158C"/>
    <w:pPr>
      <w:jc w:val="center"/>
    </w:pPr>
    <w:rPr>
      <w:b/>
      <w:bCs/>
      <w:szCs w:val="20"/>
    </w:rPr>
  </w:style>
  <w:style w:type="paragraph" w:customStyle="1" w:styleId="SNSignature">
    <w:name w:val="SNSignature"/>
    <w:basedOn w:val="Normal"/>
    <w:uiPriority w:val="99"/>
    <w:qFormat/>
    <w:rsid w:val="008F158C"/>
    <w:pPr>
      <w:ind w:firstLine="720"/>
    </w:pPr>
  </w:style>
  <w:style w:type="paragraph" w:customStyle="1" w:styleId="SNNature">
    <w:name w:val="SNNature"/>
    <w:basedOn w:val="Normal"/>
    <w:next w:val="Normal"/>
    <w:autoRedefine/>
    <w:uiPriority w:val="99"/>
    <w:qFormat/>
    <w:rsid w:val="009A2B80"/>
    <w:pPr>
      <w:widowControl w:val="0"/>
      <w:suppressLineNumbers/>
      <w:tabs>
        <w:tab w:val="center" w:pos="4677"/>
        <w:tab w:val="left" w:pos="8595"/>
      </w:tabs>
      <w:spacing w:before="720" w:after="120"/>
      <w:jc w:val="center"/>
    </w:pPr>
    <w:rPr>
      <w:b/>
      <w:bCs/>
    </w:rPr>
  </w:style>
  <w:style w:type="paragraph" w:customStyle="1" w:styleId="SNNORCentr">
    <w:name w:val="SNNOR+Centré"/>
    <w:uiPriority w:val="99"/>
    <w:qFormat/>
    <w:rsid w:val="008F158C"/>
    <w:pPr>
      <w:suppressAutoHyphens/>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uiPriority w:val="99"/>
    <w:qFormat/>
    <w:rsid w:val="00032FFB"/>
    <w:pPr>
      <w:jc w:val="both"/>
    </w:pPr>
  </w:style>
  <w:style w:type="paragraph" w:customStyle="1" w:styleId="SNTimbre">
    <w:name w:val="SNTimbre"/>
    <w:basedOn w:val="Normal"/>
    <w:link w:val="SNTimbreCar"/>
    <w:autoRedefine/>
    <w:uiPriority w:val="99"/>
    <w:qFormat/>
    <w:rsid w:val="008F158C"/>
    <w:pPr>
      <w:widowControl w:val="0"/>
      <w:snapToGrid w:val="0"/>
      <w:spacing w:before="120"/>
      <w:jc w:val="center"/>
    </w:pPr>
  </w:style>
  <w:style w:type="paragraph" w:customStyle="1" w:styleId="SNDatearrt">
    <w:name w:val="SNDate arrêté"/>
    <w:basedOn w:val="Normal"/>
    <w:next w:val="Normal"/>
    <w:link w:val="SNDatearrtCar"/>
    <w:autoRedefine/>
    <w:uiPriority w:val="99"/>
    <w:qFormat/>
    <w:rsid w:val="008F158C"/>
    <w:pPr>
      <w:spacing w:before="480" w:after="480"/>
      <w:ind w:firstLine="720"/>
    </w:pPr>
  </w:style>
  <w:style w:type="paragraph" w:customStyle="1" w:styleId="SNActe">
    <w:name w:val="SNActe"/>
    <w:basedOn w:val="Normal"/>
    <w:autoRedefine/>
    <w:uiPriority w:val="99"/>
    <w:qFormat/>
    <w:rsid w:val="008F158C"/>
    <w:pPr>
      <w:spacing w:before="480" w:after="360"/>
      <w:jc w:val="center"/>
    </w:pPr>
    <w:rPr>
      <w:b/>
    </w:rPr>
  </w:style>
  <w:style w:type="paragraph" w:customStyle="1" w:styleId="SNArticle">
    <w:name w:val="SNArticle"/>
    <w:basedOn w:val="Normal"/>
    <w:link w:val="SNArticleCar"/>
    <w:autoRedefine/>
    <w:uiPriority w:val="99"/>
    <w:qFormat/>
    <w:rsid w:val="008F158C"/>
    <w:pPr>
      <w:tabs>
        <w:tab w:val="center" w:pos="4677"/>
        <w:tab w:val="left" w:pos="6135"/>
      </w:tabs>
      <w:spacing w:before="240" w:after="240"/>
      <w:jc w:val="center"/>
    </w:pPr>
    <w:rPr>
      <w:b/>
    </w:rPr>
  </w:style>
  <w:style w:type="paragraph" w:customStyle="1" w:styleId="SNSignatureGauche">
    <w:name w:val="SNSignature Gauche"/>
    <w:basedOn w:val="Normal"/>
    <w:qFormat/>
    <w:rsid w:val="008F158C"/>
    <w:pPr>
      <w:ind w:firstLine="720"/>
    </w:pPr>
  </w:style>
  <w:style w:type="paragraph" w:styleId="CommentText">
    <w:name w:val="annotation text"/>
    <w:basedOn w:val="Normal"/>
    <w:link w:val="CommentTextChar"/>
    <w:uiPriority w:val="99"/>
    <w:qFormat/>
    <w:rsid w:val="008F158C"/>
    <w:rPr>
      <w:sz w:val="20"/>
      <w:szCs w:val="20"/>
    </w:rPr>
  </w:style>
  <w:style w:type="paragraph" w:styleId="NormalWeb">
    <w:name w:val="Normal (Web)"/>
    <w:basedOn w:val="Normal"/>
    <w:uiPriority w:val="99"/>
    <w:qFormat/>
    <w:rsid w:val="008F158C"/>
    <w:pPr>
      <w:spacing w:beforeAutospacing="1" w:afterAutospacing="1"/>
    </w:pPr>
  </w:style>
  <w:style w:type="paragraph" w:styleId="Footer">
    <w:name w:val="footer"/>
    <w:basedOn w:val="Normal"/>
    <w:link w:val="FooterChar"/>
    <w:uiPriority w:val="99"/>
    <w:rsid w:val="008F158C"/>
    <w:pPr>
      <w:tabs>
        <w:tab w:val="center" w:pos="4536"/>
        <w:tab w:val="right" w:pos="9072"/>
      </w:tabs>
    </w:pPr>
  </w:style>
  <w:style w:type="paragraph" w:styleId="Header">
    <w:name w:val="header"/>
    <w:basedOn w:val="Normal"/>
    <w:uiPriority w:val="99"/>
    <w:unhideWhenUsed/>
    <w:rsid w:val="008F158C"/>
    <w:pPr>
      <w:tabs>
        <w:tab w:val="center" w:pos="4536"/>
        <w:tab w:val="right" w:pos="9072"/>
      </w:tabs>
    </w:pPr>
  </w:style>
  <w:style w:type="paragraph" w:customStyle="1" w:styleId="SNSignatureDroite">
    <w:name w:val="SNSignature Droite"/>
    <w:basedOn w:val="Normal"/>
    <w:qFormat/>
    <w:rsid w:val="008F158C"/>
    <w:pPr>
      <w:spacing w:line="100" w:lineRule="atLeast"/>
      <w:jc w:val="right"/>
    </w:pPr>
  </w:style>
  <w:style w:type="paragraph" w:styleId="CommentSubject">
    <w:name w:val="annotation subject"/>
    <w:basedOn w:val="CommentText"/>
    <w:link w:val="CommentSubjectChar"/>
    <w:uiPriority w:val="99"/>
    <w:semiHidden/>
    <w:unhideWhenUsed/>
    <w:qFormat/>
    <w:rsid w:val="00FA3013"/>
    <w:rPr>
      <w:b/>
      <w:bCs/>
    </w:rPr>
  </w:style>
  <w:style w:type="paragraph" w:styleId="BalloonText">
    <w:name w:val="Balloon Text"/>
    <w:basedOn w:val="Normal"/>
    <w:link w:val="BalloonTextChar"/>
    <w:uiPriority w:val="99"/>
    <w:semiHidden/>
    <w:unhideWhenUsed/>
    <w:qFormat/>
    <w:rsid w:val="00FA3013"/>
    <w:rPr>
      <w:rFonts w:ascii="Tahoma" w:hAnsi="Tahoma" w:cs="Tahoma"/>
      <w:sz w:val="16"/>
      <w:szCs w:val="16"/>
    </w:rPr>
  </w:style>
  <w:style w:type="paragraph" w:styleId="Revision">
    <w:name w:val="Revision"/>
    <w:uiPriority w:val="99"/>
    <w:semiHidden/>
    <w:qFormat/>
    <w:rsid w:val="00CA46DE"/>
    <w:pPr>
      <w:suppressAutoHyphens/>
      <w:jc w:val="left"/>
    </w:pPr>
    <w:rPr>
      <w:rFonts w:ascii="Times New Roman" w:eastAsia="Times New Roman" w:hAnsi="Times New Roman" w:cs="Times New Roman"/>
      <w:sz w:val="24"/>
      <w:szCs w:val="24"/>
      <w:lang w:eastAsia="fr-FR"/>
    </w:rPr>
  </w:style>
  <w:style w:type="paragraph" w:customStyle="1" w:styleId="Contenudecadre">
    <w:name w:val="Contenu de cadre"/>
    <w:basedOn w:val="Normal"/>
    <w:qFormat/>
    <w:rsid w:val="00957A2E"/>
  </w:style>
  <w:style w:type="paragraph" w:customStyle="1" w:styleId="Quotations">
    <w:name w:val="Quotations"/>
    <w:basedOn w:val="Normal"/>
    <w:qFormat/>
    <w:rsid w:val="00957A2E"/>
  </w:style>
  <w:style w:type="paragraph" w:customStyle="1" w:styleId="Titreprincipal">
    <w:name w:val="Titre principal"/>
    <w:basedOn w:val="Title"/>
    <w:rsid w:val="00957A2E"/>
  </w:style>
  <w:style w:type="paragraph" w:styleId="Subtitle">
    <w:name w:val="Subtitle"/>
    <w:basedOn w:val="Title"/>
    <w:rsid w:val="00957A2E"/>
  </w:style>
  <w:style w:type="table" w:styleId="TableGrid">
    <w:name w:val="Table Grid"/>
    <w:basedOn w:val="TableNormal"/>
    <w:rsid w:val="008F158C"/>
    <w:pPr>
      <w:jc w:val="left"/>
    </w:pPr>
    <w:rPr>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68D"/>
    <w:rPr>
      <w:color w:val="0000FF" w:themeColor="hyperlink"/>
      <w:u w:val="single"/>
    </w:rPr>
  </w:style>
  <w:style w:type="paragraph" w:styleId="FootnoteText">
    <w:name w:val="footnote text"/>
    <w:basedOn w:val="Normal"/>
    <w:link w:val="FootnoteTextChar"/>
    <w:uiPriority w:val="99"/>
    <w:semiHidden/>
    <w:unhideWhenUsed/>
    <w:rsid w:val="002E7374"/>
    <w:rPr>
      <w:sz w:val="20"/>
      <w:szCs w:val="20"/>
    </w:rPr>
  </w:style>
  <w:style w:type="character" w:customStyle="1" w:styleId="FootnoteTextChar">
    <w:name w:val="Footnote Text Char"/>
    <w:basedOn w:val="DefaultParagraphFont"/>
    <w:link w:val="FootnoteText"/>
    <w:uiPriority w:val="99"/>
    <w:semiHidden/>
    <w:rsid w:val="002E7374"/>
    <w:rPr>
      <w:rFonts w:ascii="Times New Roman" w:eastAsia="Times New Roman" w:hAnsi="Times New Roman" w:cs="Times New Roman"/>
      <w:szCs w:val="20"/>
      <w:lang w:eastAsia="fr-FR"/>
    </w:rPr>
  </w:style>
  <w:style w:type="character" w:styleId="FootnoteReference">
    <w:name w:val="footnote reference"/>
    <w:basedOn w:val="DefaultParagraphFont"/>
    <w:uiPriority w:val="99"/>
    <w:semiHidden/>
    <w:unhideWhenUsed/>
    <w:rsid w:val="002E7374"/>
    <w:rPr>
      <w:vertAlign w:val="superscript"/>
    </w:rPr>
  </w:style>
  <w:style w:type="character" w:styleId="Strong">
    <w:name w:val="Strong"/>
    <w:basedOn w:val="DefaultParagraphFont"/>
    <w:uiPriority w:val="22"/>
    <w:qFormat/>
    <w:rsid w:val="00F44F3A"/>
    <w:rPr>
      <w:b/>
      <w:bCs/>
    </w:rPr>
  </w:style>
</w:styles>
</file>

<file path=word/webSettings.xml><?xml version="1.0" encoding="utf-8"?>
<w:webSettings xmlns:r="http://schemas.openxmlformats.org/officeDocument/2006/relationships" xmlns:w="http://schemas.openxmlformats.org/wordprocessingml/2006/main">
  <w:divs>
    <w:div w:id="41212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8274-5878-47DF-A875-D3D99749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1732</Words>
  <Characters>9878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Andreea</cp:lastModifiedBy>
  <cp:revision>8</cp:revision>
  <cp:lastPrinted>2019-11-12T13:04:00Z</cp:lastPrinted>
  <dcterms:created xsi:type="dcterms:W3CDTF">2019-12-10T17:45:00Z</dcterms:created>
  <dcterms:modified xsi:type="dcterms:W3CDTF">2019-12-20T13:00:00Z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