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F0" w:rsidRPr="00531A9D" w:rsidRDefault="004A68F0" w:rsidP="004A68F0">
      <w:pPr>
        <w:pStyle w:val="PlainText"/>
        <w:ind w:left="1418"/>
        <w:jc w:val="center"/>
        <w:rPr>
          <w:rStyle w:val="BodyTextChar"/>
          <w:rFonts w:ascii="Courier New" w:hAnsi="Courier New" w:cs="Courier New"/>
        </w:rPr>
      </w:pPr>
      <w:r w:rsidRPr="00531A9D">
        <w:rPr>
          <w:rStyle w:val="BodyTextChar"/>
          <w:rFonts w:ascii="Courier New" w:hAnsi="Courier New"/>
        </w:rPr>
        <w:t>1. ------IND- 2018 0094 I-- CS- ------ 20180326 --- --- PROJET</w:t>
      </w:r>
    </w:p>
    <w:p w:rsidR="00952519" w:rsidRPr="00531A9D" w:rsidRDefault="00952519" w:rsidP="00B310BB">
      <w:pPr>
        <w:jc w:val="center"/>
        <w:rPr>
          <w:rFonts w:ascii="Times New Roman" w:hAnsi="Times New Roman" w:cs="Times New Roman"/>
          <w:sz w:val="28"/>
          <w:szCs w:val="28"/>
        </w:rPr>
      </w:pPr>
      <w:r w:rsidRPr="00531A9D">
        <w:rPr>
          <w:rFonts w:ascii="Times New Roman" w:hAnsi="Times New Roman"/>
          <w:sz w:val="28"/>
        </w:rPr>
        <w:t>VÝNOS,</w:t>
      </w:r>
    </w:p>
    <w:p w:rsidR="00BF7796" w:rsidRPr="00531A9D" w:rsidRDefault="009E4D53" w:rsidP="00BF7796">
      <w:pPr>
        <w:jc w:val="center"/>
        <w:rPr>
          <w:rFonts w:ascii="Times New Roman" w:hAnsi="Times New Roman" w:cs="Times New Roman"/>
          <w:b/>
          <w:sz w:val="24"/>
          <w:szCs w:val="24"/>
        </w:rPr>
      </w:pPr>
      <w:r w:rsidRPr="00531A9D">
        <w:rPr>
          <w:rFonts w:ascii="Times New Roman" w:hAnsi="Times New Roman"/>
          <w:b/>
          <w:sz w:val="24"/>
        </w:rPr>
        <w:t xml:space="preserve">kterým se provádí čl. 157 odst. 3 legislativního nařízení č. 230 ze dne 17. března 1995, ve znění pozdějších předpisů, kterým se stanoví způsoby provádění, obsah osvědčení o radiometrické kontrole a seznam polotovarů z kovu, které podléhají radiometrické kontrole </w:t>
      </w:r>
    </w:p>
    <w:p w:rsidR="00AB0F43" w:rsidRPr="00531A9D" w:rsidRDefault="00AB0F43" w:rsidP="00BF7796">
      <w:pPr>
        <w:jc w:val="center"/>
        <w:rPr>
          <w:rFonts w:ascii="Times New Roman" w:hAnsi="Times New Roman" w:cs="Times New Roman"/>
          <w:b/>
          <w:sz w:val="24"/>
          <w:szCs w:val="24"/>
        </w:rPr>
      </w:pPr>
    </w:p>
    <w:p w:rsidR="000501D0" w:rsidRPr="00531A9D" w:rsidRDefault="00B310BB" w:rsidP="000501D0">
      <w:pPr>
        <w:jc w:val="center"/>
        <w:rPr>
          <w:rFonts w:ascii="Times New Roman" w:hAnsi="Times New Roman" w:cs="Times New Roman"/>
          <w:sz w:val="24"/>
          <w:szCs w:val="24"/>
        </w:rPr>
      </w:pPr>
      <w:r w:rsidRPr="00531A9D">
        <w:rPr>
          <w:rFonts w:ascii="Times New Roman" w:hAnsi="Times New Roman"/>
          <w:sz w:val="24"/>
        </w:rPr>
        <w:t>MINISTR HOSPODÁŘSKÉHO ROZVOJE</w:t>
      </w:r>
    </w:p>
    <w:p w:rsidR="00AB0F43" w:rsidRPr="00531A9D" w:rsidRDefault="00B310BB" w:rsidP="00AB0F43">
      <w:pPr>
        <w:jc w:val="center"/>
        <w:rPr>
          <w:rFonts w:ascii="Times New Roman" w:hAnsi="Times New Roman" w:cs="Times New Roman"/>
          <w:sz w:val="24"/>
          <w:szCs w:val="24"/>
        </w:rPr>
      </w:pPr>
      <w:r w:rsidRPr="00531A9D">
        <w:rPr>
          <w:rFonts w:ascii="Times New Roman" w:hAnsi="Times New Roman"/>
          <w:sz w:val="24"/>
        </w:rPr>
        <w:t xml:space="preserve">PO DOHODĚ SE </w:t>
      </w:r>
    </w:p>
    <w:p w:rsidR="00AB0F43"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STÁTNÍM TAJEMNÍKEM PRO EVROPSKÉ ZÁLEŽITOSTI,</w:t>
      </w:r>
    </w:p>
    <w:p w:rsidR="00AB0F43"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MINISTREM ZDRAVOTNICTVÍ</w:t>
      </w:r>
    </w:p>
    <w:p w:rsidR="001B3A1F"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 xml:space="preserve">MINISTREM PRO ŽIVOTNÍ PROSTŘEDÍ A OCHRANU PŮDY A MOŘE </w:t>
      </w:r>
    </w:p>
    <w:p w:rsidR="00AB0F43"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MINISTREM PRÁCE A SOCIÁLNÍCH VĚCÍ</w:t>
      </w:r>
    </w:p>
    <w:p w:rsidR="00AB0F43"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MINISTREM VNITRA</w:t>
      </w:r>
    </w:p>
    <w:p w:rsidR="00AB0F43"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MINISTREM HOSPODÁŘSTVÍ A FINANCÍ</w:t>
      </w:r>
    </w:p>
    <w:p w:rsidR="00B310BB" w:rsidRPr="00531A9D" w:rsidRDefault="001B3A1F" w:rsidP="00AB0F43">
      <w:pPr>
        <w:jc w:val="center"/>
        <w:rPr>
          <w:rFonts w:ascii="Times New Roman" w:hAnsi="Times New Roman" w:cs="Times New Roman"/>
          <w:sz w:val="24"/>
          <w:szCs w:val="24"/>
        </w:rPr>
      </w:pPr>
      <w:r w:rsidRPr="00531A9D">
        <w:rPr>
          <w:rFonts w:ascii="Times New Roman" w:hAnsi="Times New Roman"/>
          <w:sz w:val="24"/>
        </w:rPr>
        <w:t>MINISTREM PRO INFRASTRUKTURU A DOPRAVU</w:t>
      </w:r>
    </w:p>
    <w:p w:rsidR="00B310BB" w:rsidRPr="00531A9D" w:rsidRDefault="00B310BB" w:rsidP="00C213BF">
      <w:pPr>
        <w:jc w:val="both"/>
        <w:rPr>
          <w:rFonts w:ascii="Times New Roman" w:hAnsi="Times New Roman" w:cs="Times New Roman"/>
          <w:sz w:val="24"/>
          <w:szCs w:val="24"/>
        </w:rPr>
      </w:pPr>
    </w:p>
    <w:p w:rsidR="002938E4" w:rsidRPr="00531A9D" w:rsidRDefault="002938E4" w:rsidP="00114FDF">
      <w:pPr>
        <w:spacing w:line="240" w:lineRule="auto"/>
        <w:jc w:val="both"/>
        <w:rPr>
          <w:rFonts w:ascii="Times New Roman" w:hAnsi="Times New Roman" w:cs="Times New Roman"/>
          <w:sz w:val="24"/>
          <w:szCs w:val="24"/>
        </w:rPr>
      </w:pPr>
      <w:r w:rsidRPr="00531A9D">
        <w:rPr>
          <w:rFonts w:ascii="Times New Roman" w:hAnsi="Times New Roman"/>
          <w:sz w:val="24"/>
        </w:rPr>
        <w:t xml:space="preserve">S OHLEDEM NA legislativní nařízení č. 230 ze dne 17. března 1995 ve znění pozdějších předpisů, kterým se provádějí směrnice Rady 89/618/Euratom, 90/641/Euratom, 96/29/Euratom, 2006/117/Euratom v oblasti ionizujícího záření, směrnice Rady 2009/71/Euratom ze dne 25. června 2009, kterou se stanoví rámec Společenství pro jadernou bezpečnost jaderných zařízení, a směrnice Rady 2011/70/Euratom ze dne 19. července 2011, kterou se stanoví rámec Společenství pro odpovědné a bezpečné nakládání s vyhořelým palivem a radioaktivním odpadem; </w:t>
      </w:r>
    </w:p>
    <w:p w:rsidR="00C22B35" w:rsidRPr="00531A9D" w:rsidRDefault="00B310BB" w:rsidP="00146EE7">
      <w:pPr>
        <w:spacing w:line="240" w:lineRule="auto"/>
        <w:jc w:val="both"/>
        <w:rPr>
          <w:rFonts w:ascii="Times New Roman" w:hAnsi="Times New Roman" w:cs="Times New Roman"/>
          <w:sz w:val="24"/>
          <w:szCs w:val="24"/>
        </w:rPr>
      </w:pPr>
      <w:r w:rsidRPr="00531A9D">
        <w:rPr>
          <w:rFonts w:ascii="Times New Roman" w:hAnsi="Times New Roman"/>
          <w:sz w:val="24"/>
        </w:rPr>
        <w:t>S OHLEDEM na legislativní nařízení č. 100 ze dne 1. června 2011, kterým se stanoví doplňující a opravná ustanovení k legislativnímu nařízení č. 23 ze dne 20. února 2009, kterým se provádí směrnice 2006/117/ Euratom, jehož článek 1 zejména mění článek 157 výše uvedeného legislativního nařízení ze dne 17. března 1995 o sledování a kontrole přepravy radioaktivního odpadu a vyhořelého jaderného paliva - radiometrická kontrola materiálů nebo polotovarů z kovových výrobků;</w:t>
      </w:r>
    </w:p>
    <w:p w:rsidR="00B310BB" w:rsidRPr="00531A9D" w:rsidRDefault="00B310BB" w:rsidP="00146EE7">
      <w:pPr>
        <w:tabs>
          <w:tab w:val="left" w:pos="0"/>
        </w:tabs>
        <w:spacing w:line="240" w:lineRule="auto"/>
        <w:jc w:val="both"/>
        <w:rPr>
          <w:rFonts w:ascii="Times New Roman" w:hAnsi="Times New Roman" w:cs="Times New Roman"/>
          <w:sz w:val="24"/>
          <w:szCs w:val="24"/>
        </w:rPr>
      </w:pPr>
      <w:r w:rsidRPr="00531A9D">
        <w:rPr>
          <w:rFonts w:ascii="Times New Roman" w:hAnsi="Times New Roman"/>
          <w:sz w:val="24"/>
        </w:rPr>
        <w:t xml:space="preserve">S OHLEDEM NA legislativní nařízení č. 230 ze dne 17. března 1995, zejména čl. 157 odst. 3 tohoto nařízení, které na základě výnosu ministra hospodářského rozvoje po dohodě s ministry pro evropské politiky, zdravotnictví, životní prostředí a ochranu půdy a moře, práce a sociálních věcí, vnitra, hospodářství a financí, infrastruktury a dopravy, po projednání s Agenturou pro cla a monopoly a Italským ústavem pro ochranu a výzkum životního prostředí (ISPRA), které bude vydáno v návaznosti na oznámení Evropské komisi v souladu se směrnicí 98/34/ES </w:t>
      </w:r>
      <w:r w:rsidRPr="00531A9D">
        <w:rPr>
          <w:rFonts w:ascii="Times New Roman" w:hAnsi="Times New Roman"/>
          <w:sz w:val="24"/>
          <w:highlight w:val="yellow"/>
        </w:rPr>
        <w:t>(nyní směrnice (EU) 2015/1535)</w:t>
      </w:r>
      <w:r w:rsidRPr="00531A9D">
        <w:rPr>
          <w:rFonts w:ascii="Times New Roman" w:hAnsi="Times New Roman"/>
          <w:sz w:val="24"/>
        </w:rPr>
        <w:t xml:space="preserve"> a Světové obchodní organizaci v souladu s Dohodou o technických překážkách obchodu platnou od 1. ledna 1995, stanoví metody a obsah osvědčení o radiometrické kontrole a uvádí seznam kovových polotovarů, které podléhají kontrole;</w:t>
      </w:r>
    </w:p>
    <w:p w:rsidR="00A756ED" w:rsidRPr="00531A9D" w:rsidRDefault="00A756ED" w:rsidP="00146EE7">
      <w:pPr>
        <w:tabs>
          <w:tab w:val="left" w:pos="0"/>
        </w:tabs>
        <w:spacing w:line="240" w:lineRule="auto"/>
        <w:jc w:val="both"/>
        <w:rPr>
          <w:rFonts w:ascii="Times New Roman" w:hAnsi="Times New Roman" w:cs="Times New Roman"/>
          <w:sz w:val="24"/>
          <w:szCs w:val="24"/>
        </w:rPr>
      </w:pPr>
      <w:r w:rsidRPr="00531A9D">
        <w:rPr>
          <w:rFonts w:ascii="Times New Roman" w:hAnsi="Times New Roman"/>
          <w:sz w:val="24"/>
        </w:rPr>
        <w:lastRenderedPageBreak/>
        <w:t>S OHLEDEM NA zákonný výnos č. 321 ze dne 17. června 1996, zejména jeho článek 10, ve znění změn provedených zákonem č. 421 ze dne 8. srpna 1996 o koupi a instalaci systémů pro kontrolu radioaktivity;</w:t>
      </w:r>
    </w:p>
    <w:p w:rsidR="00A756ED" w:rsidRPr="00531A9D" w:rsidRDefault="00A756ED" w:rsidP="00146EE7">
      <w:pPr>
        <w:tabs>
          <w:tab w:val="left" w:pos="0"/>
        </w:tabs>
        <w:spacing w:line="240" w:lineRule="auto"/>
        <w:jc w:val="both"/>
        <w:rPr>
          <w:rFonts w:ascii="Times New Roman" w:hAnsi="Times New Roman" w:cs="Times New Roman"/>
          <w:sz w:val="24"/>
          <w:szCs w:val="24"/>
        </w:rPr>
      </w:pPr>
      <w:r w:rsidRPr="00531A9D">
        <w:rPr>
          <w:rFonts w:ascii="Times New Roman" w:hAnsi="Times New Roman"/>
          <w:sz w:val="24"/>
        </w:rPr>
        <w:t>S OHLEDEM NA vyhlášku ministerstva financí ze dne 22. května 1995 o označení hraničních přechodů, na nichž se instalují dveřní scintilační systémy pro automatickou detekci radioaktivity materiálů;</w:t>
      </w:r>
    </w:p>
    <w:p w:rsidR="00F66476" w:rsidRPr="00531A9D" w:rsidRDefault="009E4D53" w:rsidP="000501D0">
      <w:pPr>
        <w:tabs>
          <w:tab w:val="left" w:pos="0"/>
        </w:tabs>
        <w:spacing w:line="240" w:lineRule="auto"/>
        <w:jc w:val="both"/>
        <w:rPr>
          <w:rFonts w:ascii="Times New Roman" w:hAnsi="Times New Roman" w:cs="Times New Roman"/>
          <w:sz w:val="24"/>
          <w:szCs w:val="24"/>
        </w:rPr>
      </w:pPr>
      <w:r w:rsidRPr="00531A9D">
        <w:rPr>
          <w:rFonts w:ascii="Times New Roman" w:hAnsi="Times New Roman"/>
          <w:sz w:val="24"/>
        </w:rPr>
        <w:t>S OHLEDEM na legislativní výnos č. 52 ze dne 6. února 2007, kterým se provádí směrnice Rady 2003/122/Eur</w:t>
      </w:r>
      <w:r w:rsidR="003C0346" w:rsidRPr="00531A9D">
        <w:rPr>
          <w:rFonts w:ascii="Times New Roman" w:hAnsi="Times New Roman"/>
          <w:sz w:val="24"/>
        </w:rPr>
        <w:t>atom ze dne 22. prosince 2003 o</w:t>
      </w:r>
      <w:r w:rsidRPr="00531A9D">
        <w:rPr>
          <w:rFonts w:ascii="Times New Roman" w:hAnsi="Times New Roman"/>
          <w:sz w:val="24"/>
        </w:rPr>
        <w:t xml:space="preserve"> kontrole vysokoaktivních uzavřených zdrojů záření a opuštěných zdrojů, a zejména pak článek 15 této směrnice týkající se zavádění systémů pro nacházení a hodnocení opuštěných zdrojů.</w:t>
      </w:r>
    </w:p>
    <w:p w:rsidR="00BF7796" w:rsidRPr="00531A9D" w:rsidRDefault="009E4D53" w:rsidP="00687712">
      <w:pPr>
        <w:spacing w:line="240" w:lineRule="auto"/>
        <w:jc w:val="both"/>
        <w:rPr>
          <w:rFonts w:ascii="Times New Roman" w:hAnsi="Times New Roman" w:cs="Times New Roman"/>
          <w:sz w:val="24"/>
          <w:szCs w:val="24"/>
        </w:rPr>
      </w:pPr>
      <w:r w:rsidRPr="00531A9D">
        <w:rPr>
          <w:rFonts w:ascii="Times New Roman" w:hAnsi="Times New Roman"/>
          <w:sz w:val="24"/>
        </w:rPr>
        <w:t>S OHLEDEM NA čl. 174 odst. 2 Smlouvy o založení Evropského společenství o zásadě předběžné opatrnosti, která stanoví, že v případě ohrožení lidského zdraví a životního prostředí, byť jen potenciálního, musí být zajištěna vysoká úroveň ochrany;</w:t>
      </w:r>
    </w:p>
    <w:p w:rsidR="00F044D6" w:rsidRPr="00531A9D" w:rsidRDefault="00F044D6" w:rsidP="00146EE7">
      <w:pPr>
        <w:spacing w:line="240" w:lineRule="auto"/>
        <w:jc w:val="both"/>
        <w:rPr>
          <w:rFonts w:ascii="Times New Roman" w:hAnsi="Times New Roman" w:cs="Times New Roman"/>
          <w:sz w:val="24"/>
          <w:szCs w:val="24"/>
        </w:rPr>
      </w:pPr>
      <w:r w:rsidRPr="00531A9D">
        <w:rPr>
          <w:rFonts w:ascii="Times New Roman" w:hAnsi="Times New Roman"/>
          <w:sz w:val="24"/>
        </w:rPr>
        <w:t>S OHLEDEM NA čl. 17 odst. 3 zákona č. 400 ze dne 23. srpna 1988;</w:t>
      </w:r>
    </w:p>
    <w:p w:rsidR="00EC6946" w:rsidRPr="00531A9D" w:rsidRDefault="001E58F8" w:rsidP="00146EE7">
      <w:pPr>
        <w:spacing w:line="240" w:lineRule="auto"/>
        <w:jc w:val="both"/>
        <w:rPr>
          <w:rFonts w:ascii="Times New Roman" w:eastAsia="Times New Roman" w:hAnsi="Times New Roman"/>
          <w:sz w:val="24"/>
          <w:szCs w:val="24"/>
        </w:rPr>
      </w:pPr>
      <w:r w:rsidRPr="00531A9D">
        <w:rPr>
          <w:rFonts w:ascii="Times New Roman" w:hAnsi="Times New Roman"/>
          <w:sz w:val="24"/>
        </w:rPr>
        <w:t>S OHLEDEM NA legislativní nařízení č. 45 ze dne 4. března 2014, zejména na článek 6 tohoto nařízení, který zřizuje Národní inspektorát pro jadernou bezpečnost a ochranu před radiací (ISIN) jako příslušný regulační orgán a přiděluje mu mimo jiné příslušné povinnosti, a článek, 9, který dočasně dává oddělení pro technologická a průmyslová rizika ústavu ISPRA úkol pokračovat v plnění těchto povinností až do okamžiku vstoupení v platnost předpisu, který stanoví vnitřní uspořádání a fungování tohoto inspektorátu;</w:t>
      </w:r>
    </w:p>
    <w:p w:rsidR="00B144CD" w:rsidRPr="00531A9D" w:rsidRDefault="00B144CD" w:rsidP="00146EE7">
      <w:pPr>
        <w:spacing w:line="240" w:lineRule="auto"/>
        <w:jc w:val="both"/>
        <w:rPr>
          <w:rFonts w:ascii="Times New Roman" w:hAnsi="Times New Roman" w:cs="Times New Roman"/>
          <w:sz w:val="24"/>
          <w:szCs w:val="24"/>
        </w:rPr>
      </w:pPr>
      <w:r w:rsidRPr="00531A9D">
        <w:rPr>
          <w:rFonts w:ascii="Times New Roman" w:hAnsi="Times New Roman"/>
          <w:sz w:val="24"/>
        </w:rPr>
        <w:t>VZHLEDEM K TOMU, že tento výnos ukončuje prozatímní režim povinných radiometrických kontrol polotovarů z kovu uvedených v článku 2 legislativního nařízení č. 100 ze dne 1. června 2011, a že příslušná ustanovení jsou tedy k datu jeho vstoupení v platnost nahrazena ustanoveními tohoto výnosu;</w:t>
      </w:r>
    </w:p>
    <w:p w:rsidR="008162CB" w:rsidRPr="00531A9D" w:rsidRDefault="00E50D7C" w:rsidP="00146EE7">
      <w:pPr>
        <w:spacing w:line="240" w:lineRule="auto"/>
        <w:jc w:val="both"/>
        <w:rPr>
          <w:rFonts w:ascii="Times New Roman" w:hAnsi="Times New Roman" w:cs="Times New Roman"/>
          <w:strike/>
          <w:sz w:val="24"/>
          <w:szCs w:val="24"/>
        </w:rPr>
      </w:pPr>
      <w:r w:rsidRPr="00531A9D">
        <w:rPr>
          <w:rFonts w:ascii="Times New Roman" w:hAnsi="Times New Roman"/>
          <w:sz w:val="24"/>
        </w:rPr>
        <w:t xml:space="preserve">VZHLEDEM K TOMU, že nastal pokrok v oblasti radiometrických kontrol šrotu a jiných vedlejších produktů a polotovarů z kovu při zjišťování abnormálních úrovní radioaktivity nebo nepoužívaných zdrojů; </w:t>
      </w:r>
    </w:p>
    <w:p w:rsidR="00231A56" w:rsidRPr="00531A9D" w:rsidRDefault="00E50D7C" w:rsidP="00146EE7">
      <w:pPr>
        <w:spacing w:line="240" w:lineRule="auto"/>
        <w:jc w:val="both"/>
        <w:rPr>
          <w:rFonts w:ascii="Times New Roman" w:hAnsi="Times New Roman" w:cs="Times New Roman"/>
          <w:sz w:val="24"/>
          <w:szCs w:val="24"/>
        </w:rPr>
      </w:pPr>
      <w:r w:rsidRPr="00531A9D">
        <w:rPr>
          <w:rFonts w:ascii="Times New Roman" w:hAnsi="Times New Roman"/>
          <w:sz w:val="24"/>
        </w:rPr>
        <w:t xml:space="preserve">VZHLEDEM K TOMU, že je zapotřebí aktualizovat identifikační kódy kategorií výrobků týkajících se seznamu polotovarů z kovu v souladu se změnami provedenými na mezinárodní úrovni podle přílohy I legislativního nařízení č. 100 ze dne 1. června 2011; </w:t>
      </w:r>
    </w:p>
    <w:p w:rsidR="004213AA" w:rsidRPr="00531A9D" w:rsidRDefault="00146EE7" w:rsidP="00146EE7">
      <w:pPr>
        <w:spacing w:line="240" w:lineRule="auto"/>
        <w:jc w:val="both"/>
        <w:rPr>
          <w:rFonts w:ascii="Times New Roman" w:hAnsi="Times New Roman" w:cs="Times New Roman"/>
          <w:sz w:val="24"/>
          <w:szCs w:val="24"/>
        </w:rPr>
      </w:pPr>
      <w:r w:rsidRPr="00531A9D">
        <w:rPr>
          <w:rFonts w:ascii="Times New Roman" w:hAnsi="Times New Roman"/>
          <w:sz w:val="24"/>
        </w:rPr>
        <w:t>PO PROJEDNÁNÍ věci s Agenturou pro cla a monopoly;</w:t>
      </w:r>
    </w:p>
    <w:p w:rsidR="00836745" w:rsidRPr="00531A9D" w:rsidRDefault="004F1DE0" w:rsidP="00146EE7">
      <w:pPr>
        <w:spacing w:line="240" w:lineRule="auto"/>
        <w:jc w:val="both"/>
        <w:rPr>
          <w:rFonts w:ascii="Times New Roman" w:hAnsi="Times New Roman" w:cs="Times New Roman"/>
          <w:sz w:val="24"/>
          <w:szCs w:val="24"/>
        </w:rPr>
      </w:pPr>
      <w:r w:rsidRPr="00531A9D">
        <w:rPr>
          <w:rFonts w:ascii="Times New Roman" w:hAnsi="Times New Roman"/>
          <w:sz w:val="24"/>
        </w:rPr>
        <w:t>PO PROJEDNÁNÍ věci s oddělením pro technologická a průmyslová rizika a jadernou oblast Italského ústavu pro ochranu a výzkum v oblasti životního prostředí;</w:t>
      </w:r>
    </w:p>
    <w:p w:rsidR="00231A56" w:rsidRPr="00531A9D" w:rsidRDefault="00231A56" w:rsidP="00146EE7">
      <w:pPr>
        <w:spacing w:line="240" w:lineRule="auto"/>
        <w:jc w:val="both"/>
        <w:rPr>
          <w:rFonts w:ascii="Times New Roman" w:hAnsi="Times New Roman" w:cs="Times New Roman"/>
          <w:sz w:val="24"/>
          <w:szCs w:val="24"/>
        </w:rPr>
      </w:pPr>
      <w:r w:rsidRPr="00531A9D">
        <w:rPr>
          <w:rFonts w:ascii="Times New Roman" w:hAnsi="Times New Roman"/>
          <w:sz w:val="24"/>
        </w:rPr>
        <w:t>PO PROJEDNÁNÍ věci se stálou konferencí pro vztahy mezi státem, regiony a autonomními provinciemi Trento a Bolzano v souladu s článkem 161 legislativního nařízení č. 230 ze dne 17. března 1995;</w:t>
      </w:r>
    </w:p>
    <w:p w:rsidR="00B310BB" w:rsidRPr="00531A9D" w:rsidRDefault="004213AA" w:rsidP="00146EE7">
      <w:pPr>
        <w:spacing w:line="240" w:lineRule="auto"/>
        <w:jc w:val="both"/>
        <w:rPr>
          <w:rFonts w:ascii="Times New Roman" w:hAnsi="Times New Roman" w:cs="Times New Roman"/>
          <w:sz w:val="24"/>
          <w:szCs w:val="24"/>
        </w:rPr>
      </w:pPr>
      <w:r w:rsidRPr="00531A9D">
        <w:rPr>
          <w:rFonts w:ascii="Times New Roman" w:hAnsi="Times New Roman"/>
          <w:sz w:val="24"/>
        </w:rPr>
        <w:t xml:space="preserve"> NA ZÁKLADĚ SPLNĚNÍ postupů v oblasti poskytování informací Evropské komisi v souladu se </w:t>
      </w:r>
      <w:r w:rsidRPr="00531A9D">
        <w:rPr>
          <w:rFonts w:ascii="Times New Roman" w:hAnsi="Times New Roman"/>
          <w:sz w:val="24"/>
          <w:highlight w:val="yellow"/>
        </w:rPr>
        <w:t>směrnicí (EU) 2015/1535</w:t>
      </w:r>
      <w:r w:rsidRPr="00531A9D">
        <w:rPr>
          <w:rFonts w:ascii="Times New Roman" w:hAnsi="Times New Roman"/>
          <w:sz w:val="24"/>
        </w:rPr>
        <w:t xml:space="preserve"> a Světové obchodní organizaci v souladu s Dohodou o technických překážkách obchodu platnou od 1. ledna 1995, </w:t>
      </w:r>
    </w:p>
    <w:p w:rsidR="00A91928" w:rsidRPr="00531A9D" w:rsidRDefault="009E4D53" w:rsidP="00146EE7">
      <w:pPr>
        <w:spacing w:line="240" w:lineRule="auto"/>
        <w:jc w:val="both"/>
        <w:rPr>
          <w:rFonts w:ascii="Times New Roman" w:hAnsi="Times New Roman" w:cs="Times New Roman"/>
          <w:sz w:val="24"/>
          <w:szCs w:val="24"/>
        </w:rPr>
      </w:pPr>
      <w:r w:rsidRPr="00531A9D">
        <w:rPr>
          <w:rFonts w:ascii="Times New Roman" w:hAnsi="Times New Roman"/>
          <w:sz w:val="24"/>
          <w:highlight w:val="yellow"/>
        </w:rPr>
        <w:t>PO PŘIJETÍ stanoviska Státní rady, které bylo vyjádřeno na schůzi pro projednání právních aktů na plenárním zasedání _________________</w:t>
      </w:r>
    </w:p>
    <w:p w:rsidR="004213AA" w:rsidRPr="00531A9D" w:rsidRDefault="004213AA" w:rsidP="004213AA">
      <w:pPr>
        <w:jc w:val="center"/>
        <w:rPr>
          <w:rFonts w:ascii="Times New Roman" w:hAnsi="Times New Roman" w:cs="Times New Roman"/>
          <w:b/>
          <w:sz w:val="24"/>
          <w:szCs w:val="24"/>
        </w:rPr>
      </w:pPr>
      <w:r w:rsidRPr="00531A9D">
        <w:rPr>
          <w:rFonts w:ascii="Times New Roman" w:hAnsi="Times New Roman"/>
          <w:b/>
          <w:sz w:val="24"/>
        </w:rPr>
        <w:lastRenderedPageBreak/>
        <w:t>TÍMTO NAŘIZUJE</w:t>
      </w:r>
    </w:p>
    <w:p w:rsidR="002A06FD" w:rsidRPr="00531A9D" w:rsidRDefault="002A06FD" w:rsidP="00160CDF">
      <w:pPr>
        <w:spacing w:after="0" w:line="240" w:lineRule="auto"/>
        <w:jc w:val="center"/>
        <w:rPr>
          <w:rFonts w:ascii="Times New Roman" w:hAnsi="Times New Roman" w:cs="Times New Roman"/>
          <w:sz w:val="24"/>
          <w:szCs w:val="24"/>
        </w:rPr>
      </w:pPr>
      <w:r w:rsidRPr="00531A9D">
        <w:rPr>
          <w:rFonts w:ascii="Times New Roman" w:hAnsi="Times New Roman"/>
          <w:sz w:val="24"/>
        </w:rPr>
        <w:t>Článek 1</w:t>
      </w:r>
    </w:p>
    <w:p w:rsidR="001E58F8" w:rsidRPr="00531A9D" w:rsidRDefault="001E58F8" w:rsidP="001E58F8">
      <w:pPr>
        <w:jc w:val="center"/>
        <w:rPr>
          <w:rFonts w:ascii="Times New Roman" w:hAnsi="Times New Roman"/>
          <w:i/>
          <w:sz w:val="24"/>
          <w:szCs w:val="24"/>
        </w:rPr>
      </w:pPr>
      <w:r w:rsidRPr="00531A9D">
        <w:rPr>
          <w:rFonts w:ascii="Times New Roman" w:hAnsi="Times New Roman"/>
          <w:i/>
          <w:sz w:val="24"/>
        </w:rPr>
        <w:t>Účel a rozsah působnosti</w:t>
      </w:r>
    </w:p>
    <w:p w:rsidR="001E58F8" w:rsidRPr="00531A9D" w:rsidRDefault="001E58F8" w:rsidP="009C46FC">
      <w:pPr>
        <w:pStyle w:val="ListParagraph"/>
        <w:numPr>
          <w:ilvl w:val="0"/>
          <w:numId w:val="10"/>
        </w:numPr>
        <w:spacing w:after="0" w:line="240" w:lineRule="auto"/>
        <w:jc w:val="both"/>
        <w:rPr>
          <w:rFonts w:ascii="Times New Roman" w:hAnsi="Times New Roman" w:cs="Times New Roman"/>
          <w:sz w:val="24"/>
          <w:szCs w:val="24"/>
        </w:rPr>
      </w:pPr>
      <w:r w:rsidRPr="00531A9D">
        <w:rPr>
          <w:rFonts w:ascii="Times New Roman" w:hAnsi="Times New Roman"/>
          <w:sz w:val="24"/>
        </w:rPr>
        <w:t>Tento výnos stanoví postupy pro uplatňování radiometrické kontroly v souladu s čl. 157 odst. 1 legislativního nařízení č. 230 ze dne 17. března 1995 subjekty, které se zabývají průmyslovým nebo obchodním dovozem, sběrem nebo skladováním, nebo operacemi souvisejícími s tavením kovového šrotu nebo jiných vedlejší produktů z kovu, jakož i subjekty, které se zabývají průmyslovým nebo obchodním dovozem polotovarů z kovu, za účelem zjištění abnormálních úrovní radioaktivity nebo případných nepoužívaných zdrojů, pro zajištění ochrany zdraví pracovníků a obyvatelstva vůči událostem, které mohou vést k expozici ionizujícímu záření, a s cílem zabránit znečištění životního prostředí.</w:t>
      </w:r>
    </w:p>
    <w:p w:rsidR="00224337" w:rsidRPr="00531A9D" w:rsidRDefault="009C46FC" w:rsidP="00073A90">
      <w:pPr>
        <w:pStyle w:val="ListParagraph"/>
        <w:numPr>
          <w:ilvl w:val="0"/>
          <w:numId w:val="10"/>
        </w:numPr>
        <w:spacing w:after="0" w:line="240" w:lineRule="auto"/>
        <w:jc w:val="both"/>
        <w:rPr>
          <w:rFonts w:ascii="Times New Roman" w:hAnsi="Times New Roman" w:cs="Times New Roman"/>
          <w:sz w:val="24"/>
          <w:szCs w:val="24"/>
        </w:rPr>
      </w:pPr>
      <w:r w:rsidRPr="00531A9D">
        <w:rPr>
          <w:rFonts w:ascii="Times New Roman" w:hAnsi="Times New Roman"/>
          <w:sz w:val="24"/>
        </w:rPr>
        <w:t>Tento výnos rovněž upřesňuje obsah osvědčení o provedené radiometrické kontrole podle čl. 157 odst. 2 legislativního nařízení č. 230 ze dne 17. března 1995 o seznamu polotovarů z kovu podléhajících radiometrické kontrole, kterým se zrušuje příloha I legislativního nařízení č. 100 ze dne 1. června 2011, jakož i vzájemné uznávání osvědčení o radiometrických zkouškách prováděných v místě původu dovážených nákladů šrotu nebo jiných vedlejších produktů a polotovarů z kovu v rámci celních postupů.</w:t>
      </w:r>
    </w:p>
    <w:p w:rsidR="00146EE7" w:rsidRPr="00531A9D" w:rsidRDefault="00146EE7" w:rsidP="00160CDF">
      <w:pPr>
        <w:spacing w:after="0"/>
        <w:ind w:left="360"/>
        <w:jc w:val="both"/>
        <w:rPr>
          <w:rFonts w:ascii="Times New Roman" w:hAnsi="Times New Roman" w:cs="Times New Roman"/>
          <w:i/>
          <w:sz w:val="24"/>
          <w:szCs w:val="24"/>
        </w:rPr>
      </w:pPr>
    </w:p>
    <w:p w:rsidR="006F7602" w:rsidRPr="00531A9D" w:rsidRDefault="002028A7" w:rsidP="00160CDF">
      <w:pPr>
        <w:spacing w:after="0" w:line="240" w:lineRule="auto"/>
        <w:ind w:left="360"/>
        <w:jc w:val="center"/>
        <w:rPr>
          <w:rFonts w:ascii="Times New Roman" w:hAnsi="Times New Roman" w:cs="Times New Roman"/>
          <w:sz w:val="24"/>
          <w:szCs w:val="24"/>
        </w:rPr>
      </w:pPr>
      <w:r w:rsidRPr="00531A9D">
        <w:rPr>
          <w:rFonts w:ascii="Times New Roman" w:hAnsi="Times New Roman"/>
          <w:sz w:val="24"/>
        </w:rPr>
        <w:t>Článek 2</w:t>
      </w:r>
    </w:p>
    <w:p w:rsidR="00231A56" w:rsidRPr="00531A9D" w:rsidRDefault="00EC26E1" w:rsidP="00160CDF">
      <w:pPr>
        <w:spacing w:after="0" w:line="240" w:lineRule="auto"/>
        <w:ind w:left="360"/>
        <w:jc w:val="center"/>
        <w:rPr>
          <w:rFonts w:ascii="Times New Roman" w:hAnsi="Times New Roman" w:cs="Times New Roman"/>
          <w:i/>
          <w:sz w:val="24"/>
          <w:szCs w:val="24"/>
        </w:rPr>
      </w:pPr>
      <w:r w:rsidRPr="00531A9D">
        <w:rPr>
          <w:rFonts w:ascii="Times New Roman" w:hAnsi="Times New Roman"/>
          <w:i/>
          <w:sz w:val="24"/>
        </w:rPr>
        <w:t>Kritéria radiometrické kontroly</w:t>
      </w:r>
    </w:p>
    <w:p w:rsidR="00EC26E1" w:rsidRPr="00531A9D" w:rsidRDefault="00EC26E1" w:rsidP="00160CDF">
      <w:pPr>
        <w:spacing w:after="0" w:line="240" w:lineRule="auto"/>
        <w:ind w:left="360"/>
        <w:jc w:val="center"/>
        <w:rPr>
          <w:rFonts w:ascii="Times New Roman" w:hAnsi="Times New Roman" w:cs="Times New Roman"/>
          <w:sz w:val="24"/>
          <w:szCs w:val="24"/>
        </w:rPr>
      </w:pPr>
    </w:p>
    <w:p w:rsidR="003B3C39" w:rsidRPr="00531A9D" w:rsidRDefault="00D24F86" w:rsidP="00D24F86">
      <w:pPr>
        <w:pStyle w:val="Footer"/>
        <w:numPr>
          <w:ilvl w:val="0"/>
          <w:numId w:val="11"/>
        </w:numPr>
        <w:jc w:val="both"/>
        <w:rPr>
          <w:rFonts w:ascii="Times New Roman" w:hAnsi="Times New Roman" w:cs="Times New Roman"/>
          <w:sz w:val="24"/>
        </w:rPr>
      </w:pPr>
      <w:r w:rsidRPr="00531A9D">
        <w:rPr>
          <w:rFonts w:ascii="Times New Roman" w:hAnsi="Times New Roman"/>
          <w:sz w:val="24"/>
        </w:rPr>
        <w:t xml:space="preserve">Radiometrické kontroly šrotu nebo jiných vedlejších produktů a polotovarů z kovu se provádí kontrolou absorbované dávky ve vzduchu zjistitelné mimo náklad za účelem zjištění přítomnosti opuštěných zdrojů nebo abnormálních úrovní radioaktivity, identifikovaných podle použitelných pravidel správné praxe nebo případně technických směrnic vydaných v souladu s článkem 153 legislativního nařízení č. 230 ze dne 17. března 1995 a za účelem splnění povinností podle čl. 157 odst. 4 uvedeného legislativního nařízení. „Nákladem“ se rozumí kontejner, vozidlo nebo železniční vagón nebo jakákoli jiná nádoba používaná pro výše uvedený kovový šrot, výrobky z kovu nebo polotovary z kovu. </w:t>
      </w:r>
    </w:p>
    <w:p w:rsidR="00D24F86" w:rsidRPr="00531A9D" w:rsidRDefault="00707A33" w:rsidP="00D24F86">
      <w:pPr>
        <w:pStyle w:val="Footer"/>
        <w:numPr>
          <w:ilvl w:val="0"/>
          <w:numId w:val="11"/>
        </w:numPr>
        <w:jc w:val="both"/>
        <w:rPr>
          <w:rFonts w:ascii="Times New Roman" w:hAnsi="Times New Roman" w:cs="Times New Roman"/>
          <w:sz w:val="24"/>
        </w:rPr>
      </w:pPr>
      <w:r w:rsidRPr="00531A9D">
        <w:rPr>
          <w:rFonts w:ascii="Times New Roman" w:hAnsi="Times New Roman"/>
          <w:sz w:val="24"/>
        </w:rPr>
        <w:t>Radiometrická kontrola se provádí rovněž při vykládce nebo manipulaci, a to kontrolou absorbované dávky ve vzduchu zjistitelné mimo kovový šrot nebo jiné vedlejší produkty a polotovary z kovu.</w:t>
      </w:r>
    </w:p>
    <w:p w:rsidR="00707A33" w:rsidRPr="00531A9D" w:rsidRDefault="00707A33" w:rsidP="00D24F86">
      <w:pPr>
        <w:pStyle w:val="Footer"/>
        <w:numPr>
          <w:ilvl w:val="0"/>
          <w:numId w:val="11"/>
        </w:numPr>
        <w:jc w:val="both"/>
        <w:rPr>
          <w:rFonts w:ascii="Times New Roman" w:hAnsi="Times New Roman" w:cs="Times New Roman"/>
          <w:sz w:val="24"/>
        </w:rPr>
      </w:pPr>
      <w:r w:rsidRPr="00531A9D">
        <w:rPr>
          <w:rFonts w:ascii="Times New Roman" w:hAnsi="Times New Roman"/>
          <w:sz w:val="24"/>
        </w:rPr>
        <w:t>Pokud jsou objeveny radioaktivní zdroje nebo pokud radiometrická měření odhalí abnormální úrovně radioaktivity, je nutné provést zkoušku povrchové kontaminace vnitřních stěn kontejnerů.</w:t>
      </w:r>
    </w:p>
    <w:p w:rsidR="00EC26E1" w:rsidRPr="00531A9D" w:rsidRDefault="00D138EC" w:rsidP="00D24F86">
      <w:pPr>
        <w:pStyle w:val="Footer"/>
        <w:numPr>
          <w:ilvl w:val="0"/>
          <w:numId w:val="11"/>
        </w:numPr>
        <w:jc w:val="both"/>
        <w:rPr>
          <w:rFonts w:ascii="Times New Roman" w:hAnsi="Times New Roman" w:cs="Times New Roman"/>
          <w:sz w:val="24"/>
        </w:rPr>
      </w:pPr>
      <w:r w:rsidRPr="00531A9D">
        <w:rPr>
          <w:rFonts w:ascii="Times New Roman" w:hAnsi="Times New Roman"/>
          <w:sz w:val="24"/>
        </w:rPr>
        <w:t>V rámci plánované kontroly jakosti na vzorcích odlitků nebo v případě podezření na roztavení radioaktivních zdrojů nebo kontaminovaného materiálu musí být koncentrace aktivity na jednotku hmotnosti měřeny na výrobku a na tavicí strusce, jakož i na prachu pocházejícím ze systému odstraňování výparů ze zařízení.</w:t>
      </w:r>
    </w:p>
    <w:p w:rsidR="00D24F86" w:rsidRPr="00531A9D" w:rsidRDefault="00F32D90" w:rsidP="00D24F86">
      <w:pPr>
        <w:pStyle w:val="Footer"/>
        <w:numPr>
          <w:ilvl w:val="0"/>
          <w:numId w:val="11"/>
        </w:numPr>
        <w:jc w:val="both"/>
        <w:rPr>
          <w:rFonts w:ascii="Times New Roman" w:hAnsi="Times New Roman" w:cs="Times New Roman"/>
          <w:sz w:val="24"/>
        </w:rPr>
      </w:pPr>
      <w:r w:rsidRPr="00531A9D">
        <w:rPr>
          <w:rFonts w:ascii="Times New Roman" w:hAnsi="Times New Roman"/>
          <w:sz w:val="24"/>
        </w:rPr>
        <w:t>V případě šrotu a jiných vedlejších produktů z kovu přepravovaných volně po moři se provádí radiometrická kontrola na zformovaných nákladech.</w:t>
      </w:r>
    </w:p>
    <w:p w:rsidR="00EC26E1" w:rsidRPr="00531A9D" w:rsidRDefault="00EC26E1" w:rsidP="00160CDF">
      <w:pPr>
        <w:spacing w:after="0" w:line="240" w:lineRule="auto"/>
        <w:ind w:left="360"/>
        <w:jc w:val="center"/>
        <w:rPr>
          <w:rFonts w:ascii="Times New Roman" w:hAnsi="Times New Roman" w:cs="Times New Roman"/>
          <w:sz w:val="24"/>
          <w:szCs w:val="24"/>
        </w:rPr>
      </w:pPr>
    </w:p>
    <w:p w:rsidR="00F32D90" w:rsidRPr="00531A9D" w:rsidRDefault="00F32D90" w:rsidP="00223553">
      <w:pPr>
        <w:keepNext/>
        <w:spacing w:after="0" w:line="240" w:lineRule="auto"/>
        <w:ind w:left="357"/>
        <w:jc w:val="center"/>
        <w:rPr>
          <w:rFonts w:ascii="Times New Roman" w:hAnsi="Times New Roman" w:cs="Times New Roman"/>
          <w:sz w:val="24"/>
          <w:szCs w:val="24"/>
        </w:rPr>
      </w:pPr>
      <w:r w:rsidRPr="00531A9D">
        <w:rPr>
          <w:rFonts w:ascii="Times New Roman" w:hAnsi="Times New Roman"/>
          <w:sz w:val="24"/>
        </w:rPr>
        <w:t>Článek 3</w:t>
      </w:r>
    </w:p>
    <w:p w:rsidR="002028A7" w:rsidRPr="00531A9D" w:rsidRDefault="002028A7" w:rsidP="00223553">
      <w:pPr>
        <w:keepNext/>
        <w:spacing w:after="0" w:line="240" w:lineRule="auto"/>
        <w:ind w:left="357"/>
        <w:jc w:val="center"/>
        <w:rPr>
          <w:rFonts w:ascii="Times New Roman" w:hAnsi="Times New Roman" w:cs="Times New Roman"/>
          <w:i/>
          <w:sz w:val="24"/>
          <w:szCs w:val="24"/>
        </w:rPr>
      </w:pPr>
      <w:r w:rsidRPr="00531A9D">
        <w:rPr>
          <w:rFonts w:ascii="Times New Roman" w:hAnsi="Times New Roman"/>
          <w:i/>
          <w:sz w:val="24"/>
        </w:rPr>
        <w:t>Způsoby provádění radiometrické kontroly</w:t>
      </w:r>
    </w:p>
    <w:p w:rsidR="003B3C39" w:rsidRPr="00531A9D" w:rsidRDefault="003B3C39" w:rsidP="00223553">
      <w:pPr>
        <w:keepNext/>
        <w:spacing w:after="0" w:line="240" w:lineRule="auto"/>
        <w:ind w:left="357"/>
        <w:jc w:val="center"/>
        <w:rPr>
          <w:rFonts w:ascii="Times New Roman" w:hAnsi="Times New Roman" w:cs="Times New Roman"/>
          <w:i/>
          <w:sz w:val="24"/>
          <w:szCs w:val="24"/>
        </w:rPr>
      </w:pPr>
    </w:p>
    <w:p w:rsidR="00586CE6" w:rsidRPr="00531A9D" w:rsidRDefault="00E976DA">
      <w:pPr>
        <w:pStyle w:val="ListParagraph"/>
        <w:numPr>
          <w:ilvl w:val="0"/>
          <w:numId w:val="5"/>
        </w:numPr>
        <w:spacing w:after="0" w:line="240" w:lineRule="auto"/>
        <w:jc w:val="both"/>
        <w:rPr>
          <w:rFonts w:ascii="Times New Roman" w:hAnsi="Times New Roman" w:cs="Times New Roman"/>
          <w:sz w:val="24"/>
          <w:szCs w:val="24"/>
        </w:rPr>
      </w:pPr>
      <w:r w:rsidRPr="00531A9D">
        <w:rPr>
          <w:rFonts w:ascii="Times New Roman" w:hAnsi="Times New Roman"/>
          <w:sz w:val="24"/>
        </w:rPr>
        <w:t xml:space="preserve">Subjekty uvedené v čl. 157 odst. 1 legislativního nařízení č. 230 ze dne 17. března 1995, které se zabývají průmyslovým nebo obchodním sběrem nebo skladováním šrotu nebo jiných vedlejších produktů z kovu, jsou povinny provádět radiometrické kontroly na vstupu </w:t>
      </w:r>
      <w:r w:rsidRPr="00531A9D">
        <w:rPr>
          <w:rFonts w:ascii="Times New Roman" w:hAnsi="Times New Roman"/>
          <w:sz w:val="24"/>
        </w:rPr>
        <w:lastRenderedPageBreak/>
        <w:t xml:space="preserve">do zařízení provedením zkoušky absorbované dávky ve vzduchu, který lze zjistit mimo náklad. </w:t>
      </w:r>
    </w:p>
    <w:p w:rsidR="00760AF9" w:rsidRPr="00531A9D" w:rsidRDefault="00D27263">
      <w:pPr>
        <w:pStyle w:val="ListParagraph"/>
        <w:numPr>
          <w:ilvl w:val="0"/>
          <w:numId w:val="5"/>
        </w:numPr>
        <w:spacing w:after="0" w:line="240" w:lineRule="auto"/>
        <w:jc w:val="both"/>
        <w:rPr>
          <w:rFonts w:ascii="Times New Roman" w:hAnsi="Times New Roman" w:cs="Times New Roman"/>
          <w:sz w:val="24"/>
          <w:szCs w:val="24"/>
        </w:rPr>
      </w:pPr>
      <w:r w:rsidRPr="00531A9D">
        <w:rPr>
          <w:rFonts w:ascii="Times New Roman" w:hAnsi="Times New Roman"/>
          <w:sz w:val="24"/>
        </w:rPr>
        <w:t>Nad rámec ustanovení v bodě 1 výše jsou tam uvedené subjekty rovněž povinny při vykládce a manipulaci s těmito materiály provést při zohlednění nejběžnějších vlastností radioaktivních zdrojů a jejich kontejnerů počáteční vizuální prohlídku materiálu za účelem zjištění přítomnosti jakéhokoli podezřelého materiálu a změřit absorbovanou dávku ve vzduchu zjistitelnou mimo vyložený materiál.</w:t>
      </w:r>
    </w:p>
    <w:p w:rsidR="00BF09C2" w:rsidRPr="00531A9D" w:rsidRDefault="00BF09C2">
      <w:pPr>
        <w:pStyle w:val="ListParagraph"/>
        <w:numPr>
          <w:ilvl w:val="0"/>
          <w:numId w:val="5"/>
        </w:numPr>
        <w:spacing w:after="0" w:line="240" w:lineRule="auto"/>
        <w:jc w:val="both"/>
        <w:rPr>
          <w:rFonts w:ascii="Times New Roman" w:hAnsi="Times New Roman" w:cs="Times New Roman"/>
          <w:sz w:val="24"/>
          <w:szCs w:val="24"/>
        </w:rPr>
      </w:pPr>
      <w:r w:rsidRPr="00531A9D">
        <w:rPr>
          <w:rFonts w:ascii="Times New Roman" w:hAnsi="Times New Roman"/>
          <w:sz w:val="24"/>
        </w:rPr>
        <w:t>Subjekty, které se zabývají průmyslovými nebo obchodními operacemi zahrnujícími tavení kovového šrotu nebo jiných kovových vedlejších produktů v rámci plánované kontroly kvality na vzorcích odlitků a v případě podezření na roztavení radioaktivních zdrojů nebo kontaminovaného materiálu, jsou povinny provádět měření koncentrace aktivity na jednotku hmotnosti za použití jakostních a výstupních vzorků vzešlých z každé dávky z tavicí pece. Tytéž subjekty jsou rovněž povinny provádět radiometrické zkoušky na reprezentativních vzorcích odpadu a prachu pocházejících ze systému odvádění výparů ze zařízení. Aby byly tyto zkoušky reprezentativní, musí být četnost jejich četnost a počet korelovaných vzorků stanoveny prostřednictvím zvláštního interního postupu vypracovaného na základě vlastností zařízení a činností v něm prováděných. Kontrolní orgány jsou oprávněny požadovat jinou četnost.</w:t>
      </w:r>
    </w:p>
    <w:p w:rsidR="00D27263" w:rsidRPr="00531A9D" w:rsidRDefault="00D138EC">
      <w:pPr>
        <w:pStyle w:val="ListParagraph"/>
        <w:numPr>
          <w:ilvl w:val="0"/>
          <w:numId w:val="5"/>
        </w:numPr>
        <w:spacing w:after="0" w:line="240" w:lineRule="auto"/>
        <w:jc w:val="both"/>
        <w:rPr>
          <w:rFonts w:ascii="Times New Roman" w:hAnsi="Times New Roman" w:cs="Times New Roman"/>
          <w:sz w:val="24"/>
          <w:szCs w:val="24"/>
        </w:rPr>
      </w:pPr>
      <w:r w:rsidRPr="00531A9D">
        <w:rPr>
          <w:rFonts w:ascii="Times New Roman" w:hAnsi="Times New Roman"/>
          <w:sz w:val="24"/>
        </w:rPr>
        <w:t>Zkoušky podle bodů 1 a 3 výše musí být provedeny před tím, než jsou materiály nebo výrobky přepraveny vně areál tohoto zařízení.</w:t>
      </w:r>
    </w:p>
    <w:p w:rsidR="00D27263" w:rsidRPr="00531A9D" w:rsidRDefault="00D27263">
      <w:pPr>
        <w:pStyle w:val="ListParagraph"/>
        <w:numPr>
          <w:ilvl w:val="0"/>
          <w:numId w:val="5"/>
        </w:numPr>
        <w:spacing w:after="0" w:line="240" w:lineRule="auto"/>
        <w:jc w:val="both"/>
        <w:rPr>
          <w:rFonts w:ascii="Times New Roman" w:hAnsi="Times New Roman" w:cs="Times New Roman"/>
          <w:sz w:val="24"/>
          <w:szCs w:val="24"/>
        </w:rPr>
      </w:pPr>
      <w:r w:rsidRPr="00531A9D">
        <w:rPr>
          <w:rFonts w:ascii="Times New Roman" w:hAnsi="Times New Roman"/>
          <w:sz w:val="24"/>
        </w:rPr>
        <w:t>Subjekty, které se zabývají průmyslovým nebo obchodním dovozem šrotu nebo jiných vedlejších produktů a polotovarů z kovu, aniž jsou dotčena ustanovení článku 7 tohoto nařízení, jsou povinny provádět radiometrické kontroly tohoto materiálu na vstupu do zařízení a při vykládání kovového šrotu a výrobků z kovu a provádět při tom zkoušky absorbované dávky ve vzduchu zjistitelné mimo náklad vyložený materiál.</w:t>
      </w:r>
    </w:p>
    <w:p w:rsidR="00BF09C2" w:rsidRPr="00531A9D" w:rsidRDefault="00BF09C2" w:rsidP="00223553">
      <w:pPr>
        <w:widowControl w:val="0"/>
        <w:autoSpaceDE w:val="0"/>
        <w:autoSpaceDN w:val="0"/>
        <w:adjustRightInd w:val="0"/>
        <w:spacing w:after="0" w:line="240" w:lineRule="auto"/>
        <w:rPr>
          <w:rFonts w:ascii="Times New Roman" w:hAnsi="Times New Roman" w:cs="Times New Roman"/>
          <w:sz w:val="24"/>
          <w:szCs w:val="24"/>
        </w:rPr>
      </w:pPr>
    </w:p>
    <w:p w:rsidR="008E72DD" w:rsidRPr="00531A9D" w:rsidRDefault="008E72DD" w:rsidP="008E72DD">
      <w:pPr>
        <w:spacing w:after="0" w:line="240" w:lineRule="auto"/>
        <w:ind w:left="360"/>
        <w:jc w:val="center"/>
        <w:rPr>
          <w:rFonts w:ascii="Times New Roman" w:hAnsi="Times New Roman" w:cs="Times New Roman"/>
          <w:sz w:val="24"/>
          <w:szCs w:val="24"/>
        </w:rPr>
      </w:pPr>
      <w:r w:rsidRPr="00531A9D">
        <w:rPr>
          <w:rFonts w:ascii="Times New Roman" w:hAnsi="Times New Roman"/>
          <w:sz w:val="24"/>
        </w:rPr>
        <w:t>Článek 4</w:t>
      </w:r>
    </w:p>
    <w:p w:rsidR="008E72DD" w:rsidRPr="00531A9D" w:rsidRDefault="008E72DD" w:rsidP="008E72DD">
      <w:pPr>
        <w:spacing w:after="0" w:line="240" w:lineRule="auto"/>
        <w:ind w:left="360"/>
        <w:jc w:val="center"/>
        <w:rPr>
          <w:rFonts w:ascii="Times New Roman" w:hAnsi="Times New Roman" w:cs="Times New Roman"/>
          <w:i/>
          <w:sz w:val="24"/>
          <w:szCs w:val="24"/>
        </w:rPr>
      </w:pPr>
      <w:r w:rsidRPr="00531A9D">
        <w:rPr>
          <w:rFonts w:ascii="Times New Roman" w:hAnsi="Times New Roman"/>
          <w:i/>
          <w:sz w:val="24"/>
        </w:rPr>
        <w:t>Osvědčení o radiometrické kontrole</w:t>
      </w:r>
    </w:p>
    <w:p w:rsidR="00502D9D" w:rsidRPr="00531A9D" w:rsidRDefault="00502D9D" w:rsidP="008E72DD">
      <w:pPr>
        <w:spacing w:after="0" w:line="240" w:lineRule="auto"/>
        <w:jc w:val="both"/>
        <w:rPr>
          <w:rFonts w:ascii="Times New Roman" w:hAnsi="Times New Roman" w:cs="Times New Roman"/>
          <w:sz w:val="24"/>
          <w:szCs w:val="24"/>
        </w:rPr>
      </w:pPr>
    </w:p>
    <w:p w:rsidR="00BD4BEC" w:rsidRPr="00531A9D" w:rsidRDefault="008E72DD" w:rsidP="00C0795E">
      <w:pPr>
        <w:pStyle w:val="ListParagraph"/>
        <w:numPr>
          <w:ilvl w:val="0"/>
          <w:numId w:val="12"/>
        </w:numPr>
        <w:spacing w:after="0" w:line="240" w:lineRule="auto"/>
        <w:jc w:val="both"/>
        <w:rPr>
          <w:rFonts w:ascii="Times New Roman" w:hAnsi="Times New Roman" w:cs="Times New Roman"/>
          <w:sz w:val="24"/>
          <w:szCs w:val="24"/>
        </w:rPr>
      </w:pPr>
      <w:r w:rsidRPr="00531A9D">
        <w:rPr>
          <w:rFonts w:ascii="Times New Roman" w:hAnsi="Times New Roman"/>
          <w:sz w:val="24"/>
        </w:rPr>
        <w:t>Osvědčení o provedené radiometrické kontrole vydaný kvalifikovanými odborníky v souladu s čl. 157 odst. 2 legislativního nařízení č. 230 ze dne 17. března 1995 musí obsahovat alespoň tyto informace:</w:t>
      </w:r>
    </w:p>
    <w:p w:rsidR="00C0795E" w:rsidRPr="00531A9D"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bližší údaje o nákladu;</w:t>
      </w:r>
    </w:p>
    <w:p w:rsidR="00085F28" w:rsidRPr="00531A9D"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typ kovového materiálu;</w:t>
      </w:r>
    </w:p>
    <w:p w:rsidR="00C0795E" w:rsidRPr="00531A9D"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původ;</w:t>
      </w:r>
    </w:p>
    <w:p w:rsidR="00C0795E" w:rsidRPr="00531A9D" w:rsidRDefault="00C0795E"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datum radiometrické kontroly;</w:t>
      </w:r>
    </w:p>
    <w:p w:rsidR="00085F28" w:rsidRPr="00531A9D"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hodnota pozadí v místním prostředí naměřená před radiometrickou kontrolou;</w:t>
      </w:r>
    </w:p>
    <w:p w:rsidR="00C0795E" w:rsidRPr="00531A9D" w:rsidRDefault="00F516F1"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typ provedených radiometrických měření a použité nástroje;</w:t>
      </w:r>
    </w:p>
    <w:p w:rsidR="00085F28" w:rsidRPr="00531A9D"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závěrečná funkční kontrola provedená na použitém měřicím systému;</w:t>
      </w:r>
    </w:p>
    <w:p w:rsidR="00085F28" w:rsidRPr="00531A9D"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jméno zaměstnance odpovědného za provádění radiometrických měření;</w:t>
      </w:r>
    </w:p>
    <w:p w:rsidR="00C0795E" w:rsidRPr="00531A9D" w:rsidRDefault="00085F28"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výsledky provedených měření;</w:t>
      </w:r>
    </w:p>
    <w:p w:rsidR="00C0795E" w:rsidRPr="00531A9D" w:rsidRDefault="00E87B3C" w:rsidP="00C0795E">
      <w:pPr>
        <w:pStyle w:val="ListParagraph"/>
        <w:numPr>
          <w:ilvl w:val="0"/>
          <w:numId w:val="13"/>
        </w:numPr>
        <w:spacing w:after="0" w:line="240" w:lineRule="auto"/>
        <w:ind w:left="1276"/>
        <w:jc w:val="both"/>
        <w:rPr>
          <w:rFonts w:ascii="Times New Roman" w:hAnsi="Times New Roman" w:cs="Times New Roman"/>
          <w:sz w:val="24"/>
          <w:szCs w:val="24"/>
        </w:rPr>
      </w:pPr>
      <w:r w:rsidRPr="00531A9D">
        <w:rPr>
          <w:rFonts w:ascii="Times New Roman" w:hAnsi="Times New Roman"/>
          <w:sz w:val="24"/>
        </w:rPr>
        <w:t>závěr o přijetí/odmítnutí nákladu/materiálu.</w:t>
      </w:r>
    </w:p>
    <w:p w:rsidR="00577A7D" w:rsidRPr="00531A9D" w:rsidRDefault="00577A7D" w:rsidP="00577A7D">
      <w:pPr>
        <w:spacing w:after="0" w:line="240" w:lineRule="auto"/>
        <w:ind w:left="709"/>
        <w:jc w:val="both"/>
        <w:rPr>
          <w:rFonts w:ascii="Times New Roman" w:hAnsi="Times New Roman" w:cs="Times New Roman"/>
          <w:sz w:val="24"/>
          <w:szCs w:val="24"/>
        </w:rPr>
      </w:pPr>
      <w:r w:rsidRPr="00531A9D">
        <w:rPr>
          <w:rFonts w:ascii="Times New Roman" w:hAnsi="Times New Roman"/>
          <w:sz w:val="24"/>
        </w:rPr>
        <w:t>V případech, kdy se v zařízení provádí tavicí operace s kovovým šrotem nebo jinými vedlejšími produkty z kovu, musí osvědčení obsahovat také důležité informace týkající se radiometrické kontroly a výsledků měření koncentrace aktivity na jednotku hmotnosti prováděných na výrobku a na tavicí strusce a prachu pocházejících ze systému pro odvádění páry ze zařízení.</w:t>
      </w:r>
    </w:p>
    <w:p w:rsidR="00C0795E" w:rsidRPr="00531A9D" w:rsidRDefault="00C0795E" w:rsidP="00C0795E">
      <w:pPr>
        <w:pStyle w:val="ListParagraph"/>
        <w:numPr>
          <w:ilvl w:val="0"/>
          <w:numId w:val="12"/>
        </w:numPr>
        <w:spacing w:after="0" w:line="240" w:lineRule="auto"/>
        <w:jc w:val="both"/>
        <w:rPr>
          <w:rFonts w:ascii="Times New Roman" w:hAnsi="Times New Roman" w:cs="Times New Roman"/>
          <w:sz w:val="24"/>
          <w:szCs w:val="24"/>
        </w:rPr>
      </w:pPr>
      <w:r w:rsidRPr="00531A9D">
        <w:rPr>
          <w:rFonts w:ascii="Times New Roman" w:hAnsi="Times New Roman"/>
          <w:sz w:val="24"/>
        </w:rPr>
        <w:t xml:space="preserve">Certifikace uvedená v bodě 1 musí být zanesena do evidence vytvořené jmenovaným kvalifikovaným odborníkem jménem subjektu uvedeného v čl. 157 odst. 1 legislativního nařízení č. 230 ze dne 17. března 1995; tato evidence musí být přístupná kontrolním orgánům a uchována na pracovišti po dobu nejméně pěti let, nebo pokud je nutné lépe </w:t>
      </w:r>
      <w:r w:rsidRPr="00531A9D">
        <w:rPr>
          <w:rFonts w:ascii="Times New Roman" w:hAnsi="Times New Roman"/>
          <w:sz w:val="24"/>
        </w:rPr>
        <w:lastRenderedPageBreak/>
        <w:t>zajistit její ochranu, v sídle subjektu uvedeného v čl. 157 odst. 1 výše uvedeného legislativního nařízení.</w:t>
      </w:r>
    </w:p>
    <w:p w:rsidR="00C0795E" w:rsidRPr="00531A9D" w:rsidRDefault="00C0795E" w:rsidP="00502D9D">
      <w:pPr>
        <w:spacing w:after="0" w:line="240" w:lineRule="auto"/>
        <w:jc w:val="both"/>
        <w:rPr>
          <w:rFonts w:ascii="Times New Roman" w:hAnsi="Times New Roman" w:cs="Times New Roman"/>
          <w:sz w:val="24"/>
          <w:szCs w:val="24"/>
        </w:rPr>
      </w:pPr>
    </w:p>
    <w:p w:rsidR="00C0795E" w:rsidRPr="00531A9D" w:rsidRDefault="00C0795E" w:rsidP="00C0795E">
      <w:pPr>
        <w:spacing w:after="0" w:line="240" w:lineRule="auto"/>
        <w:ind w:left="360"/>
        <w:jc w:val="center"/>
        <w:rPr>
          <w:rFonts w:ascii="Times New Roman" w:hAnsi="Times New Roman" w:cs="Times New Roman"/>
          <w:sz w:val="24"/>
          <w:szCs w:val="24"/>
        </w:rPr>
      </w:pPr>
      <w:r w:rsidRPr="00531A9D">
        <w:rPr>
          <w:rFonts w:ascii="Times New Roman" w:hAnsi="Times New Roman"/>
          <w:sz w:val="24"/>
        </w:rPr>
        <w:t>Článek 5</w:t>
      </w:r>
    </w:p>
    <w:p w:rsidR="00C0795E" w:rsidRPr="00531A9D" w:rsidRDefault="00C0795E" w:rsidP="00C0795E">
      <w:pPr>
        <w:spacing w:after="0" w:line="240" w:lineRule="auto"/>
        <w:ind w:left="360"/>
        <w:jc w:val="center"/>
        <w:rPr>
          <w:rFonts w:ascii="Times New Roman" w:hAnsi="Times New Roman" w:cs="Times New Roman"/>
          <w:i/>
          <w:sz w:val="24"/>
          <w:szCs w:val="24"/>
        </w:rPr>
      </w:pPr>
      <w:r w:rsidRPr="00531A9D">
        <w:rPr>
          <w:rFonts w:ascii="Times New Roman" w:hAnsi="Times New Roman"/>
          <w:i/>
          <w:sz w:val="24"/>
        </w:rPr>
        <w:t>Pracovníci odpovědní za provádění radiometrických kontrol</w:t>
      </w:r>
    </w:p>
    <w:p w:rsidR="00C0795E" w:rsidRPr="00531A9D" w:rsidRDefault="00C0795E" w:rsidP="00502D9D">
      <w:pPr>
        <w:spacing w:after="0" w:line="240" w:lineRule="auto"/>
        <w:jc w:val="both"/>
        <w:rPr>
          <w:rFonts w:ascii="Times New Roman" w:hAnsi="Times New Roman" w:cs="Times New Roman"/>
          <w:sz w:val="24"/>
          <w:szCs w:val="24"/>
        </w:rPr>
      </w:pPr>
    </w:p>
    <w:p w:rsidR="006D4BF0" w:rsidRPr="00531A9D" w:rsidRDefault="00C87594" w:rsidP="006D4BF0">
      <w:pPr>
        <w:pStyle w:val="ListParagraph"/>
        <w:numPr>
          <w:ilvl w:val="0"/>
          <w:numId w:val="14"/>
        </w:numPr>
        <w:spacing w:after="0" w:line="240" w:lineRule="auto"/>
        <w:jc w:val="both"/>
        <w:rPr>
          <w:rFonts w:ascii="Times New Roman" w:hAnsi="Times New Roman" w:cs="Times New Roman"/>
          <w:sz w:val="24"/>
          <w:szCs w:val="24"/>
        </w:rPr>
      </w:pPr>
      <w:r w:rsidRPr="00531A9D">
        <w:rPr>
          <w:rFonts w:ascii="Times New Roman" w:hAnsi="Times New Roman"/>
          <w:sz w:val="24"/>
        </w:rPr>
        <w:t>Radiometrická měření jsou oprávněni provádět i zaměstnanci bez statutu kvalifikovaného odborníka za předpokladu, že příslušná osoba:</w:t>
      </w:r>
    </w:p>
    <w:p w:rsidR="006D4BF0" w:rsidRPr="00531A9D" w:rsidRDefault="006D4BF0" w:rsidP="00C87594">
      <w:pPr>
        <w:pStyle w:val="ListParagraph"/>
        <w:numPr>
          <w:ilvl w:val="0"/>
          <w:numId w:val="15"/>
        </w:numPr>
        <w:spacing w:after="0" w:line="240" w:lineRule="auto"/>
        <w:jc w:val="both"/>
        <w:rPr>
          <w:rFonts w:ascii="Times New Roman" w:hAnsi="Times New Roman" w:cs="Times New Roman"/>
          <w:sz w:val="24"/>
          <w:szCs w:val="24"/>
        </w:rPr>
      </w:pPr>
      <w:r w:rsidRPr="00531A9D">
        <w:rPr>
          <w:rFonts w:ascii="Times New Roman" w:hAnsi="Times New Roman"/>
          <w:sz w:val="24"/>
        </w:rPr>
        <w:t>je přímo zaměstnána subjektem uvedeným v čl. 157 odst. 1 legislativního nařízení č. 230 ze dne 17. března 1995;</w:t>
      </w:r>
    </w:p>
    <w:p w:rsidR="00C87594" w:rsidRPr="00531A9D"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31A9D">
        <w:rPr>
          <w:rFonts w:ascii="Times New Roman" w:hAnsi="Times New Roman"/>
          <w:sz w:val="24"/>
        </w:rPr>
        <w:t>byla vybrána zaměstnavatelem v daném zařízení na základě dohody se jmenovaným kvalifikovaným odborníkem;</w:t>
      </w:r>
    </w:p>
    <w:p w:rsidR="00C87594" w:rsidRPr="00531A9D"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31A9D">
        <w:rPr>
          <w:rFonts w:ascii="Times New Roman" w:hAnsi="Times New Roman"/>
          <w:sz w:val="24"/>
        </w:rPr>
        <w:t>v minulosti absolvovala relevantní vzdělávací a informační program;</w:t>
      </w:r>
    </w:p>
    <w:p w:rsidR="00C87594" w:rsidRPr="00531A9D" w:rsidRDefault="00C87594" w:rsidP="00C87594">
      <w:pPr>
        <w:pStyle w:val="ListParagraph"/>
        <w:numPr>
          <w:ilvl w:val="0"/>
          <w:numId w:val="15"/>
        </w:numPr>
        <w:spacing w:after="0" w:line="240" w:lineRule="auto"/>
        <w:jc w:val="both"/>
        <w:rPr>
          <w:rFonts w:ascii="Times New Roman" w:hAnsi="Times New Roman" w:cs="Times New Roman"/>
          <w:sz w:val="24"/>
          <w:szCs w:val="24"/>
        </w:rPr>
      </w:pPr>
      <w:r w:rsidRPr="00531A9D">
        <w:rPr>
          <w:rFonts w:ascii="Times New Roman" w:hAnsi="Times New Roman"/>
          <w:sz w:val="24"/>
        </w:rPr>
        <w:t>pracuje pod vedením, dohledem a odpovědností kvalifikovaného odborníka;</w:t>
      </w:r>
    </w:p>
    <w:p w:rsidR="00C87594" w:rsidRPr="00531A9D" w:rsidRDefault="00C87594" w:rsidP="00F70DCA">
      <w:pPr>
        <w:pStyle w:val="ListParagraph"/>
        <w:numPr>
          <w:ilvl w:val="0"/>
          <w:numId w:val="15"/>
        </w:numPr>
        <w:spacing w:after="0" w:line="240" w:lineRule="auto"/>
        <w:jc w:val="both"/>
        <w:rPr>
          <w:rFonts w:ascii="Times New Roman" w:hAnsi="Times New Roman" w:cs="Times New Roman"/>
          <w:sz w:val="24"/>
          <w:szCs w:val="24"/>
        </w:rPr>
      </w:pPr>
      <w:r w:rsidRPr="00531A9D">
        <w:rPr>
          <w:rFonts w:ascii="Times New Roman" w:hAnsi="Times New Roman"/>
          <w:sz w:val="24"/>
        </w:rPr>
        <w:t>dodržuje postupy uvedené kvalifikovaným odborníkem a v případě podezření na přítomnost opuštěných zdrojů nebo kontaminovaného materiálu interní předpisy vypracované zaměstnavatelem po dohodě s kvalifikovaným odborníkem.</w:t>
      </w:r>
    </w:p>
    <w:p w:rsidR="00C0795E" w:rsidRPr="00531A9D" w:rsidRDefault="00C87594" w:rsidP="00C87594">
      <w:pPr>
        <w:pStyle w:val="ListParagraph"/>
        <w:numPr>
          <w:ilvl w:val="0"/>
          <w:numId w:val="14"/>
        </w:numPr>
        <w:spacing w:after="0" w:line="240" w:lineRule="auto"/>
        <w:jc w:val="both"/>
        <w:rPr>
          <w:rFonts w:ascii="Times New Roman" w:hAnsi="Times New Roman" w:cs="Times New Roman"/>
          <w:sz w:val="24"/>
          <w:szCs w:val="24"/>
        </w:rPr>
      </w:pPr>
      <w:r w:rsidRPr="00531A9D">
        <w:rPr>
          <w:rFonts w:ascii="Times New Roman" w:hAnsi="Times New Roman"/>
          <w:sz w:val="24"/>
        </w:rPr>
        <w:t>Kvalifikovaný odborník jmenovaný subjektem uvedeným v čl. 157 odst. 1 legislativního nařízení č. 230 ze dne 17. března 1995 je povinen tomuto subjektu poskytovat údaje o radiační ochraně nezbytné pro vypracování postupů pro provádění radiometrických měření a bezpečnostních a ochranných opatření, která je nutné podniknout v případě zjištění opuštěných zdrojů nebo kontaminovaného kovového materiálu, jakož i za účelem splnění povinností podle čl. 157 odst. 4 uvedeného legislativního nařízení.</w:t>
      </w:r>
    </w:p>
    <w:p w:rsidR="00C0795E" w:rsidRPr="00531A9D" w:rsidRDefault="00C0795E" w:rsidP="00502D9D">
      <w:pPr>
        <w:spacing w:after="0" w:line="240" w:lineRule="auto"/>
        <w:jc w:val="both"/>
        <w:rPr>
          <w:rFonts w:ascii="Times New Roman" w:hAnsi="Times New Roman" w:cs="Times New Roman"/>
          <w:sz w:val="24"/>
          <w:szCs w:val="24"/>
        </w:rPr>
      </w:pPr>
    </w:p>
    <w:p w:rsidR="008E72DD" w:rsidRPr="00531A9D" w:rsidRDefault="00C0795E" w:rsidP="008E72DD">
      <w:pPr>
        <w:spacing w:after="0" w:line="240" w:lineRule="auto"/>
        <w:ind w:left="360"/>
        <w:jc w:val="center"/>
        <w:rPr>
          <w:rFonts w:ascii="Times New Roman" w:hAnsi="Times New Roman" w:cs="Times New Roman"/>
          <w:sz w:val="24"/>
          <w:szCs w:val="24"/>
        </w:rPr>
      </w:pPr>
      <w:r w:rsidRPr="00531A9D">
        <w:rPr>
          <w:rFonts w:ascii="Times New Roman" w:hAnsi="Times New Roman"/>
          <w:sz w:val="24"/>
        </w:rPr>
        <w:t>Článek 6</w:t>
      </w:r>
    </w:p>
    <w:p w:rsidR="008E72DD" w:rsidRPr="00531A9D" w:rsidRDefault="008E72DD" w:rsidP="006270DA">
      <w:pPr>
        <w:spacing w:after="0" w:line="240" w:lineRule="auto"/>
        <w:ind w:left="426"/>
        <w:jc w:val="center"/>
        <w:rPr>
          <w:rFonts w:ascii="Times New Roman" w:hAnsi="Times New Roman" w:cs="Times New Roman"/>
          <w:sz w:val="24"/>
          <w:szCs w:val="24"/>
        </w:rPr>
      </w:pPr>
      <w:r w:rsidRPr="00531A9D">
        <w:rPr>
          <w:rFonts w:ascii="Times New Roman" w:hAnsi="Times New Roman"/>
          <w:i/>
          <w:sz w:val="24"/>
        </w:rPr>
        <w:t>Vzdělávání zaměstnanců</w:t>
      </w:r>
    </w:p>
    <w:p w:rsidR="008E72DD" w:rsidRPr="00531A9D" w:rsidRDefault="008E72DD" w:rsidP="00502D9D">
      <w:pPr>
        <w:spacing w:after="0" w:line="240" w:lineRule="auto"/>
        <w:jc w:val="both"/>
        <w:rPr>
          <w:rFonts w:ascii="Times New Roman" w:hAnsi="Times New Roman" w:cs="Times New Roman"/>
          <w:sz w:val="24"/>
          <w:szCs w:val="24"/>
        </w:rPr>
      </w:pPr>
    </w:p>
    <w:p w:rsidR="003D7DE6" w:rsidRPr="00531A9D" w:rsidRDefault="00742F89" w:rsidP="003D7DE6">
      <w:pPr>
        <w:pStyle w:val="ListParagraph"/>
        <w:numPr>
          <w:ilvl w:val="0"/>
          <w:numId w:val="16"/>
        </w:numPr>
        <w:spacing w:after="0" w:line="240" w:lineRule="auto"/>
        <w:jc w:val="both"/>
        <w:rPr>
          <w:rFonts w:ascii="Times New Roman" w:hAnsi="Times New Roman" w:cs="Times New Roman"/>
          <w:sz w:val="24"/>
          <w:szCs w:val="24"/>
        </w:rPr>
      </w:pPr>
      <w:r w:rsidRPr="00531A9D">
        <w:rPr>
          <w:rFonts w:ascii="Times New Roman" w:hAnsi="Times New Roman"/>
          <w:sz w:val="24"/>
        </w:rPr>
        <w:t>Subjekty uvedené v čl. 157 odst. 1 legislativního nařízení č. 230 ze dne 17. března 1995 jsou povinny zajistit, aby jejich zaměstnanci byli proškoleni v otázkách rozeznávání nejběžnějších druhů radioaktivních zdrojů a jejich kontejnerů a vybavení a zajišťování značek a označení udáva</w:t>
      </w:r>
      <w:r w:rsidR="003C0346" w:rsidRPr="00531A9D">
        <w:rPr>
          <w:rFonts w:ascii="Times New Roman" w:hAnsi="Times New Roman"/>
          <w:sz w:val="24"/>
        </w:rPr>
        <w:t>jících přítomnost radioaktivity</w:t>
      </w:r>
      <w:r w:rsidRPr="00531A9D">
        <w:rPr>
          <w:rFonts w:ascii="Times New Roman" w:hAnsi="Times New Roman"/>
          <w:sz w:val="24"/>
        </w:rPr>
        <w:t>.</w:t>
      </w:r>
    </w:p>
    <w:p w:rsidR="00742F89" w:rsidRPr="00531A9D" w:rsidRDefault="003D7DE6" w:rsidP="003D7DE6">
      <w:pPr>
        <w:pStyle w:val="ListParagraph"/>
        <w:numPr>
          <w:ilvl w:val="0"/>
          <w:numId w:val="16"/>
        </w:numPr>
        <w:spacing w:after="0" w:line="240" w:lineRule="auto"/>
        <w:jc w:val="both"/>
        <w:rPr>
          <w:rFonts w:ascii="Times New Roman" w:hAnsi="Times New Roman" w:cs="Times New Roman"/>
          <w:sz w:val="24"/>
          <w:szCs w:val="24"/>
        </w:rPr>
      </w:pPr>
      <w:r w:rsidRPr="00531A9D">
        <w:rPr>
          <w:rFonts w:ascii="Times New Roman" w:hAnsi="Times New Roman"/>
          <w:sz w:val="24"/>
        </w:rPr>
        <w:t>Subjekty uvedené v bodě 1 jsou rovněž povinny zajistit pro pracovníky odpovědné za provádění radiometrických kontrol konkrétní zdokumentovanou odbornou přípravu, aby tito mohli řádně plnit své povinnosti, včetně vizuálních kontrol. Zejména musí být všichni zaměstnanci odpovědní za vykládání, přemisťování a manipulaci s kovovým šrotem nebo jinými vedlejšími produkty a polotovary z kovu informováni a vyškoleni o bezpečnostních a ochranných postupech, které je nutné uplatnit v případě zjištění opuštěných zdrojů nebo kontaminovaného kovového materiálu.</w:t>
      </w:r>
    </w:p>
    <w:p w:rsidR="00F66476" w:rsidRPr="00531A9D" w:rsidRDefault="00F66476">
      <w:pPr>
        <w:spacing w:after="0" w:line="240" w:lineRule="auto"/>
        <w:jc w:val="both"/>
        <w:rPr>
          <w:rFonts w:ascii="Times New Roman" w:hAnsi="Times New Roman" w:cs="Times New Roman"/>
          <w:sz w:val="24"/>
          <w:szCs w:val="24"/>
        </w:rPr>
      </w:pPr>
    </w:p>
    <w:p w:rsidR="00F66476" w:rsidRPr="00531A9D" w:rsidRDefault="009E4D53" w:rsidP="00223553">
      <w:pPr>
        <w:keepNext/>
        <w:spacing w:after="0" w:line="240" w:lineRule="auto"/>
        <w:jc w:val="center"/>
        <w:rPr>
          <w:rFonts w:ascii="Times New Roman" w:hAnsi="Times New Roman" w:cs="Times New Roman"/>
          <w:sz w:val="24"/>
          <w:szCs w:val="24"/>
        </w:rPr>
      </w:pPr>
      <w:r w:rsidRPr="00531A9D">
        <w:rPr>
          <w:rFonts w:ascii="Times New Roman" w:hAnsi="Times New Roman"/>
          <w:sz w:val="24"/>
        </w:rPr>
        <w:t>Článek 7</w:t>
      </w:r>
    </w:p>
    <w:p w:rsidR="00F66476" w:rsidRPr="00531A9D" w:rsidRDefault="00A505F5" w:rsidP="00223553">
      <w:pPr>
        <w:keepNext/>
        <w:spacing w:after="0" w:line="240" w:lineRule="auto"/>
        <w:jc w:val="center"/>
        <w:rPr>
          <w:rFonts w:ascii="Times New Roman" w:hAnsi="Times New Roman" w:cs="Times New Roman"/>
          <w:i/>
          <w:sz w:val="24"/>
          <w:szCs w:val="24"/>
        </w:rPr>
      </w:pPr>
      <w:r w:rsidRPr="00531A9D">
        <w:rPr>
          <w:rFonts w:ascii="Times New Roman" w:hAnsi="Times New Roman"/>
          <w:i/>
          <w:sz w:val="24"/>
        </w:rPr>
        <w:t>Vzájemné uznávání certifikátů z radiometrických zkoušek prováděných na kovovém šrotu nebo jiných vedlejších produktech a polotovarech z kovu pocházejících ze třetích zemí</w:t>
      </w:r>
    </w:p>
    <w:p w:rsidR="000D519B" w:rsidRPr="00531A9D" w:rsidRDefault="000D519B" w:rsidP="00223553">
      <w:pPr>
        <w:keepNext/>
        <w:spacing w:after="0" w:line="240" w:lineRule="auto"/>
        <w:jc w:val="center"/>
        <w:rPr>
          <w:rFonts w:ascii="Times New Roman" w:hAnsi="Times New Roman" w:cs="Times New Roman"/>
          <w:sz w:val="24"/>
          <w:szCs w:val="24"/>
        </w:rPr>
      </w:pPr>
    </w:p>
    <w:p w:rsidR="000D519B" w:rsidRPr="00531A9D" w:rsidRDefault="002A1841"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531A9D">
        <w:rPr>
          <w:rFonts w:ascii="Times New Roman" w:hAnsi="Times New Roman"/>
          <w:sz w:val="24"/>
        </w:rPr>
        <w:t>Pro účely plnění celních postupů v případě kovového šrotu nebo jiných vedlejších produktů a polotovarů z kovu pocházející ze třetích zemí, pro které existují rovnocenné úrovně ochrany uznané na základě použití osvědčení vyhovujících formuláři uvedenému v příloze I tohoto výnosu, lze namísto certifikace na základě radiometrických zkoušek provedených na celním pracovišti recipročně přijímat prohlášení vydaná v místě původu subjekty, které byly v minulosti schváleny na základě předpisů stanovených příslušným orgánem v zemi původu těchto materiálů.</w:t>
      </w:r>
    </w:p>
    <w:p w:rsidR="000D519B" w:rsidRPr="00531A9D" w:rsidRDefault="000B093A" w:rsidP="001C7D7C">
      <w:pPr>
        <w:pStyle w:val="ListParagraph"/>
        <w:numPr>
          <w:ilvl w:val="0"/>
          <w:numId w:val="9"/>
        </w:numPr>
        <w:spacing w:line="240" w:lineRule="auto"/>
        <w:ind w:left="709" w:hanging="357"/>
        <w:jc w:val="both"/>
        <w:rPr>
          <w:rFonts w:ascii="Times New Roman" w:hAnsi="Times New Roman" w:cs="Times New Roman"/>
          <w:sz w:val="24"/>
          <w:szCs w:val="24"/>
        </w:rPr>
      </w:pPr>
      <w:r w:rsidRPr="00531A9D">
        <w:rPr>
          <w:rFonts w:ascii="Times New Roman" w:hAnsi="Times New Roman"/>
          <w:sz w:val="24"/>
        </w:rPr>
        <w:lastRenderedPageBreak/>
        <w:t>Seznam zemí, pro které platí dohoda o vzájemném uznávání, zveřejňuje a pravidelně aktualizuje ministerstvo pro hospodářský rozvoj.</w:t>
      </w:r>
    </w:p>
    <w:p w:rsidR="002028A7" w:rsidRPr="00531A9D" w:rsidRDefault="002028A7" w:rsidP="00160CDF">
      <w:pPr>
        <w:spacing w:after="0" w:line="240" w:lineRule="auto"/>
        <w:ind w:left="360"/>
        <w:jc w:val="center"/>
        <w:rPr>
          <w:rFonts w:ascii="Times New Roman" w:hAnsi="Times New Roman" w:cs="Times New Roman"/>
          <w:sz w:val="24"/>
          <w:szCs w:val="24"/>
        </w:rPr>
      </w:pPr>
      <w:r w:rsidRPr="00531A9D">
        <w:rPr>
          <w:rFonts w:ascii="Times New Roman" w:hAnsi="Times New Roman"/>
          <w:sz w:val="24"/>
        </w:rPr>
        <w:t>Článek 8</w:t>
      </w:r>
    </w:p>
    <w:p w:rsidR="00B310BB" w:rsidRPr="00531A9D" w:rsidRDefault="003D7DE6" w:rsidP="00160CDF">
      <w:pPr>
        <w:spacing w:after="0" w:line="240" w:lineRule="auto"/>
        <w:jc w:val="center"/>
        <w:rPr>
          <w:rFonts w:ascii="Times New Roman" w:hAnsi="Times New Roman" w:cs="Times New Roman"/>
          <w:i/>
          <w:sz w:val="24"/>
          <w:szCs w:val="24"/>
        </w:rPr>
      </w:pPr>
      <w:r w:rsidRPr="00531A9D">
        <w:rPr>
          <w:rFonts w:ascii="Times New Roman" w:hAnsi="Times New Roman"/>
          <w:i/>
          <w:sz w:val="24"/>
        </w:rPr>
        <w:t>Polotovary z kovu podléhající radiometrické kontrole</w:t>
      </w:r>
    </w:p>
    <w:p w:rsidR="003D7DE6" w:rsidRPr="00531A9D" w:rsidRDefault="003D7DE6" w:rsidP="00160CDF">
      <w:pPr>
        <w:spacing w:after="0" w:line="240" w:lineRule="auto"/>
        <w:jc w:val="center"/>
        <w:rPr>
          <w:rFonts w:ascii="Times New Roman" w:hAnsi="Times New Roman" w:cs="Times New Roman"/>
          <w:i/>
          <w:sz w:val="24"/>
          <w:szCs w:val="24"/>
        </w:rPr>
      </w:pPr>
    </w:p>
    <w:p w:rsidR="003D7DE6" w:rsidRPr="00531A9D" w:rsidRDefault="003D7DE6" w:rsidP="001C7D7C">
      <w:pPr>
        <w:spacing w:line="240" w:lineRule="auto"/>
        <w:ind w:left="709" w:hanging="357"/>
        <w:jc w:val="both"/>
        <w:rPr>
          <w:rFonts w:ascii="Times New Roman" w:hAnsi="Times New Roman" w:cs="Times New Roman"/>
          <w:sz w:val="24"/>
          <w:szCs w:val="24"/>
        </w:rPr>
      </w:pPr>
      <w:r w:rsidRPr="00531A9D">
        <w:rPr>
          <w:rFonts w:ascii="Times New Roman" w:hAnsi="Times New Roman"/>
          <w:sz w:val="24"/>
        </w:rPr>
        <w:t>1.</w:t>
      </w:r>
      <w:r w:rsidRPr="00531A9D">
        <w:tab/>
      </w:r>
      <w:r w:rsidRPr="00531A9D">
        <w:rPr>
          <w:rFonts w:ascii="Times New Roman" w:hAnsi="Times New Roman"/>
          <w:sz w:val="24"/>
        </w:rPr>
        <w:t>Seznam polotovarů z kovu, které podléhají radiometrické kontrole, je uveden v příloze II tohoto výnosu.</w:t>
      </w:r>
    </w:p>
    <w:p w:rsidR="00C75963" w:rsidRPr="00531A9D" w:rsidRDefault="00C75963" w:rsidP="001C7D7C">
      <w:pPr>
        <w:spacing w:line="240" w:lineRule="auto"/>
        <w:ind w:left="709" w:hanging="357"/>
        <w:jc w:val="both"/>
        <w:rPr>
          <w:rFonts w:ascii="Times New Roman" w:hAnsi="Times New Roman" w:cs="Times New Roman"/>
          <w:sz w:val="24"/>
          <w:szCs w:val="24"/>
        </w:rPr>
      </w:pPr>
      <w:r w:rsidRPr="00531A9D">
        <w:rPr>
          <w:rFonts w:ascii="Times New Roman" w:hAnsi="Times New Roman"/>
          <w:sz w:val="24"/>
        </w:rPr>
        <w:t>2.</w:t>
      </w:r>
      <w:r w:rsidRPr="00531A9D">
        <w:tab/>
      </w:r>
      <w:r w:rsidRPr="00531A9D">
        <w:rPr>
          <w:rFonts w:ascii="Times New Roman" w:hAnsi="Times New Roman"/>
          <w:sz w:val="24"/>
        </w:rPr>
        <w:t>Aktualizace přílohy II tohoto výnosu byla provedena na základě změn provedených v kombinované nomenklatuře podle nařízení EU o těchto výrobcích výnosem ministerstva pro hospodářský rozvoj na návrh Italské agentury pro cla a monopoly.</w:t>
      </w:r>
    </w:p>
    <w:p w:rsidR="00F66476" w:rsidRPr="00531A9D" w:rsidRDefault="009E4D53">
      <w:pPr>
        <w:spacing w:after="0" w:line="240" w:lineRule="auto"/>
        <w:jc w:val="center"/>
        <w:rPr>
          <w:rFonts w:ascii="Times New Roman" w:hAnsi="Times New Roman" w:cs="Times New Roman"/>
          <w:sz w:val="24"/>
          <w:szCs w:val="24"/>
        </w:rPr>
      </w:pPr>
      <w:r w:rsidRPr="00531A9D">
        <w:rPr>
          <w:rFonts w:ascii="Times New Roman" w:hAnsi="Times New Roman"/>
          <w:sz w:val="24"/>
        </w:rPr>
        <w:t>Článek 9</w:t>
      </w:r>
    </w:p>
    <w:p w:rsidR="00C01A69" w:rsidRPr="00531A9D" w:rsidRDefault="00ED32D2" w:rsidP="00C01A69">
      <w:pPr>
        <w:spacing w:after="0" w:line="240" w:lineRule="auto"/>
        <w:jc w:val="center"/>
        <w:rPr>
          <w:rFonts w:ascii="Times New Roman" w:hAnsi="Times New Roman" w:cs="Times New Roman"/>
          <w:i/>
          <w:sz w:val="24"/>
          <w:szCs w:val="24"/>
        </w:rPr>
      </w:pPr>
      <w:r w:rsidRPr="00531A9D">
        <w:rPr>
          <w:rFonts w:ascii="Times New Roman" w:hAnsi="Times New Roman"/>
          <w:i/>
          <w:sz w:val="24"/>
        </w:rPr>
        <w:t xml:space="preserve">Poplatky beze změn </w:t>
      </w:r>
    </w:p>
    <w:p w:rsidR="00D00006" w:rsidRPr="00531A9D" w:rsidRDefault="00D00006">
      <w:pPr>
        <w:spacing w:after="0" w:line="240" w:lineRule="auto"/>
        <w:jc w:val="center"/>
        <w:rPr>
          <w:rFonts w:ascii="Times New Roman" w:hAnsi="Times New Roman" w:cs="Times New Roman"/>
          <w:i/>
          <w:sz w:val="24"/>
          <w:szCs w:val="24"/>
        </w:rPr>
      </w:pPr>
    </w:p>
    <w:p w:rsidR="00DD1C06" w:rsidRPr="00531A9D" w:rsidRDefault="009E4D53" w:rsidP="00175273">
      <w:pPr>
        <w:spacing w:line="240" w:lineRule="auto"/>
        <w:ind w:left="709" w:hanging="357"/>
        <w:jc w:val="both"/>
        <w:rPr>
          <w:rFonts w:ascii="Times New Roman" w:hAnsi="Times New Roman" w:cs="Times New Roman"/>
          <w:sz w:val="24"/>
          <w:szCs w:val="24"/>
        </w:rPr>
      </w:pPr>
      <w:r w:rsidRPr="00531A9D">
        <w:rPr>
          <w:rFonts w:ascii="Times New Roman" w:hAnsi="Times New Roman"/>
          <w:sz w:val="24"/>
        </w:rPr>
        <w:t xml:space="preserve">1. </w:t>
      </w:r>
      <w:r w:rsidRPr="00531A9D">
        <w:tab/>
      </w:r>
      <w:r w:rsidRPr="00531A9D">
        <w:rPr>
          <w:rFonts w:ascii="Times New Roman" w:hAnsi="Times New Roman"/>
          <w:sz w:val="24"/>
        </w:rPr>
        <w:t xml:space="preserve">V důsledku provádění tohoto výnosu nedochází ke vzniku nebo navýšení zátěže státního rozpočtu. </w:t>
      </w:r>
    </w:p>
    <w:p w:rsidR="00D00006" w:rsidRPr="00531A9D" w:rsidRDefault="00ED32D2" w:rsidP="00175273">
      <w:pPr>
        <w:spacing w:line="240" w:lineRule="auto"/>
        <w:ind w:left="709" w:hanging="357"/>
        <w:jc w:val="both"/>
        <w:rPr>
          <w:rFonts w:ascii="Times New Roman" w:hAnsi="Times New Roman" w:cs="Times New Roman"/>
          <w:sz w:val="24"/>
          <w:szCs w:val="24"/>
        </w:rPr>
      </w:pPr>
      <w:r w:rsidRPr="00531A9D">
        <w:rPr>
          <w:rFonts w:ascii="Times New Roman" w:hAnsi="Times New Roman"/>
          <w:sz w:val="24"/>
        </w:rPr>
        <w:t xml:space="preserve">2. </w:t>
      </w:r>
      <w:r w:rsidRPr="00531A9D">
        <w:tab/>
      </w:r>
      <w:r w:rsidRPr="00531A9D">
        <w:rPr>
          <w:rFonts w:ascii="Times New Roman" w:hAnsi="Times New Roman"/>
          <w:sz w:val="24"/>
        </w:rPr>
        <w:t xml:space="preserve">Zapojené veřejné subjekty budou plnit své povinnosti stanovené tímto výnosem za použití lidských, přístrojových a finančních zdrojů poskytnutých na základě platných právních předpisů. </w:t>
      </w:r>
    </w:p>
    <w:p w:rsidR="00F66476" w:rsidRPr="00531A9D" w:rsidRDefault="00ED32D2">
      <w:pPr>
        <w:spacing w:after="0" w:line="240" w:lineRule="auto"/>
        <w:jc w:val="center"/>
        <w:rPr>
          <w:rFonts w:ascii="Times New Roman" w:hAnsi="Times New Roman" w:cs="Times New Roman"/>
          <w:sz w:val="24"/>
          <w:szCs w:val="24"/>
        </w:rPr>
      </w:pPr>
      <w:r w:rsidRPr="00531A9D">
        <w:rPr>
          <w:rFonts w:ascii="Times New Roman" w:hAnsi="Times New Roman"/>
          <w:sz w:val="24"/>
        </w:rPr>
        <w:t>Článek 10</w:t>
      </w:r>
    </w:p>
    <w:p w:rsidR="00F66476" w:rsidRPr="00531A9D" w:rsidRDefault="00ED32D2">
      <w:pPr>
        <w:spacing w:after="0" w:line="240" w:lineRule="auto"/>
        <w:jc w:val="center"/>
        <w:rPr>
          <w:rFonts w:ascii="Times New Roman" w:hAnsi="Times New Roman" w:cs="Times New Roman"/>
          <w:i/>
          <w:sz w:val="24"/>
          <w:szCs w:val="24"/>
        </w:rPr>
      </w:pPr>
      <w:r w:rsidRPr="00531A9D">
        <w:rPr>
          <w:rFonts w:ascii="Times New Roman" w:hAnsi="Times New Roman"/>
          <w:i/>
          <w:sz w:val="24"/>
        </w:rPr>
        <w:t>Vstup v platnost</w:t>
      </w:r>
    </w:p>
    <w:p w:rsidR="008311D0" w:rsidRPr="00531A9D" w:rsidRDefault="008311D0">
      <w:pPr>
        <w:spacing w:after="0" w:line="240" w:lineRule="auto"/>
        <w:jc w:val="center"/>
        <w:rPr>
          <w:rFonts w:ascii="Times New Roman" w:hAnsi="Times New Roman" w:cs="Times New Roman"/>
          <w:i/>
          <w:sz w:val="24"/>
          <w:szCs w:val="24"/>
        </w:rPr>
      </w:pPr>
    </w:p>
    <w:p w:rsidR="00915B27" w:rsidRPr="00531A9D" w:rsidRDefault="009E4D53" w:rsidP="00CF773E">
      <w:pPr>
        <w:spacing w:line="240" w:lineRule="auto"/>
        <w:ind w:left="708" w:hanging="356"/>
        <w:jc w:val="both"/>
        <w:rPr>
          <w:rFonts w:ascii="Times New Roman" w:hAnsi="Times New Roman" w:cs="Times New Roman"/>
          <w:sz w:val="24"/>
          <w:szCs w:val="24"/>
        </w:rPr>
      </w:pPr>
      <w:r w:rsidRPr="00531A9D">
        <w:rPr>
          <w:rFonts w:ascii="Times New Roman" w:hAnsi="Times New Roman"/>
          <w:sz w:val="24"/>
        </w:rPr>
        <w:t xml:space="preserve">1. </w:t>
      </w:r>
      <w:r w:rsidRPr="00531A9D">
        <w:tab/>
      </w:r>
      <w:r w:rsidRPr="00531A9D">
        <w:rPr>
          <w:rFonts w:ascii="Times New Roman" w:hAnsi="Times New Roman"/>
          <w:sz w:val="24"/>
        </w:rPr>
        <w:t>Tento výnos vstupuje v platnost 90 dní po jeho zveřejnění v Úředním věstníku Italské republiky.</w:t>
      </w:r>
    </w:p>
    <w:p w:rsidR="00F265F4" w:rsidRPr="00531A9D" w:rsidRDefault="00F265F4" w:rsidP="00CF773E">
      <w:pPr>
        <w:spacing w:line="240" w:lineRule="auto"/>
        <w:ind w:left="708" w:hanging="356"/>
        <w:jc w:val="both"/>
        <w:rPr>
          <w:rFonts w:ascii="Times New Roman" w:hAnsi="Times New Roman" w:cs="Times New Roman"/>
          <w:sz w:val="24"/>
          <w:szCs w:val="24"/>
        </w:rPr>
        <w:sectPr w:rsidR="00F265F4" w:rsidRPr="00531A9D" w:rsidSect="003A3BF5">
          <w:footerReference w:type="default" r:id="rId9"/>
          <w:pgSz w:w="11906" w:h="16838"/>
          <w:pgMar w:top="1417" w:right="1134" w:bottom="1134" w:left="1134" w:header="708" w:footer="708" w:gutter="0"/>
          <w:cols w:space="708"/>
          <w:docGrid w:linePitch="360"/>
        </w:sectPr>
      </w:pPr>
    </w:p>
    <w:p w:rsidR="00F265F4" w:rsidRPr="00531A9D" w:rsidRDefault="00F265F4" w:rsidP="00F265F4">
      <w:pPr>
        <w:pStyle w:val="Style1"/>
        <w:widowControl/>
        <w:jc w:val="center"/>
        <w:rPr>
          <w:rStyle w:val="FontStyle18"/>
          <w:rFonts w:ascii="Arial" w:hAnsi="Arial" w:cs="Arial"/>
          <w:b/>
          <w:sz w:val="18"/>
          <w:szCs w:val="18"/>
        </w:rPr>
      </w:pPr>
      <w:r w:rsidRPr="00531A9D">
        <w:rPr>
          <w:rStyle w:val="FontStyle18"/>
          <w:rFonts w:ascii="Arial" w:hAnsi="Arial"/>
          <w:b/>
          <w:sz w:val="18"/>
        </w:rPr>
        <w:lastRenderedPageBreak/>
        <w:t>Formulář IRME90 - PRŮVODNÍ DOKUMENT PRO DOVOZ</w:t>
      </w:r>
    </w:p>
    <w:p w:rsidR="00F265F4" w:rsidRPr="00531A9D" w:rsidRDefault="00F265F4" w:rsidP="00F265F4">
      <w:pPr>
        <w:pStyle w:val="Style1"/>
        <w:widowControl/>
        <w:jc w:val="center"/>
        <w:rPr>
          <w:rStyle w:val="FontStyle18"/>
          <w:rFonts w:ascii="Arial" w:hAnsi="Arial" w:cs="Arial"/>
          <w:b/>
          <w:sz w:val="18"/>
          <w:szCs w:val="18"/>
        </w:rPr>
      </w:pPr>
      <w:r w:rsidRPr="00531A9D">
        <w:rPr>
          <w:rStyle w:val="FontStyle18"/>
          <w:rFonts w:ascii="Arial" w:hAnsi="Arial"/>
          <w:b/>
          <w:sz w:val="18"/>
        </w:rPr>
        <w:t xml:space="preserve">KOVOVÉHO ŠROTU NEBO JINÝCH VEDLEJŠÍCH PRODUKTŮ Z KOVU </w:t>
      </w:r>
      <w:r w:rsidRPr="00531A9D">
        <w:rPr>
          <w:rStyle w:val="FontStyle18"/>
          <w:rFonts w:ascii="Arial" w:hAnsi="Arial"/>
          <w:sz w:val="18"/>
        </w:rPr>
        <w:t xml:space="preserve">A </w:t>
      </w:r>
      <w:r w:rsidRPr="00531A9D">
        <w:rPr>
          <w:rStyle w:val="FontStyle18"/>
          <w:rFonts w:ascii="Arial" w:hAnsi="Arial"/>
          <w:b/>
          <w:sz w:val="18"/>
        </w:rPr>
        <w:t>POLOTOVARŮ Z KOVU DO ITÁLIE</w:t>
      </w:r>
    </w:p>
    <w:p w:rsidR="00F265F4" w:rsidRPr="00531A9D" w:rsidRDefault="00E277A9" w:rsidP="00F265F4">
      <w:pPr>
        <w:pStyle w:val="Style1"/>
        <w:widowControl/>
        <w:jc w:val="center"/>
        <w:rPr>
          <w:rStyle w:val="FontStyle18"/>
          <w:rFonts w:ascii="Arial" w:hAnsi="Arial" w:cs="Arial"/>
        </w:rPr>
      </w:pPr>
      <w:r>
        <w:rPr>
          <w:rFonts w:ascii="Book Antiqua" w:hAnsi="Book Antiqua" w:cs="Book Antiqua"/>
          <w:b/>
          <w:bCs/>
          <w:noProof/>
          <w:color w:val="000000"/>
          <w:sz w:val="16"/>
          <w:szCs w:val="16"/>
          <w:lang w:val="en-US" w:eastAsia="en-US" w:bidi="ar-SA"/>
        </w:rPr>
        <w:pict>
          <v:rect id="_x0000_s1033" style="position:absolute;left:0;text-align:left;margin-left:-6.05pt;margin-top:6.4pt;width:540pt;height:155.1pt;z-index:-251652096" o:regroupid="2" strokeweight="1pt">
            <v:fill opacity="0"/>
          </v:rect>
        </w:pict>
      </w:r>
    </w:p>
    <w:p w:rsidR="00F265F4" w:rsidRPr="00531A9D" w:rsidRDefault="00F265F4" w:rsidP="00F265F4">
      <w:pPr>
        <w:pStyle w:val="Style8"/>
        <w:widowControl/>
        <w:spacing w:line="360" w:lineRule="auto"/>
        <w:rPr>
          <w:rStyle w:val="FontStyle21"/>
        </w:rPr>
      </w:pPr>
      <w:r w:rsidRPr="00531A9D">
        <w:rPr>
          <w:rStyle w:val="FontStyle21"/>
        </w:rPr>
        <w:t>Oddíl 1.</w:t>
      </w:r>
    </w:p>
    <w:p w:rsidR="00F265F4" w:rsidRPr="00531A9D" w:rsidRDefault="00F265F4" w:rsidP="00F265F4">
      <w:pPr>
        <w:pStyle w:val="Style8"/>
        <w:widowControl/>
        <w:rPr>
          <w:rStyle w:val="FontStyle21"/>
        </w:rPr>
      </w:pPr>
      <w:r w:rsidRPr="00531A9D">
        <w:rPr>
          <w:rStyle w:val="FontStyle21"/>
        </w:rPr>
        <w:t>Odesilatel (jméno, adresa, země) / Expéditeur (Nom, Adresse, Pays) / Absender (Name, Anschrift, Land):</w:t>
      </w:r>
    </w:p>
    <w:p w:rsidR="00F265F4" w:rsidRPr="00531A9D" w:rsidRDefault="00F265F4" w:rsidP="00F265F4">
      <w:pPr>
        <w:pStyle w:val="Style8"/>
        <w:widowControl/>
        <w:rPr>
          <w:rStyle w:val="FontStyle21"/>
        </w:rPr>
      </w:pPr>
    </w:p>
    <w:p w:rsidR="00F265F4" w:rsidRPr="00531A9D" w:rsidRDefault="00F265F4" w:rsidP="00F265F4">
      <w:pPr>
        <w:pStyle w:val="Style8"/>
        <w:widowControl/>
        <w:rPr>
          <w:rStyle w:val="FontStyle21"/>
        </w:rPr>
      </w:pPr>
      <w:r w:rsidRPr="00531A9D">
        <w:rPr>
          <w:rStyle w:val="FontStyle21"/>
        </w:rPr>
        <w:t>....................................................................................................................................................................................................</w:t>
      </w:r>
    </w:p>
    <w:p w:rsidR="00F265F4" w:rsidRPr="00531A9D" w:rsidRDefault="00F265F4" w:rsidP="00F265F4">
      <w:pPr>
        <w:pStyle w:val="Style8"/>
        <w:widowControl/>
        <w:rPr>
          <w:rStyle w:val="FontStyle21"/>
        </w:rPr>
      </w:pPr>
    </w:p>
    <w:p w:rsidR="00F265F4" w:rsidRPr="00531A9D" w:rsidRDefault="00F265F4" w:rsidP="00F265F4">
      <w:pPr>
        <w:pStyle w:val="Style8"/>
        <w:widowControl/>
        <w:rPr>
          <w:rStyle w:val="FontStyle21"/>
        </w:rPr>
      </w:pPr>
      <w:r w:rsidRPr="00531A9D">
        <w:rPr>
          <w:rStyle w:val="FontStyle21"/>
        </w:rPr>
        <w:t xml:space="preserve">Tel.: ..................................................................... </w:t>
      </w:r>
      <w:r w:rsidRPr="00531A9D">
        <w:tab/>
      </w:r>
      <w:r w:rsidRPr="00531A9D">
        <w:rPr>
          <w:rStyle w:val="FontStyle21"/>
        </w:rPr>
        <w:t>Fax: ...........................................................................</w:t>
      </w:r>
    </w:p>
    <w:p w:rsidR="00F265F4" w:rsidRPr="00531A9D" w:rsidRDefault="00F265F4" w:rsidP="00F265F4">
      <w:pPr>
        <w:pStyle w:val="Style8"/>
        <w:widowControl/>
        <w:rPr>
          <w:rStyle w:val="FontStyle21"/>
          <w:sz w:val="8"/>
        </w:rPr>
      </w:pPr>
    </w:p>
    <w:p w:rsidR="00F265F4" w:rsidRPr="00531A9D" w:rsidRDefault="00F265F4" w:rsidP="00F265F4">
      <w:pPr>
        <w:pStyle w:val="Style8"/>
        <w:widowControl/>
        <w:rPr>
          <w:rStyle w:val="FontStyle21"/>
        </w:rPr>
      </w:pPr>
      <w:r w:rsidRPr="00531A9D">
        <w:rPr>
          <w:rStyle w:val="FontStyle21"/>
        </w:rPr>
        <w:t>Příjemce (jméno, adresa, země) / Destinataire (Nom, Adresse, Pays) / Empfänger (Name, Anschrift, Land):</w:t>
      </w:r>
    </w:p>
    <w:p w:rsidR="00F265F4" w:rsidRPr="00531A9D" w:rsidRDefault="00F265F4" w:rsidP="00F265F4">
      <w:pPr>
        <w:pStyle w:val="Style8"/>
        <w:widowControl/>
        <w:rPr>
          <w:rStyle w:val="FontStyle21"/>
        </w:rPr>
      </w:pPr>
    </w:p>
    <w:p w:rsidR="00F265F4" w:rsidRPr="00531A9D" w:rsidRDefault="00F265F4" w:rsidP="00F265F4">
      <w:pPr>
        <w:pStyle w:val="Style8"/>
        <w:widowControl/>
        <w:rPr>
          <w:rStyle w:val="FontStyle21"/>
        </w:rPr>
      </w:pPr>
      <w:r w:rsidRPr="00531A9D">
        <w:rPr>
          <w:rStyle w:val="FontStyle21"/>
        </w:rPr>
        <w:t>....................................................................................................................................................................................................</w:t>
      </w:r>
    </w:p>
    <w:p w:rsidR="00F265F4" w:rsidRPr="00531A9D" w:rsidRDefault="00F265F4" w:rsidP="00F265F4">
      <w:pPr>
        <w:pStyle w:val="Style8"/>
        <w:widowControl/>
        <w:rPr>
          <w:rStyle w:val="FontStyle21"/>
        </w:rPr>
      </w:pPr>
    </w:p>
    <w:p w:rsidR="00F265F4" w:rsidRPr="00531A9D" w:rsidRDefault="00F265F4" w:rsidP="00F265F4">
      <w:pPr>
        <w:pStyle w:val="Style8"/>
        <w:widowControl/>
        <w:rPr>
          <w:rStyle w:val="FontStyle21"/>
        </w:rPr>
      </w:pPr>
      <w:r w:rsidRPr="00531A9D">
        <w:rPr>
          <w:rStyle w:val="FontStyle21"/>
        </w:rPr>
        <w:t xml:space="preserve">Tel.: ..................................................................... </w:t>
      </w:r>
      <w:r w:rsidRPr="00531A9D">
        <w:tab/>
      </w:r>
      <w:r w:rsidRPr="00531A9D">
        <w:rPr>
          <w:rStyle w:val="FontStyle21"/>
        </w:rPr>
        <w:t xml:space="preserve">Fax: ........................................................................... </w:t>
      </w:r>
    </w:p>
    <w:p w:rsidR="00F265F4" w:rsidRPr="00531A9D" w:rsidRDefault="00F265F4" w:rsidP="00F265F4">
      <w:pPr>
        <w:pStyle w:val="Style8"/>
        <w:widowControl/>
        <w:rPr>
          <w:rStyle w:val="FontStyle21"/>
          <w:sz w:val="8"/>
        </w:rPr>
      </w:pPr>
    </w:p>
    <w:p w:rsidR="00F265F4" w:rsidRPr="00531A9D" w:rsidRDefault="00F265F4" w:rsidP="00F265F4">
      <w:pPr>
        <w:pStyle w:val="Style8"/>
        <w:widowControl/>
        <w:rPr>
          <w:rStyle w:val="FontStyle21"/>
        </w:rPr>
      </w:pPr>
      <w:r w:rsidRPr="00531A9D">
        <w:rPr>
          <w:rStyle w:val="FontStyle21"/>
        </w:rPr>
        <w:t>Povaha zboží / Nature de la marchandise / Warenbezeichnung:</w:t>
      </w:r>
    </w:p>
    <w:p w:rsidR="00F265F4" w:rsidRPr="00531A9D" w:rsidRDefault="00F265F4" w:rsidP="00F265F4">
      <w:pPr>
        <w:pStyle w:val="Style8"/>
        <w:widowControl/>
        <w:rPr>
          <w:rStyle w:val="FontStyle21"/>
        </w:rPr>
      </w:pPr>
    </w:p>
    <w:p w:rsidR="00F265F4" w:rsidRPr="00531A9D" w:rsidRDefault="00E277A9" w:rsidP="00F265F4">
      <w:pPr>
        <w:pStyle w:val="Style8"/>
        <w:widowControl/>
        <w:rPr>
          <w:rStyle w:val="FontStyle21"/>
          <w:sz w:val="10"/>
        </w:rPr>
      </w:pPr>
      <w:r>
        <w:rPr>
          <w:rFonts w:ascii="Book Antiqua" w:hAnsi="Book Antiqua" w:cs="Book Antiqua"/>
          <w:b/>
          <w:bCs/>
          <w:noProof/>
          <w:color w:val="000000"/>
          <w:sz w:val="10"/>
          <w:szCs w:val="16"/>
          <w:lang w:val="en-US" w:eastAsia="en-US" w:bidi="ar-SA"/>
        </w:rPr>
        <w:pict>
          <v:rect id="_x0000_s1032" style="position:absolute;margin-left:-6.05pt;margin-top:12.5pt;width:540pt;height:244.8pt;z-index:-251653120" o:regroupid="2" strokeweight="1pt">
            <v:fill opacity="0"/>
          </v:rect>
        </w:pict>
      </w:r>
      <w:r w:rsidR="00F265F4" w:rsidRPr="00531A9D">
        <w:rPr>
          <w:rStyle w:val="FontStyle21"/>
        </w:rPr>
        <w:t>....................................................................................................................................................................................................</w:t>
      </w:r>
    </w:p>
    <w:p w:rsidR="00F265F4" w:rsidRPr="00531A9D" w:rsidRDefault="00F265F4" w:rsidP="00F265F4">
      <w:pPr>
        <w:pStyle w:val="Style8"/>
        <w:widowControl/>
        <w:spacing w:line="360" w:lineRule="auto"/>
        <w:rPr>
          <w:rStyle w:val="FontStyle21"/>
          <w:sz w:val="10"/>
        </w:rPr>
      </w:pPr>
    </w:p>
    <w:p w:rsidR="00F265F4" w:rsidRPr="00531A9D" w:rsidRDefault="00F265F4" w:rsidP="00F265F4">
      <w:pPr>
        <w:pStyle w:val="Style8"/>
        <w:widowControl/>
        <w:ind w:right="-752"/>
        <w:jc w:val="center"/>
        <w:rPr>
          <w:rStyle w:val="FontStyle21"/>
        </w:rPr>
      </w:pPr>
      <w:r w:rsidRPr="00531A9D">
        <w:rPr>
          <w:rStyle w:val="FontStyle21"/>
        </w:rPr>
        <w:t>ÚDAJE O PŘEPRAVĚ / INFORMATIONS RELATIVES AU TRANSPORT / ANGABEN ZUM TRANSPORT</w:t>
      </w:r>
    </w:p>
    <w:p w:rsidR="00F265F4" w:rsidRPr="00531A9D" w:rsidRDefault="00F265F4" w:rsidP="00F265F4">
      <w:pPr>
        <w:pStyle w:val="Style12"/>
        <w:widowControl/>
        <w:numPr>
          <w:ilvl w:val="0"/>
          <w:numId w:val="17"/>
        </w:numPr>
        <w:ind w:left="426" w:hanging="426"/>
        <w:rPr>
          <w:rStyle w:val="FontStyle21"/>
        </w:rPr>
      </w:pPr>
      <w:r w:rsidRPr="00531A9D">
        <w:rPr>
          <w:rStyle w:val="FontStyle21"/>
        </w:rPr>
        <w:t xml:space="preserve">Přeprava po moři / provenance par mer / Herkunft auf dem Seeweg </w:t>
      </w:r>
    </w:p>
    <w:p w:rsidR="00F265F4" w:rsidRPr="00531A9D" w:rsidRDefault="00F265F4" w:rsidP="00F265F4">
      <w:pPr>
        <w:pStyle w:val="Style12"/>
        <w:widowControl/>
        <w:tabs>
          <w:tab w:val="left" w:pos="4962"/>
        </w:tabs>
        <w:spacing w:line="480" w:lineRule="auto"/>
        <w:ind w:left="426"/>
        <w:rPr>
          <w:rStyle w:val="FontStyle21"/>
        </w:rPr>
      </w:pPr>
      <w:r w:rsidRPr="00531A9D">
        <w:rPr>
          <w:rStyle w:val="FontStyle21"/>
        </w:rPr>
        <w:t>Název lodi / Nom du navire / Name des Schiffes:</w:t>
      </w:r>
      <w:r w:rsidRPr="00531A9D">
        <w:tab/>
      </w:r>
      <w:r w:rsidRPr="00531A9D">
        <w:rPr>
          <w:rStyle w:val="FontStyle21"/>
        </w:rPr>
        <w:t>Národnost / Nationalité / Nationalität:</w:t>
      </w:r>
    </w:p>
    <w:p w:rsidR="00F265F4" w:rsidRPr="00531A9D" w:rsidRDefault="00F265F4" w:rsidP="00F265F4">
      <w:pPr>
        <w:pStyle w:val="Style8"/>
        <w:widowControl/>
        <w:tabs>
          <w:tab w:val="left" w:pos="4962"/>
        </w:tabs>
        <w:spacing w:line="480" w:lineRule="auto"/>
        <w:ind w:firstLine="426"/>
        <w:rPr>
          <w:rStyle w:val="FontStyle21"/>
        </w:rPr>
      </w:pPr>
      <w:r w:rsidRPr="00531A9D">
        <w:rPr>
          <w:rStyle w:val="FontStyle21"/>
        </w:rPr>
        <w:t xml:space="preserve">................................................................................................. </w:t>
      </w:r>
      <w:r w:rsidRPr="00531A9D">
        <w:tab/>
      </w:r>
      <w:r w:rsidRPr="00531A9D">
        <w:rPr>
          <w:rStyle w:val="FontStyle21"/>
        </w:rPr>
        <w:t>.................................................................................................</w:t>
      </w:r>
    </w:p>
    <w:p w:rsidR="00F265F4" w:rsidRPr="00531A9D" w:rsidRDefault="00F265F4" w:rsidP="00F265F4">
      <w:pPr>
        <w:pStyle w:val="Style12"/>
        <w:widowControl/>
        <w:tabs>
          <w:tab w:val="left" w:pos="4962"/>
        </w:tabs>
        <w:spacing w:line="480" w:lineRule="auto"/>
        <w:ind w:left="426"/>
        <w:rPr>
          <w:rStyle w:val="FontStyle21"/>
        </w:rPr>
      </w:pPr>
      <w:r w:rsidRPr="00531A9D">
        <w:rPr>
          <w:rStyle w:val="FontStyle21"/>
        </w:rPr>
        <w:t>Přístav odplutí / Port de départ / Abfahrtshafen:</w:t>
      </w:r>
      <w:r w:rsidRPr="00531A9D">
        <w:tab/>
      </w:r>
      <w:r w:rsidRPr="00531A9D">
        <w:rPr>
          <w:rStyle w:val="FontStyle21"/>
        </w:rPr>
        <w:t>Přístav připlutí / Port d’arrivée / Ankunftshafen:</w:t>
      </w:r>
    </w:p>
    <w:p w:rsidR="00F265F4" w:rsidRPr="00531A9D" w:rsidRDefault="00F265F4" w:rsidP="00F265F4">
      <w:pPr>
        <w:pStyle w:val="Style8"/>
        <w:widowControl/>
        <w:tabs>
          <w:tab w:val="left" w:pos="4962"/>
        </w:tabs>
        <w:spacing w:line="480" w:lineRule="auto"/>
        <w:ind w:firstLine="426"/>
        <w:rPr>
          <w:rStyle w:val="FontStyle21"/>
        </w:rPr>
      </w:pPr>
      <w:r w:rsidRPr="00531A9D">
        <w:rPr>
          <w:rStyle w:val="FontStyle21"/>
        </w:rPr>
        <w:t xml:space="preserve">................................................................................................. </w:t>
      </w:r>
      <w:r w:rsidRPr="00531A9D">
        <w:tab/>
      </w:r>
      <w:r w:rsidRPr="00531A9D">
        <w:rPr>
          <w:rStyle w:val="FontStyle21"/>
        </w:rPr>
        <w:t>.................................................................................................</w:t>
      </w:r>
    </w:p>
    <w:p w:rsidR="00F265F4" w:rsidRPr="00531A9D" w:rsidRDefault="00F265F4" w:rsidP="00F265F4">
      <w:pPr>
        <w:pStyle w:val="Style12"/>
        <w:widowControl/>
        <w:numPr>
          <w:ilvl w:val="0"/>
          <w:numId w:val="17"/>
        </w:numPr>
        <w:tabs>
          <w:tab w:val="left" w:pos="426"/>
          <w:tab w:val="left" w:pos="2977"/>
          <w:tab w:val="left" w:pos="4962"/>
        </w:tabs>
        <w:spacing w:line="360" w:lineRule="auto"/>
        <w:ind w:left="426" w:hanging="426"/>
        <w:rPr>
          <w:rStyle w:val="FontStyle21"/>
        </w:rPr>
      </w:pPr>
      <w:r w:rsidRPr="00531A9D">
        <w:rPr>
          <w:rStyle w:val="FontStyle21"/>
        </w:rPr>
        <w:t xml:space="preserve">Přeprava po zemi </w:t>
      </w:r>
      <w:r w:rsidRPr="00531A9D">
        <w:tab/>
      </w:r>
      <w:r w:rsidRPr="00531A9D">
        <w:rPr>
          <w:rStyle w:val="FontStyle21"/>
        </w:rPr>
        <w:t>nebo</w:t>
      </w:r>
      <w:r w:rsidRPr="00531A9D">
        <w:tab/>
      </w:r>
      <w:r w:rsidRPr="00531A9D">
        <w:rPr>
          <w:rStyle w:val="FontStyle21"/>
          <w:sz w:val="40"/>
        </w:rPr>
        <w:t xml:space="preserve">□ </w:t>
      </w:r>
      <w:r w:rsidRPr="00531A9D">
        <w:rPr>
          <w:rStyle w:val="FontStyle21"/>
        </w:rPr>
        <w:t xml:space="preserve">Vyložení z lodi  </w:t>
      </w:r>
    </w:p>
    <w:p w:rsidR="00F265F4" w:rsidRPr="00531A9D" w:rsidRDefault="00F265F4" w:rsidP="00F265F4">
      <w:pPr>
        <w:pStyle w:val="Style12"/>
        <w:widowControl/>
        <w:tabs>
          <w:tab w:val="left" w:pos="426"/>
          <w:tab w:val="left" w:pos="2835"/>
          <w:tab w:val="left" w:pos="4962"/>
        </w:tabs>
        <w:rPr>
          <w:rStyle w:val="FontStyle21"/>
        </w:rPr>
      </w:pPr>
      <w:r w:rsidRPr="00531A9D">
        <w:rPr>
          <w:rStyle w:val="FontStyle21"/>
        </w:rPr>
        <w:t>Způsob pozemní přepravy:</w:t>
      </w:r>
    </w:p>
    <w:p w:rsidR="00F265F4" w:rsidRPr="00531A9D" w:rsidRDefault="00F265F4" w:rsidP="00F265F4">
      <w:pPr>
        <w:pStyle w:val="Style12"/>
        <w:widowControl/>
        <w:numPr>
          <w:ilvl w:val="0"/>
          <w:numId w:val="17"/>
        </w:numPr>
        <w:tabs>
          <w:tab w:val="left" w:pos="426"/>
          <w:tab w:val="left" w:pos="3119"/>
        </w:tabs>
        <w:ind w:left="426" w:hanging="426"/>
        <w:rPr>
          <w:rStyle w:val="FontStyle21"/>
        </w:rPr>
      </w:pPr>
      <w:r w:rsidRPr="00531A9D">
        <w:rPr>
          <w:rStyle w:val="FontStyle21"/>
        </w:rPr>
        <w:t xml:space="preserve">v / par / durch kontejneru </w:t>
      </w:r>
      <w:r w:rsidRPr="00531A9D">
        <w:tab/>
      </w:r>
      <w:r w:rsidRPr="00531A9D">
        <w:rPr>
          <w:rStyle w:val="FontStyle21"/>
          <w:sz w:val="40"/>
        </w:rPr>
        <w:t>□</w:t>
      </w:r>
      <w:r w:rsidRPr="00531A9D">
        <w:rPr>
          <w:rStyle w:val="FontStyle21"/>
        </w:rPr>
        <w:t xml:space="preserve"> volně loženo / en vrac / in loser Schüttung</w:t>
      </w:r>
    </w:p>
    <w:p w:rsidR="00F265F4" w:rsidRPr="00531A9D" w:rsidRDefault="00F265F4" w:rsidP="00E1152D">
      <w:pPr>
        <w:pStyle w:val="Style3"/>
        <w:widowControl/>
        <w:tabs>
          <w:tab w:val="left" w:pos="3119"/>
          <w:tab w:val="left" w:pos="6663"/>
        </w:tabs>
        <w:ind w:left="426"/>
        <w:rPr>
          <w:rStyle w:val="FontStyle21"/>
        </w:rPr>
      </w:pPr>
      <w:r w:rsidRPr="00531A9D">
        <w:rPr>
          <w:rStyle w:val="FontStyle21"/>
        </w:rPr>
        <w:t>Registrace / Matricule / Matrikel</w:t>
      </w:r>
      <w:r w:rsidRPr="00531A9D">
        <w:tab/>
      </w:r>
      <w:r w:rsidRPr="00531A9D">
        <w:rPr>
          <w:rStyle w:val="FontStyle21"/>
          <w:sz w:val="40"/>
        </w:rPr>
        <w:t>□</w:t>
      </w:r>
      <w:r w:rsidRPr="00531A9D">
        <w:rPr>
          <w:rStyle w:val="FontStyle21"/>
        </w:rPr>
        <w:t xml:space="preserve"> Železniční / Chemin de fer / Eisenach</w:t>
      </w:r>
      <w:r w:rsidRPr="00531A9D">
        <w:tab/>
      </w:r>
      <w:r w:rsidRPr="00531A9D">
        <w:rPr>
          <w:rStyle w:val="FontStyle21"/>
          <w:sz w:val="40"/>
        </w:rPr>
        <w:t>□</w:t>
      </w:r>
      <w:r w:rsidRPr="00531A9D">
        <w:rPr>
          <w:rStyle w:val="FontStyle21"/>
        </w:rPr>
        <w:t xml:space="preserve"> Silniční/ Par route / Auf der Strasse</w:t>
      </w:r>
    </w:p>
    <w:p w:rsidR="00F265F4" w:rsidRPr="00531A9D" w:rsidRDefault="00F265F4" w:rsidP="00A65716">
      <w:pPr>
        <w:pStyle w:val="Style3"/>
        <w:widowControl/>
        <w:tabs>
          <w:tab w:val="left" w:pos="3402"/>
          <w:tab w:val="left" w:pos="6750"/>
        </w:tabs>
        <w:rPr>
          <w:rStyle w:val="FontStyle21"/>
        </w:rPr>
      </w:pPr>
      <w:r w:rsidRPr="00531A9D">
        <w:tab/>
      </w:r>
      <w:r w:rsidRPr="00531A9D">
        <w:rPr>
          <w:rStyle w:val="FontStyle21"/>
        </w:rPr>
        <w:t xml:space="preserve">Vagón / Wagon č.: </w:t>
      </w:r>
      <w:r w:rsidRPr="00531A9D">
        <w:tab/>
      </w:r>
      <w:r w:rsidRPr="00531A9D">
        <w:rPr>
          <w:rStyle w:val="FontStyle21"/>
        </w:rPr>
        <w:t>Registrační značka / Transporteur / Beförderer:</w:t>
      </w:r>
    </w:p>
    <w:p w:rsidR="00F265F4" w:rsidRPr="00531A9D" w:rsidRDefault="00F265F4" w:rsidP="00F265F4">
      <w:pPr>
        <w:pStyle w:val="Style3"/>
        <w:widowControl/>
        <w:tabs>
          <w:tab w:val="left" w:pos="3119"/>
          <w:tab w:val="left" w:pos="6663"/>
        </w:tabs>
        <w:spacing w:line="360" w:lineRule="auto"/>
        <w:rPr>
          <w:rStyle w:val="FontStyle21"/>
          <w:sz w:val="12"/>
        </w:rPr>
      </w:pPr>
    </w:p>
    <w:p w:rsidR="00F265F4" w:rsidRPr="00531A9D" w:rsidRDefault="00E277A9" w:rsidP="00F265F4">
      <w:pPr>
        <w:pStyle w:val="Style8"/>
        <w:widowControl/>
        <w:tabs>
          <w:tab w:val="left" w:pos="3119"/>
          <w:tab w:val="left" w:pos="4962"/>
          <w:tab w:val="left" w:pos="6804"/>
        </w:tabs>
        <w:spacing w:line="360" w:lineRule="auto"/>
        <w:rPr>
          <w:rStyle w:val="FontStyle21"/>
          <w:sz w:val="8"/>
        </w:rPr>
      </w:pPr>
      <w:r>
        <w:rPr>
          <w:rFonts w:ascii="Book Antiqua" w:hAnsi="Book Antiqua" w:cs="Book Antiqua"/>
          <w:b/>
          <w:bCs/>
          <w:noProof/>
          <w:color w:val="000000"/>
          <w:sz w:val="16"/>
          <w:szCs w:val="16"/>
          <w:lang w:val="en-US" w:eastAsia="en-US" w:bidi="ar-SA"/>
        </w:rPr>
        <w:pict>
          <v:rect id="_x0000_s1031" style="position:absolute;margin-left:-6.05pt;margin-top:12.45pt;width:540pt;height:109.7pt;z-index:-251654144" o:regroupid="2" strokeweight="1pt">
            <v:fill opacity="0"/>
          </v:rect>
        </w:pict>
      </w:r>
      <w:r w:rsidR="00F265F4" w:rsidRPr="00531A9D">
        <w:rPr>
          <w:rStyle w:val="FontStyle21"/>
        </w:rPr>
        <w:t xml:space="preserve">................................................... </w:t>
      </w:r>
      <w:r w:rsidR="00F265F4" w:rsidRPr="00531A9D">
        <w:tab/>
      </w:r>
      <w:r w:rsidR="00F265F4" w:rsidRPr="00531A9D">
        <w:rPr>
          <w:rStyle w:val="FontStyle21"/>
        </w:rPr>
        <w:t>...................................................</w:t>
      </w:r>
      <w:r w:rsidR="00F265F4" w:rsidRPr="00531A9D">
        <w:tab/>
      </w:r>
      <w:r w:rsidR="00F265F4" w:rsidRPr="00531A9D">
        <w:rPr>
          <w:rStyle w:val="FontStyle21"/>
        </w:rPr>
        <w:t>...................................................</w:t>
      </w:r>
    </w:p>
    <w:p w:rsidR="00F265F4" w:rsidRPr="00531A9D" w:rsidRDefault="00F265F4" w:rsidP="00F265F4">
      <w:pPr>
        <w:pStyle w:val="Style13"/>
        <w:widowControl/>
        <w:spacing w:line="360" w:lineRule="auto"/>
        <w:rPr>
          <w:rStyle w:val="FontStyle21"/>
          <w:sz w:val="8"/>
        </w:rPr>
      </w:pPr>
    </w:p>
    <w:p w:rsidR="00F265F4" w:rsidRPr="00531A9D" w:rsidRDefault="00F265F4" w:rsidP="00F265F4">
      <w:pPr>
        <w:pStyle w:val="Style13"/>
        <w:widowControl/>
        <w:jc w:val="center"/>
        <w:rPr>
          <w:rStyle w:val="FontStyle21"/>
          <w:sz w:val="12"/>
        </w:rPr>
      </w:pPr>
      <w:r w:rsidRPr="00531A9D">
        <w:rPr>
          <w:rStyle w:val="FontStyle21"/>
        </w:rPr>
        <w:t>VÝSLEDKY ZKOUŠKY / RESULTATS DES CONTRÔLES / ERGEBNISSE DER KONTROLLE</w:t>
      </w:r>
    </w:p>
    <w:p w:rsidR="00F265F4" w:rsidRPr="00531A9D" w:rsidRDefault="00F265F4" w:rsidP="00F265F4">
      <w:pPr>
        <w:pStyle w:val="Style13"/>
        <w:widowControl/>
        <w:spacing w:line="360" w:lineRule="auto"/>
        <w:jc w:val="center"/>
        <w:rPr>
          <w:rStyle w:val="FontStyle21"/>
          <w:sz w:val="12"/>
        </w:rPr>
      </w:pPr>
    </w:p>
    <w:p w:rsidR="00F265F4" w:rsidRPr="00531A9D" w:rsidRDefault="00F265F4" w:rsidP="00F265F4">
      <w:pPr>
        <w:pStyle w:val="Style8"/>
        <w:widowControl/>
        <w:spacing w:line="360" w:lineRule="auto"/>
        <w:rPr>
          <w:rStyle w:val="FontStyle21"/>
        </w:rPr>
      </w:pPr>
      <w:r w:rsidRPr="00531A9D">
        <w:rPr>
          <w:rStyle w:val="FontStyle21"/>
        </w:rPr>
        <w:t xml:space="preserve">Průměrná přirozená hodnota místního pozadí v době zkoušky </w:t>
      </w:r>
      <w:r w:rsidRPr="00531A9D">
        <w:rPr>
          <w:noProof/>
          <w:lang w:val="en-US" w:eastAsia="en-US" w:bidi="ar-SA"/>
        </w:rPr>
        <w:drawing>
          <wp:inline distT="0" distB="0" distL="0" distR="0" wp14:anchorId="33A82479" wp14:editId="548C1304">
            <wp:extent cx="171429" cy="1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429" cy="190476"/>
                    </a:xfrm>
                    <a:prstGeom prst="rect">
                      <a:avLst/>
                    </a:prstGeom>
                  </pic:spPr>
                </pic:pic>
              </a:graphicData>
            </a:graphic>
          </wp:inline>
        </w:drawing>
      </w:r>
      <w:r w:rsidRPr="00531A9D">
        <w:rPr>
          <w:rStyle w:val="FontStyle21"/>
        </w:rPr>
        <w:t xml:space="preserve"> = ....................................................... µGy/h</w:t>
      </w:r>
    </w:p>
    <w:p w:rsidR="00F265F4" w:rsidRPr="00531A9D" w:rsidRDefault="00F265F4" w:rsidP="00F265F4">
      <w:pPr>
        <w:pStyle w:val="Style8"/>
        <w:widowControl/>
        <w:spacing w:line="360" w:lineRule="auto"/>
        <w:rPr>
          <w:rStyle w:val="FontStyle21"/>
          <w:sz w:val="12"/>
        </w:rPr>
      </w:pPr>
      <w:r w:rsidRPr="00531A9D">
        <w:rPr>
          <w:rStyle w:val="FontStyle21"/>
        </w:rPr>
        <w:t>(Fond naturel local moyen au moment du contrôle / Mittelwert der natürlichen lokalen Strahlung im Moment der Kontrolle)</w:t>
      </w:r>
    </w:p>
    <w:p w:rsidR="00F265F4" w:rsidRPr="00531A9D" w:rsidRDefault="00F265F4" w:rsidP="00F265F4">
      <w:pPr>
        <w:pStyle w:val="Style8"/>
        <w:widowControl/>
        <w:spacing w:line="360" w:lineRule="auto"/>
        <w:rPr>
          <w:rStyle w:val="FontStyle21"/>
          <w:sz w:val="12"/>
        </w:rPr>
      </w:pPr>
    </w:p>
    <w:p w:rsidR="00F265F4" w:rsidRPr="00531A9D" w:rsidRDefault="00F265F4" w:rsidP="00F265F4">
      <w:pPr>
        <w:pStyle w:val="Style8"/>
        <w:widowControl/>
        <w:spacing w:line="360" w:lineRule="auto"/>
        <w:rPr>
          <w:rStyle w:val="FontStyle21"/>
        </w:rPr>
      </w:pPr>
      <w:r w:rsidRPr="00531A9D">
        <w:rPr>
          <w:rStyle w:val="FontStyle21"/>
        </w:rPr>
        <w:t>Maximální hodnota zjištěná ve vzduchu do vzdálenosti 20 cm od stěn nákladu: ................................................ µGy/h</w:t>
      </w:r>
    </w:p>
    <w:p w:rsidR="00F265F4" w:rsidRPr="00531A9D" w:rsidRDefault="00E277A9" w:rsidP="00F265F4">
      <w:pPr>
        <w:pStyle w:val="Style6"/>
        <w:widowControl/>
        <w:rPr>
          <w:rStyle w:val="FontStyle21"/>
        </w:rPr>
      </w:pPr>
      <w:r>
        <w:rPr>
          <w:rFonts w:ascii="Book Antiqua" w:hAnsi="Book Antiqua" w:cs="Book Antiqua"/>
          <w:b/>
          <w:bCs/>
          <w:noProof/>
          <w:color w:val="000000"/>
          <w:sz w:val="16"/>
          <w:szCs w:val="16"/>
          <w:lang w:val="en-US" w:eastAsia="en-US" w:bidi="ar-SA"/>
        </w:rPr>
        <w:pict>
          <v:rect id="_x0000_s1035" style="position:absolute;margin-left:-6.05pt;margin-top:18.25pt;width:540pt;height:167.75pt;z-index:-251655168" o:regroupid="1" strokeweight="1pt">
            <v:fill opacity="0"/>
          </v:rect>
        </w:pict>
      </w:r>
      <w:r w:rsidR="00F265F4" w:rsidRPr="00531A9D">
        <w:rPr>
          <w:rStyle w:val="FontStyle21"/>
        </w:rPr>
        <w:t>Valeur maximale relevée en air dans 20 cm des parois du chargement / Grösster Wert gemessen in der Luft binnen 20 cm von den Wänden der Ladung)</w:t>
      </w:r>
    </w:p>
    <w:p w:rsidR="00F265F4" w:rsidRPr="00531A9D" w:rsidRDefault="00F265F4" w:rsidP="00B76C36">
      <w:pPr>
        <w:pStyle w:val="Style5"/>
        <w:widowControl/>
        <w:spacing w:before="120" w:line="360" w:lineRule="auto"/>
        <w:jc w:val="center"/>
        <w:rPr>
          <w:rStyle w:val="FontStyle21"/>
        </w:rPr>
      </w:pPr>
      <w:r w:rsidRPr="00531A9D">
        <w:rPr>
          <w:rStyle w:val="FontStyle21"/>
        </w:rPr>
        <w:t xml:space="preserve">PROHLÁŠENÍ / DECLARATION / ERKLARUNG </w:t>
      </w:r>
    </w:p>
    <w:p w:rsidR="00F265F4" w:rsidRPr="00531A9D" w:rsidRDefault="00F265F4" w:rsidP="00F265F4">
      <w:pPr>
        <w:pStyle w:val="Style5"/>
        <w:widowControl/>
        <w:spacing w:line="360" w:lineRule="auto"/>
        <w:rPr>
          <w:rStyle w:val="FontStyle21"/>
        </w:rPr>
      </w:pPr>
      <w:r w:rsidRPr="00531A9D">
        <w:rPr>
          <w:rStyle w:val="FontStyle21"/>
        </w:rPr>
        <w:t>Níže podepsaná osoba / Le soussigné / Der Unterzeichner:</w:t>
      </w:r>
    </w:p>
    <w:p w:rsidR="00F265F4" w:rsidRPr="00531A9D" w:rsidRDefault="00F265F4" w:rsidP="00F265F4">
      <w:pPr>
        <w:pStyle w:val="Style4"/>
        <w:widowControl/>
        <w:spacing w:line="360" w:lineRule="auto"/>
        <w:rPr>
          <w:rStyle w:val="FontStyle21"/>
        </w:rPr>
      </w:pPr>
      <w:r w:rsidRPr="00531A9D">
        <w:rPr>
          <w:rStyle w:val="FontStyle21"/>
        </w:rPr>
        <w:t xml:space="preserve">Trvalé bydliště (adresa, země) / Résident (Adresse, Pays) / Wohnhaft (Anschrift, Land): </w:t>
      </w:r>
    </w:p>
    <w:p w:rsidR="00F265F4" w:rsidRPr="00531A9D" w:rsidRDefault="00F265F4" w:rsidP="00F265F4">
      <w:pPr>
        <w:pStyle w:val="Style4"/>
        <w:widowControl/>
        <w:tabs>
          <w:tab w:val="left" w:pos="5387"/>
        </w:tabs>
        <w:spacing w:line="360" w:lineRule="auto"/>
        <w:rPr>
          <w:rStyle w:val="FontStyle21"/>
        </w:rPr>
      </w:pPr>
      <w:r w:rsidRPr="00531A9D">
        <w:rPr>
          <w:rStyle w:val="FontStyle21"/>
        </w:rPr>
        <w:t xml:space="preserve">Subjekt: </w:t>
      </w:r>
      <w:r w:rsidRPr="00531A9D">
        <w:tab/>
      </w:r>
      <w:r w:rsidRPr="00531A9D">
        <w:rPr>
          <w:rStyle w:val="FontStyle21"/>
        </w:rPr>
        <w:t xml:space="preserve">Funkce: </w:t>
      </w:r>
    </w:p>
    <w:p w:rsidR="00F265F4" w:rsidRPr="00531A9D" w:rsidRDefault="00F265F4" w:rsidP="00F265F4">
      <w:pPr>
        <w:pStyle w:val="Style4"/>
        <w:widowControl/>
        <w:tabs>
          <w:tab w:val="left" w:pos="5387"/>
        </w:tabs>
        <w:spacing w:line="360" w:lineRule="auto"/>
        <w:rPr>
          <w:rStyle w:val="FontStyle21"/>
        </w:rPr>
      </w:pPr>
      <w:r w:rsidRPr="00531A9D">
        <w:rPr>
          <w:rStyle w:val="FontStyle21"/>
        </w:rPr>
        <w:t xml:space="preserve">Tel.: </w:t>
      </w:r>
      <w:r w:rsidRPr="00531A9D">
        <w:tab/>
      </w:r>
      <w:r w:rsidRPr="00531A9D">
        <w:rPr>
          <w:rStyle w:val="FontStyle21"/>
        </w:rPr>
        <w:t>Fax:</w:t>
      </w:r>
    </w:p>
    <w:p w:rsidR="00F265F4" w:rsidRPr="00531A9D" w:rsidRDefault="00F265F4" w:rsidP="00F265F4">
      <w:pPr>
        <w:pStyle w:val="Style6"/>
        <w:widowControl/>
        <w:rPr>
          <w:rStyle w:val="FontStyle21"/>
        </w:rPr>
      </w:pPr>
      <w:r w:rsidRPr="00531A9D">
        <w:rPr>
          <w:rStyle w:val="FontStyle21"/>
        </w:rPr>
        <w:t>odborník v oblasti radiometrických měření, prohlašuje, že měření provedená na nákladu uvedeném ve formuláři neprokázala žádné hodnoty překračující průměrnou fluktuaci úrovně lokálního přirozeného záření pozadí.</w:t>
      </w:r>
      <w:r w:rsidR="00531A9D" w:rsidRPr="00531A9D">
        <w:rPr>
          <w:rStyle w:val="FontStyle21"/>
        </w:rPr>
        <w:t xml:space="preserve">  </w:t>
      </w:r>
      <w:r w:rsidRPr="00531A9D">
        <w:rPr>
          <w:rStyle w:val="FontStyle21"/>
        </w:rPr>
        <w:t>Podepsáno v dobré víře.</w:t>
      </w:r>
    </w:p>
    <w:p w:rsidR="00F265F4" w:rsidRPr="00531A9D" w:rsidRDefault="00F265F4" w:rsidP="00F265F4">
      <w:pPr>
        <w:pStyle w:val="Style6"/>
        <w:widowControl/>
        <w:rPr>
          <w:rStyle w:val="FontStyle21"/>
        </w:rPr>
      </w:pPr>
      <w:r w:rsidRPr="00531A9D">
        <w:rPr>
          <w:rStyle w:val="FontStyle21"/>
        </w:rPr>
        <w:t>Expert en mesures radiométriques, déclare que les mesures exécutées sur le chargement, dont au présent formulaire, n'ont pas relevé des valeurs supérieures à la fluctuation moyenne du fond naturel local de rayonnement. Fait de bonne foi.</w:t>
      </w:r>
    </w:p>
    <w:p w:rsidR="00F265F4" w:rsidRPr="00531A9D" w:rsidRDefault="00F265F4" w:rsidP="00F265F4">
      <w:pPr>
        <w:pStyle w:val="Style6"/>
        <w:widowControl/>
        <w:rPr>
          <w:rStyle w:val="FontStyle21"/>
        </w:rPr>
      </w:pPr>
      <w:r w:rsidRPr="00531A9D">
        <w:rPr>
          <w:rStyle w:val="FontStyle21"/>
        </w:rPr>
        <w:t>Experte für die Messung nuklearer Strahlung erklärt, dass die an der Ladung ausgeführten Messungen bezüglich dieses Formulars keine Werte angezeigt haben, die höher sind als die mittlere Schwankung der natürlichen lokalen Strahlung. In gutem Glauben.</w:t>
      </w:r>
    </w:p>
    <w:p w:rsidR="00F265F4" w:rsidRPr="00531A9D" w:rsidRDefault="00F265F4" w:rsidP="00F265F4">
      <w:pPr>
        <w:pStyle w:val="Style6"/>
        <w:widowControl/>
        <w:spacing w:line="360" w:lineRule="auto"/>
        <w:rPr>
          <w:rStyle w:val="FontStyle21"/>
        </w:rPr>
      </w:pPr>
    </w:p>
    <w:p w:rsidR="00F265F4" w:rsidRPr="00531A9D" w:rsidRDefault="00F265F4" w:rsidP="00F265F4">
      <w:pPr>
        <w:pStyle w:val="Style8"/>
        <w:widowControl/>
        <w:tabs>
          <w:tab w:val="left" w:pos="5387"/>
        </w:tabs>
        <w:spacing w:line="360" w:lineRule="auto"/>
        <w:rPr>
          <w:rStyle w:val="FontStyle21"/>
        </w:rPr>
      </w:pPr>
      <w:r w:rsidRPr="00531A9D">
        <w:rPr>
          <w:rStyle w:val="FontStyle21"/>
        </w:rPr>
        <w:t xml:space="preserve">Datum / Date / Datum: ............................................... </w:t>
      </w:r>
      <w:r w:rsidRPr="00531A9D">
        <w:tab/>
      </w:r>
      <w:r w:rsidRPr="00531A9D">
        <w:rPr>
          <w:rStyle w:val="FontStyle21"/>
        </w:rPr>
        <w:t>Podpis / Signature / Unterschrift: ..........................................................</w:t>
      </w:r>
    </w:p>
    <w:p w:rsidR="00F265F4" w:rsidRPr="00531A9D" w:rsidRDefault="00E277A9" w:rsidP="00F265F4">
      <w:pPr>
        <w:pStyle w:val="Style8"/>
        <w:widowControl/>
        <w:spacing w:line="360" w:lineRule="auto"/>
        <w:rPr>
          <w:rStyle w:val="FontStyle21"/>
        </w:rPr>
      </w:pPr>
      <w:r>
        <w:rPr>
          <w:rFonts w:ascii="Book Antiqua" w:hAnsi="Book Antiqua" w:cs="Book Antiqua"/>
          <w:b/>
          <w:bCs/>
          <w:noProof/>
          <w:color w:val="000000"/>
          <w:sz w:val="16"/>
          <w:szCs w:val="16"/>
          <w:lang w:val="en-US" w:eastAsia="en-US" w:bidi="ar-SA"/>
        </w:rPr>
        <w:pict>
          <v:rect id="_x0000_s1034" style="position:absolute;margin-left:-6.05pt;margin-top:7.25pt;width:540pt;height:74.9pt;z-index:-251651072" o:regroupid="2" strokeweight="1pt">
            <v:fill opacity="0"/>
          </v:rect>
        </w:pict>
      </w:r>
    </w:p>
    <w:p w:rsidR="00F265F4" w:rsidRPr="00531A9D" w:rsidRDefault="00F265F4" w:rsidP="00531A9D">
      <w:pPr>
        <w:pStyle w:val="Style8"/>
        <w:widowControl/>
        <w:spacing w:line="360" w:lineRule="auto"/>
        <w:rPr>
          <w:rFonts w:ascii="Times New Roman" w:hAnsi="Times New Roman"/>
        </w:rPr>
      </w:pPr>
      <w:r w:rsidRPr="00531A9D">
        <w:rPr>
          <w:rStyle w:val="FontStyle21"/>
        </w:rPr>
        <w:t>Oddíl 2. Potvrzení příslušného orgánu</w:t>
      </w:r>
    </w:p>
    <w:p w:rsidR="00F265F4" w:rsidRPr="00531A9D" w:rsidRDefault="00F265F4" w:rsidP="00CF773E">
      <w:pPr>
        <w:spacing w:line="240" w:lineRule="auto"/>
        <w:ind w:left="708" w:hanging="356"/>
        <w:jc w:val="both"/>
        <w:rPr>
          <w:rFonts w:ascii="Times New Roman" w:hAnsi="Times New Roman" w:cs="Times New Roman"/>
          <w:sz w:val="24"/>
          <w:szCs w:val="24"/>
        </w:rPr>
        <w:sectPr w:rsidR="00F265F4" w:rsidRPr="00531A9D" w:rsidSect="00F265F4">
          <w:headerReference w:type="default" r:id="rId11"/>
          <w:pgSz w:w="11909" w:h="16834" w:code="9"/>
          <w:pgMar w:top="567" w:right="851" w:bottom="284" w:left="851" w:header="720" w:footer="720" w:gutter="0"/>
          <w:cols w:space="720"/>
          <w:noEndnote/>
        </w:sectPr>
      </w:pPr>
    </w:p>
    <w:tbl>
      <w:tblPr>
        <w:tblW w:w="7120" w:type="dxa"/>
        <w:tblInd w:w="113" w:type="dxa"/>
        <w:tblLook w:val="04A0" w:firstRow="1" w:lastRow="0" w:firstColumn="1" w:lastColumn="0" w:noHBand="0" w:noVBand="1"/>
      </w:tblPr>
      <w:tblGrid>
        <w:gridCol w:w="5320"/>
        <w:gridCol w:w="1827"/>
      </w:tblGrid>
      <w:tr w:rsidR="00F265F4" w:rsidRPr="00531A9D" w:rsidTr="00223553">
        <w:trPr>
          <w:trHeight w:val="269"/>
        </w:trPr>
        <w:tc>
          <w:tcPr>
            <w:tcW w:w="5320" w:type="dxa"/>
            <w:vMerge w:val="restart"/>
            <w:tcBorders>
              <w:top w:val="single" w:sz="4" w:space="0" w:color="auto"/>
              <w:left w:val="single" w:sz="4" w:space="0" w:color="auto"/>
              <w:bottom w:val="single" w:sz="4" w:space="0" w:color="auto"/>
              <w:right w:val="single" w:sz="4" w:space="0" w:color="auto"/>
            </w:tcBorders>
            <w:shd w:val="clear" w:color="000000" w:fill="9ED3A4"/>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lastRenderedPageBreak/>
              <w:t xml:space="preserve">POPIS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9ED3A4"/>
            <w:noWrap/>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KÓD KN</w:t>
            </w:r>
          </w:p>
        </w:tc>
      </w:tr>
      <w:tr w:rsidR="00F265F4" w:rsidRPr="00531A9D" w:rsidTr="00223553">
        <w:trPr>
          <w:trHeight w:val="269"/>
        </w:trPr>
        <w:tc>
          <w:tcPr>
            <w:tcW w:w="5320" w:type="dxa"/>
            <w:vMerge/>
            <w:tcBorders>
              <w:top w:val="single" w:sz="4" w:space="0" w:color="auto"/>
              <w:left w:val="single" w:sz="4" w:space="0" w:color="auto"/>
              <w:bottom w:val="single" w:sz="4" w:space="0" w:color="auto"/>
              <w:right w:val="single" w:sz="4" w:space="0" w:color="auto"/>
            </w:tcBorders>
            <w:vAlign w:val="center"/>
            <w:hideMark/>
          </w:tcPr>
          <w:p w:rsidR="00F265F4" w:rsidRPr="00531A9D" w:rsidRDefault="00F265F4" w:rsidP="00F265F4">
            <w:pPr>
              <w:spacing w:after="0" w:line="240" w:lineRule="auto"/>
              <w:rPr>
                <w:rFonts w:ascii="Calibri" w:eastAsia="Times New Roman" w:hAnsi="Calibri" w:cs="Calibri"/>
                <w:b/>
                <w:bCs/>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F265F4" w:rsidRPr="00531A9D" w:rsidRDefault="00F265F4" w:rsidP="00F265F4">
            <w:pPr>
              <w:spacing w:after="0" w:line="240" w:lineRule="auto"/>
              <w:rPr>
                <w:rFonts w:ascii="Calibri" w:eastAsia="Times New Roman" w:hAnsi="Calibri" w:cs="Calibri"/>
                <w:b/>
                <w:bCs/>
                <w:color w:val="000000"/>
              </w:rPr>
            </w:pPr>
          </w:p>
        </w:tc>
      </w:tr>
      <w:tr w:rsidR="00F265F4" w:rsidRPr="00531A9D" w:rsidTr="00223553">
        <w:trPr>
          <w:trHeight w:val="269"/>
        </w:trPr>
        <w:tc>
          <w:tcPr>
            <w:tcW w:w="5320" w:type="dxa"/>
            <w:vMerge w:val="restart"/>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SLÉVÁRNY</w:t>
            </w:r>
          </w:p>
        </w:tc>
        <w:tc>
          <w:tcPr>
            <w:tcW w:w="1800" w:type="dxa"/>
            <w:vMerge w:val="restart"/>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p>
        </w:tc>
      </w:tr>
      <w:tr w:rsidR="00F265F4" w:rsidRPr="00531A9D" w:rsidTr="00223553">
        <w:trPr>
          <w:trHeight w:val="269"/>
        </w:trPr>
        <w:tc>
          <w:tcPr>
            <w:tcW w:w="5320" w:type="dxa"/>
            <w:vMerge/>
            <w:tcBorders>
              <w:top w:val="nil"/>
              <w:left w:val="single" w:sz="4" w:space="0" w:color="auto"/>
              <w:bottom w:val="nil"/>
              <w:right w:val="single" w:sz="4" w:space="0" w:color="auto"/>
            </w:tcBorders>
            <w:vAlign w:val="center"/>
            <w:hideMark/>
          </w:tcPr>
          <w:p w:rsidR="00F265F4" w:rsidRPr="00531A9D" w:rsidRDefault="00F265F4" w:rsidP="00F265F4">
            <w:pPr>
              <w:spacing w:after="0" w:line="240" w:lineRule="auto"/>
              <w:rPr>
                <w:rFonts w:ascii="Calibri" w:eastAsia="Times New Roman" w:hAnsi="Calibri" w:cs="Calibri"/>
                <w:b/>
                <w:bCs/>
                <w:color w:val="000000"/>
              </w:rPr>
            </w:pPr>
          </w:p>
        </w:tc>
        <w:tc>
          <w:tcPr>
            <w:tcW w:w="1800" w:type="dxa"/>
            <w:vMerge/>
            <w:tcBorders>
              <w:top w:val="nil"/>
              <w:left w:val="single" w:sz="4" w:space="0" w:color="auto"/>
              <w:bottom w:val="nil"/>
              <w:right w:val="single" w:sz="4" w:space="0" w:color="auto"/>
            </w:tcBorders>
            <w:vAlign w:val="center"/>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single" w:sz="4" w:space="0" w:color="auto"/>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rPr>
              <w:t xml:space="preserve"> Hrotovnice, srdcovky, přestavné tyče výměny a ostatní přejezdová zařízení železničních nebo tramvajových tratí ze železa nebo oceli </w:t>
            </w:r>
          </w:p>
        </w:tc>
        <w:tc>
          <w:tcPr>
            <w:tcW w:w="1800" w:type="dxa"/>
            <w:tcBorders>
              <w:top w:val="nil"/>
              <w:left w:val="single" w:sz="4" w:space="0" w:color="auto"/>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73023000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neelektrických tepelných spotřebičů pro domácnosti podle čísla 7321, z litiny, železa nebo oceli,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73219000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Radiátory ústředního topení, bez elektrického ohřevu, a jejich části a součásti, ze železa (kromě částí specifikovaných nebo zahrnutých jinde a kotlů pro ústřední topení)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73221100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2D091D">
            <w:pPr>
              <w:spacing w:after="0" w:line="240" w:lineRule="auto"/>
              <w:rPr>
                <w:rFonts w:ascii="Calibri" w:eastAsia="Times New Roman" w:hAnsi="Calibri" w:cs="Calibri"/>
                <w:color w:val="000000"/>
              </w:rPr>
            </w:pPr>
            <w:r w:rsidRPr="00531A9D">
              <w:rPr>
                <w:rFonts w:ascii="Calibri" w:hAnsi="Calibri"/>
                <w:color w:val="000000"/>
              </w:rPr>
              <w:t>Předměty k použití v domácnosti a jejich části a součásti, litinové, nesmaltované</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73239100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2D091D">
            <w:pPr>
              <w:spacing w:after="0" w:line="240" w:lineRule="auto"/>
              <w:rPr>
                <w:rFonts w:ascii="Calibri" w:eastAsia="Times New Roman" w:hAnsi="Calibri" w:cs="Calibri"/>
                <w:color w:val="000000"/>
              </w:rPr>
            </w:pPr>
            <w:r w:rsidRPr="00531A9D">
              <w:rPr>
                <w:rFonts w:ascii="Calibri" w:hAnsi="Calibri"/>
                <w:color w:val="000000"/>
              </w:rPr>
              <w:t xml:space="preserve">Předměty ze železa nebo oceli, lité, které nejsou uvedeny jinde (kromě předmětů z netvárné nebo tvárné litiny, jakož i brusných koulí a podobných výrobků pro výrobní provozy)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73259990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Díla z litého hliníku, které nejsou uvedeny jinde</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76169910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Předměty z hořčíku,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81049000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kotlů ústředního topení, ze železa,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84039010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hydraulických turbín a vodních kol, které nejsou uvedeny jinde, regulátory hydraulických turbín,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84109000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zařízení a přístrojů čísel 8426, 8429 nebo 8430, z litiny, železa nebo oceli, které nejsou uvedeny jinde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84314920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na výrobu buničiny z vláknitého celulózového materiálu, které nejsou uvedeny jinde,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84399100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na výrobu nebo konečnou úpravu papíru nebo lepenky,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84399900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Části a součásti praček pro domácnost nebo pro prádelny, které nejsou uvedeny  jinde</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84509000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šicích strojů, které nejsou uvedeny jinde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84529000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a příslušenství, jiné než předchozích čísel 8466, pro stroje čísla 8464,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84669120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a příslušenství, jiné než předchozích čísel 8466, pro stroje čísla 8465,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84669220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a zařízení pro zpracování nerostných materiálů, jiné než čísla 8474, které nejsou uvedeny jinde,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84749010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Části a součásti strojů na výměnu peněz</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84769010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000000" w:fill="CCE8CF"/>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ostatní části strojů</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84769090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a zařízení pro zpracování pryžových nebo plastových materiálů, z litiny, železa nebo oceli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84779010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Části a součásti mechanických strojů a zařízení se specifickou funkcí, z litiny nebo oceli, které nejsou uvedeny jinde</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84799020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E277A9">
            <w:pPr>
              <w:spacing w:after="0" w:line="240" w:lineRule="auto"/>
              <w:rPr>
                <w:rFonts w:ascii="Calibri" w:eastAsia="Times New Roman" w:hAnsi="Calibri" w:cs="Calibri"/>
                <w:color w:val="000000"/>
              </w:rPr>
            </w:pPr>
            <w:r w:rsidRPr="00531A9D">
              <w:rPr>
                <w:rFonts w:ascii="Calibri" w:hAnsi="Calibri"/>
                <w:color w:val="000000"/>
              </w:rPr>
              <w:t xml:space="preserve">Kolečka a řemenice, včetně kladnic, z litiny, železa nebo </w:t>
            </w:r>
            <w:r w:rsidRPr="00531A9D">
              <w:rPr>
                <w:rFonts w:ascii="Calibri" w:hAnsi="Calibri"/>
                <w:color w:val="000000"/>
              </w:rPr>
              <w:lastRenderedPageBreak/>
              <w:t>oceli</w:t>
            </w:r>
            <w:bookmarkStart w:id="0" w:name="_GoBack"/>
            <w:bookmarkEnd w:id="0"/>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lastRenderedPageBreak/>
              <w:t>84835020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Spojky a hřídelové spojky, včetně kardanových kloubů, pro strojní vybavení, z litiny, železa nebo oceli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84836020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Ostatní části a součásti pro převodové hřídele, ozubená kola, spojky a klouby čísla 8483, z litiny, železa nebo oceli,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84839081</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nebo zařízení části 84, bez elektrických vlastností, ze železa, které nejsou uvedeny jinde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84879040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strojů nebo zařízení části 84, bez elektrických vlastností, z lité oceli, které nejsou uvedeny jinde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84879051</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vhodné výhradně nebo hlavně pro elektromotory a generátory, elektrické generátory nebo rotační měniče, které nejsou uvedeny jinde,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85030091</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Nápravy, včetně montovaných; kola a jejich části, z litiny, železa nebo oceli </w:t>
            </w:r>
          </w:p>
        </w:tc>
        <w:tc>
          <w:tcPr>
            <w:tcW w:w="1800" w:type="dxa"/>
            <w:tcBorders>
              <w:top w:val="nil"/>
              <w:left w:val="nil"/>
              <w:bottom w:val="single" w:sz="4" w:space="0" w:color="auto"/>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86071910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kotoučových brzd pro traktory a motorová vozidla pro přepravu deseti a více cestujících, stroje a jiná motorová vozidla speciálně určená pro přepravu cestujících, speciální vozidla pro přepravu zboží, které nejsou uvedeny jinde (s výjimkou těch určených pro montáž motorových vozidel čísla 8708.30.10)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87083091</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Brzdy a servo brzdy a jejich části a součásti pro traktory a motorová vozidla pro přepravu deseti a více cestujících, stroje a jiná motorová vozidla speciálně určená pro přepravu cestujících, speciální vozidla pro přepravu zboží, které nejsou uvedeny jinde (s výjimkou těch určených pro montáž motorových vozidel čísla 8708.30.10 a pro kotoučové brzdy)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87083099</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Nápravy s diferenciálem, též vybavené jinými převodovými součástmi, nepoháněné nápravy a jejich části a součásti, určené k průmyslové montáži motorových vozidel čísel 8703, 8704, buď se vznětovým pístovým motorem s vnitřním spalováním (dieselové motory nebo motory s žárovou hlavou) o objemu válců nepřesahujícím 2 500 cm3, nebo se zážehovým pístovým spalovacím motorem o objemu válců nepřesahujícím 2 800 cm3 a speciálních motorových vozidel čísla 8705, které nejsou uvedeny jinde,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87085020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Nápravy s diferenciálem, též vybavené jinými převodovými součástmi, nepoháněné nápravy a jejich části a součásti, určené pro traktory, motorová vozidla pro převoz deseti a více cestujících, stroje a jiná motorová vozidla zvlášť určená pro převoz cestujících, vozidla zvlášť určená pro převoz zboží, která nejsou uvedena jinde (s výjimkou těch určených pro montáž motorových vozidel čísla 8708.50.20)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87085035</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nepoháněných náprav pro traktory, motorová vozidla pro přepravu deseti a více cestujících, strojní zařízení a ostatní motorová vozidla zvlášť určená </w:t>
            </w:r>
            <w:r w:rsidRPr="00531A9D">
              <w:rPr>
                <w:rFonts w:ascii="Calibri" w:hAnsi="Calibri"/>
                <w:color w:val="000000"/>
              </w:rPr>
              <w:lastRenderedPageBreak/>
              <w:t xml:space="preserve">pro přepravu cestujících, vozidla zvlášť určená pro přepravu zboží (s výjimkou částí a součástí pro montáž vozidel čísla 8708.50.20 a těch z lisované oceli),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lastRenderedPageBreak/>
              <w:t>87085091</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náprav s diferenciálem, též vybavené jinými převodovými součástmi, pro traktory, motorová vozidla pro přepravu deseti a více cestujících, strojní zařízení a ostatní motorová vozidla zvlášť určená pro přepravu cestujících, vozidla zvlášť určená pro přepravu zboží (s výjimkou částí a součástí pro montáž motorových vozidel čísla 8708.50.20 a těch z lisované oceli), které nejsou uvedeny jinde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87085099</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Kola a jejich části, součásti a příslušenství k průmyslové montáži: jednonápravových malotraktorů čísla 8701 10 nebo motorových vozidel čísla 8703 pro přepravu zboží se vznětovým pístovým spalovacím motorem (dieselovým motorem nebo motorem se žárovou hlavou) s obsahem válců nepřesahujícím 2 500 cm</w:t>
            </w:r>
            <w:r w:rsidRPr="00531A9D">
              <w:rPr>
                <w:rFonts w:ascii="Calibri" w:hAnsi="Calibri"/>
                <w:color w:val="000000"/>
                <w:vertAlign w:val="superscript"/>
              </w:rPr>
              <w:t>3</w:t>
            </w:r>
            <w:r w:rsidRPr="00531A9D">
              <w:rPr>
                <w:rFonts w:ascii="Calibri" w:hAnsi="Calibri"/>
                <w:color w:val="000000"/>
              </w:rPr>
              <w:t xml:space="preserve"> nebo se zážehovým pístovým spalovacím motorem s obsahem válců nepřesahujícím 2 800 cm</w:t>
            </w:r>
            <w:r w:rsidRPr="00531A9D">
              <w:rPr>
                <w:rFonts w:ascii="Calibri" w:hAnsi="Calibri"/>
                <w:color w:val="000000"/>
                <w:vertAlign w:val="superscript"/>
              </w:rPr>
              <w:t>3</w:t>
            </w:r>
            <w:r w:rsidRPr="00531A9D">
              <w:rPr>
                <w:rFonts w:ascii="Calibri" w:hAnsi="Calibri"/>
                <w:color w:val="000000"/>
              </w:rPr>
              <w:t xml:space="preserve"> a motorových vozidel pro zvláštní účely čísla 8705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87087010</w:t>
            </w:r>
          </w:p>
        </w:tc>
      </w:tr>
      <w:tr w:rsidR="00F265F4" w:rsidRPr="00531A9D" w:rsidTr="00223553">
        <w:tc>
          <w:tcPr>
            <w:tcW w:w="5320" w:type="dxa"/>
            <w:tcBorders>
              <w:top w:val="nil"/>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Kola a jejich části a součásti a příslušenství motorových vozidel pro přepravu 10 a více cestujících atd. </w:t>
            </w:r>
          </w:p>
        </w:tc>
        <w:tc>
          <w:tcPr>
            <w:tcW w:w="1800" w:type="dxa"/>
            <w:tcBorders>
              <w:top w:val="nil"/>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87087050</w:t>
            </w:r>
          </w:p>
        </w:tc>
      </w:tr>
      <w:tr w:rsidR="00F265F4" w:rsidRPr="00531A9D" w:rsidTr="00223553">
        <w:tc>
          <w:tcPr>
            <w:tcW w:w="5320" w:type="dxa"/>
            <w:tcBorders>
              <w:top w:val="nil"/>
              <w:left w:val="single" w:sz="4" w:space="0" w:color="auto"/>
              <w:bottom w:val="nil"/>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Části a součásti kol tvaru hvězdy atd. </w:t>
            </w:r>
          </w:p>
        </w:tc>
        <w:tc>
          <w:tcPr>
            <w:tcW w:w="1800" w:type="dxa"/>
            <w:tcBorders>
              <w:top w:val="nil"/>
              <w:left w:val="nil"/>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87087091</w:t>
            </w:r>
          </w:p>
        </w:tc>
      </w:tr>
      <w:tr w:rsidR="00F265F4" w:rsidRPr="00531A9D" w:rsidTr="00223553">
        <w:tc>
          <w:tcPr>
            <w:tcW w:w="5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Jiné části a součásti přívěsů a návěsů </w:t>
            </w:r>
          </w:p>
        </w:tc>
        <w:tc>
          <w:tcPr>
            <w:tcW w:w="1800" w:type="dxa"/>
            <w:tcBorders>
              <w:top w:val="single" w:sz="4" w:space="0" w:color="auto"/>
              <w:left w:val="nil"/>
              <w:bottom w:val="single" w:sz="4" w:space="0" w:color="auto"/>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87169090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POLOTOVARY Z NEŽELEZNÝCH KOVŮ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MĚĎ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MĚĎ </w:t>
            </w: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pruty a profily z rafinované mědi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7407 10 00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ze slitiny na bázi mědi a zinku (mosaz)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7407 21 10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Profily ze slitiny na bázi mědi a zinku (mosaz)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7407 21 90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a profily na bázi mědi a niklu (mědiniklu) nebo mědi, niklu a zinku (alpaky) </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7407 29 00</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Ostatní tyče a profily ze slitin mědi </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7407 29 00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Drát z rafinované mědi, jehož průřez přesahuje 6 mm</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7408 11 00</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 rafinované mědi, jehož průřez přesahuje 0,5 mm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7408 19 10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 rafinované mědi, který v žádném svém průřezu nepřesahuje 0,5 mm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7408 19 90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ze slitiny na bázi mědi a zinku (mosaz)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7408 21 00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ze slitiny mědi a niklu (mědiniklu) nebo ze slitiny mědi, niklu a zinku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7408 22 00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Drát z ostatních slitin mědi</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7408 29 00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Měděné desky, plechy a pásy, o tloušťce převyšující 0,15 mm, vinuté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7409 11 00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Měděné desky, plechy a pásy, o tloušťce převyšující 0,15 mm, ostatní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7409 19 00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Desky, plechy a pásy, o tloušťce převyšující 0,15 mm, ze slitiny na bázi mědi a zinku (mosazi), vinuté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7409 21 00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o tloušťce převyšující 0,15 mm, ze slitiny na bázi mědi a zinku (mosazi), ostatní</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7409 29 00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Měděné desky, plechy a pásy, o tloušťce převyšující 0,15 mm, ze slitiny na bázi mědi a cínu (bronzu), vinuté</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7409 31 00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Měděné desky, plechy a pásy, o tloušťce převyšující 0,15 mm, ze slitiny na bázi mědi a cínu (bronzu), ostatní</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7409 39 00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Měděné desky, plechy a pásy, o tloušťce převyšující 0,15 </w:t>
            </w:r>
            <w:r w:rsidRPr="00531A9D">
              <w:rPr>
                <w:rFonts w:ascii="Calibri" w:hAnsi="Calibri"/>
                <w:color w:val="000000"/>
              </w:rPr>
              <w:lastRenderedPageBreak/>
              <w:t xml:space="preserve">mm, ze slitiny mědi a niklu (mědiniklu) a mědi, niklu a zinku (alpaky) </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lastRenderedPageBreak/>
              <w:t>7409 40 00</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Desky, plechy a pásy z ostatních slitin mědi, o tloušťce převyšující 0,15 mm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7409 90 00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Fólie z rafinované mědi, bez podložky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7410 11 00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Fólie ze slitiny mědi, o tloušťce 0,15 mm, bez podložky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7410 12 00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Fólie z rafinované mědi, o tloušťce 0,15 mm nebo menší, s podložkou</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7410 21 00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Fólie ze slitiny mědi, o tloušťce 0,15 mm nebo menší, s podložkou</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7410 22 00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NIKL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NIKL</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a pruty z nelegovaného niklu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7505 11 00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Tyče a profily ze slitiny niklu</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7505 12 00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 nelegovaného niklu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7505 21 00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ze slitiny niklu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7505 22 00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Desky, plechy a pásy a fólie z nelegovaného niklu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7506 10 00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a fólie e slitiny niklu</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7506 20 00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HLINÍK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HLINÍK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z nelegovaného hliníku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7604 10 10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Profily z nelegovaného hliníku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7604 10 90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Duté profily ze slitiny hliníku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7604 21 00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ze slitiny hliníku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7604 29 10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Profily ze slitiny hliníku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7604 29 90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 nelegovaného hliníku, jehož průřez přesahuje 7 mm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7605 11 00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Drát z nelegovaného hliníku, jiný</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7605 19 00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ze slitiny hliníku, jehož průřez přesahuje 7 mm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7605 21 00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Drát ze slitiny hliníku, jiný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7605 29 00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 nelegovaného hliníku, čtvercové nebo obdélníkové, natřené, lakované nebo potažené plasty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7606 11 10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 nelegovaného hliníku, čtvercové nebo obdélníkové, ostatní, o tloušťce menší než 3 mm</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7606 11 91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 nelegovaného hliníku, čtvercové nebo obdélníkové, ostatní, o tloušťce 3 mm nebo větší, ale menší než 6 mm</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7606 11 93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 nelegovaného hliníku, čtvercové nebo obdélníkové, ostatní, o tloušťce větší než 6 mm</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7606 11 99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ze slitiny hliníku, čtvercové nebo obdélníkové, natřené, lakované nebo potažené plasty</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7606 12 20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ze slitiny hliníku, čtvercové nebo obdélníkové, ostatní, o tloušťce menší než 3 mm</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7606 12 92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ze slitiny hliníku, čtvercové nebo obdélníkové, ostatní, o tloušťce 3 mm nebo větší, ale menší než 6mm</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7606 12 93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Desky, plechy a pásy ze slitiny hliníku, čtvercové nebo obdélníkové, ostatní, o tloušťce 6 mm nebo větší</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7606 12 99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Desky, plechy a pásy z nelegovaného hliníku, jiného než čtvercového nebo obdélníkového tvaru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7606 91 00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Desky, plechy a pásy ze slitiny hliníku, jiného než čtvercového nebo obdélníkového tvaru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7606 92 00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Hliníková fólie, bez podložky, opracovaná pouze válcováním, o tloušťce menší než 0,021 mm, ve svitcích o </w:t>
            </w:r>
            <w:r w:rsidRPr="00531A9D">
              <w:rPr>
                <w:rFonts w:ascii="Calibri" w:hAnsi="Calibri"/>
                <w:color w:val="000000"/>
              </w:rPr>
              <w:lastRenderedPageBreak/>
              <w:t>hmotnosti 10 kg nebo méně</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lastRenderedPageBreak/>
              <w:t xml:space="preserve">7607 11 11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Hliníková fólie, bez podložky, dále zpracovaná pouze válcováním, o tloušťce menší než 0,021 mm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7607 11 19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Hliníková fólie, bez podložky, dále zpracovaná pouze válcováním, o tloušťce 0,021 mm nebo více a 0,2 mm nebo méně</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7607 11 90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Hliníková fólie, bez podložky, ostatní, o tloušťce menší než 0,021 mm</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7607 19 10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Hliníková fólie, bez podložky, ostatní, o tloušťce 0,021 mm nebo více a 0,2 mm nebo méně</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7607 19 90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Hliníková fólie, s podložkou, o tloušťce (bez podložky) menší než 0,021 mm</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7607 20 10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Hliníková fólie, s podložkou, o tloušťce (bez podložky) menší než 0,021 mm nebo více a 0,2 mm nebo méně</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7607 20 90</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OLOVO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OLOVO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Olověné plechy a pásy o tloušťce 0,2 mm nebo méně (bez podložky)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7804 11 00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Olověné desky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7804 19 00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Olověný prášek a šupiny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7804 20 00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ZINEK</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ZINEK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a drát ze zinku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7904 00 00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Desky, plechy a pásy ze zinku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7905 00 00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CÍN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CÍN</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a drát z cínu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8003 00 00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OSTATNÍ BĚŽNÉ KOVY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OSTATNÍ KOVY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Wolframové dráty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8101 96 00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Wolframové tyče získané jinak než prostým slinováním, profily, desky, plechy a pásy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8101 99 10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Molybdenové tyče získané jinak než prostým slinováním, profily, desky, plechy a pásy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8102 95 00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Molybdenový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8102 96 00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Tantalové tyče získané jinak než prostým slinováním, profily, desky, plechy a pásy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8103 90 10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(hořčíkové tyče, profily, dráty, desky)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ex 81049000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(kobaltové tyče, profily, dráty, desky)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ex 81059000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(bismutové tyče, profily, dráty, desky)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ex 81060090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(kadmiové tyče, profily, dráty, desky)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ex 81079000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Titanové tyče, profily a drát</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8108 90 30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Titanové desky, plechy, pásy a fólie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8108 90 50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(zirkonové tyče, profily, dráty, desky a plechy)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8109 90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(antimonové tyče, profily, dráty, desky a plechy)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8110 90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(manganové tyče, profily, dráty, desky a plechy)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8111 00 90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(beryliové tyče, profily, dráty, desky a plechy)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8112 19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(chromové tyče, profily, dráty, desky a plechy)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8112 29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dráty, desky a plechy z thalia)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8112 59 00 </w:t>
            </w:r>
          </w:p>
        </w:tc>
      </w:tr>
      <w:tr w:rsidR="00F265F4" w:rsidRPr="00531A9D" w:rsidTr="00223553">
        <w:tc>
          <w:tcPr>
            <w:tcW w:w="5320" w:type="dxa"/>
            <w:tcBorders>
              <w:top w:val="nil"/>
              <w:left w:val="single" w:sz="4" w:space="0" w:color="auto"/>
              <w:bottom w:val="nil"/>
              <w:right w:val="nil"/>
            </w:tcBorders>
            <w:shd w:val="clear" w:color="auto" w:fill="auto"/>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dráty, desky a plechy z hafnia (celtia))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8112 99 20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dráty, desky a plechy z niobu (columbia))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8112 99 30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dráty, desky a plechy z gallia, india, vanadu)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8112 99 70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(tyče, profily, dráty, desky a plechy z cermetu)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8113 00 90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Slitiny na bázi mědi a niklu (mosaz)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7403 21 00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Slitiny na bázi mědi a cínu (bronz)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7403 22 00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Ostatní slitiny mědi (kromě hlavních slitin čísla 7405)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7403 29 00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Slitiny niklu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7502 20 00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Slitiny hliníku v deskách a ingotech</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7601 20 20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Slitiny hliníku, ostatní </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7601 20 80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olovo jiné než obsahující antimon </w:t>
            </w:r>
          </w:p>
        </w:tc>
        <w:tc>
          <w:tcPr>
            <w:tcW w:w="1800" w:type="dxa"/>
            <w:tcBorders>
              <w:top w:val="nil"/>
              <w:left w:val="single" w:sz="4" w:space="0" w:color="auto"/>
              <w:bottom w:val="nil"/>
              <w:right w:val="single" w:sz="4" w:space="0" w:color="auto"/>
            </w:tcBorders>
            <w:shd w:val="clear" w:color="000000" w:fill="CCE8CF"/>
            <w:noWrap/>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 xml:space="preserve"> 7801 99 90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Slitiny zinku</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7901 20 00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Slitiny cínu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8001 20 00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hořčík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ex 8104 19 00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C – SEZNAM KÓDŮ A NETVÁŘENÝCH VÝROBKŮ Z MÉNĚ POUŽÍVANÝCH KOVŮ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C – SEZNAM </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wolfram, včetně tyčí a prutů získaných prostým slinováním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8101 94 00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molybden, včetně tyčí a prutů získaných prostým slinováním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8102 94 00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tantal, včetně tyčí a prutů získaných prostým slinováním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8103 20 00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Kobaltový kamínek a jiné meziprodukty metalurgie kobaltu; netvářený kobalt,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8105 20 00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Netvářený bismut; odpad a šrot; prášky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8106 00 10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kadmium;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8107 20 00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titan;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8108 20 00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zirkon;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8109 20 00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antimon;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8110 10 00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mangan;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8111 00 11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berylium;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8112 12 00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Netvářené slitiny chromu, prášky obsahující více než 10 % hmotnostních niklu</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8112 2110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netvářený chróm, prášky, jiné</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81122190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thalium;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8112 51 00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hafnium (celtium); odpad a šrot;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8112 92 10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niob (columbium); odpad a šrot;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8112 92 31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Netvářené indium; odpad a šrot; prášky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8112 92 81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gallium; odpad a šrot;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8112 92 89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Netvářený vanad; odpad a šrot; prášky</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 8112 92 91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Netvářené germanium; odpad a šrot; prášky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 xml:space="preserve">8112 92 95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Netvářený cermet </w:t>
            </w:r>
          </w:p>
        </w:tc>
        <w:tc>
          <w:tcPr>
            <w:tcW w:w="1800" w:type="dxa"/>
            <w:tcBorders>
              <w:top w:val="nil"/>
              <w:left w:val="single" w:sz="4" w:space="0" w:color="auto"/>
              <w:bottom w:val="nil"/>
              <w:right w:val="single" w:sz="4" w:space="0" w:color="auto"/>
            </w:tcBorders>
            <w:shd w:val="clear" w:color="auto" w:fill="auto"/>
            <w:noWrap/>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8113 00 20</w:t>
            </w: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VÝROBA POLOTOVARŮ Z OCELI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FF0000"/>
              </w:rPr>
            </w:pPr>
            <w:r w:rsidRPr="00531A9D">
              <w:rPr>
                <w:rFonts w:ascii="Calibri" w:hAnsi="Calibri"/>
                <w:b/>
                <w:color w:val="FF0000"/>
              </w:rPr>
              <w:t xml:space="preserve">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sz w:val="20"/>
                <w:szCs w:val="20"/>
              </w:rPr>
            </w:pPr>
            <w:r w:rsidRPr="00531A9D">
              <w:rPr>
                <w:rFonts w:ascii="Calibri" w:hAnsi="Calibri"/>
                <w:color w:val="000000"/>
                <w:sz w:val="20"/>
              </w:rPr>
              <w:t xml:space="preserve">INGOTY Z ŽELEZA A NELEGOVANÉ OCELI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72061000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ŽELEZO A NELEGOVANÁ OCEL, V OSTATNÍCH PRIMÁRNÍCH FORMÁCH</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72069000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INGOTY A DALŠÍ PRIMÁRNÍ FORMY NEREZOVÉ OCELI</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INGOTY A DALŠÍ PRIMÁRNÍ FORMY SLITIN OCELI PRO VÝROBU NÁDOBÍ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72241010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INGOTY A DALŠÍ PRIMÁRNÍ FORMY SLITIN OCELI, JINÉ</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72241090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DA7421" w:rsidP="00F265F4">
            <w:pPr>
              <w:spacing w:after="0" w:line="240" w:lineRule="auto"/>
              <w:jc w:val="center"/>
              <w:rPr>
                <w:rFonts w:ascii="Calibri" w:eastAsia="Times New Roman" w:hAnsi="Calibri" w:cs="Calibri"/>
                <w:b/>
                <w:bCs/>
                <w:color w:val="000000"/>
              </w:rPr>
            </w:pPr>
            <w:r w:rsidRPr="00531A9D">
              <w:rPr>
                <w:rFonts w:ascii="Calibri" w:hAnsi="Calibri"/>
                <w:b/>
                <w:color w:val="000000"/>
              </w:rPr>
              <w:t>BRAMY</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FF0000"/>
              </w:rPr>
            </w:pPr>
            <w:r w:rsidRPr="00531A9D">
              <w:rPr>
                <w:rFonts w:ascii="Calibri" w:hAnsi="Calibri"/>
              </w:rPr>
              <w:t>BRAMY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72071210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FF0000"/>
              </w:rPr>
            </w:pPr>
            <w:r w:rsidRPr="00531A9D">
              <w:rPr>
                <w:rFonts w:ascii="Calibri" w:hAnsi="Calibri"/>
              </w:rPr>
              <w:t>BRAMY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72072032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DA7421" w:rsidP="00F265F4">
            <w:pPr>
              <w:spacing w:after="0" w:line="240" w:lineRule="auto"/>
              <w:rPr>
                <w:rFonts w:ascii="Calibri" w:eastAsia="Times New Roman" w:hAnsi="Calibri" w:cs="Calibri"/>
                <w:color w:val="000000"/>
              </w:rPr>
            </w:pPr>
            <w:r w:rsidRPr="00531A9D">
              <w:rPr>
                <w:rFonts w:ascii="Calibri" w:hAnsi="Calibri"/>
                <w:color w:val="000000"/>
              </w:rPr>
              <w:t>BRAMY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72189110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DA7421" w:rsidP="00F265F4">
            <w:pPr>
              <w:spacing w:after="0" w:line="240" w:lineRule="auto"/>
              <w:rPr>
                <w:rFonts w:ascii="Calibri" w:eastAsia="Times New Roman" w:hAnsi="Calibri" w:cs="Calibri"/>
                <w:color w:val="000000"/>
              </w:rPr>
            </w:pPr>
            <w:r w:rsidRPr="00531A9D">
              <w:rPr>
                <w:rFonts w:ascii="Calibri" w:hAnsi="Calibri"/>
                <w:color w:val="000000"/>
              </w:rPr>
              <w:t>BRAMY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72189180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FF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FF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DA7421"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SOCHORY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DA7421" w:rsidP="00F265F4">
            <w:pPr>
              <w:spacing w:after="0" w:line="240" w:lineRule="auto"/>
              <w:jc w:val="center"/>
              <w:rPr>
                <w:rFonts w:ascii="Calibri" w:eastAsia="Times New Roman" w:hAnsi="Calibri" w:cs="Calibri"/>
                <w:b/>
                <w:bCs/>
                <w:color w:val="000000"/>
              </w:rPr>
            </w:pPr>
            <w:r w:rsidRPr="00531A9D">
              <w:rPr>
                <w:rFonts w:ascii="Calibri" w:hAnsi="Calibri"/>
                <w:b/>
                <w:color w:val="000000"/>
              </w:rPr>
              <w:t>Z BLOKŮ</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72071111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72071114</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72071116</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72071912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72071980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72072015</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SOCHORY Z BLOKŮ</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72072017</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72072052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72189911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72189920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72249002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72249003</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72249005</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72249007</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72249014</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SOCHORY Z BLOKŮ</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72249031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SOCHORY Z BLOKŮ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72249038</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DA7421" w:rsidP="00F265F4">
            <w:pPr>
              <w:spacing w:after="0" w:line="240" w:lineRule="auto"/>
              <w:jc w:val="center"/>
              <w:rPr>
                <w:rFonts w:ascii="Calibri" w:eastAsia="Times New Roman" w:hAnsi="Calibri" w:cs="Calibri"/>
                <w:b/>
                <w:bCs/>
                <w:color w:val="000000"/>
              </w:rPr>
            </w:pPr>
            <w:r w:rsidRPr="00531A9D">
              <w:rPr>
                <w:rFonts w:ascii="Calibri" w:hAnsi="Calibri"/>
                <w:b/>
                <w:color w:val="000000"/>
              </w:rPr>
              <w:t>SVITKY</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SVITKY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SVITKY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72082500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72082600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SVITKY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72082700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72083600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72083700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72083800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72083900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72191210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72191290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72191310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72191390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72191410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72191490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72251910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72253010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SVITKY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72253030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SVITKY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72253090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b/>
                <w:bCs/>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center"/>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KOLEJNICE A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VYBAVENÍ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KOLEJNICE A VYBAVENÍ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73021022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KOLEJNICE A VYBAVENÍ</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31A9D" w:rsidRDefault="00F265F4" w:rsidP="00F265F4">
            <w:pPr>
              <w:spacing w:after="0" w:line="240" w:lineRule="auto"/>
              <w:jc w:val="center"/>
              <w:rPr>
                <w:rFonts w:ascii="Calibri" w:eastAsia="Times New Roman" w:hAnsi="Calibri" w:cs="Calibri"/>
              </w:rPr>
            </w:pPr>
            <w:r w:rsidRPr="00531A9D">
              <w:rPr>
                <w:rFonts w:ascii="Calibri" w:hAnsi="Calibri"/>
              </w:rPr>
              <w:t>73021028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KOLEJNICE A VYBAVENÍ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73021040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KOLEJNICE A VYBAVENÍ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73021050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KOLEJNICE A VYBAVENÍ </w:t>
            </w:r>
          </w:p>
        </w:tc>
        <w:tc>
          <w:tcPr>
            <w:tcW w:w="1800" w:type="dxa"/>
            <w:tcBorders>
              <w:top w:val="nil"/>
              <w:left w:val="single" w:sz="4" w:space="0" w:color="auto"/>
              <w:bottom w:val="nil"/>
              <w:right w:val="single" w:sz="4" w:space="0" w:color="auto"/>
            </w:tcBorders>
            <w:shd w:val="clear" w:color="000000" w:fill="CCE8CF"/>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73024000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31A9D" w:rsidRDefault="00F265F4" w:rsidP="00F265F4">
            <w:pPr>
              <w:spacing w:after="0" w:line="240" w:lineRule="auto"/>
              <w:rPr>
                <w:rFonts w:ascii="Calibri" w:eastAsia="Times New Roman" w:hAnsi="Calibri" w:cs="Calibri"/>
                <w:color w:val="00B05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000000" w:fill="CCE8CF"/>
            <w:noWrap/>
            <w:vAlign w:val="bottom"/>
          </w:tcPr>
          <w:p w:rsidR="00F265F4" w:rsidRPr="00531A9D" w:rsidRDefault="00F265F4" w:rsidP="00F265F4">
            <w:pPr>
              <w:spacing w:after="0" w:line="240" w:lineRule="auto"/>
              <w:rPr>
                <w:rFonts w:ascii="Calibri" w:eastAsia="Times New Roman" w:hAnsi="Calibri" w:cs="Calibri"/>
                <w:color w:val="00B05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ŠTETOVNICE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b/>
                <w:bCs/>
                <w:color w:val="000000"/>
              </w:rPr>
            </w:pPr>
            <w:r w:rsidRPr="00531A9D">
              <w:rPr>
                <w:rFonts w:ascii="Calibri" w:hAnsi="Calibri"/>
                <w:b/>
                <w:color w:val="000000"/>
              </w:rPr>
              <w:t xml:space="preserve">ŠTETOVNICE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73011000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r.c. BETONÁŘSKÁ TYČOVÁ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OCEL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r.c. BETONÁŘSKÁ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r.c. BETONÁŘSKÁ TYČOVÁ OCEL</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72149910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VÁLCOVANÝ DRÁT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72139120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72139141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72139149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72139170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72139990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72210010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VÁLCOVANÝ DRÁT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72210090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72271000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72272000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72279010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72279050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VÁLCOVANÝ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72279095</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b/>
                <w:bCs/>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ZA TEPLA VÁLCOVÁ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TYČOVÁ OCEL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TEPLA VÁLCOVANÁ TYČOVÁ OCEL</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72143000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72149931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72149939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72149971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72149979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72149995</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72221111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72221119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72221181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TEPLA VÁLCOVANÁ TYČOVÁ OCEL</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72221189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72221910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72221990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72281020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72282091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72283041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72283049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72283061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72283069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72283089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VÁLCOVANÁ TYČOVÁ OCEL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72288000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OCELOVÉ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DESKY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OCELOVÉ DESKY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OCELOVÉ DESKY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72149190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OCELOVÉ DESKY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72282010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OCELOVÉ DESKY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72283070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ZA TEPLA VÁLCOVÝ PÁS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&lt; 600 mm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72111400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72111900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72126000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72201200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72261910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72269120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72269191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VÁLCOVÝ PÁS &lt; 600 mm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72269199</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ZA TEPLA VÁLCOVANÝ PLECH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A ŠIROKÝ 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72084000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72085120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72085191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72085198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72085210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72085291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72085299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72085310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72085390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72085400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TEPLA VÁLCOVANÝ PLECH A ŠIROKÝ 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72089080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72109030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72111300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72192110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72192190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72192210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72192290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72192300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72192400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72254012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72254015</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72254040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72254060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TEPLA VÁLCOVANÝ PLECH A ŠIROKÝ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72254090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ZA STUDENA VÁLCOVANÝ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&gt;600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72091500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72091690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72091790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72091891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72092500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72092690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&gt;606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72092790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STUDENA VÁLCOVANÝ PLECH &gt;607</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72092890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&gt;609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72099080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STUDENA VÁLCOVANÝ PLECH &gt;611</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72193210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72193290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&gt;613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72193310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&gt;614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72193390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&gt;615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72193410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STUDENA VÁLCOVANÝ PLECH &gt;616</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72193490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&gt;617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72193510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&gt;618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72193590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&gt;619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&gt;620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72199080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&gt;621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72255020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VÁLCOVANÝ PLECH &gt;622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72255080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ČERNÝ 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ČERNÝ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72091899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ČERNÝ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72112380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MAGNETICKÝ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DESKA/PÁS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MAGNETICKÝ PLECH A DESKA/PÁS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72091610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72091710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72091810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72092610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MAGNETICKÝ PLECH A DESKA/PÁS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72092710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72092810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72112320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72251990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MAGNETICKÝ PLECH A DESKA/PÁS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MAGNETICKÝ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72261980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POCÍNOVANÝ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w:t>
            </w:r>
            <w:r w:rsidRPr="00531A9D">
              <w:rPr>
                <w:rFonts w:ascii="Calibri" w:hAnsi="Calibri"/>
                <w:b/>
                <w:color w:val="000000"/>
              </w:rPr>
              <w:lastRenderedPageBreak/>
              <w:t xml:space="preserve">DESKA/PÁS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72101220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72101280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72107010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72109040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72121010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72121090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POCÍNOVANÝ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72124020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DESKA T.F.S.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 T.F.S.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72105000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 T.F.S.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72125020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GALVANIZOVANÝ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DESKA/PÁS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72104100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72104900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GALVANIZOVANÝ PLECH A DESKA/PÁS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72123000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72259200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72269930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ELEKTRICKY GALVANIZOVANÝ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DESKA/PÁS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ELEKTRICKY 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72103000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ELEKTRICKY 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ELEKTRICKY 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72259100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ELEKTRICKY GALVANIZOVANÝ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72269910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ORGANICKY POKOVENÝ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DESKA/PÁS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ORGANICKY POKOVENÝ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72107080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ORGANICKY POKOVENÝ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72124080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ORGANICKY POKOVENÝ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72259900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ORGANICKY POKOVENÝ PLECH A DESKA/PÁS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72269970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PLECH A DESKA/PÁS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S JINÝM POKOVENÍM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72106100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72106900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72109080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72125030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72125040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72125061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72125069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PLECH A DESKA/PÁS S JINÝM POKOVENÍM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72125090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BEZEŠVÉ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TRUBKY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73041910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BEZEŠVÉ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73041930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73041990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73042200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73042300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73042400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73042910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73042930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73042990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73043120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73043180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73043952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73043958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73043992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73043993</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73043998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73044100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73044910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73044993</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BEZEŠVÉ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73044995</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73044999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73045112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73045118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73045181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73045189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73045932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73045938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73045992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73045993</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73045999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BEZEŠVÉ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73049000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SVAŘOVANÉ TRUBKY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73051100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73051200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73051900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SVAŘOVANÉ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SVAŘOVANÉ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73053100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SVAŘOVANÉ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73053900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73059000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SVAŘOVANÉ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73061110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73061190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73061910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SVAŘOVANÉ TRUBKY</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73061990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73062100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73062900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73063041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73063049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73063072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73063077</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73063080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73064020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73064080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73065020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73065080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73066110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73066192</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73066199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73066910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73066990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SVAŘOVANÉ TRUBKY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73069000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KOVANÉ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VÝROBKY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VÝROBKY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72141000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VÝROBKY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72223051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VÝROBKY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72223091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VÝROBKY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72281050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VÝROBKY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72284010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VÝROBKY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72284090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ZA STUDENA TAŽENÉ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TYČE/PROFILY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72151000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72155011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72155019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72155080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72159000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72166110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72166190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72166900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72169110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72169180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72222021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72222029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72222031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72222039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72222081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72222089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72223097</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72224050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72224090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72281090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72282099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72285020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72285040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72285061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72285069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72285080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72286020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72286080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TAŽENÉ TYČE/PROFILY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72287090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TAŽENÝ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DRÁT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72171010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TAŽENÝ DRÁT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72171031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72171039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TAŽENÝ DRÁT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72171050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72171090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72172010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TAŽENÝ DRÁT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72172030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72172050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72172090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72173041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72173049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72173050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72173090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TAŽENÝ DRÁT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72179050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72179090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72230011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72230019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72230091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72230099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72292000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TAŽENÝ DRÁT</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72299020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72299050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TAŽENÝ DRÁT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72299090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ZA STUDENA VÁLCOVANÝ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PÁS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72112330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72112900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72119080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72202021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72202029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STUDENA VÁLCOVÝ 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72202041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72202049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72202081</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72202089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STUDENA VÁLCOVÝ 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72209020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72209080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ZA STUDENA VÁLCOVÝ PÁS</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72262000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ZA STUDENA VÁLCOVÝ PÁS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72269200</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rPr>
                <w:rFonts w:ascii="Calibri" w:eastAsia="Times New Roman" w:hAnsi="Calibri" w:cs="Calibri"/>
                <w:color w:val="000000"/>
              </w:rPr>
            </w:pP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POLOTOVARY </w:t>
            </w:r>
          </w:p>
        </w:tc>
      </w:tr>
      <w:tr w:rsidR="00F265F4" w:rsidRPr="00531A9D" w:rsidTr="00E06F9A">
        <w:tc>
          <w:tcPr>
            <w:tcW w:w="5320" w:type="dxa"/>
            <w:tcBorders>
              <w:top w:val="nil"/>
              <w:left w:val="single" w:sz="4" w:space="0" w:color="auto"/>
              <w:bottom w:val="nil"/>
              <w:right w:val="nil"/>
            </w:tcBorders>
            <w:shd w:val="clear" w:color="auto" w:fill="auto"/>
            <w:vAlign w:val="bottom"/>
          </w:tcPr>
          <w:p w:rsidR="00F265F4" w:rsidRPr="00531A9D" w:rsidRDefault="00F265F4" w:rsidP="00F265F4">
            <w:pPr>
              <w:spacing w:after="0" w:line="240" w:lineRule="auto"/>
              <w:rPr>
                <w:rFonts w:ascii="Calibri" w:eastAsia="Times New Roman" w:hAnsi="Calibri" w:cs="Calibri"/>
                <w:color w:val="000000"/>
              </w:rPr>
            </w:pP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b/>
                <w:bCs/>
                <w:color w:val="000000"/>
              </w:rPr>
            </w:pPr>
            <w:r w:rsidRPr="00531A9D">
              <w:rPr>
                <w:rFonts w:ascii="Calibri" w:hAnsi="Calibri"/>
                <w:b/>
                <w:color w:val="000000"/>
              </w:rPr>
              <w:t xml:space="preserve">KOVANÉ </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72071190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72071290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lastRenderedPageBreak/>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72071919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72072039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72072059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72189919</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72189980</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nil"/>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72249018</w:t>
            </w:r>
          </w:p>
        </w:tc>
      </w:tr>
      <w:tr w:rsidR="00F265F4" w:rsidRPr="00531A9D" w:rsidTr="00223553">
        <w:tc>
          <w:tcPr>
            <w:tcW w:w="5320" w:type="dxa"/>
            <w:tcBorders>
              <w:top w:val="nil"/>
              <w:left w:val="single" w:sz="4" w:space="0" w:color="auto"/>
              <w:bottom w:val="nil"/>
              <w:right w:val="nil"/>
            </w:tcBorders>
            <w:shd w:val="clear" w:color="auto" w:fill="auto"/>
            <w:vAlign w:val="bottom"/>
            <w:hideMark/>
          </w:tcPr>
          <w:p w:rsidR="00F265F4" w:rsidRPr="00531A9D" w:rsidRDefault="00F265F4" w:rsidP="00F265F4">
            <w:pPr>
              <w:spacing w:after="0" w:line="240" w:lineRule="auto"/>
              <w:rPr>
                <w:rFonts w:ascii="Calibri" w:eastAsia="Times New Roman" w:hAnsi="Calibri" w:cs="Calibri"/>
                <w:color w:val="000000"/>
              </w:rPr>
            </w:pPr>
            <w:r w:rsidRPr="00531A9D">
              <w:rPr>
                <w:rFonts w:ascii="Calibri" w:hAnsi="Calibri"/>
                <w:color w:val="000000"/>
              </w:rPr>
              <w:t xml:space="preserve">KOVANÉ POLOTOVARY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F265F4" w:rsidRPr="00531A9D" w:rsidRDefault="00F265F4" w:rsidP="00F265F4">
            <w:pPr>
              <w:spacing w:after="0" w:line="240" w:lineRule="auto"/>
              <w:jc w:val="center"/>
              <w:rPr>
                <w:rFonts w:ascii="Calibri" w:eastAsia="Times New Roman" w:hAnsi="Calibri" w:cs="Calibri"/>
                <w:color w:val="000000"/>
              </w:rPr>
            </w:pPr>
            <w:r w:rsidRPr="00531A9D">
              <w:rPr>
                <w:rFonts w:ascii="Calibri" w:hAnsi="Calibri"/>
                <w:color w:val="000000"/>
              </w:rPr>
              <w:t>72249090</w:t>
            </w:r>
          </w:p>
        </w:tc>
      </w:tr>
    </w:tbl>
    <w:p w:rsidR="00F265F4" w:rsidRPr="00531A9D" w:rsidRDefault="00F265F4" w:rsidP="00CF773E">
      <w:pPr>
        <w:spacing w:line="240" w:lineRule="auto"/>
        <w:ind w:left="708" w:hanging="356"/>
        <w:jc w:val="both"/>
        <w:rPr>
          <w:rFonts w:ascii="Times New Roman" w:hAnsi="Times New Roman" w:cs="Times New Roman"/>
          <w:sz w:val="24"/>
          <w:szCs w:val="24"/>
        </w:rPr>
      </w:pPr>
    </w:p>
    <w:sectPr w:rsidR="00F265F4" w:rsidRPr="00531A9D" w:rsidSect="00F265F4">
      <w:pgSz w:w="11909" w:h="16834"/>
      <w:pgMar w:top="567" w:right="852" w:bottom="28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7D0" w:rsidRDefault="003E77D0" w:rsidP="00146EE7">
      <w:pPr>
        <w:spacing w:after="0" w:line="240" w:lineRule="auto"/>
      </w:pPr>
      <w:r>
        <w:separator/>
      </w:r>
    </w:p>
  </w:endnote>
  <w:endnote w:type="continuationSeparator" w:id="0">
    <w:p w:rsidR="003E77D0" w:rsidRDefault="003E77D0" w:rsidP="001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Cond">
    <w:altName w:val="Impact"/>
    <w:panose1 w:val="020B07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691"/>
      <w:docPartObj>
        <w:docPartGallery w:val="Page Numbers (Bottom of Page)"/>
        <w:docPartUnique/>
      </w:docPartObj>
    </w:sdtPr>
    <w:sdtEndPr/>
    <w:sdtContent>
      <w:p w:rsidR="003C0346" w:rsidRDefault="003C0346">
        <w:pPr>
          <w:pStyle w:val="Footer"/>
          <w:jc w:val="right"/>
        </w:pPr>
        <w:r>
          <w:fldChar w:fldCharType="begin"/>
        </w:r>
        <w:r>
          <w:instrText xml:space="preserve"> PAGE   \* MERGEFORMAT </w:instrText>
        </w:r>
        <w:r>
          <w:fldChar w:fldCharType="separate"/>
        </w:r>
        <w:r w:rsidR="00E277A9">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7D0" w:rsidRDefault="003E77D0" w:rsidP="00146EE7">
      <w:pPr>
        <w:spacing w:after="0" w:line="240" w:lineRule="auto"/>
      </w:pPr>
      <w:r>
        <w:separator/>
      </w:r>
    </w:p>
  </w:footnote>
  <w:footnote w:type="continuationSeparator" w:id="0">
    <w:p w:rsidR="003E77D0" w:rsidRDefault="003E77D0" w:rsidP="0014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346" w:rsidRPr="00F265F4" w:rsidRDefault="003C0346" w:rsidP="00F2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9B0"/>
    <w:multiLevelType w:val="hybridMultilevel"/>
    <w:tmpl w:val="AA68F69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8543250"/>
    <w:multiLevelType w:val="hybridMultilevel"/>
    <w:tmpl w:val="2556AE96"/>
    <w:lvl w:ilvl="0" w:tplc="2154FB6C">
      <w:start w:val="1"/>
      <w:numFmt w:val="decimal"/>
      <w:lvlText w:val="%1."/>
      <w:lvlJc w:val="left"/>
      <w:pPr>
        <w:tabs>
          <w:tab w:val="num" w:pos="720"/>
        </w:tabs>
        <w:ind w:left="720" w:hanging="360"/>
      </w:pPr>
      <w:rPr>
        <w:rFonts w:ascii="Times New Roman" w:eastAsiaTheme="minorHAnsi" w:hAnsi="Times New Roman" w:cs="Times New Roman" w:hint="default"/>
      </w:rPr>
    </w:lvl>
    <w:lvl w:ilvl="1" w:tplc="04100011">
      <w:start w:val="1"/>
      <w:numFmt w:val="decimal"/>
      <w:lvlText w:val="%2)"/>
      <w:lvlJc w:val="left"/>
      <w:pPr>
        <w:tabs>
          <w:tab w:val="num" w:pos="1440"/>
        </w:tabs>
        <w:ind w:left="1440" w:hanging="360"/>
      </w:pPr>
      <w:rPr>
        <w:rFonts w:hint="default"/>
      </w:rPr>
    </w:lvl>
    <w:lvl w:ilvl="2" w:tplc="297864E4">
      <w:start w:val="5"/>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480D64"/>
    <w:multiLevelType w:val="hybridMultilevel"/>
    <w:tmpl w:val="C284CE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D4007"/>
    <w:multiLevelType w:val="hybridMultilevel"/>
    <w:tmpl w:val="482C0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C602E3"/>
    <w:multiLevelType w:val="hybridMultilevel"/>
    <w:tmpl w:val="6A26ABD2"/>
    <w:lvl w:ilvl="0" w:tplc="6E8A41B6">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282582F"/>
    <w:multiLevelType w:val="hybridMultilevel"/>
    <w:tmpl w:val="AA68F6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6C310E2"/>
    <w:multiLevelType w:val="hybridMultilevel"/>
    <w:tmpl w:val="7CBE0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6D001B"/>
    <w:multiLevelType w:val="hybridMultilevel"/>
    <w:tmpl w:val="58DA06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CD51EE"/>
    <w:multiLevelType w:val="hybridMultilevel"/>
    <w:tmpl w:val="4B4E5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A62271"/>
    <w:multiLevelType w:val="hybridMultilevel"/>
    <w:tmpl w:val="7C62515E"/>
    <w:lvl w:ilvl="0" w:tplc="E6F86C84">
      <w:start w:val="1"/>
      <w:numFmt w:val="bullet"/>
      <w:lvlText w:val="□"/>
      <w:lvlJc w:val="left"/>
      <w:pPr>
        <w:ind w:left="720" w:hanging="360"/>
      </w:pPr>
      <w:rPr>
        <w:rFonts w:ascii="Franklin Gothic Demi Cond" w:hAnsi="Franklin Gothic Demi Cond" w:hint="default"/>
        <w:sz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56440F"/>
    <w:multiLevelType w:val="hybridMultilevel"/>
    <w:tmpl w:val="0318EB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530552"/>
    <w:multiLevelType w:val="hybridMultilevel"/>
    <w:tmpl w:val="A0984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49501F7"/>
    <w:multiLevelType w:val="hybridMultilevel"/>
    <w:tmpl w:val="15BAC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9959CB"/>
    <w:multiLevelType w:val="hybridMultilevel"/>
    <w:tmpl w:val="44D4F8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82A30E6"/>
    <w:multiLevelType w:val="hybridMultilevel"/>
    <w:tmpl w:val="8CA887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42464F"/>
    <w:multiLevelType w:val="hybridMultilevel"/>
    <w:tmpl w:val="DFE4B878"/>
    <w:lvl w:ilvl="0" w:tplc="7C9E486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7"/>
  </w:num>
  <w:num w:numId="5">
    <w:abstractNumId w:val="11"/>
  </w:num>
  <w:num w:numId="6">
    <w:abstractNumId w:val="1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4"/>
  </w:num>
  <w:num w:numId="12">
    <w:abstractNumId w:val="8"/>
  </w:num>
  <w:num w:numId="13">
    <w:abstractNumId w:val="10"/>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B310BB"/>
    <w:rsid w:val="00030019"/>
    <w:rsid w:val="0003454E"/>
    <w:rsid w:val="00040E93"/>
    <w:rsid w:val="0004391F"/>
    <w:rsid w:val="00043DED"/>
    <w:rsid w:val="000501D0"/>
    <w:rsid w:val="0006251F"/>
    <w:rsid w:val="00063EF4"/>
    <w:rsid w:val="00064A20"/>
    <w:rsid w:val="000675B4"/>
    <w:rsid w:val="00067B2B"/>
    <w:rsid w:val="00070BB3"/>
    <w:rsid w:val="00073A90"/>
    <w:rsid w:val="0008055F"/>
    <w:rsid w:val="000826BB"/>
    <w:rsid w:val="00082902"/>
    <w:rsid w:val="00085F28"/>
    <w:rsid w:val="00086412"/>
    <w:rsid w:val="00093DC2"/>
    <w:rsid w:val="000B093A"/>
    <w:rsid w:val="000C4716"/>
    <w:rsid w:val="000D519B"/>
    <w:rsid w:val="000D56C7"/>
    <w:rsid w:val="000E71C8"/>
    <w:rsid w:val="000F0829"/>
    <w:rsid w:val="000F4DF4"/>
    <w:rsid w:val="00110BEC"/>
    <w:rsid w:val="00114FDF"/>
    <w:rsid w:val="00116744"/>
    <w:rsid w:val="00122302"/>
    <w:rsid w:val="00131A39"/>
    <w:rsid w:val="001338EF"/>
    <w:rsid w:val="001354A7"/>
    <w:rsid w:val="00146EE7"/>
    <w:rsid w:val="001479CF"/>
    <w:rsid w:val="001528D6"/>
    <w:rsid w:val="00160CDF"/>
    <w:rsid w:val="0016197C"/>
    <w:rsid w:val="00175273"/>
    <w:rsid w:val="0019643F"/>
    <w:rsid w:val="001972CD"/>
    <w:rsid w:val="001B3A1F"/>
    <w:rsid w:val="001C1744"/>
    <w:rsid w:val="001C7D7C"/>
    <w:rsid w:val="001D37AE"/>
    <w:rsid w:val="001E3716"/>
    <w:rsid w:val="001E58F8"/>
    <w:rsid w:val="002028A7"/>
    <w:rsid w:val="00203C70"/>
    <w:rsid w:val="00223553"/>
    <w:rsid w:val="00223FF2"/>
    <w:rsid w:val="00224337"/>
    <w:rsid w:val="00231A56"/>
    <w:rsid w:val="00254720"/>
    <w:rsid w:val="0028784F"/>
    <w:rsid w:val="002938E4"/>
    <w:rsid w:val="002A06FD"/>
    <w:rsid w:val="002A1841"/>
    <w:rsid w:val="002B04DC"/>
    <w:rsid w:val="002B5CDE"/>
    <w:rsid w:val="002C2BB8"/>
    <w:rsid w:val="002C5732"/>
    <w:rsid w:val="002D091D"/>
    <w:rsid w:val="002D6A33"/>
    <w:rsid w:val="002F016A"/>
    <w:rsid w:val="002F6A03"/>
    <w:rsid w:val="00311055"/>
    <w:rsid w:val="003307BD"/>
    <w:rsid w:val="00351851"/>
    <w:rsid w:val="0036093C"/>
    <w:rsid w:val="00361749"/>
    <w:rsid w:val="003676FC"/>
    <w:rsid w:val="003700F9"/>
    <w:rsid w:val="00371FF2"/>
    <w:rsid w:val="00376DB1"/>
    <w:rsid w:val="00381ADE"/>
    <w:rsid w:val="0039017F"/>
    <w:rsid w:val="00391B3F"/>
    <w:rsid w:val="003A3BF5"/>
    <w:rsid w:val="003A55DD"/>
    <w:rsid w:val="003B3C39"/>
    <w:rsid w:val="003C0346"/>
    <w:rsid w:val="003C4AC4"/>
    <w:rsid w:val="003D7DE6"/>
    <w:rsid w:val="003E0C25"/>
    <w:rsid w:val="003E77D0"/>
    <w:rsid w:val="004058E2"/>
    <w:rsid w:val="0040618D"/>
    <w:rsid w:val="00416471"/>
    <w:rsid w:val="004213AA"/>
    <w:rsid w:val="00430FEF"/>
    <w:rsid w:val="0044285E"/>
    <w:rsid w:val="00443381"/>
    <w:rsid w:val="00451E01"/>
    <w:rsid w:val="00455DAA"/>
    <w:rsid w:val="004564D0"/>
    <w:rsid w:val="00461FC5"/>
    <w:rsid w:val="00467E43"/>
    <w:rsid w:val="004704DB"/>
    <w:rsid w:val="004709C3"/>
    <w:rsid w:val="00474F4E"/>
    <w:rsid w:val="0048620C"/>
    <w:rsid w:val="0048684B"/>
    <w:rsid w:val="00491E7F"/>
    <w:rsid w:val="00491F13"/>
    <w:rsid w:val="004925CF"/>
    <w:rsid w:val="004A68F0"/>
    <w:rsid w:val="004C068D"/>
    <w:rsid w:val="004C5D48"/>
    <w:rsid w:val="004D5196"/>
    <w:rsid w:val="004F09FB"/>
    <w:rsid w:val="004F1085"/>
    <w:rsid w:val="004F1B6A"/>
    <w:rsid w:val="004F1DE0"/>
    <w:rsid w:val="00502D9D"/>
    <w:rsid w:val="005076E5"/>
    <w:rsid w:val="0052640D"/>
    <w:rsid w:val="00526D96"/>
    <w:rsid w:val="00531A9D"/>
    <w:rsid w:val="00537CC7"/>
    <w:rsid w:val="005406FC"/>
    <w:rsid w:val="00544AC7"/>
    <w:rsid w:val="00546AE8"/>
    <w:rsid w:val="0055077D"/>
    <w:rsid w:val="00552AC9"/>
    <w:rsid w:val="00561134"/>
    <w:rsid w:val="005621BD"/>
    <w:rsid w:val="005714AF"/>
    <w:rsid w:val="005764D0"/>
    <w:rsid w:val="00577A7D"/>
    <w:rsid w:val="00586CE6"/>
    <w:rsid w:val="00595219"/>
    <w:rsid w:val="00597E01"/>
    <w:rsid w:val="005A546C"/>
    <w:rsid w:val="005B622C"/>
    <w:rsid w:val="005C4747"/>
    <w:rsid w:val="005C523D"/>
    <w:rsid w:val="005C6254"/>
    <w:rsid w:val="005D089C"/>
    <w:rsid w:val="005D08DC"/>
    <w:rsid w:val="005D38DD"/>
    <w:rsid w:val="005E08E6"/>
    <w:rsid w:val="005E2655"/>
    <w:rsid w:val="006039C3"/>
    <w:rsid w:val="00606FE7"/>
    <w:rsid w:val="006251D1"/>
    <w:rsid w:val="00625AE5"/>
    <w:rsid w:val="006263D7"/>
    <w:rsid w:val="00626639"/>
    <w:rsid w:val="006270DA"/>
    <w:rsid w:val="00655DC9"/>
    <w:rsid w:val="006568FF"/>
    <w:rsid w:val="00656A94"/>
    <w:rsid w:val="00666C40"/>
    <w:rsid w:val="00673A96"/>
    <w:rsid w:val="0068063F"/>
    <w:rsid w:val="00687712"/>
    <w:rsid w:val="006C4402"/>
    <w:rsid w:val="006D4BF0"/>
    <w:rsid w:val="006E7DDA"/>
    <w:rsid w:val="006E7F4B"/>
    <w:rsid w:val="006F7602"/>
    <w:rsid w:val="007016E3"/>
    <w:rsid w:val="00707A33"/>
    <w:rsid w:val="00714AD1"/>
    <w:rsid w:val="0073155F"/>
    <w:rsid w:val="00733CD8"/>
    <w:rsid w:val="00742F89"/>
    <w:rsid w:val="00755E45"/>
    <w:rsid w:val="00760AF9"/>
    <w:rsid w:val="00786695"/>
    <w:rsid w:val="00790C96"/>
    <w:rsid w:val="007B09C9"/>
    <w:rsid w:val="007B0A3C"/>
    <w:rsid w:val="007B4AFE"/>
    <w:rsid w:val="007E128B"/>
    <w:rsid w:val="007E15B1"/>
    <w:rsid w:val="007F4CFB"/>
    <w:rsid w:val="008159DE"/>
    <w:rsid w:val="008162CB"/>
    <w:rsid w:val="00822B47"/>
    <w:rsid w:val="008311D0"/>
    <w:rsid w:val="00836745"/>
    <w:rsid w:val="008500E4"/>
    <w:rsid w:val="008508EE"/>
    <w:rsid w:val="00855BF2"/>
    <w:rsid w:val="00870860"/>
    <w:rsid w:val="008D01A3"/>
    <w:rsid w:val="008D4C6E"/>
    <w:rsid w:val="008E72DD"/>
    <w:rsid w:val="00907232"/>
    <w:rsid w:val="009142C4"/>
    <w:rsid w:val="0091570C"/>
    <w:rsid w:val="00915B27"/>
    <w:rsid w:val="00921AEE"/>
    <w:rsid w:val="0092466C"/>
    <w:rsid w:val="009247D3"/>
    <w:rsid w:val="0094018C"/>
    <w:rsid w:val="00952519"/>
    <w:rsid w:val="009777E3"/>
    <w:rsid w:val="0098237F"/>
    <w:rsid w:val="009A3824"/>
    <w:rsid w:val="009B2934"/>
    <w:rsid w:val="009C46FC"/>
    <w:rsid w:val="009E4381"/>
    <w:rsid w:val="009E4D53"/>
    <w:rsid w:val="00A00B83"/>
    <w:rsid w:val="00A153A1"/>
    <w:rsid w:val="00A431A4"/>
    <w:rsid w:val="00A505F5"/>
    <w:rsid w:val="00A52A09"/>
    <w:rsid w:val="00A65716"/>
    <w:rsid w:val="00A65A21"/>
    <w:rsid w:val="00A73A08"/>
    <w:rsid w:val="00A756ED"/>
    <w:rsid w:val="00A80E67"/>
    <w:rsid w:val="00A839F3"/>
    <w:rsid w:val="00A91928"/>
    <w:rsid w:val="00AA5D46"/>
    <w:rsid w:val="00AA6146"/>
    <w:rsid w:val="00AB0F43"/>
    <w:rsid w:val="00AC3B7D"/>
    <w:rsid w:val="00AD2386"/>
    <w:rsid w:val="00AD4906"/>
    <w:rsid w:val="00AD6CDA"/>
    <w:rsid w:val="00B057AD"/>
    <w:rsid w:val="00B144CD"/>
    <w:rsid w:val="00B26B7B"/>
    <w:rsid w:val="00B310BB"/>
    <w:rsid w:val="00B61F3C"/>
    <w:rsid w:val="00B67A0D"/>
    <w:rsid w:val="00B71506"/>
    <w:rsid w:val="00B76C36"/>
    <w:rsid w:val="00B90236"/>
    <w:rsid w:val="00B96FCF"/>
    <w:rsid w:val="00BA3E74"/>
    <w:rsid w:val="00BC10D0"/>
    <w:rsid w:val="00BC5DDA"/>
    <w:rsid w:val="00BD11D7"/>
    <w:rsid w:val="00BD4BEC"/>
    <w:rsid w:val="00BF09C2"/>
    <w:rsid w:val="00BF2D03"/>
    <w:rsid w:val="00BF7796"/>
    <w:rsid w:val="00C01A69"/>
    <w:rsid w:val="00C0795E"/>
    <w:rsid w:val="00C179AB"/>
    <w:rsid w:val="00C213BF"/>
    <w:rsid w:val="00C22B35"/>
    <w:rsid w:val="00C231E5"/>
    <w:rsid w:val="00C2507F"/>
    <w:rsid w:val="00C34756"/>
    <w:rsid w:val="00C479D4"/>
    <w:rsid w:val="00C509E7"/>
    <w:rsid w:val="00C57332"/>
    <w:rsid w:val="00C75963"/>
    <w:rsid w:val="00C83004"/>
    <w:rsid w:val="00C84E86"/>
    <w:rsid w:val="00C87594"/>
    <w:rsid w:val="00C90352"/>
    <w:rsid w:val="00CA1DEC"/>
    <w:rsid w:val="00CA5AF0"/>
    <w:rsid w:val="00CB46E5"/>
    <w:rsid w:val="00CB794E"/>
    <w:rsid w:val="00CD1450"/>
    <w:rsid w:val="00CF6747"/>
    <w:rsid w:val="00CF773E"/>
    <w:rsid w:val="00CF7F22"/>
    <w:rsid w:val="00D00006"/>
    <w:rsid w:val="00D138EC"/>
    <w:rsid w:val="00D22B86"/>
    <w:rsid w:val="00D24539"/>
    <w:rsid w:val="00D24F86"/>
    <w:rsid w:val="00D27263"/>
    <w:rsid w:val="00D27DC3"/>
    <w:rsid w:val="00D32987"/>
    <w:rsid w:val="00D36B81"/>
    <w:rsid w:val="00D378CD"/>
    <w:rsid w:val="00D41B58"/>
    <w:rsid w:val="00D450E2"/>
    <w:rsid w:val="00D60E7C"/>
    <w:rsid w:val="00D6146B"/>
    <w:rsid w:val="00D61B9D"/>
    <w:rsid w:val="00D73C6D"/>
    <w:rsid w:val="00D83131"/>
    <w:rsid w:val="00D87C55"/>
    <w:rsid w:val="00DA7380"/>
    <w:rsid w:val="00DA7421"/>
    <w:rsid w:val="00DC1FAE"/>
    <w:rsid w:val="00DD1C06"/>
    <w:rsid w:val="00DD4EA5"/>
    <w:rsid w:val="00DD4FC4"/>
    <w:rsid w:val="00DD7622"/>
    <w:rsid w:val="00DE104E"/>
    <w:rsid w:val="00DE27CE"/>
    <w:rsid w:val="00DF6CED"/>
    <w:rsid w:val="00E04380"/>
    <w:rsid w:val="00E058E3"/>
    <w:rsid w:val="00E06F9A"/>
    <w:rsid w:val="00E1152D"/>
    <w:rsid w:val="00E131C7"/>
    <w:rsid w:val="00E232D8"/>
    <w:rsid w:val="00E277A9"/>
    <w:rsid w:val="00E50D7C"/>
    <w:rsid w:val="00E67CB3"/>
    <w:rsid w:val="00E85195"/>
    <w:rsid w:val="00E87B3C"/>
    <w:rsid w:val="00E91566"/>
    <w:rsid w:val="00E976DA"/>
    <w:rsid w:val="00EA7FF7"/>
    <w:rsid w:val="00EC023F"/>
    <w:rsid w:val="00EC26E1"/>
    <w:rsid w:val="00EC6367"/>
    <w:rsid w:val="00EC6946"/>
    <w:rsid w:val="00EC72A4"/>
    <w:rsid w:val="00ED32D2"/>
    <w:rsid w:val="00ED61ED"/>
    <w:rsid w:val="00F03D15"/>
    <w:rsid w:val="00F044D6"/>
    <w:rsid w:val="00F064E1"/>
    <w:rsid w:val="00F2494C"/>
    <w:rsid w:val="00F265F4"/>
    <w:rsid w:val="00F32D90"/>
    <w:rsid w:val="00F34065"/>
    <w:rsid w:val="00F34A56"/>
    <w:rsid w:val="00F516F1"/>
    <w:rsid w:val="00F5565C"/>
    <w:rsid w:val="00F66476"/>
    <w:rsid w:val="00F70DCA"/>
    <w:rsid w:val="00F75634"/>
    <w:rsid w:val="00F849C9"/>
    <w:rsid w:val="00F85119"/>
    <w:rsid w:val="00FA2916"/>
    <w:rsid w:val="00FA7E29"/>
    <w:rsid w:val="00FC1E17"/>
    <w:rsid w:val="00FC34BD"/>
    <w:rsid w:val="00FC6127"/>
    <w:rsid w:val="00FC62AD"/>
    <w:rsid w:val="00FD42B0"/>
    <w:rsid w:val="00FE67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regrouptable v:ext="edit">
        <o:entry new="1" old="0"/>
        <o:entry new="2" old="1"/>
      </o:regrouptable>
    </o:shapelayout>
  </w:shapeDefaults>
  <w:decimalSymbol w:val="."/>
  <w:listSeparator w:val=","/>
  <w15:docId w15:val="{6121DB4D-3236-4650-A504-05967EEB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7F"/>
    <w:pPr>
      <w:ind w:left="720"/>
      <w:contextualSpacing/>
    </w:pPr>
  </w:style>
  <w:style w:type="paragraph" w:styleId="Header">
    <w:name w:val="header"/>
    <w:basedOn w:val="Normal"/>
    <w:link w:val="HeaderChar"/>
    <w:uiPriority w:val="99"/>
    <w:unhideWhenUsed/>
    <w:rsid w:val="00146E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EE7"/>
  </w:style>
  <w:style w:type="paragraph" w:styleId="Footer">
    <w:name w:val="footer"/>
    <w:basedOn w:val="Normal"/>
    <w:link w:val="FooterChar"/>
    <w:uiPriority w:val="99"/>
    <w:unhideWhenUsed/>
    <w:rsid w:val="00146E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EE7"/>
  </w:style>
  <w:style w:type="paragraph" w:styleId="BalloonText">
    <w:name w:val="Balloon Text"/>
    <w:basedOn w:val="Normal"/>
    <w:link w:val="BalloonTextChar"/>
    <w:uiPriority w:val="99"/>
    <w:semiHidden/>
    <w:unhideWhenUsed/>
    <w:rsid w:val="00952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19"/>
    <w:rPr>
      <w:rFonts w:ascii="Tahoma" w:hAnsi="Tahoma" w:cs="Tahoma"/>
      <w:sz w:val="16"/>
      <w:szCs w:val="16"/>
    </w:rPr>
  </w:style>
  <w:style w:type="character" w:styleId="CommentReference">
    <w:name w:val="annotation reference"/>
    <w:basedOn w:val="DefaultParagraphFont"/>
    <w:uiPriority w:val="99"/>
    <w:semiHidden/>
    <w:unhideWhenUsed/>
    <w:rsid w:val="005D08DC"/>
    <w:rPr>
      <w:sz w:val="16"/>
      <w:szCs w:val="16"/>
    </w:rPr>
  </w:style>
  <w:style w:type="paragraph" w:styleId="CommentText">
    <w:name w:val="annotation text"/>
    <w:basedOn w:val="Normal"/>
    <w:link w:val="CommentTextChar"/>
    <w:uiPriority w:val="99"/>
    <w:semiHidden/>
    <w:unhideWhenUsed/>
    <w:rsid w:val="005D08DC"/>
    <w:pPr>
      <w:spacing w:line="240" w:lineRule="auto"/>
    </w:pPr>
    <w:rPr>
      <w:sz w:val="20"/>
      <w:szCs w:val="20"/>
    </w:rPr>
  </w:style>
  <w:style w:type="character" w:customStyle="1" w:styleId="CommentTextChar">
    <w:name w:val="Comment Text Char"/>
    <w:basedOn w:val="DefaultParagraphFont"/>
    <w:link w:val="CommentText"/>
    <w:uiPriority w:val="99"/>
    <w:semiHidden/>
    <w:rsid w:val="005D08DC"/>
    <w:rPr>
      <w:sz w:val="20"/>
      <w:szCs w:val="20"/>
    </w:rPr>
  </w:style>
  <w:style w:type="paragraph" w:styleId="CommentSubject">
    <w:name w:val="annotation subject"/>
    <w:basedOn w:val="CommentText"/>
    <w:next w:val="CommentText"/>
    <w:link w:val="CommentSubjectChar"/>
    <w:uiPriority w:val="99"/>
    <w:semiHidden/>
    <w:unhideWhenUsed/>
    <w:rsid w:val="005D08DC"/>
    <w:rPr>
      <w:b/>
      <w:bCs/>
    </w:rPr>
  </w:style>
  <w:style w:type="character" w:customStyle="1" w:styleId="CommentSubjectChar">
    <w:name w:val="Comment Subject Char"/>
    <w:basedOn w:val="CommentTextChar"/>
    <w:link w:val="CommentSubject"/>
    <w:uiPriority w:val="99"/>
    <w:semiHidden/>
    <w:rsid w:val="005D08DC"/>
    <w:rPr>
      <w:b/>
      <w:bCs/>
      <w:sz w:val="20"/>
      <w:szCs w:val="20"/>
    </w:rPr>
  </w:style>
  <w:style w:type="paragraph" w:styleId="Revision">
    <w:name w:val="Revision"/>
    <w:hidden/>
    <w:uiPriority w:val="99"/>
    <w:semiHidden/>
    <w:rsid w:val="001338EF"/>
    <w:pPr>
      <w:spacing w:after="0" w:line="240" w:lineRule="auto"/>
    </w:pPr>
  </w:style>
  <w:style w:type="paragraph" w:customStyle="1" w:styleId="Style1">
    <w:name w:val="Style1"/>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3">
    <w:name w:val="Style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4">
    <w:name w:val="Style4"/>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5">
    <w:name w:val="Style5"/>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6">
    <w:name w:val="Style6"/>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8">
    <w:name w:val="Style8"/>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12">
    <w:name w:val="Style12"/>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paragraph" w:customStyle="1" w:styleId="Style13">
    <w:name w:val="Style13"/>
    <w:basedOn w:val="Normal"/>
    <w:uiPriority w:val="99"/>
    <w:rsid w:val="00F265F4"/>
    <w:pPr>
      <w:widowControl w:val="0"/>
      <w:autoSpaceDE w:val="0"/>
      <w:autoSpaceDN w:val="0"/>
      <w:adjustRightInd w:val="0"/>
      <w:spacing w:after="0" w:line="240" w:lineRule="auto"/>
    </w:pPr>
    <w:rPr>
      <w:rFonts w:ascii="Batang" w:eastAsia="Batang" w:hAnsi="Calibri" w:cs="Times New Roman"/>
      <w:sz w:val="24"/>
      <w:szCs w:val="24"/>
    </w:rPr>
  </w:style>
  <w:style w:type="character" w:customStyle="1" w:styleId="FontStyle17">
    <w:name w:val="Font Style17"/>
    <w:basedOn w:val="DefaultParagraphFont"/>
    <w:uiPriority w:val="99"/>
    <w:rsid w:val="00F265F4"/>
    <w:rPr>
      <w:rFonts w:ascii="Batang" w:eastAsia="Batang" w:cs="Batang"/>
      <w:b/>
      <w:bCs/>
      <w:color w:val="000000"/>
      <w:sz w:val="16"/>
      <w:szCs w:val="16"/>
    </w:rPr>
  </w:style>
  <w:style w:type="character" w:customStyle="1" w:styleId="FontStyle18">
    <w:name w:val="Font Style18"/>
    <w:basedOn w:val="DefaultParagraphFont"/>
    <w:uiPriority w:val="99"/>
    <w:rsid w:val="00F265F4"/>
    <w:rPr>
      <w:rFonts w:ascii="Franklin Gothic Demi Cond" w:hAnsi="Franklin Gothic Demi Cond" w:cs="Franklin Gothic Demi Cond"/>
      <w:color w:val="000000"/>
      <w:sz w:val="16"/>
      <w:szCs w:val="16"/>
    </w:rPr>
  </w:style>
  <w:style w:type="character" w:customStyle="1" w:styleId="FontStyle19">
    <w:name w:val="Font Style19"/>
    <w:basedOn w:val="DefaultParagraphFont"/>
    <w:uiPriority w:val="99"/>
    <w:rsid w:val="00F265F4"/>
    <w:rPr>
      <w:rFonts w:ascii="Book Antiqua" w:hAnsi="Book Antiqua" w:cs="Book Antiqua"/>
      <w:color w:val="000000"/>
      <w:sz w:val="16"/>
      <w:szCs w:val="16"/>
    </w:rPr>
  </w:style>
  <w:style w:type="character" w:customStyle="1" w:styleId="FontStyle21">
    <w:name w:val="Font Style21"/>
    <w:basedOn w:val="DefaultParagraphFont"/>
    <w:uiPriority w:val="99"/>
    <w:rsid w:val="00F265F4"/>
    <w:rPr>
      <w:rFonts w:ascii="Book Antiqua" w:hAnsi="Book Antiqua" w:cs="Book Antiqua"/>
      <w:b/>
      <w:bCs/>
      <w:color w:val="000000"/>
      <w:sz w:val="16"/>
      <w:szCs w:val="16"/>
    </w:rPr>
  </w:style>
  <w:style w:type="character" w:styleId="Hyperlink">
    <w:name w:val="Hyperlink"/>
    <w:basedOn w:val="DefaultParagraphFont"/>
    <w:uiPriority w:val="99"/>
    <w:semiHidden/>
    <w:unhideWhenUsed/>
    <w:rsid w:val="00F265F4"/>
    <w:rPr>
      <w:color w:val="0000FF"/>
      <w:u w:val="single"/>
    </w:rPr>
  </w:style>
  <w:style w:type="character" w:styleId="FollowedHyperlink">
    <w:name w:val="FollowedHyperlink"/>
    <w:basedOn w:val="DefaultParagraphFont"/>
    <w:uiPriority w:val="99"/>
    <w:semiHidden/>
    <w:unhideWhenUsed/>
    <w:rsid w:val="00F265F4"/>
    <w:rPr>
      <w:color w:val="800080"/>
      <w:u w:val="single"/>
    </w:rPr>
  </w:style>
  <w:style w:type="paragraph" w:customStyle="1" w:styleId="font0">
    <w:name w:val="font0"/>
    <w:basedOn w:val="Normal"/>
    <w:rsid w:val="00F265F4"/>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F265F4"/>
    <w:pPr>
      <w:spacing w:before="100" w:beforeAutospacing="1" w:after="100" w:afterAutospacing="1" w:line="240" w:lineRule="auto"/>
    </w:pPr>
    <w:rPr>
      <w:rFonts w:ascii="Calibri" w:eastAsia="Times New Roman" w:hAnsi="Calibri" w:cs="Calibri"/>
      <w:color w:val="FF0000"/>
    </w:rPr>
  </w:style>
  <w:style w:type="paragraph" w:customStyle="1" w:styleId="font6">
    <w:name w:val="font6"/>
    <w:basedOn w:val="Normal"/>
    <w:rsid w:val="00F265F4"/>
    <w:pPr>
      <w:spacing w:before="100" w:beforeAutospacing="1" w:after="100" w:afterAutospacing="1" w:line="240" w:lineRule="auto"/>
    </w:pPr>
    <w:rPr>
      <w:rFonts w:ascii="Calibri" w:eastAsia="Times New Roman" w:hAnsi="Calibri" w:cs="Calibri"/>
    </w:rPr>
  </w:style>
  <w:style w:type="paragraph" w:customStyle="1" w:styleId="xl63">
    <w:name w:val="xl63"/>
    <w:basedOn w:val="Normal"/>
    <w:rsid w:val="00F265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26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26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Normal"/>
    <w:rsid w:val="00F265F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Normal"/>
    <w:rsid w:val="00F26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26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Normal"/>
    <w:rsid w:val="00F26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265F4"/>
    <w:pPr>
      <w:pBdr>
        <w:left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4">
    <w:name w:val="xl84"/>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F265F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F265F4"/>
    <w:pPr>
      <w:pBdr>
        <w:left w:val="single" w:sz="4" w:space="0" w:color="auto"/>
        <w:right w:val="single" w:sz="4" w:space="0" w:color="auto"/>
      </w:pBdr>
      <w:shd w:val="clear" w:color="000000" w:fill="CCE8C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265F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F26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F26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4">
    <w:name w:val="xl94"/>
    <w:basedOn w:val="Normal"/>
    <w:rsid w:val="00F265F4"/>
    <w:pPr>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265F4"/>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F265F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F265F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F26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0">
    <w:name w:val="xl100"/>
    <w:basedOn w:val="Normal"/>
    <w:rsid w:val="00F265F4"/>
    <w:pPr>
      <w:pBdr>
        <w:top w:val="single" w:sz="4" w:space="0" w:color="auto"/>
        <w:left w:val="single" w:sz="4" w:space="0" w:color="auto"/>
        <w:bottom w:val="single" w:sz="4" w:space="0" w:color="auto"/>
        <w:right w:val="single" w:sz="4" w:space="0" w:color="auto"/>
      </w:pBdr>
      <w:shd w:val="clear" w:color="000000" w:fill="9ED3A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
    <w:name w:val="Body Text"/>
    <w:link w:val="BodyTextChar"/>
    <w:qFormat/>
    <w:rsid w:val="004A68F0"/>
    <w:pPr>
      <w:spacing w:before="120" w:after="0" w:line="260" w:lineRule="exact"/>
      <w:ind w:left="1418"/>
    </w:pPr>
    <w:rPr>
      <w:rFonts w:ascii="Verdana" w:eastAsia="Times New Roman" w:hAnsi="Verdana" w:cs="Times New Roman"/>
      <w:sz w:val="20"/>
      <w:szCs w:val="20"/>
    </w:rPr>
  </w:style>
  <w:style w:type="character" w:customStyle="1" w:styleId="BodyTextChar">
    <w:name w:val="Body Text Char"/>
    <w:basedOn w:val="DefaultParagraphFont"/>
    <w:link w:val="BodyText"/>
    <w:rsid w:val="004A68F0"/>
    <w:rPr>
      <w:rFonts w:ascii="Verdana" w:eastAsia="Times New Roman" w:hAnsi="Verdana" w:cs="Times New Roman"/>
      <w:sz w:val="20"/>
      <w:szCs w:val="20"/>
      <w:lang w:val="cs-CZ" w:eastAsia="en-GB"/>
    </w:rPr>
  </w:style>
  <w:style w:type="paragraph" w:styleId="PlainText">
    <w:name w:val="Plain Text"/>
    <w:basedOn w:val="Normal"/>
    <w:link w:val="PlainTextChar"/>
    <w:uiPriority w:val="99"/>
    <w:rsid w:val="004A68F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A68F0"/>
    <w:rPr>
      <w:rFonts w:ascii="Courier New" w:eastAsia="Times New Roman" w:hAnsi="Courier New" w:cs="Courier New"/>
      <w:sz w:val="20"/>
      <w:szCs w:val="20"/>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1348">
      <w:bodyDiv w:val="1"/>
      <w:marLeft w:val="0"/>
      <w:marRight w:val="0"/>
      <w:marTop w:val="0"/>
      <w:marBottom w:val="0"/>
      <w:divBdr>
        <w:top w:val="none" w:sz="0" w:space="0" w:color="auto"/>
        <w:left w:val="none" w:sz="0" w:space="0" w:color="auto"/>
        <w:bottom w:val="none" w:sz="0" w:space="0" w:color="auto"/>
        <w:right w:val="none" w:sz="0" w:space="0" w:color="auto"/>
      </w:divBdr>
    </w:div>
    <w:div w:id="1435515955">
      <w:bodyDiv w:val="1"/>
      <w:marLeft w:val="0"/>
      <w:marRight w:val="0"/>
      <w:marTop w:val="0"/>
      <w:marBottom w:val="0"/>
      <w:divBdr>
        <w:top w:val="none" w:sz="0" w:space="0" w:color="auto"/>
        <w:left w:val="none" w:sz="0" w:space="0" w:color="auto"/>
        <w:bottom w:val="none" w:sz="0" w:space="0" w:color="auto"/>
        <w:right w:val="none" w:sz="0" w:space="0" w:color="auto"/>
      </w:divBdr>
    </w:div>
    <w:div w:id="2087649732">
      <w:bodyDiv w:val="1"/>
      <w:marLeft w:val="0"/>
      <w:marRight w:val="0"/>
      <w:marTop w:val="0"/>
      <w:marBottom w:val="0"/>
      <w:divBdr>
        <w:top w:val="none" w:sz="0" w:space="0" w:color="auto"/>
        <w:left w:val="none" w:sz="0" w:space="0" w:color="auto"/>
        <w:bottom w:val="none" w:sz="0" w:space="0" w:color="auto"/>
        <w:right w:val="none" w:sz="0" w:space="0" w:color="auto"/>
      </w:divBdr>
      <w:divsChild>
        <w:div w:id="137036063">
          <w:marLeft w:val="0"/>
          <w:marRight w:val="0"/>
          <w:marTop w:val="0"/>
          <w:marBottom w:val="0"/>
          <w:divBdr>
            <w:top w:val="none" w:sz="0" w:space="0" w:color="auto"/>
            <w:left w:val="none" w:sz="0" w:space="0" w:color="auto"/>
            <w:bottom w:val="none" w:sz="0" w:space="0" w:color="auto"/>
            <w:right w:val="none" w:sz="0" w:space="0" w:color="auto"/>
          </w:divBdr>
          <w:divsChild>
            <w:div w:id="272906351">
              <w:marLeft w:val="0"/>
              <w:marRight w:val="0"/>
              <w:marTop w:val="0"/>
              <w:marBottom w:val="0"/>
              <w:divBdr>
                <w:top w:val="none" w:sz="0" w:space="0" w:color="auto"/>
                <w:left w:val="none" w:sz="0" w:space="0" w:color="auto"/>
                <w:bottom w:val="none" w:sz="0" w:space="0" w:color="auto"/>
                <w:right w:val="none" w:sz="0" w:space="0" w:color="auto"/>
              </w:divBdr>
              <w:divsChild>
                <w:div w:id="1430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CBB11-1280-4FB4-B509-B3CF5CECC02F}">
  <ds:schemaRefs>
    <ds:schemaRef ds:uri="http://schemas.openxmlformats.org/officeDocument/2006/bibliography"/>
  </ds:schemaRefs>
</ds:datastoreItem>
</file>

<file path=customXml/itemProps2.xml><?xml version="1.0" encoding="utf-8"?>
<ds:datastoreItem xmlns:ds="http://schemas.openxmlformats.org/officeDocument/2006/customXml" ds:itemID="{2D97831C-F2FB-4BD6-9CFD-B76580FA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22</Pages>
  <Words>7086</Words>
  <Characters>40395</Characters>
  <Application>Microsoft Office Word</Application>
  <DocSecurity>0</DocSecurity>
  <Lines>336</Lines>
  <Paragraphs>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Agenzia delle Dogane</Company>
  <LinksUpToDate>false</LinksUpToDate>
  <CharactersWithSpaces>47387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LAURELLI NICOLA ANTONIO</dc:creator>
  <cp:lastModifiedBy>Ke, Tingting</cp:lastModifiedBy>
  <cp:revision>18</cp:revision>
  <cp:lastPrinted>2018-02-23T12:35:00Z</cp:lastPrinted>
  <dcterms:created xsi:type="dcterms:W3CDTF">2017-03-17T10:07:00Z</dcterms:created>
  <dcterms:modified xsi:type="dcterms:W3CDTF">2018-03-27T03:05:00Z</dcterms:modified>
</cp:coreProperties>
</file>