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Default="006D355F" w:rsidP="00EA4D8C">
      <w:pPr>
        <w:jc w:val="both"/>
        <w:rPr>
          <w:rFonts w:ascii="Arial" w:hAnsi="Arial" w:cs="Arial"/>
          <w:b/>
        </w:rPr>
      </w:pPr>
      <w:r>
        <w:rPr>
          <w:rFonts w:ascii="Arial" w:hAnsi="Arial"/>
          <w:b/>
        </w:rPr>
        <w:t>REZOLUȚIE A DIRECȚIEI GENERALE DE REGLEMENTARE A JOCURILOR DE NOROC DE MODIFICARE A REZOLUȚIEI DIN 12 IULIE 2012 A DIRECȚIEI GENERALE DE REGLEMENTARE A JOCURILOR DE NOROC, EMISĂ PENTRU APROBAREA DISPOZIȚIEI DE APLICARE A ARTICOLELOR 26 ȘI 27 DIN DECRETUL REGAL NR. 1613/2011 DIN 14 NOIEMBRIE 2011 CU PRIVIRE LA IDENTIFICAREA PARTICIPANȚILOR LA JOCURILE DE NOROC ȘI MONITORIZAREA EXCLUDERILOR SUBIECTIVE DIN JOCURILE DE NOROC ȘI A REZOLUȚIEI DIN 6 OCTOMBRIE 2014 A DIRECȚIEI GENERALE DE REGLEMENTARE A JOCURILOR DE NOROC DE APROBARE A MODELULUI DE DATE PENTRU UTILIZAREA ÎN SISTEMUL INFORMATIC DE MONITORIZARE A CORESPUNZĂTOARE REGISTRELOR DE OPERAȚIUNI DE JOC.</w:t>
      </w:r>
    </w:p>
    <w:p w14:paraId="0EA78337" w14:textId="77777777" w:rsidR="00554712" w:rsidRPr="002800C6" w:rsidRDefault="00554712" w:rsidP="00554712">
      <w:pPr>
        <w:jc w:val="both"/>
        <w:rPr>
          <w:rFonts w:ascii="Arial" w:hAnsi="Arial" w:cs="Arial"/>
        </w:rPr>
      </w:pPr>
      <w:r>
        <w:rPr>
          <w:rFonts w:ascii="Arial" w:hAnsi="Arial"/>
        </w:rPr>
        <w:t>Legea nr. 13/2011 din 27 mai 2011 privind reglementarea jocurilor de noroc stabilește cadrul de reglementare pentru activitatea de joc la nivel de stat sub diferitele sale forme, în vederea protejării ordinii publice, combaterii fraudei, prevenirii comportamentului de dependență, protejării drepturilor minorilor și protejării drepturilor participanților la jocuri.</w:t>
      </w:r>
    </w:p>
    <w:p w14:paraId="480515CE" w14:textId="159D44D5" w:rsidR="00050794" w:rsidRDefault="00E82824" w:rsidP="007B6331">
      <w:pPr>
        <w:jc w:val="both"/>
        <w:rPr>
          <w:rFonts w:ascii="Arial" w:hAnsi="Arial" w:cs="Arial"/>
        </w:rPr>
      </w:pPr>
      <w:r>
        <w:rPr>
          <w:rFonts w:ascii="Arial" w:hAnsi="Arial"/>
        </w:rPr>
        <w:t xml:space="preserve">Decretul regal 1613/2011 din 14 noiembrie 2011 de punere în aplicare a Legii nr. 13/2011 din 27 mai 2011 privind reglementarea jocurilor de noroc în ceea ce privește cerințele tehnice ale activităților de joc, a fost promulgat în cadrul punerii în aplicare a acestei legi. La articolele 26 și 27, această normă reglementa identificarea participanților, precum și controlul interdicțiilor subiective de participare la jocuri, printr-un sistem de verificare care trebuia să fie implementat de operatorii de jocuri de noroc. </w:t>
      </w:r>
    </w:p>
    <w:p w14:paraId="69F382CD" w14:textId="76176572" w:rsidR="00E82824" w:rsidRPr="00E82824" w:rsidRDefault="00F117CE" w:rsidP="007B6331">
      <w:pPr>
        <w:jc w:val="both"/>
        <w:rPr>
          <w:rFonts w:ascii="Arial" w:hAnsi="Arial" w:cs="Arial"/>
        </w:rPr>
      </w:pPr>
      <w:r>
        <w:rPr>
          <w:rFonts w:ascii="Arial" w:hAnsi="Arial"/>
        </w:rPr>
        <w:t xml:space="preserve">În punerea în aplicare a acestor dispoziții, a fost emisă Rezoluția din 12 iulie 2012 a Direcției Generale de Reglementare a Jocurilor de Noroc, prin care se aprobă dispoziția de punere în aplicare a articolelor 26 și 27 din Decretul regal nr. 1613/2011 din 14 noiembrie 2011 privind identificarea participanților la jocurile de noroc și monitorizarea excluderilor subiective din jocurile de noroc, astfel cum a fost modificat, în vederea consolidării proceselor de verificare a identității desfășurate de operatorii de jocuri de noroc cu privire la datele furnizate de participanți, prin Rezoluția din 31 octombrie 2018 a Direcției Generale de Reglementare a Jocurilor de Noroc privind modificarea anumitor rezoluții referitoare la activitățile de jocuri de noroc prevăzute de Legea nr. 13/2011 din 27 mai 2011 privind reglementarea jocurilor de noroc. </w:t>
      </w:r>
    </w:p>
    <w:p w14:paraId="3AC1AA50" w14:textId="76C55535" w:rsidR="008E4897" w:rsidRDefault="008E4897" w:rsidP="008D4EA9">
      <w:pPr>
        <w:jc w:val="both"/>
        <w:rPr>
          <w:rFonts w:ascii="Arial" w:hAnsi="Arial" w:cs="Arial"/>
        </w:rPr>
      </w:pPr>
      <w:r>
        <w:rPr>
          <w:rFonts w:ascii="Arial" w:hAnsi="Arial"/>
        </w:rPr>
        <w:t xml:space="preserve">La patru ani de la ultima modificare și la 10 ani de la aprobarea cadrului de reglementare menționat anterior, experiența dobândită în acest moment face necesară actualizarea acestor procese de verificare a identității desfășurate de operatorii de jocuri de noroc printr-o nouă modificare a Rezoluției din 12 iulie 2012. </w:t>
      </w:r>
    </w:p>
    <w:p w14:paraId="73AA14DE" w14:textId="621F2406" w:rsidR="00E82824" w:rsidRDefault="00E82824" w:rsidP="008D4EA9">
      <w:pPr>
        <w:jc w:val="both"/>
        <w:rPr>
          <w:rFonts w:ascii="Arial" w:hAnsi="Arial" w:cs="Arial"/>
        </w:rPr>
      </w:pPr>
      <w:r>
        <w:rPr>
          <w:rFonts w:ascii="Arial" w:hAnsi="Arial"/>
        </w:rPr>
        <w:t xml:space="preserve">În special, prin prezenta rezoluție, obligațiile operatorilor în ceea ce privește comunicările pe care trebuie să le raporteze Direcției Generale de Reglementare a Jocurilor de Noroc sunt actualizate, eliminând, pe de o parte, obligația de a comunica anumite rapoarte legate de numărul de interogări efectuate și introducând obligația de comunicare a anulării înregistrărilor utilizatorilor. De asemenea, se reglementează accesul telematic la secțiunea persoanelor defuncte din Registrul de stare civilă, prin intermediul Serviciului de verificare a identității, precum și condițiile în care operatorii vor efectua verificări periodice ale identității participanților și verificarea faptului că aceștia nu intră sub </w:t>
      </w:r>
      <w:r>
        <w:rPr>
          <w:rFonts w:ascii="Arial" w:hAnsi="Arial"/>
        </w:rPr>
        <w:lastRenderedPageBreak/>
        <w:t xml:space="preserve">incidența interdicțiilor subiective de participare, fie din proprie inițiativă, fie emise de Direcția Generală de Reglementare a Jocurilor de Noroc. </w:t>
      </w:r>
    </w:p>
    <w:p w14:paraId="498C1B01" w14:textId="0658F4E7" w:rsidR="00EA4D8C" w:rsidRDefault="00E81705" w:rsidP="00EA4D8C">
      <w:pPr>
        <w:jc w:val="both"/>
        <w:rPr>
          <w:rFonts w:ascii="Arial" w:hAnsi="Arial" w:cs="Arial"/>
        </w:rPr>
      </w:pPr>
      <w:r>
        <w:rPr>
          <w:rFonts w:ascii="Arial" w:hAnsi="Arial"/>
        </w:rPr>
        <w:t xml:space="preserve">În cele din urmă, Rezoluția din 6 octombrie 2014 a Direcției Generale de Reglementare a Jocurilor de Noroc, prin care se aprobă modelul de date pentru utilizarea în sistemul de monitorizare a informațiilor corespunzătoare registrelor de operațiuni de jocuri de noroc, se modifică în vederea introducerii unui nou statut al jucătorului.  </w:t>
      </w:r>
    </w:p>
    <w:p w14:paraId="591328C1" w14:textId="77777777" w:rsidR="005D3D4D" w:rsidRPr="008D47DC" w:rsidRDefault="005D3D4D" w:rsidP="009B4DF9">
      <w:pPr>
        <w:jc w:val="both"/>
        <w:rPr>
          <w:rFonts w:ascii="Arial" w:hAnsi="Arial" w:cs="Arial"/>
        </w:rPr>
      </w:pPr>
      <w:r>
        <w:rPr>
          <w:rFonts w:ascii="Arial" w:hAnsi="Arial"/>
        </w:rPr>
        <w:t>Prezenta dispoziție a fost supusă procedurii de furnizare de informații în domeniul reglementărilor tehnice și al normelor privind serviciile societății informaționale prevăzute în Directiva (UE) 2015/1535 a Parlamentului European și a Consiliului din 9 septembrie 2015 referitoare la procedura de furnizare de informați în domeniul reglementărilor tehnice și al normelor privind serviciile societății informaționale.</w:t>
      </w:r>
    </w:p>
    <w:p w14:paraId="4F0F688D" w14:textId="6F01AAE2" w:rsidR="00F116AB" w:rsidRPr="008D47DC" w:rsidRDefault="00B57B31" w:rsidP="00B369ED">
      <w:pPr>
        <w:jc w:val="both"/>
        <w:rPr>
          <w:rFonts w:ascii="Arial" w:hAnsi="Arial" w:cs="Arial"/>
        </w:rPr>
      </w:pPr>
      <w:r>
        <w:rPr>
          <w:rFonts w:ascii="Arial" w:hAnsi="Arial"/>
        </w:rPr>
        <w:t xml:space="preserve">În virtutea acestui fapt și în urma unui raport favorabil din partea Parchetului de pe lângă Ministerul Consumatorilor, Direcția Generală dispune: </w:t>
      </w:r>
    </w:p>
    <w:p w14:paraId="1D2ACD67" w14:textId="3730E816" w:rsidR="00D825A8" w:rsidRPr="00B55FF0" w:rsidRDefault="005B0F06" w:rsidP="00D825A8">
      <w:pPr>
        <w:jc w:val="both"/>
        <w:rPr>
          <w:rFonts w:ascii="Arial" w:hAnsi="Arial" w:cs="Arial"/>
        </w:rPr>
      </w:pPr>
      <w:r>
        <w:rPr>
          <w:rFonts w:ascii="Arial" w:hAnsi="Arial"/>
          <w:b/>
        </w:rPr>
        <w:t>Articolul 1. Modificarea Rezoluției din 12 iulie 2012 de aprobare a dispoziției de punere în aplicare a articolelor 26 și 27 din Decretul regal nr. 1613/2011 din 14 noiembrie 2011 privind identificarea participanților la jocurile de noroc și monitorizarea excluderilor subiective din jocurile de noroc, după cum urmează:</w:t>
      </w:r>
    </w:p>
    <w:p w14:paraId="3733892D" w14:textId="365CE94D" w:rsidR="00523061" w:rsidRPr="00523061" w:rsidRDefault="005B0F06" w:rsidP="00523061">
      <w:pPr>
        <w:jc w:val="both"/>
        <w:rPr>
          <w:rFonts w:ascii="Arial" w:hAnsi="Arial" w:cs="Arial"/>
        </w:rPr>
      </w:pPr>
      <w:r>
        <w:rPr>
          <w:rFonts w:ascii="Arial" w:hAnsi="Arial"/>
        </w:rPr>
        <w:t>1</w:t>
      </w:r>
      <w:r>
        <w:rPr>
          <w:rFonts w:ascii="Arial" w:hAnsi="Arial"/>
          <w:b/>
        </w:rPr>
        <w:t>.</w:t>
      </w:r>
      <w:r>
        <w:rPr>
          <w:rFonts w:ascii="Arial" w:hAnsi="Arial"/>
        </w:rPr>
        <w:t xml:space="preserve"> Punctul 7 subpunctul 6 din anexa I se elimină.</w:t>
      </w:r>
    </w:p>
    <w:p w14:paraId="09434F7D" w14:textId="1FB9E75B" w:rsidR="00EB1D43" w:rsidRPr="00523061" w:rsidRDefault="005B0F06" w:rsidP="00EB1D43">
      <w:pPr>
        <w:jc w:val="both"/>
        <w:rPr>
          <w:rFonts w:ascii="Arial" w:hAnsi="Arial" w:cs="Arial"/>
        </w:rPr>
      </w:pPr>
      <w:r>
        <w:rPr>
          <w:rFonts w:ascii="Arial" w:hAnsi="Arial"/>
        </w:rPr>
        <w:t>2</w:t>
      </w:r>
      <w:r>
        <w:rPr>
          <w:rFonts w:ascii="Arial" w:hAnsi="Arial"/>
          <w:b/>
        </w:rPr>
        <w:t>.</w:t>
      </w:r>
      <w:r>
        <w:rPr>
          <w:rFonts w:ascii="Arial" w:hAnsi="Arial"/>
        </w:rPr>
        <w:t xml:space="preserve"> Punctul 11 subpunctul 5 din anexa I se elimină.</w:t>
      </w:r>
    </w:p>
    <w:p w14:paraId="1D47C45E" w14:textId="2ACFA05B" w:rsidR="00523061" w:rsidRDefault="00EB1D43" w:rsidP="00B369ED">
      <w:pPr>
        <w:jc w:val="both"/>
        <w:rPr>
          <w:rFonts w:ascii="Arial" w:hAnsi="Arial" w:cs="Arial"/>
          <w:b/>
        </w:rPr>
      </w:pPr>
      <w:r>
        <w:rPr>
          <w:rFonts w:ascii="Arial" w:hAnsi="Arial"/>
        </w:rPr>
        <w:t>3</w:t>
      </w:r>
      <w:r>
        <w:rPr>
          <w:rFonts w:ascii="Arial" w:hAnsi="Arial"/>
          <w:b/>
        </w:rPr>
        <w:t xml:space="preserve">. </w:t>
      </w:r>
      <w:r>
        <w:rPr>
          <w:rFonts w:ascii="Arial" w:hAnsi="Arial"/>
        </w:rPr>
        <w:t>La punctul 13 din anexa I se adaugă un nou subpunct 4, care are următoarea formulare:</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Operatorul trebuie să informeze Direcția Generală de Reglementare a Jocurilor de Noroc cu privire la anularea înregistrărilor utilizatorilor. Comunicarea trebuie să se realizeze prin intermediul Serviciului de verificare a identității participanților din cadrul Direcției Generale de Reglementare a Jocurilor de Noroc. Direcția Generală de Reglementare a Jocurilor de Noroc nu pune la dispoziția operatorilor informații referitoare la înregistrările utilizatorilor anulate în conformitate cu punctul 11 subpunctul 3 din prezenta rezoluție. Solicitarea adresată operatorului de activare a unei înregistrări de utilizator anulate anterior necesită identificarea participantului și verificarea faptului că acesta nu se află sub incidența nici uneia dintre interdicțiile subiective în termenii prevăzuți în prezenta rezoluție.</w:t>
      </w:r>
    </w:p>
    <w:p w14:paraId="573F59AF" w14:textId="4C454A2D" w:rsidR="00523061" w:rsidRDefault="00EB1D43" w:rsidP="00B369ED">
      <w:pPr>
        <w:jc w:val="both"/>
        <w:rPr>
          <w:rFonts w:ascii="Arial" w:hAnsi="Arial" w:cs="Arial"/>
          <w:b/>
        </w:rPr>
      </w:pPr>
      <w:r>
        <w:rPr>
          <w:rFonts w:ascii="Arial" w:hAnsi="Arial"/>
        </w:rPr>
        <w:t>4.</w:t>
      </w:r>
      <w:r>
        <w:rPr>
          <w:rFonts w:ascii="Arial" w:hAnsi="Arial"/>
          <w:b/>
        </w:rPr>
        <w:t xml:space="preserve"> </w:t>
      </w:r>
      <w:r>
        <w:rPr>
          <w:rFonts w:ascii="Arial" w:hAnsi="Arial"/>
        </w:rPr>
        <w:t>În anexa I se introduce un al 14-lea punct, care are următoarea formulare:</w:t>
      </w:r>
    </w:p>
    <w:p w14:paraId="054E2766" w14:textId="0C4BDC28" w:rsidR="00523061" w:rsidRPr="00523061" w:rsidRDefault="009867C7" w:rsidP="00B369ED">
      <w:pPr>
        <w:jc w:val="both"/>
        <w:rPr>
          <w:rFonts w:ascii="Arial" w:hAnsi="Arial" w:cs="Arial"/>
          <w:bCs/>
        </w:rPr>
      </w:pPr>
      <w:r>
        <w:rPr>
          <w:rFonts w:ascii="Arial" w:hAnsi="Arial"/>
        </w:rPr>
        <w:t xml:space="preserve">„14. </w:t>
      </w:r>
      <w:r>
        <w:rPr>
          <w:rFonts w:ascii="Arial" w:hAnsi="Arial"/>
          <w:i/>
        </w:rPr>
        <w:t>Controlul interdicțiilor de acces la jocurile de noroc ale defunctului.</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Direcția Generală de Reglementare a Jocurilor de Noroc va pune la dispoziția operatorilor de jocuri de noroc un sistem de acces telematic la secțiunea persoanelor decedate din Registrul de stare civilă, prin intermediul Serviciului de verificare a identității participanților din cadrul Direcției Generale de Reglementare a Jocurilor de Noroc, pentru a facilita verificarea faptului că participanții nu au decedat.</w:t>
      </w:r>
    </w:p>
    <w:p w14:paraId="3700579F" w14:textId="77777777" w:rsidR="00523061" w:rsidRPr="00523061" w:rsidRDefault="00523061" w:rsidP="00523061">
      <w:pPr>
        <w:jc w:val="both"/>
        <w:rPr>
          <w:rFonts w:ascii="Arial" w:hAnsi="Arial" w:cs="Arial"/>
          <w:bCs/>
        </w:rPr>
      </w:pPr>
      <w:r>
        <w:rPr>
          <w:rFonts w:ascii="Arial" w:hAnsi="Arial"/>
        </w:rPr>
        <w:t xml:space="preserve">2. Operatorii de jocuri de noroc trebuie să verifice în fiecare zi dacă participanții cu o înregistrare de utilizator activă nu sunt înregistrați ca decedați în Serviciul de verificare </w:t>
      </w:r>
      <w:r>
        <w:rPr>
          <w:rFonts w:ascii="Arial" w:hAnsi="Arial"/>
        </w:rPr>
        <w:lastRenderedPageBreak/>
        <w:t xml:space="preserve">a identității participanților din cadrul Direcției Generale de Reglementare a Jocurilor de Noroc. În acest scop, cu frecvența indicată, Direcția Generală de Reglementare a Jocurilor de Noroc va genera și va pune la dispoziția operatorilor un fișier informatic actualizat în care se vor regăsi modificările care, ca urmare a înscrierii datelor de înregistrare în secțiunea persoanelor defuncte din Registrul de stare civilă, ar fi fost efectuate în Serviciul de verificare a identității participanților din cadrul Direcției Generale de Reglementare a Jocurilor de Noroc și care afectează participanții înregistrați de fiecare operator. În cazul în care, din motive tehnice sau din cauza unor deficiențe în ceea ce privește disponibilitatea serviciului, Direcția Generală de Reglementare a Jocurilor de Noroc nu este în măsură să pună la dispoziția operatorilor actualizarea datelor, verificarea se va efectua cu datele conținute în ultima actualizare furnizată. </w:t>
      </w:r>
    </w:p>
    <w:p w14:paraId="232E35F2" w14:textId="5549976A" w:rsidR="00523061" w:rsidRPr="00523061" w:rsidRDefault="00523061" w:rsidP="00523061">
      <w:pPr>
        <w:jc w:val="both"/>
        <w:rPr>
          <w:rFonts w:ascii="Arial" w:hAnsi="Arial" w:cs="Arial"/>
          <w:b/>
        </w:rPr>
      </w:pPr>
      <w:r>
        <w:rPr>
          <w:rFonts w:ascii="Arial" w:hAnsi="Arial"/>
        </w:rPr>
        <w:t>În cazurile în care modificările relevă înregistrarea în secțiunea persoanelor decedate din Registrul de stare civilă a oricăruia dintre participanții cu o înregistrare de utilizator activă, operatorul va proceda la anularea acesteia. În aceste cazuri, anularea nu va împiedica lichidarea contului de joc și plata sumelor care, cu titlu de depozit sau premii plătite anterior, corespund moștenitorului legitim, în conformitate cu reglementările aplicabile. În cazul anulării contului, se aplică dispozițiile de la punctul 13 subpunctul 4 din prezenta rezoluție.”</w:t>
      </w:r>
    </w:p>
    <w:p w14:paraId="337D8F87" w14:textId="1A0D7223" w:rsidR="00523061" w:rsidRDefault="00EB1D43" w:rsidP="00B369ED">
      <w:pPr>
        <w:jc w:val="both"/>
        <w:rPr>
          <w:rFonts w:ascii="Arial" w:hAnsi="Arial" w:cs="Arial"/>
          <w:b/>
        </w:rPr>
      </w:pPr>
      <w:r>
        <w:rPr>
          <w:rFonts w:ascii="Arial" w:hAnsi="Arial"/>
        </w:rPr>
        <w:t>5.</w:t>
      </w:r>
      <w:r>
        <w:rPr>
          <w:rFonts w:ascii="Arial" w:hAnsi="Arial"/>
          <w:b/>
        </w:rPr>
        <w:t xml:space="preserve"> </w:t>
      </w:r>
      <w:r>
        <w:rPr>
          <w:rFonts w:ascii="Arial" w:hAnsi="Arial"/>
        </w:rPr>
        <w:t>În anexa I se introduce un al 15-lea punct, care are următoarea formulare:</w:t>
      </w:r>
    </w:p>
    <w:p w14:paraId="10C76A7F" w14:textId="03428FC8" w:rsidR="00523061" w:rsidRDefault="00932A74" w:rsidP="00B369ED">
      <w:pPr>
        <w:jc w:val="both"/>
        <w:rPr>
          <w:rFonts w:ascii="Arial" w:hAnsi="Arial" w:cs="Arial"/>
          <w:b/>
        </w:rPr>
      </w:pPr>
      <w:r>
        <w:rPr>
          <w:rFonts w:ascii="Arial" w:hAnsi="Arial"/>
        </w:rPr>
        <w:t xml:space="preserve">„15. </w:t>
      </w:r>
      <w:r>
        <w:rPr>
          <w:rFonts w:ascii="Arial" w:hAnsi="Arial"/>
          <w:i/>
        </w:rPr>
        <w:t>Revizuiri periodice</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Operatorii de jocuri de noroc pot efectua controale specifice asupra participanților în ceea ce privește identificarea și verificarea acestora, astfel încât participanții să nu facă obiectul niciuneia dintre interdicțiile subiective în condițiile prevăzute în prezenta rezoluție. Operatorul trebuie să solicite autorizarea și să comunice începutul și sfârșitul acestor procese de verificare prin intermediul Serviciului de verificare a identității participanților din cadrul Direcției Generale de Reglementare a Jocurilor de Noroc în condițiile stabilite de Direcția Generală de Reglementare a Jocurilor de Noroc.</w:t>
      </w:r>
    </w:p>
    <w:p w14:paraId="4FC212F8" w14:textId="4973AE0F" w:rsidR="00523061" w:rsidRPr="00523061" w:rsidRDefault="00523061" w:rsidP="00523061">
      <w:pPr>
        <w:jc w:val="both"/>
        <w:rPr>
          <w:rFonts w:ascii="Arial" w:hAnsi="Arial" w:cs="Arial"/>
          <w:bCs/>
        </w:rPr>
      </w:pPr>
      <w:r>
        <w:rPr>
          <w:rFonts w:ascii="Arial" w:hAnsi="Arial"/>
        </w:rPr>
        <w:t>2. Direcția Generală de Reglementare a Jocurilor de Noroc poate solicita operatorilor de jocuri de noroc să efectueze controale specifice asupra participanților lor în ceea ce privește identificarea și verificarea acestora, astfel încât aceștia să nu facă obiectul niciuneia dintre interdicțiile subiective în condițiile stabilite în prezenta rezoluție. În acest scop, Direcția Generală de Reglementare a Jocurilor de Noroc va genera și va pune la dispoziția operatorilor un fișier informatizat care conține participanții în cauză și operațiunea care urmează să fie efectuată. Operatorii de jocuri de noroc trebuie să verifice zilnic existența acestor fișiere prin intermediul Serviciului de verificare a identității participanților din cadrul Direcției Generale de Reglementare a Jocurilor de Noroc și, dacă este cazul, să aplice măsurile necesare.”</w:t>
      </w:r>
    </w:p>
    <w:p w14:paraId="19A79385" w14:textId="3DCA6427" w:rsidR="0001091D" w:rsidRPr="00A9210D" w:rsidRDefault="0001091D" w:rsidP="00F17E13">
      <w:pPr>
        <w:jc w:val="both"/>
        <w:rPr>
          <w:rFonts w:ascii="Arial" w:hAnsi="Arial" w:cs="Arial"/>
          <w:bCs/>
        </w:rPr>
      </w:pPr>
      <w:r>
        <w:rPr>
          <w:rFonts w:ascii="Arial" w:hAnsi="Arial"/>
          <w:b/>
        </w:rPr>
        <w:t>Articolul 2. Modificarea Rezoluției din 6 octombrie 2014 de aprobare a modelului de date pentru utilizarea în sistemul de monitorizare a informațiilor corespunzătoare registrelor de operațiuni de jocuri de noroc, după cum urmează:</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 xml:space="preserve">Punctul </w:t>
      </w:r>
      <w:r>
        <w:rPr>
          <w:rFonts w:ascii="Arial" w:hAnsi="Arial"/>
          <w:color w:val="1F3864"/>
        </w:rPr>
        <w:t>3.5.7.</w:t>
      </w:r>
      <w:r>
        <w:rPr>
          <w:rFonts w:ascii="Arial" w:hAnsi="Arial"/>
        </w:rPr>
        <w:t xml:space="preserve">2 („Statutul jucătorului”) din anexa I se înlocuiește cu următorul text: </w:t>
      </w:r>
    </w:p>
    <w:p w14:paraId="3FB0A96C" w14:textId="77777777" w:rsidR="00C926BC" w:rsidRPr="00C926BC" w:rsidRDefault="00CD5D1C" w:rsidP="00C926BC">
      <w:pPr>
        <w:jc w:val="both"/>
        <w:rPr>
          <w:rFonts w:ascii="Arial" w:hAnsi="Arial" w:cs="Arial"/>
          <w:bCs/>
        </w:rPr>
      </w:pPr>
      <w:r>
        <w:rPr>
          <w:rFonts w:ascii="Arial" w:hAnsi="Arial"/>
        </w:rPr>
        <w:t xml:space="preserve">„3.5.7.2. Statutul jucătorului </w:t>
      </w:r>
    </w:p>
    <w:p w14:paraId="30B6715A" w14:textId="77777777" w:rsidR="00A303D7" w:rsidRPr="00112FA3" w:rsidRDefault="003B5C7A" w:rsidP="003B5C7A">
      <w:pPr>
        <w:jc w:val="both"/>
        <w:rPr>
          <w:rFonts w:ascii="Arial" w:hAnsi="Arial" w:cs="Arial"/>
          <w:bCs/>
        </w:rPr>
      </w:pPr>
      <w:r>
        <w:rPr>
          <w:rFonts w:ascii="Arial" w:hAnsi="Arial"/>
        </w:rPr>
        <w:lastRenderedPageBreak/>
        <w:t xml:space="preserve">„Statutul” jucătorului este alcătuit din două câmpuri:  </w:t>
      </w:r>
    </w:p>
    <w:p w14:paraId="371979A3" w14:textId="60D04365" w:rsidR="003B5C7A" w:rsidRPr="00112FA3" w:rsidRDefault="003B5C7A" w:rsidP="003B5C7A">
      <w:pPr>
        <w:jc w:val="both"/>
        <w:rPr>
          <w:rFonts w:ascii="Arial" w:hAnsi="Arial" w:cs="Arial"/>
          <w:bCs/>
        </w:rPr>
      </w:pPr>
      <w:r>
        <w:rPr>
          <w:rFonts w:ascii="Arial" w:hAnsi="Arial"/>
        </w:rPr>
        <w:t xml:space="preserve">StatutCNJ, în care operatorului i se solicită să facă diferența între:  </w:t>
      </w:r>
    </w:p>
    <w:p w14:paraId="675C3934" w14:textId="77777777" w:rsidR="003B5C7A" w:rsidRPr="00112FA3" w:rsidRDefault="003B5C7A" w:rsidP="003B5C7A">
      <w:pPr>
        <w:jc w:val="both"/>
        <w:rPr>
          <w:rFonts w:ascii="Arial" w:hAnsi="Arial" w:cs="Arial"/>
          <w:bCs/>
        </w:rPr>
      </w:pPr>
      <w:r>
        <w:rPr>
          <w:rFonts w:ascii="Arial" w:hAnsi="Arial"/>
        </w:rPr>
        <w:t xml:space="preserve">● A: activ. Acesta reflectă statutul unui jucător care a fost identificat în mod corespunzător și verificat pe baza unor documente. </w:t>
      </w:r>
    </w:p>
    <w:p w14:paraId="580B7BAC" w14:textId="77777777" w:rsidR="003B5C7A" w:rsidRPr="00112FA3" w:rsidRDefault="003B5C7A" w:rsidP="003B5C7A">
      <w:pPr>
        <w:jc w:val="both"/>
        <w:rPr>
          <w:rFonts w:ascii="Arial" w:hAnsi="Arial" w:cs="Arial"/>
          <w:bCs/>
        </w:rPr>
      </w:pPr>
      <w:r>
        <w:rPr>
          <w:rFonts w:ascii="Arial" w:hAnsi="Arial"/>
        </w:rPr>
        <w:t xml:space="preserve">● PV: în așteptarea verificării documentare. Aceasta reflectă statutul unui jucător a cărui identitate nu a fost confirmată în mod corespunzător prin intermediul unui sistem de verificare a documentelor. </w:t>
      </w:r>
    </w:p>
    <w:p w14:paraId="4B945205" w14:textId="77777777" w:rsidR="003B5C7A" w:rsidRPr="00112FA3" w:rsidRDefault="003B5C7A" w:rsidP="003B5C7A">
      <w:pPr>
        <w:jc w:val="both"/>
        <w:rPr>
          <w:rFonts w:ascii="Arial" w:hAnsi="Arial" w:cs="Arial"/>
          <w:bCs/>
        </w:rPr>
      </w:pPr>
      <w:r>
        <w:rPr>
          <w:rFonts w:ascii="Arial" w:hAnsi="Arial"/>
        </w:rPr>
        <w:t xml:space="preserve">● S: suspendat. Aceasta reflectă statutul unui jucător pe care operatorul a decis să îl suspende după doi ani de inactivitate continuă. </w:t>
      </w:r>
    </w:p>
    <w:p w14:paraId="141B702C" w14:textId="77777777" w:rsidR="003B5C7A" w:rsidRPr="00112FA3" w:rsidRDefault="003B5C7A" w:rsidP="003B5C7A">
      <w:pPr>
        <w:jc w:val="both"/>
        <w:rPr>
          <w:rFonts w:ascii="Arial" w:hAnsi="Arial" w:cs="Arial"/>
          <w:bCs/>
        </w:rPr>
      </w:pPr>
      <w:r>
        <w:rPr>
          <w:rFonts w:ascii="Arial" w:hAnsi="Arial"/>
        </w:rPr>
        <w:t xml:space="preserve">● C: Anulat. acesta este statutul jucătorului care, după trecerea a patru ani de la suspendare, a fost anulat. </w:t>
      </w:r>
    </w:p>
    <w:p w14:paraId="7BAB001A" w14:textId="77777777" w:rsidR="003B5C7A" w:rsidRPr="00112FA3" w:rsidRDefault="003B5C7A" w:rsidP="003B5C7A">
      <w:pPr>
        <w:jc w:val="both"/>
        <w:rPr>
          <w:rFonts w:ascii="Arial" w:hAnsi="Arial" w:cs="Arial"/>
          <w:bCs/>
        </w:rPr>
      </w:pPr>
      <w:r>
        <w:rPr>
          <w:rFonts w:ascii="Arial" w:hAnsi="Arial"/>
        </w:rPr>
        <w:t>● CD: anulat din cauza decesului. Acest lucru reflectă statutul jucătorului care a fost identificat ca decedat.</w:t>
      </w:r>
    </w:p>
    <w:p w14:paraId="6A2FE785" w14:textId="77777777" w:rsidR="003B5C7A" w:rsidRPr="00112FA3" w:rsidRDefault="003B5C7A" w:rsidP="003B5C7A">
      <w:pPr>
        <w:jc w:val="both"/>
        <w:rPr>
          <w:rFonts w:ascii="Arial" w:hAnsi="Arial" w:cs="Arial"/>
          <w:bCs/>
        </w:rPr>
      </w:pPr>
      <w:r>
        <w:rPr>
          <w:rFonts w:ascii="Arial" w:hAnsi="Arial"/>
        </w:rPr>
        <w:t xml:space="preserve">● SC: suspendare provizorie. Aceasta reflectă statutul jucătorului care este suspendat provizoriu de către operator ca urmare a suspiciunii de comportament coluziv sau fraudulos sau pentru că a permis utilizarea înregistrării utilizatorului de către terți. </w:t>
      </w:r>
    </w:p>
    <w:p w14:paraId="4AD1BFBE" w14:textId="77777777" w:rsidR="003B5C7A" w:rsidRPr="00112FA3" w:rsidRDefault="003B5C7A" w:rsidP="003B5C7A">
      <w:pPr>
        <w:jc w:val="both"/>
        <w:rPr>
          <w:rFonts w:ascii="Arial" w:hAnsi="Arial" w:cs="Arial"/>
          <w:bCs/>
        </w:rPr>
      </w:pPr>
      <w:r>
        <w:rPr>
          <w:rFonts w:ascii="Arial" w:hAnsi="Arial"/>
        </w:rPr>
        <w:t xml:space="preserve">● AC: anularea contractului. Acesta reflectă statutul unui jucător care se află în stare de suspendare provizorie și care, în opinia operatorului, s-a demonstrat că a comis o fraudă sau o coluziune sau că a furnizat contul său de utilizator unei terțe părți, ceea ce a determinat operatorul să rezilieze unilateral contractul. </w:t>
      </w:r>
    </w:p>
    <w:p w14:paraId="6BB5C179" w14:textId="77777777" w:rsidR="003B5C7A" w:rsidRPr="00112FA3" w:rsidRDefault="003B5C7A" w:rsidP="003B5C7A">
      <w:pPr>
        <w:jc w:val="both"/>
        <w:rPr>
          <w:rFonts w:ascii="Arial" w:hAnsi="Arial" w:cs="Arial"/>
          <w:bCs/>
        </w:rPr>
      </w:pPr>
      <w:r>
        <w:rPr>
          <w:rFonts w:ascii="Arial" w:hAnsi="Arial"/>
        </w:rPr>
        <w:t xml:space="preserve">● PR: interdicție subiectivă. Aceasta reflectă statutul unui jucător care face obiectul oricăreia dintre interdicțiile subiective stabilite la articolul 6 din Legea 13/2011 (minori, înregistrați în RGIAJ, asociații, ...). </w:t>
      </w:r>
    </w:p>
    <w:p w14:paraId="36CC3CEA" w14:textId="77777777" w:rsidR="003B5C7A" w:rsidRPr="00112FA3" w:rsidRDefault="003B5C7A" w:rsidP="003B5C7A">
      <w:pPr>
        <w:jc w:val="both"/>
        <w:rPr>
          <w:rFonts w:ascii="Arial" w:hAnsi="Arial" w:cs="Arial"/>
          <w:bCs/>
        </w:rPr>
      </w:pPr>
      <w:r>
        <w:rPr>
          <w:rFonts w:ascii="Arial" w:hAnsi="Arial"/>
        </w:rPr>
        <w:t xml:space="preserve">● AE: autoexclus. Este statutul jucătorului care a decis în mod voluntar să se excludă de la jocul oferit de operator. </w:t>
      </w:r>
    </w:p>
    <w:p w14:paraId="54499D85" w14:textId="77777777" w:rsidR="003B5C7A" w:rsidRPr="00112FA3" w:rsidRDefault="003B5C7A" w:rsidP="003B5C7A">
      <w:pPr>
        <w:jc w:val="both"/>
        <w:rPr>
          <w:rFonts w:ascii="Arial" w:hAnsi="Arial" w:cs="Arial"/>
          <w:bCs/>
        </w:rPr>
      </w:pPr>
      <w:r>
        <w:rPr>
          <w:rFonts w:ascii="Arial" w:hAnsi="Arial"/>
        </w:rPr>
        <w:t xml:space="preserve">● O: altele. Alte situații posibile ale jucătorilor care nu sunt incluse în cele de mai sus. </w:t>
      </w:r>
    </w:p>
    <w:p w14:paraId="272CE038" w14:textId="77777777" w:rsidR="003B5C7A" w:rsidRPr="00112FA3" w:rsidRDefault="003B5C7A" w:rsidP="003B5C7A">
      <w:pPr>
        <w:jc w:val="both"/>
        <w:rPr>
          <w:rFonts w:ascii="Arial" w:hAnsi="Arial" w:cs="Arial"/>
          <w:bCs/>
        </w:rPr>
      </w:pPr>
      <w:r>
        <w:rPr>
          <w:rFonts w:ascii="Arial" w:hAnsi="Arial"/>
        </w:rPr>
        <w:t>EstadoOperador [statutul operatorului] în care operatorul introduce denumirea statutului astfel cum este denumit pe platforma sa.”</w:t>
      </w:r>
    </w:p>
    <w:p w14:paraId="40371930" w14:textId="4F5B9E39" w:rsidR="004A6475" w:rsidRPr="00C73313" w:rsidRDefault="00BE2A52" w:rsidP="00F17E13">
      <w:pPr>
        <w:jc w:val="both"/>
        <w:rPr>
          <w:rFonts w:ascii="Arial" w:hAnsi="Arial" w:cs="Arial"/>
          <w:b/>
        </w:rPr>
      </w:pPr>
      <w:r>
        <w:rPr>
          <w:rFonts w:ascii="Arial" w:hAnsi="Arial"/>
          <w:b/>
        </w:rPr>
        <w:t>Dispoziție finală unică. Intrare în vigoare</w:t>
      </w:r>
    </w:p>
    <w:p w14:paraId="1CCE2500" w14:textId="7F190632" w:rsidR="001151E6" w:rsidRPr="00C169ED" w:rsidRDefault="001B4699" w:rsidP="0044700B">
      <w:pPr>
        <w:jc w:val="both"/>
        <w:rPr>
          <w:rFonts w:ascii="Arial" w:hAnsi="Arial" w:cs="Arial"/>
          <w:sz w:val="20"/>
        </w:rPr>
      </w:pPr>
      <w:r>
        <w:rPr>
          <w:rFonts w:ascii="Arial" w:hAnsi="Arial"/>
        </w:rPr>
        <w:t xml:space="preserve">Prezenta rezoluție intră în vigoare la șase luni de la data publicării sale în „Monitorul Oficial al Statului”.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Madrid, XX din AA 2022</w:t>
      </w:r>
    </w:p>
    <w:p w14:paraId="3CCD5EBB" w14:textId="77777777" w:rsidR="001151E6" w:rsidRDefault="001151E6" w:rsidP="001151E6">
      <w:pPr>
        <w:spacing w:line="264" w:lineRule="auto"/>
        <w:rPr>
          <w:rFonts w:ascii="Arial" w:hAnsi="Arial" w:cs="Arial"/>
        </w:rPr>
      </w:pPr>
    </w:p>
    <w:p w14:paraId="098E39EA" w14:textId="63739C0A" w:rsidR="0047083C" w:rsidRDefault="00224C24" w:rsidP="007D631E">
      <w:pPr>
        <w:spacing w:line="264" w:lineRule="auto"/>
        <w:jc w:val="center"/>
        <w:rPr>
          <w:rFonts w:ascii="Arial" w:hAnsi="Arial" w:cs="Arial"/>
        </w:rPr>
      </w:pPr>
      <w:r>
        <w:rPr>
          <w:rFonts w:ascii="Arial" w:hAnsi="Arial"/>
        </w:rPr>
        <w:t>DIRECȚIA GENERALĂ DE REGLEMENTARE A JOCURILOR DE NOROC</w:t>
      </w: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631E"/>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1830</Words>
  <Characters>10437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Dimitris Dimitriadis</cp:lastModifiedBy>
  <cp:revision>5</cp:revision>
  <cp:lastPrinted>2022-11-25T11:05:00Z</cp:lastPrinted>
  <dcterms:created xsi:type="dcterms:W3CDTF">2022-11-25T12:23:00Z</dcterms:created>
  <dcterms:modified xsi:type="dcterms:W3CDTF">2023-01-27T15:27:00Z</dcterms:modified>
</cp:coreProperties>
</file>