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Seisuga</w:t>
      </w:r>
      <w:r>
        <w:rPr>
          <w:sz w:val="16"/>
          <w:rFonts w:ascii="Verdana" w:hAnsi="Verdana"/>
        </w:rPr>
        <w:t xml:space="preserve"> </w:t>
      </w:r>
      <w:r>
        <w:rPr>
          <w:sz w:val="16"/>
          <w:rFonts w:ascii="Verdana" w:hAnsi="Verdana"/>
        </w:rPr>
        <w:t xml:space="preserve">15. märts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Meediakanalite regulatsiooni põhikiri vastavalt riigi meedialepingu §-le 96</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(MI põhikiri)</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Kuupäevast …</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14. aprillist kuni 28. aprillini 2020 sõlmitud riikliku meedialepingu (MStV) § 96 esimese lause (… viide) alusel jõustab [föderaalse meediaasutuse nimi] kokkuleppel teiste föderaalsete meediaasutustega järgmise põhikirja:</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1. paragrahv</w:t>
      </w:r>
      <w:r>
        <w:rPr>
          <w:b/>
          <w:sz w:val="22"/>
          <w:rFonts w:ascii="Calibri" w:hAnsi="Calibri"/>
        </w:rPr>
        <w:t xml:space="preserve"> </w:t>
      </w:r>
      <w:r>
        <w:rPr>
          <w:b/>
          <w:sz w:val="22"/>
          <w:rFonts w:ascii="Calibri" w:hAnsi="Calibri"/>
        </w:rPr>
        <w:t xml:space="preserve">Üldsätted</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Otstarve ja eesmärk</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Vastavalt MStV §-le 96 reguleerib käesolev põhikiri meediavahendajate ja meediavahendajate regulatsiooni õigusnormide sisulist ning menetluslikku täpsustamist (MStV §-d 91–95).</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Käesoleva põhikirja eesmärk on kaitsta arvamuste mitmekesisust (pakkumiste ja teenuseosutajate mitmekesisus).</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Käesoleva põhikirja kohaldamisel võetakse arvesse vastavate kasutajarühmade meediavahendajate juhtivat rolli.</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Reguleerimisala</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Põhikirja reguleerimisala hõlmab meediavahendajaid, integreeritud meediavahendajaid ja nende teenuseosutajaid.</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MStV § 91 lõike 1 kohane mõiste „integreeritud meediavahendaja“ hõlmab vahendaja funktsiooni integreerimist kolmandate isikute pakkumisse, mis võimaldab kolmandate isikute pakkumiste kasutajatel kasutada vahendusfunktsiooni.</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MStV § 91 lõike 2 punkti 1 kohaselt on kasutajate arv kordumatute kasutajate summa kuus.</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Kui meediavahendaja viitab MStV § 91 lõike 2 punktis 1 nimetatud määrusele, esitab ta riigi pädeva meediaasutuse taotlusel kasutajate arvu ühe kuu jooksul ja põhjendab seda ning esitab kontrollimiseks vajalikud dokumendid ja teabe.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Kui vahendamisfunktsiooni ei ole veel pakutud või seda on pakutud vähem kui kuus kuud, esitab meediavahendaja pädeva föderaalmeediaasutuse taotlusel prognoosi kasutajanumbrite liikumise kohta MStV § 91 lõike 2 punkti 1 tähenduses ning esitab usaldusväärsed tõendid ning samuti kontrollimiseks vajalikud dokumendid ja teabe.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Volitatud esindaja</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Volitatud esindaja võib olla füüsiline või juriidiline isik.</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Füüsilisel isikul peab olema alaline või peamine elukoht, juriidilise isiku peamine tegevuskoht peab olema Saksamaa Liitvabariigis.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Nimetatakse kutsutav aadress.</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MStV § 92 esimese lause teises pooles sätestatud nõuded on tavaliselt täidetud, kui volitatud esindaja on määratud telemeediaseaduse (TMG) § 5 lõikes 1 ja MStV § 18 lõikes 1 nõutud teabe piires.</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Lõige 2.</w:t>
      </w:r>
      <w:r>
        <w:rPr>
          <w:b/>
          <w:sz w:val="22"/>
          <w:rFonts w:ascii="Calibri" w:hAnsi="Calibri"/>
        </w:rPr>
        <w:t xml:space="preserve"> </w:t>
      </w:r>
      <w:r>
        <w:rPr>
          <w:b/>
          <w:sz w:val="22"/>
          <w:rFonts w:ascii="Calibri" w:hAnsi="Calibri"/>
        </w:rPr>
        <w:t xml:space="preserve">Läbipaistvus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Otstarve ja eesmärk</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Käesoleva paragrahvi sätete eesmärk on tagada meediavahendajate kasutajatele piisav läbipaistvus MStV § 93 lõikes 1 ja §-s 6 loetletud teabe osas (läbipaistev teave).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Eelkõige peaks see võimaldama meediakanalite teadlikku kasutamist ajakirjandusliku ja toimetatud sisu koondamisel, valimisel ja esitamisel.</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Need käsitlevad ka ajakirjanduslikku ja toimetatud sisu.</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Vorminõuded</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MStV § 93 lõike 1 kohane teave, MStV § 93 lõike 3 kohased muudatused ja § 6 kohane teave peavad olema saksa keeles läbipaistvad.</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MStV § 93 tähenduses on läbipaistev teave kergesti tajutav, kui see asetatakse keskmise kasutaja jaoks selgelt tajutavasse positsiooni, võttes arvesse meediavahendaja tüüpilist kasutusolukorda.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See on tavaliselt nii juhul, kui läbipaistvaks muudetav teave on selgelt eristatav ülejäänud sisust ning on otseselt seotud meediavahendaja kasutamiseks oluliste sisend- või navigatsioonivõimalustega.</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Läbipaistvaks muudetavale teabele viitava veebilingi kasutamisel kohaldatakse vastavalt eespool nimetatud nõudeid.</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Läbipaistvaks muudetav teave on kohe kättesaadav MStV § 93 tähenduses, kui see on kasutajale tajutav ilma oluliste vahendusetappideta.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Eriti ei ole see nii juhul, kui teave on kättesaadav rohkem kui kahe veebilingiga ja/või teabe hankimine sõltub eelnevast registreerimisest või sisselogimisest.</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Läbipaistvaks muudetav teave on MStV § 93 tähenduses alati kättesaadav, kui kasutaja saab sellele igal ajal juurde pääseda.</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Läbipaistvaks muudetav teave esitatakse arusaadavas keeles MStV § 93 tähenduses, kui see võib anda keskmisele kasutajale põhiteadmised MStV § 93 lõikes 1 nimetatud asjaoludest, mida on vaja meediavahendaja teadvaks kasutamiseks.</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Kui meediavahendaja kasutamine on valdavalt häälepõhine, tuleb kasutaja nõudmisel esitada akustiliselt ka läbipaistvaks muudetav teave, kusjuures piisav on akustiline viide selle kohta, kus on läbipaistvaks muudetav teave esitatud.</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Teavitamiskohustused</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Meediavahendaja pakkuja on kohustatud muutma läbipaistvaks kriteeriumid, mis määravad kindlaks infosisu juurdepääsu meediavahendajale ja selle säilitamise (MStV § 93 lõike 1 punkt 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Selleks peab meediavahendaja esitama eelkõige järgmise teabe:</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tehniliste, majanduslike, teenuseosutajatega seotud, kasutajaga seotud ja sisuga seotud tingimuste kirjeldus, millega määratakse kindlaks, kas sisu on meediakanali kaudu tajutav;</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kui teatav sisu filtreeritakse või alandatakse või ajakohastatakse tajutavuse alusel meediavahendajale juurdepääsul ja seal püsimisel, eelkõige automaatsete süsteemide kasutamise kaudu, märgitakse asjaomane sisukategooria ja filtreerimise või liigitamise eesmärgid ning</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teave selle kohta, kas ja kuidas meediavahendajale juurdepääsu ja selle säilitamist mõjutavad maksed või muud mitterahalised hüved</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Meediavahendaja pakkuja on vastavalt MStV § 93 lõike 1 punktile 2 kohustatud tegema läbipaistvaks sisu koondamise, valiku ja esitamise ning nende kaalumise kesksed kriteeriumid, sealhulgas teabe kasutatud algoritmide toimimise kohta.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Selleks peab meediavahendaja esitama eelkõige järgmise teabe: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meediavahendaja kasutatavate koondamise, valiku ja esituse kesksete kriteeriumide kirjeldus;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kesksete kriteeriumide suhtelise osakaalu kirjeldus üksteise suhtes ja mittekesksete kriteeriumide suhtes, ilma viimaseid läbipaistvaks tegemata;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kesksete kriteeriumidega taotletavate optimeerimiseesmärkide kirjeldus;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teave selle kohta, kas ja kuidas võib meediavahendaja sisu leitavust mõjutada tasude maksmine või muud otsesed või kaudsed tasustamiskaalutlused;</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sisu koondamise, valiku ja esitusviisi aluseks olevate põhiliste protsessietappide kirjeldus, sealhulgas teave, millised isiku- ja muud andmed kaasatakse koondamisse, valikusse ja esitamisse;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teave kasutatud isikupärastamise liigi ja ulatuse ning selle kohta, kas ja kuidas hinnatakse sisu asjakohasust vastava kasutaja jaoks;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teave selle kohta, kas ja millisel viisil võib kasutaja käitumine meediavahendajas mõjutada sisu koondamist, valikut ja esitust, sealhulgas viiteid mõjuvõimaluste kohta, mis on kasutajale kättesaadavad seadete ja osaliste funktsioonide kaudu, ja</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teave selle kohta, kas ja kuidas meediavahendaja oma sisu, sidusettevõtte sisu (aktsiaettevõtete akti (AktG) § 15) või koostööpartnerite sisu konkreetsel viisil koondamise, valiku ja/või esitlemise ajal käsitleb.</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MStV § 93 lõike 1 kohaselt läbipaistvaks tehtavate kriteeriumide olulised muudatused tuleb teha viivitamata märgatavaks.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Selleks peab meediavahendaja hoidma kättesaadavana ülevaate aja jooksul tehtud olulistest muudatustest.</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Kõik muud MStV § 93 lõike 1 kohaselt läbipaistvaks muudetavate kriteeriumide avalikustatakse vähemalt iga nelja kuu järel alates käesoleva põhikirja jõustumisest.</w:t>
      </w:r>
      <w:r>
        <w:rPr>
          <w:sz w:val="22"/>
          <w:rFonts w:ascii="Calibri" w:hAnsi="Calibri"/>
        </w:rPr>
        <w:t xml:space="preserve"> </w:t>
      </w:r>
      <w:r>
        <w:rPr>
          <w:sz w:val="22"/>
          <w:rFonts w:ascii="Calibri" w:hAnsi="Calibri"/>
        </w:rPr>
        <w:t xml:space="preserve">Vastavalt kohaldatakse lõiget 5.</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Lõige 3.</w:t>
      </w:r>
      <w:r>
        <w:rPr>
          <w:b/>
          <w:sz w:val="22"/>
          <w:rFonts w:ascii="Calibri" w:hAnsi="Calibri"/>
        </w:rPr>
        <w:t xml:space="preserve"> </w:t>
      </w:r>
      <w:r>
        <w:rPr>
          <w:b/>
          <w:sz w:val="22"/>
          <w:rFonts w:ascii="Calibri" w:hAnsi="Calibri"/>
        </w:rPr>
        <w:t xml:space="preserve">Mittediskrimineerimine</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 7 Üldised nõuded</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Meediavahendaja kohustus vastavalt MStV jaotise 94 lõikele 1 hõlmab ka ajakirjandusliku ja toimetatud pakkumise määratletavaid osi ja panuseid.</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Eriti suure mõju kindlaksmääramisel MStV § 94 lõike 1 tähenduses on määravaks meediavahendaja mõju ajakirjandusliku ja toimetatud sisu tajumisele arvamuse kujundamise protsessis.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Hindamisel võib eelkõige arvesse võtta</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meediavahendaja positsiooni asjaomastel turgudel;</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üldist ülevaadet kasutusest, näiteks kasutajate kasutamise, kasutajate arvu, kasutamise kestuse ja tegevuse või vaatamiste arvu põhjal kasutaja kohta.</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8</w:t>
      </w:r>
      <w:r>
        <w:rPr>
          <w:b/>
          <w:sz w:val="22"/>
          <w:rFonts w:ascii="Calibri" w:hAnsi="Calibri"/>
        </w:rPr>
        <w:br/>
      </w:r>
      <w:r>
        <w:rPr>
          <w:b/>
          <w:sz w:val="22"/>
          <w:rFonts w:ascii="Calibri" w:hAnsi="Calibri"/>
        </w:rPr>
        <w:t xml:space="preserve"> Süstemaatiline kõrvalekalle vastavalt esimese alternatiivse MStV § 94 lõikele 2</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Määrav hindamaks, kas esimese alternatiivse MStV § 94 lõike 2 rikkumine kohaldatakse, on</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kriteeriumid ja teave kriteeriumide kaalumise kohta, mida meediavahendaja avaldab MStV § 93 lõike 1 kohase kohustuse täitmiseks, või</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kriteeriumid ja teave kriteeriumide kaalumise kohta, mida meediavahendaja peaks avaldama, et täita MStV § 93 lõikes 1 sätestatud kohustust.</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Kõrvalekaldumist artikli 94 lõike 2, esimese alternatiivse MStV tähenduses loetakse olemasolevaks eelkõige juhul, kui meediavahendaja</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ei kohalda avaldatud kriteeriume või kriteeriume peale nende, mis avaldatakse MStV § 93 lõike 1 punkti 1 ja 2 kohaselt, või</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kaldub kõrvale sisu koondamise, valiku ja esituse kesksete kriteeriumide avaldatud kaalumisest.</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Kas kõrvalekaldumine § 94 lõike 2, esimese alternatiivse MStV tähenduses on süstemaatiline, määratakse kindlaks kõiki asjaolusid arvesse võttes.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Eelkõige võetakse arvesse kõrvalekalde kestust, korrektsust, kordust ja ajakava.</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Kõrvalekaldumine on õigustatud, kui see on objektiivselt põhjendatud.</w:t>
      </w:r>
      <w:r>
        <w:rPr>
          <w:sz w:val="22"/>
          <w:rFonts w:ascii="Calibri" w:hAnsi="Calibri"/>
        </w:rPr>
        <w:t xml:space="preserve"> </w:t>
      </w:r>
      <w:r>
        <w:rPr>
          <w:sz w:val="22"/>
          <w:rFonts w:ascii="Calibri" w:hAnsi="Calibri"/>
        </w:rPr>
        <w:t xml:space="preserve">Selle põhjused võivad olla eelkõige järgmised:</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õiguslikud keelud või juriidilised kohustused;</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kasutajale esitamise tehnilised tingimused;</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teenuse terviklikkuse kaitsmise nõuded.</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Objektiivselt põhjendatud põhjuse olemasolu hinnatakse pärast asjaomaste poolte huvide kaalumist, võttes arvesse MStV eesmärki tagada arvamuste mitmekesisus.</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Põhjendamatu takistamine vastavalt § 94 lõikele 2, teine alternatiivne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Takistamine teise alternatiivse MStV § 94 lõike 2 tähenduses on ajakirjanduslikule ja toimetatud pakkumisele juurdepääsu või selle leitavuse otsene või kaudne kahjustamine.</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Vastavalt kohaldatakse § 8 lõiget 1.</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Seoses takistusega § 94 lõike 2 tähenduses tuleb teine alternatiivne MStV kindlaks määrata kõigi asjaolude üldisest vaatest lähtudes.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Arvesse tuleb võtta takistuse kestust, regulaarsust, korduvust ja regulaarsust.</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Takistamise põhjendamatut iseloomu hinnatakse poolte huvide vahelise tasakaalu alusel, võttes arvesse MStV eesmärki kaitsta arvamuste mitmekesisust.</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Takistamise põhjendamatus võib tuleneda üksikutest kriteeriumidest või mitme kriteeriumi kumulatiivsest koostoimest.</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Lõige 4.</w:t>
      </w:r>
      <w:r>
        <w:rPr>
          <w:b/>
          <w:sz w:val="22"/>
          <w:rFonts w:ascii="Calibri" w:hAnsi="Calibri"/>
        </w:rPr>
        <w:t xml:space="preserve"> </w:t>
      </w:r>
      <w:r>
        <w:rPr>
          <w:b/>
          <w:sz w:val="22"/>
          <w:rFonts w:ascii="Calibri" w:hAnsi="Calibri"/>
        </w:rPr>
        <w:t xml:space="preserve">Menetlus ja uurimine</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ZAKi pädevus</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Käesoleva põhikirja raames täidetavate ülesannete täitmiseks on sobivaks organiks pädeva föderaalse meediaasutuse litsentsimise ja järelevalve komisjon (ZAK) (MStV § 104 lõike 2 esimese lause punkt 1, § 105 lõike 1 esimese lause punkt 10 koostoimes ZAKi töökorraga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Pädev föderaalne meediaasutus edastab § 11 kohaselt ühisameti kaudu viivitamata kaebused ZAKile ja teavitab teda </w:t>
      </w:r>
      <w:r>
        <w:rPr>
          <w:sz w:val="22"/>
          <w:i/>
          <w:iCs/>
          <w:rFonts w:ascii="Calibri" w:hAnsi="Calibri"/>
        </w:rPr>
        <w:t xml:space="preserve">ex officio</w:t>
      </w:r>
      <w:r>
        <w:rPr>
          <w:sz w:val="22"/>
          <w:rFonts w:ascii="Calibri" w:hAnsi="Calibri"/>
        </w:rPr>
        <w:t xml:space="preserve"> uurimistest.</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ZAK viib menetluse läbi kuni otsuse valmimiseni.</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Diskrimineerimisvastane menetlus</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Riigi pädev meediaasutus uurib ZAKi kaudu kaebuse või ilmsete </w:t>
      </w:r>
      <w:r>
        <w:rPr>
          <w:sz w:val="22"/>
          <w:i/>
          <w:iCs/>
          <w:rFonts w:ascii="Calibri" w:hAnsi="Calibri"/>
        </w:rPr>
        <w:t xml:space="preserve">ex officio</w:t>
      </w:r>
      <w:r>
        <w:rPr>
          <w:sz w:val="22"/>
          <w:rFonts w:ascii="Calibri" w:hAnsi="Calibri"/>
        </w:rPr>
        <w:t xml:space="preserve"> juhtumite põhjal, kas meediavahendusteenuse pakkuja rikub MStV § 94 lõigete 1 ja 2 või §-de 8 ja 9 sätteid.</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Edasikaebamise õigus MStV § 94 lõike 3 esimese lause tähenduses on</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ajakirjandusliku ja toimetatud sisu pakkujatel ja</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meediaplatvormide ning kasutajaliideste pakkujatel, kui nad kaebavad nende pakutavate ajakirjandusliku ja toimetatud sisu pakettide diskrimineerimise üle.</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Kaebuse esitaja põhjendab oma kaebust.</w:t>
      </w:r>
      <w:r>
        <w:rPr>
          <w:sz w:val="22"/>
          <w:rFonts w:ascii="Calibri" w:hAnsi="Calibri"/>
        </w:rPr>
        <w:t xml:space="preserve"> </w:t>
      </w:r>
      <w:r>
        <w:rPr>
          <w:sz w:val="22"/>
          <w:rFonts w:ascii="Calibri" w:hAnsi="Calibri"/>
        </w:rPr>
        <w:t xml:space="preserve">Selleks tuleb esitada asjakohased tõendid, mis tõendavad tema ajakirjandusliku ja toimetatud sisu väidetavat diskrimineerimist MStV § 94 lõike 2 või §-de 8 ja 9 tähenduses.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Eelkõige võib esitada järgmist:</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hinnangud oma ajakirjandusliku ja toimetatud sisu leitavuse kohta meediavahendajas ja</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sobivad uuringud.</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Lisaks esitab kaebuse esitaja võimaluse korral asjakohased tõendid, mille alusel on piisavalt tõendeid meediavahendaja eriti suure mõju kohta ajakirjandusliku ja toimetatud sisu tajumisele MStV § 94 lõike 1 tähenduses.</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Ilmne juhtum vastavalt MStV § 94 lõike 3 lausele 2 ja (1) on olemas juhul, kui diskrimineerimiskeelu rikkumise asjaolud on kolmandate isikute jaoks selgelt tuvastatavad.</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Parandusmeetmed</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Kui pädev föderaalne meediaasutus teeb ZAKi kaudu kindlaks, et meediavahendaja on rikkunud MStV §e 92–94 või käesoleva põhikirja sätteid, parandab meediavahendaja viivitamata meediavahendajat.</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Meediavahendaja on kohustatud esitama asjakohasel ja arusaadaval viisil tõendid selle kohta, et föderaalne meediaasutus on selle parandamisega seotud.</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Teave ja dokumentide esitamine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Võimaliku rikkumise kontrollimiseks on meediavahendaja kohustatud esitama kogu vajaliku teabe, tegema teabe kättesaadavaks ja esitama dokumendid.</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Pädev föderaalne meediaasutus võib eelkõige</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nõuda kõikide dokumentide esitamist, mis tõendavad kriteeriume MStV § 93 lõike 1 punkti 1 tähenduses või keskseid kriteeriume ja nende kaalumise liiva, samuti MStV § 93 lõike 1 punkti 2 tähenduses kasutatavate algoritmide toimimist;</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kuulata tunnistajatena ära meediavahendaja töötajad, kes on seotud kriteeriumide määratlemise, tehnilise rakendamise ja muutmisega vastavalt MStV § 93 lõike 1 punktile või kesksete kriteeriumide ja nende kaaluga ning samuti MStV § 93 lõike 1 punkti 2 tähenduses kasutatavate algoritmidega;</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nõuda meediavahendajalt tunnistusi MStV § 93 lõike 1 ja § 6 kohaselt läbipaistvaks muudetava teabe kohta;</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nõuda selliste lepinguliste kokkulepete, kohustuste või muude kohustuste esitamist, mis on objektiivselt seotud sisule juurdepääsu ja selle säilitamisega meediavahendaja poolt, eelkõige niivõrd, kuivõrd need käsitlevad ajakirjandusliku ja toimetatud sisu lisamist, esitamist ja säilitamist.</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Lõikes 1 osutatud dokumentide esitamisel märgib meediavahendaja dokumentide need osad, mis sisaldavad äri- või ametisaladusi.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Sellisel juhul peavad nad esitama ka versiooni, mida kolmandad isikud saavad nende seisukohast vaadata äri- või ametisaladusi avaldamata.</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Kui seda ei tehta, võib föderaalne meediaasutus nõuda kontrolliks nõusolekut, välja arvatud juhul, kui ta on teadlik erilistest asjaoludest, mis sellist eeldust ei õigusta.</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Kui föderaalne meediaasutus leiab, et dokumentide märgistamine äri- või ärisaladusena on põhjendamatu, peab ta andma teenuseosutajale võimaluse esitada oma märkused enne kolmandatele isikutele juurdepääsu võimaldamise üle otsustamist.</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Lõige 5.</w:t>
      </w:r>
      <w:r>
        <w:rPr>
          <w:b/>
          <w:sz w:val="22"/>
          <w:rFonts w:ascii="Calibri" w:hAnsi="Calibri"/>
        </w:rPr>
        <w:t xml:space="preserve"> </w:t>
      </w:r>
      <w:r>
        <w:rPr>
          <w:b/>
          <w:sz w:val="22"/>
          <w:rFonts w:ascii="Calibri" w:hAnsi="Calibri"/>
        </w:rPr>
        <w:t xml:space="preserve">Lõppsätted</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Hindamine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ZAK vaatab käesoleva põhikirja läbi vähemalt iga kolme aasta järel, võttes eelkõige arvesse:</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käesoleva põhikirja praktilisel kohaldamisel saadud kogemusi;</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tehnilisi ja majanduslikke arenguid õigusvaldkonnas;</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üksikute meediavahendajate tähtsust avaliku arvamuse kujundamisel;</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kaasreguleerimist, näiteks kogu tööstusharu hõlmavaid kohustusi;</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läbipaistvuse ja diskrimineerimise alaste teadusuuringute arengut;</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teadusuuringute ja teaduse arengut andmete analüüsi, tehisintellekti ja masinõppe vallas.</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Jõustumine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Käesolev põhikiri jõustub 1. septembril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Kui kõik föderaalsed meediaasutused ei ole 31. augustiks 2021 vastavaid seadusi jõustanud ega avaldanud, aegub käesolev põhikiri.</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Föderaalse meediaameti (DLM) direktorite konverentsi esimees avaldab Internetis kaubamärgi „die medienanstalten“ all, kas kõik föderaalsed meediaasutused on 2. lauses määratud tähtaja jooksul jõustanud ja avaldanud vastava põhikirja.</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w:t>
      </w:r>
      <w:r>
        <w:rPr>
          <w:rFonts w:asciiTheme="minorHAnsi" w:hAnsiTheme="minorHAnsi"/>
        </w:rPr>
        <w:t xml:space="preserve">Eeskirjade eelnõust on teatatud kooskõlas Euroopa Parlamendi ja nõukogu 9. septembri 2015. aasta direktiiviga (EL) 2015/1535, millega nähakse ette tehnilistest eeskirjadest ning infoühiskonna teenuste eeskirjadest teatamise kord (ELT L 241, 17.9.2015, lk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et-EE"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