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322" w:rsidRPr="00FC0D01" w:rsidRDefault="00251322" w:rsidP="00251322">
      <w:pPr>
        <w:spacing w:before="120" w:line="320" w:lineRule="exact"/>
        <w:rPr>
          <w:sz w:val="16"/>
          <w:szCs w:val="16"/>
          <w:rFonts w:ascii="Verdana" w:hAnsi="Verdana"/>
        </w:rPr>
      </w:pPr>
      <w:r>
        <w:rPr>
          <w:sz w:val="16"/>
          <w:rFonts w:ascii="Verdana" w:hAnsi="Verdana"/>
        </w:rPr>
        <w:t xml:space="preserve">Som vid:</w:t>
      </w:r>
      <w:r>
        <w:rPr>
          <w:sz w:val="16"/>
          <w:rFonts w:ascii="Verdana" w:hAnsi="Verdana"/>
        </w:rPr>
        <w:t xml:space="preserve"> </w:t>
      </w:r>
      <w:r>
        <w:rPr>
          <w:sz w:val="16"/>
          <w:rFonts w:ascii="Verdana" w:hAnsi="Verdana"/>
        </w:rPr>
        <w:t xml:space="preserve">2021-03-15</w:t>
      </w:r>
    </w:p>
    <w:p w:rsidR="002C21BC" w:rsidRPr="00B93BDE" w:rsidRDefault="009C24A4">
      <w:pPr>
        <w:rPr>
          <w:sz w:val="22"/>
          <w:szCs w:val="22"/>
          <w:rFonts w:ascii="Calibri" w:hAnsi="Calibri"/>
        </w:rPr>
      </w:pPr>
      <w:r>
        <w:rPr>
          <w:sz w:val="22"/>
          <w:rFonts w:ascii="Calibri" w:hAnsi="Calibri"/>
        </w:rPr>
        <w:t xml:space="preserve">__________________________________________________________________________________</w:t>
      </w:r>
    </w:p>
    <w:p w:rsidR="009C24A4" w:rsidRPr="009C24A4" w:rsidRDefault="009C24A4" w:rsidP="003564B3">
      <w:pPr>
        <w:autoSpaceDE w:val="0"/>
        <w:autoSpaceDN w:val="0"/>
        <w:adjustRightInd w:val="0"/>
        <w:spacing w:line="276" w:lineRule="auto"/>
        <w:jc w:val="center"/>
        <w:rPr>
          <w:rFonts w:ascii="Calibri" w:hAnsi="Calibri"/>
          <w:sz w:val="22"/>
          <w:szCs w:val="22"/>
        </w:rPr>
      </w:pPr>
    </w:p>
    <w:p w:rsidR="008C60A0" w:rsidRPr="008C60A0" w:rsidRDefault="00D87095" w:rsidP="003564B3">
      <w:pPr>
        <w:spacing w:line="276" w:lineRule="auto"/>
        <w:jc w:val="center"/>
        <w:rPr>
          <w:b/>
          <w:sz w:val="22"/>
          <w:szCs w:val="22"/>
          <w:rFonts w:ascii="Calibri" w:eastAsia="Calibri" w:hAnsi="Calibri"/>
        </w:rPr>
      </w:pPr>
      <w:r>
        <w:rPr>
          <w:b/>
          <w:sz w:val="22"/>
          <w:rFonts w:ascii="Calibri" w:hAnsi="Calibri"/>
        </w:rPr>
        <w:t xml:space="preserve">Stadgan om förordningen om medieförmedling enligt § 96 i det statliga mediefördraget</w:t>
      </w:r>
    </w:p>
    <w:p w:rsidR="008C60A0" w:rsidRPr="008C60A0" w:rsidRDefault="008C60A0" w:rsidP="003564B3">
      <w:pPr>
        <w:spacing w:line="276" w:lineRule="auto"/>
        <w:jc w:val="center"/>
        <w:rPr>
          <w:b/>
          <w:sz w:val="22"/>
          <w:szCs w:val="22"/>
          <w:rFonts w:ascii="Calibri" w:eastAsia="Calibri" w:hAnsi="Calibri"/>
        </w:rPr>
      </w:pPr>
      <w:r>
        <w:rPr>
          <w:b/>
          <w:sz w:val="22"/>
          <w:rFonts w:ascii="Calibri" w:hAnsi="Calibri"/>
        </w:rPr>
        <w:br/>
      </w:r>
      <w:r>
        <w:rPr>
          <w:b/>
          <w:sz w:val="22"/>
          <w:rFonts w:ascii="Calibri" w:hAnsi="Calibri"/>
        </w:rPr>
        <w:t xml:space="preserve">(MI-stadga)</w:t>
      </w:r>
    </w:p>
    <w:p w:rsidR="008C60A0" w:rsidRPr="008C60A0" w:rsidRDefault="008C60A0" w:rsidP="003564B3">
      <w:pPr>
        <w:spacing w:line="276" w:lineRule="auto"/>
        <w:jc w:val="center"/>
        <w:rPr>
          <w:b/>
          <w:sz w:val="22"/>
          <w:szCs w:val="22"/>
          <w:rFonts w:ascii="Calibri" w:eastAsia="Calibri" w:hAnsi="Calibri"/>
        </w:rPr>
      </w:pPr>
      <w:r>
        <w:rPr>
          <w:sz w:val="22"/>
          <w:rFonts w:ascii="Calibri" w:hAnsi="Calibri"/>
        </w:rPr>
        <w:br/>
      </w:r>
      <w:r>
        <w:rPr>
          <w:sz w:val="22"/>
          <w:b/>
          <w:rFonts w:ascii="Calibri" w:hAnsi="Calibri"/>
        </w:rPr>
        <w:t xml:space="preserve">av ...</w:t>
      </w:r>
    </w:p>
    <w:p w:rsidR="008C60A0" w:rsidRPr="008C60A0" w:rsidRDefault="008C60A0" w:rsidP="003564B3">
      <w:pPr>
        <w:spacing w:line="276" w:lineRule="auto"/>
        <w:jc w:val="center"/>
        <w:rPr>
          <w:rFonts w:ascii="Calibri" w:eastAsia="Calibri" w:hAnsi="Calibri"/>
          <w:sz w:val="22"/>
          <w:szCs w:val="22"/>
          <w:lang w:eastAsia="en-US"/>
        </w:rPr>
      </w:pPr>
    </w:p>
    <w:p w:rsidR="008C60A0" w:rsidRPr="008C60A0" w:rsidRDefault="008C60A0" w:rsidP="003564B3">
      <w:pPr>
        <w:spacing w:line="276" w:lineRule="auto"/>
        <w:rPr>
          <w:bCs/>
          <w:sz w:val="22"/>
          <w:szCs w:val="22"/>
          <w:rFonts w:ascii="Calibri" w:eastAsia="Calibri" w:hAnsi="Calibri"/>
        </w:rPr>
      </w:pPr>
      <w:r>
        <w:rPr>
          <w:sz w:val="22"/>
          <w:rFonts w:ascii="Calibri" w:hAnsi="Calibri"/>
        </w:rPr>
        <w:t xml:space="preserve">På grundval av § 96, mening 1 i det statliga mediefördraget (MStV) från den 14 till den 28 april 2020 (... referens), ska [namnet på den federala statliga mediemyndigheten], i samförstånd med de övriga federala statliga mediemyndigheterna, härmed anta följande stadgar:</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Del 1:</w:t>
      </w:r>
      <w:r>
        <w:rPr>
          <w:b/>
          <w:sz w:val="22"/>
          <w:rFonts w:ascii="Calibri" w:hAnsi="Calibri"/>
        </w:rPr>
        <w:t xml:space="preserve"> </w:t>
      </w:r>
      <w:r>
        <w:rPr>
          <w:b/>
          <w:sz w:val="22"/>
          <w:rFonts w:ascii="Calibri" w:hAnsi="Calibri"/>
        </w:rPr>
        <w:t xml:space="preserve">Allmänna bestämmelser</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1 §</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Syfte och mål</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(1) I enlighet med § 96 i MStV ska denna stadga reglera närmare bestämmelser om materiella och förfarandemässiga bestämmelser för reglering av medieförmedlare och leverantörer av medieförmedlare (§§ 91 till 95, MStV).</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(2) Denna stadga syftar till att skydda mångfalden av åsikter (utbuds- och leverantörsmångfald).</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(3) Medieförmedlarnas vägledande roll för respektive användargrupper ska beaktas vid tillämpningen av denna stadga.</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2 §</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Tillämpningsområde</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Tillämpningsområdet för stadgan omfattar medieförmedlare, integrerade medieförmedlare och deras leverantörer.</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Begreppet ”integrerad medieförmedlare” enligt § 91 (1) i MStV omfattar all integration av en mellanliggande funktion i tredje parts erbjudanden, vilket gör det möjligt för användare av tredjepartserbjudanden att använda mellanhandsfunktionen.</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(2) Antalet användare enligt § 91(2) stycke 1 MStV är summan av de unika månatliga användarna.</w:t>
      </w:r>
      <w:r>
        <w:rPr>
          <w:sz w:val="22"/>
          <w:rFonts w:ascii="Calibri" w:hAnsi="Calibri"/>
        </w:rPr>
        <w:t xml:space="preserve"> </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(3) Om leverantören av en medieförmedlare hänvisar till förordningen i § 91(2), stycke 1 i MStV, ska den på begäran av den behöriga federala mediemyndigheten inom en månad presentera och styrka antalet användare och lämna in de dokument och upplysningar som krävs för undersökningen.</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(4) Om förmedlarfunktionen ännu inte har erbjudits eller har erbjudits i mindre än sex månader, ska leverantören av medieförmedlaren på begäran av den behöriga federala mediemyndigheten göra en prognos för hur antalet användare ökar i den mening som avses i § 91 (2), stycke 1 i MStV och tillhandahålla trovärdiga bevis samt lämna in de handlingar och upplysningar som krävs för undersökningen.</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3 §</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Behörigt ombud</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(1) Ett auktoriserat ombud kan vara en fysisk eller juridisk person.</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Fysiska personer måste ha sin hemvist eller stadigvarande hemvist, juridiska personer måste ha sitt säte i Förbundsrepubliken Tyskland.</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En adress som kan kallas ska anges.</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(3) Kraven enligt 92 §, mening 1, andra halvan i MStV är vanligtvis uppfyllda om den auktoriserade agenten är angiven inom ramen för de uppgifter som krävs enligt § 5 (1) i Telemedia Act (TMG) och § 18 (1) MStV.</w:t>
      </w: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Del 2:</w:t>
      </w:r>
      <w:r>
        <w:rPr>
          <w:b/>
          <w:sz w:val="22"/>
          <w:rFonts w:ascii="Calibri" w:hAnsi="Calibri"/>
        </w:rPr>
        <w:t xml:space="preserve"> </w:t>
      </w:r>
      <w:r>
        <w:rPr>
          <w:b/>
          <w:sz w:val="22"/>
          <w:rFonts w:ascii="Calibri" w:hAnsi="Calibri"/>
        </w:rPr>
        <w:t xml:space="preserve">Öppenhet</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4 §</w:t>
      </w:r>
    </w:p>
    <w:p w:rsidR="00D87095" w:rsidRDefault="00D87095" w:rsidP="00D87095">
      <w:pPr>
        <w:spacing w:line="276" w:lineRule="auto"/>
        <w:jc w:val="center"/>
        <w:rPr>
          <w:b/>
          <w:sz w:val="22"/>
          <w:szCs w:val="22"/>
          <w:rFonts w:ascii="Calibri" w:eastAsia="Calibri" w:hAnsi="Calibri"/>
        </w:rPr>
      </w:pPr>
      <w:r>
        <w:rPr>
          <w:b/>
          <w:sz w:val="22"/>
          <w:rFonts w:ascii="Calibri" w:hAnsi="Calibri"/>
        </w:rPr>
        <w:t xml:space="preserve">Syfte och mål</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Bestämmelserna i detta avsnitt är avsedda att säkerställa att lämplig insyn skapas för användare av medieförmedlare med avseende på den information som anges i § 93 (1) MStV och § 6 (information som ska göras öppen).</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Detta bör särskilt möjliggöra en välgrundad användning av medieförmedlaren när det gäller aggregering, urval och presentation av journalistiskt-redaktionellt innehåll.</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De vänder sig också till leverantörerna av journalistiskt-redaktionellt innehåll.</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5 §</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Formella krav</w:t>
      </w:r>
    </w:p>
    <w:p w:rsidR="00D87095" w:rsidRPr="00D87095" w:rsidRDefault="00D87095"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(1) Information enligt § 93 (1) MStV, ändringar enligt § 93 (3) MStV och information enligt § 6 ska vara transparent på tyska.</w:t>
      </w:r>
    </w:p>
    <w:p w:rsidR="002A4057" w:rsidRPr="00D87095"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Information som ska göras öppen är lätt att uppfatta i den mening som avses i § 93 i MStV, om den placeras i en klart märkbar position för en genomsnittlig användare, med beaktande av medieförmedlarens typiska användningssituation.</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Detta är vanligtvis fallet om den information som ska göras öppen uppenbarligen kan särskiljas från resten av innehållet och den är direkt relaterad till inmatnings- eller navigeringsalternativ som är nödvändiga för användningen av medieförmedlaren.</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När du använder en webblänk som hänvisar till den information som ska göras transparent gäller ovanstående krav i enlighet med detta.</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(3)</w:t>
      </w:r>
      <w:r>
        <w:rPr>
          <w:sz w:val="22"/>
          <w:vertAlign w:val="superscript"/>
          <w:rFonts w:ascii="Calibri" w:hAnsi="Calibri"/>
        </w:rPr>
        <w:t xml:space="preserve">1</w:t>
      </w:r>
      <w:r>
        <w:rPr>
          <w:sz w:val="22"/>
          <w:rFonts w:ascii="Calibri" w:hAnsi="Calibri"/>
        </w:rPr>
        <w:t xml:space="preserve">Information som ska göras öppen är omedelbart tillgänglig i den mening som avses i § 93 i MStV, om den är märkbar för användaren utan betydande mellanliggande steg.</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Detta är särskilt inte fallet om informationen är tillgänglig med mer än två webblänkar och/eller hämtningen av informationen görs beroende av förhandsregistrering eller inloggning.</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(4) Information som ska göras transparent är alltid tillgänglig i den mening som avses i § 93 i MStV, om användaren kan komma åt den när som helst.</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(5) Information som ska göras öppen tillhandahålls på ett begripligt språk i den mening som avses i § 93 i MStV, om den kan ge genomsnittsanvändaren den grundläggande förståelsen av de omständigheter som avses i § 93(1) i MStV som krävs för informerad användning av medieförmedlaren.</w:t>
      </w:r>
    </w:p>
    <w:p w:rsidR="002A4057" w:rsidRDefault="002A4057"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(6) Om användningen av medieförmedlaren i huvudsak är röststyrd bör den information som ska göras öppen också återges akustiskt på användarens begäran, vilket innebär att en akustisk uppgift om var den information som ska göras öppen tillhandahålls är tillräcklig.</w:t>
      </w: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6 §</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Informationsskyldigheter</w:t>
      </w:r>
    </w:p>
    <w:p w:rsidR="00D87095" w:rsidRPr="00D87095" w:rsidRDefault="00D87095" w:rsidP="002A4057">
      <w:pPr>
        <w:spacing w:line="276" w:lineRule="auto"/>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Tillhandahållare av en medieförmedlare är skyldig att ge insyn i de kriterier som avgör tillgången till innehåll till en medieförmedlare och dess bibehållande (§ 93(1), stycke 1 i MStV).</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För detta ändamål ska leverantören av en medieförmedlare särskilt lämna följande information:</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En beskrivning av de tekniska, ekonomiska, leverantörsrelaterade, användarrelaterade och innehållsrelaterade villkoren för att avgöra om innehållet görs märkbart genom en medieförmedlare,</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i det fall visst innehåll filtreras, nedgraderas eller uppgraderas med avseende på mottaglighet när det gäller åtkomst till och kvar i medieförmedlaren, särskilt genom användning av automatiska system, ska den berörda innehållskategorin och de mål som eftersträvas med filtreringen eller klassificeringen anges och</w:t>
      </w:r>
    </w:p>
    <w:p w:rsid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information om huruvida och i så fall hur tillgången till och bevarandet av medieförmedlarens innehåll påverkas eller kan påverkas av betalningar eller andra direkta eller indirekta naturaförmåner</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Tillhandahållare av en medieförmedlare är enligt § 93(1), stycke 2 i MStV skyldig att ge insyn i de centrala kriterierna för aggregering, urval och presentation av innehåll och dess viktning, inklusive information om hur de algoritmer som används fungerar.</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För detta ändamål ska leverantören av en medieförmedlare särskilt lämna följande information:</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en beskrivning av de centrala kriterier för aggregering, urval och presentation som används av medieförmedlaren,</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en beskrivning av den relativa viktningen av de centrala kriterierna i förhållande till varandra och i förhållande till icke-centrala kriterier, utan att göra dessa öppna,</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en beskrivning av de optimeringsmål som eftersträvas med de centrala kriterierna,</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information om huruvida och, i så fall, hur innehållet i medieförmedlaren är eller kan påverkas av betalning av avgifter eller andra direkta eller indirekta ersättningsöverväganden,</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en beskrivning av de grundläggande processsteg som ligger till grund för aggregeringen, urvalet och presentationen av innehållet, inbegripet vilka personuppgifter och andra uppgifter som ingår i aggregeringen, urvalet och presentationen,</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information om typ och omfattning av personalisering som används och om, och i så fall, hur innehållet bedöms med avseende på relevans för respektive användare,</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information om huruvida och, i så fall, på vilket sätt användarnas beteende i medieförmedlaren kan påverka aggregeringen, urvalet och presentationen av innehållet, inklusive uppgifter om vilka möjligheter till inflytande som är tillgängliga för användaren genom inställningar och partiella funktioner och</w:t>
      </w:r>
    </w:p>
    <w:p w:rsid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information om huruvida och, i så fall, hur leverantören av en medieförmedlare behandlar sitt eget innehåll eller innehåll i ett anknutet företag (§ 15 i Aktiebolagslagen (AktG)) eller innehållet i samarbetspartners på ett särskilt sätt under aggregering, urval och/eller presentation.</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Viktiga ändringar av de kriterier som ska göras öppna enligt § 93(1) i MStV ska göras omedelbart märkbara.</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För detta ändamål ska leverantören av en medieförmedlare hålla tillgänglig en översikt över de betydande förändringar som gjorts över tiden.</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Alla övriga ändringar av de kriterier som ska göras öppna enligt § 93(1) i MStV ska offentliggöras minst var fjärde månad efter det att denna stadga har trätt i kraft.</w:t>
      </w:r>
      <w:r>
        <w:rPr>
          <w:sz w:val="22"/>
          <w:rFonts w:ascii="Calibri" w:hAnsi="Calibri"/>
        </w:rPr>
        <w:t xml:space="preserve"> </w:t>
      </w:r>
      <w:r>
        <w:rPr>
          <w:sz w:val="22"/>
          <w:rFonts w:ascii="Calibri" w:hAnsi="Calibri"/>
        </w:rPr>
        <w:t xml:space="preserve">§ 5 ska tillämpas i enlighet med detta.</w:t>
      </w:r>
    </w:p>
    <w:p w:rsidR="00D87095" w:rsidRDefault="00D87095" w:rsidP="002A4057">
      <w:pPr>
        <w:spacing w:line="276" w:lineRule="auto"/>
        <w:jc w:val="center"/>
        <w:rPr>
          <w:rFonts w:ascii="Calibri" w:eastAsia="Calibri" w:hAnsi="Calibri"/>
          <w:b/>
          <w:sz w:val="22"/>
          <w:szCs w:val="22"/>
          <w:lang w:eastAsia="en-US"/>
        </w:rPr>
      </w:pP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jc w:val="center"/>
        <w:rPr>
          <w:b/>
          <w:sz w:val="22"/>
          <w:szCs w:val="22"/>
          <w:rFonts w:ascii="Calibri" w:eastAsia="Calibri" w:hAnsi="Calibri"/>
        </w:rPr>
      </w:pPr>
      <w:r>
        <w:rPr>
          <w:b/>
          <w:sz w:val="22"/>
          <w:rFonts w:ascii="Calibri" w:hAnsi="Calibri"/>
        </w:rPr>
        <w:t xml:space="preserve">Del 3:</w:t>
      </w:r>
      <w:r>
        <w:rPr>
          <w:b/>
          <w:sz w:val="22"/>
          <w:rFonts w:ascii="Calibri" w:hAnsi="Calibri"/>
        </w:rPr>
        <w:t xml:space="preserve"> </w:t>
      </w:r>
      <w:r>
        <w:rPr>
          <w:b/>
          <w:sz w:val="22"/>
          <w:rFonts w:ascii="Calibri" w:hAnsi="Calibri"/>
        </w:rPr>
        <w:t xml:space="preserve">Icke-diskriminering</w:t>
      </w:r>
    </w:p>
    <w:p w:rsidR="00D87095" w:rsidRPr="00D87095" w:rsidRDefault="00D87095" w:rsidP="002A4057">
      <w:pPr>
        <w:spacing w:line="276" w:lineRule="auto"/>
        <w:jc w:val="center"/>
        <w:rPr>
          <w:rFonts w:ascii="Calibri" w:eastAsia="Calibri" w:hAnsi="Calibri"/>
          <w:b/>
          <w:sz w:val="22"/>
          <w:szCs w:val="22"/>
          <w:lang w:eastAsia="en-US"/>
        </w:rPr>
      </w:pPr>
    </w:p>
    <w:p w:rsidR="00D87095" w:rsidRDefault="00D87095" w:rsidP="002A4057">
      <w:pPr>
        <w:spacing w:line="276" w:lineRule="auto"/>
        <w:jc w:val="center"/>
        <w:rPr>
          <w:b/>
          <w:sz w:val="22"/>
          <w:szCs w:val="22"/>
          <w:rFonts w:ascii="Calibri" w:eastAsia="Calibri" w:hAnsi="Calibri"/>
        </w:rPr>
      </w:pPr>
      <w:r>
        <w:rPr>
          <w:b/>
          <w:sz w:val="22"/>
          <w:rFonts w:ascii="Calibri" w:hAnsi="Calibri"/>
        </w:rPr>
        <w:t xml:space="preserve">§ 7</w:t>
      </w:r>
      <w:r>
        <w:rPr>
          <w:b/>
          <w:sz w:val="22"/>
          <w:rFonts w:ascii="Calibri" w:hAnsi="Calibri"/>
        </w:rPr>
        <w:br/>
      </w:r>
      <w:r>
        <w:rPr>
          <w:b/>
          <w:sz w:val="22"/>
          <w:rFonts w:ascii="Calibri" w:hAnsi="Calibri"/>
        </w:rPr>
        <w:t xml:space="preserve">Allmänna bestämmelser</w:t>
      </w:r>
    </w:p>
    <w:p w:rsidR="002A4057" w:rsidRPr="00D87095" w:rsidRDefault="002A4057" w:rsidP="002A4057">
      <w:pPr>
        <w:spacing w:line="276" w:lineRule="auto"/>
        <w:jc w:val="center"/>
        <w:rPr>
          <w:rFonts w:ascii="Calibri" w:eastAsia="Calibri" w:hAnsi="Calibri"/>
          <w:b/>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En medieförmedlares skyldighet enligt avsnitt 94(1) i MStV omfattar också definierbara delar och bidrag till ett journalistiskt-redaktionellt erbjudande.</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Vid fastställandet av ett särskilt stort inflytande i den mening som avses i § 94(1) i MStV är medieförmedlarens inflytande på det journalistiska och redaktionella innehållets känslighet i opinionsbildningsprocessen avgörande.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Vid bedömningen får särskilt hänsyn tas till</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medieförmedlarens ställning på respektive relevanta marknader;</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en övergripande bild av användningen, till exempel på grundval av tillgängliga användningsområde, användarnummer, användarnas varaktighet och aktivitet eller antal visningar per användare.</w:t>
      </w:r>
      <w:r>
        <w:rPr>
          <w:sz w:val="22"/>
          <w:rFonts w:ascii="Calibri" w:hAnsi="Calibri"/>
        </w:rPr>
        <w:t xml:space="preserve"> </w:t>
      </w:r>
    </w:p>
    <w:p w:rsidR="002A4057" w:rsidRPr="002A4057"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 8</w:t>
      </w:r>
      <w:r>
        <w:rPr>
          <w:b/>
          <w:sz w:val="22"/>
          <w:rFonts w:ascii="Calibri" w:hAnsi="Calibri"/>
        </w:rPr>
        <w:br/>
      </w:r>
      <w:r>
        <w:rPr>
          <w:b/>
          <w:sz w:val="22"/>
          <w:rFonts w:ascii="Calibri" w:hAnsi="Calibri"/>
        </w:rPr>
        <w:t xml:space="preserve">Systematisk avvikelse enligt § 94(2), första alternativet MStV</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Avgörande för bedömningen av huruvida en överträdelse av § 94(2) första alternativet MStV är tillämplig</w:t>
      </w:r>
    </w:p>
    <w:p w:rsidR="00D87095" w:rsidRP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är kriterierna och informationen om viktningen av de kriterier som medieförmedlaren offentliggör för att fullgöra sin skyldighet enligt § 93(1) i MStV eller</w:t>
      </w:r>
    </w:p>
    <w:p w:rsid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kriterier och uppgifter om viktningen av de kriterier som medieförmedlaren måste offentliggöra för att fullgöra sin skyldighet enligt § 93(1) i MStV.</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En avvikelse i den mening som avses i § 94(2),första alternativet MStV ska anses föreligga, särskilt om leverantören av en medieförmedlare</w:t>
      </w:r>
      <w:r>
        <w:rPr>
          <w:sz w:val="22"/>
          <w:rFonts w:ascii="Calibri" w:hAnsi="Calibri"/>
        </w:rPr>
        <w:t xml:space="preserve"> </w:t>
      </w:r>
    </w:p>
    <w:p w:rsidR="00D87095" w:rsidRP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inte tillämpar andra offentliggjorda kriterier eller kriterier än de som ska offentliggöras enligt § 93(1), stycke 1 och 2 i MstV, eller</w:t>
      </w:r>
    </w:p>
    <w:p w:rsid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avviker från den offentliggjorda viktningen av de centrala kriterierna för aggregering, urval och presentation av innehåll.</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Oavsett om en avvikelse i den mening som avses i § 94 (2), första alternativet i MStV är systematiskt ska fastställas på grundval av en helhetssyn av alla omständigheter.</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Särskilt ska hänsyn tas till avvikelsens varaktighet, regelbundenhet, upprepning och schemaläggning.</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(4) En avvikelse är motiverad om detta beror på ett objektivt motiverat skäl.</w:t>
      </w:r>
      <w:r>
        <w:rPr>
          <w:sz w:val="22"/>
          <w:rFonts w:ascii="Calibri" w:hAnsi="Calibri"/>
        </w:rPr>
        <w:t xml:space="preserve"> </w:t>
      </w:r>
      <w:r>
        <w:rPr>
          <w:sz w:val="22"/>
          <w:rFonts w:ascii="Calibri" w:hAnsi="Calibri"/>
        </w:rPr>
        <w:t xml:space="preserve">Skälen till detta kan särskilt vara följande</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rättsliga förbud eller rättsliga skyldigheter;</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tekniska villkor i presentationen för användaren;</w:t>
      </w:r>
    </w:p>
    <w:p w:rsid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krav för att skydda tjänstens integritet.</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(5) Huruvida det finns ett objektivt motiverat skäl bedöms efter en avvägning mellan de berörda parternas intressen, med beaktande av målet i MStV att säkerställa åsiktsmångfald.</w:t>
      </w:r>
      <w:r>
        <w:rPr>
          <w:sz w:val="22"/>
          <w:rFonts w:ascii="Calibri" w:hAnsi="Calibri"/>
        </w:rPr>
        <w:t xml:space="preserve">  </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9 §</w:t>
      </w: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Orimlig obstruktion enligt § 94(2) andra alternativet MStV</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Ett hinder i den mening som avses i § 94(2) andra alternativet i MStV är en direkt eller indirekt försämring av tillgången till eller möjligheten att hitta ett journalistiskt-redaktionellt erbjudande.</w:t>
      </w: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 8(1) ska tillämpas i enlighet med detta.</w:t>
      </w:r>
    </w:p>
    <w:p w:rsidR="006E5D47"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Om ett hinder i den mening som avses i § 94(2) är systematiskt ska det andra alternativet i MStV fastställas på grundval av en helhetssyn på alla omständigheter.</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Varaktighet, regelbundenhet, upprepning och regelbundenhet av obstruktionen måste beaktas.</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(4) </w:t>
      </w:r>
      <w:r>
        <w:rPr>
          <w:sz w:val="22"/>
          <w:vertAlign w:val="superscript"/>
          <w:rFonts w:ascii="Calibri" w:hAnsi="Calibri"/>
        </w:rPr>
        <w:t xml:space="preserve">1</w:t>
      </w:r>
      <w:r>
        <w:rPr>
          <w:sz w:val="22"/>
          <w:rFonts w:ascii="Calibri" w:hAnsi="Calibri"/>
        </w:rPr>
        <w:t xml:space="preserve">Ett hinders orimliga karaktär ska bedömas på grundval av en balans mellan parternas intressen, med beaktande av MStV:s mål att värna om åsiktsmångfalden.</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Den orimliga karaktären av ett hinder kan uppstå från individuella kriterier eller från den kumulativa samverkan mellan flera kriterier.</w:t>
      </w:r>
      <w:r>
        <w:rPr>
          <w:sz w:val="22"/>
          <w:rFonts w:ascii="Calibri" w:hAnsi="Calibri"/>
        </w:rPr>
        <w:t xml:space="preserve">  </w:t>
      </w:r>
    </w:p>
    <w:p w:rsidR="00D87095" w:rsidRDefault="00D87095" w:rsidP="006E5D47">
      <w:pPr>
        <w:spacing w:line="276" w:lineRule="auto"/>
        <w:jc w:val="center"/>
        <w:rPr>
          <w:rFonts w:ascii="Calibri" w:eastAsia="Calibri" w:hAnsi="Calibri"/>
          <w:b/>
          <w:sz w:val="22"/>
          <w:szCs w:val="22"/>
          <w:lang w:eastAsia="en-US"/>
        </w:rPr>
      </w:pP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6E5D47" w:rsidP="006E5D47">
      <w:pPr>
        <w:spacing w:line="276" w:lineRule="auto"/>
        <w:jc w:val="center"/>
        <w:rPr>
          <w:b/>
          <w:sz w:val="22"/>
          <w:szCs w:val="22"/>
          <w:rFonts w:ascii="Calibri" w:eastAsia="Calibri" w:hAnsi="Calibri"/>
        </w:rPr>
      </w:pPr>
      <w:r>
        <w:rPr>
          <w:b/>
          <w:sz w:val="22"/>
          <w:rFonts w:ascii="Calibri" w:hAnsi="Calibri"/>
        </w:rPr>
        <w:t xml:space="preserve">Del 4:</w:t>
      </w:r>
      <w:r>
        <w:rPr>
          <w:b/>
          <w:sz w:val="22"/>
          <w:rFonts w:ascii="Calibri" w:hAnsi="Calibri"/>
        </w:rPr>
        <w:t xml:space="preserve"> </w:t>
      </w:r>
      <w:r>
        <w:rPr>
          <w:b/>
          <w:sz w:val="22"/>
          <w:rFonts w:ascii="Calibri" w:hAnsi="Calibri"/>
        </w:rPr>
        <w:t xml:space="preserve">Förfarande och utredning</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10 §</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ZAK:s behörighet</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För de uppgifter som ska utföras inom ramen för denna stadga fungerar den behöriga federala mediemyndighetens kommission för licensiering och tillsyn (ZAK) som ett lämpligt organ (§ 104(2) mening 1 nr 1, § 105(1) mening 1 nr 10 MStV i samband med ZAK:s arbetsordning – GVO ZAK).</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Den behöriga federala mediemyndigheten ska omedelbart vidarebefordra klagomål till ZAK via det gemensamma kontoret i enlighet med § 11 och informera den om undersökningar på eget initiativ.</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ZAK genomför förfarandet tills beslutet är klart.</w:t>
      </w:r>
    </w:p>
    <w:p w:rsidR="006E5D47" w:rsidRPr="006E5D47"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11 §</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Förfarande för icke-diskriminering</w:t>
      </w: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Den behöriga federala mediemyndigheten ska genom ZAK, på grundval av ett klagomål eller i uppenbara fall på eget initiativ, genom ZAK undersöka om leverantören av en medieförmedlare bryter mot bestämmelserna i § 94(1) och (2) MStV eller § 8 och 9.</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Rätt att överklaga i den mening som avses i § 94(3), mening 1 MStV beviljas</w:t>
      </w:r>
      <w:r>
        <w:rPr>
          <w:sz w:val="22"/>
          <w:rFonts w:ascii="Calibri" w:hAnsi="Calibri"/>
        </w:rPr>
        <w:t xml:space="preserve"> </w:t>
      </w:r>
    </w:p>
    <w:p w:rsidR="00D87095" w:rsidRP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leverantörer av journalistiskt-redaktionellt innehåll och</w:t>
      </w:r>
      <w:r>
        <w:rPr>
          <w:sz w:val="22"/>
          <w:rFonts w:ascii="Calibri" w:hAnsi="Calibri"/>
        </w:rPr>
        <w:t xml:space="preserve"> </w:t>
      </w:r>
    </w:p>
    <w:p w:rsid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leverantörer av medieplattformar och användargränssnitt, i den mån de klagar på diskriminering av de paket med journalistiskt-redaktionellt innehåll de erbjuder.</w:t>
      </w:r>
    </w:p>
    <w:p w:rsidR="006E5D47" w:rsidRPr="00D87095" w:rsidRDefault="006E5D47" w:rsidP="006E5D47">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Klaganden ska motivera sitt överklagande.</w:t>
      </w:r>
      <w:r>
        <w:rPr>
          <w:sz w:val="22"/>
          <w:rFonts w:ascii="Calibri" w:hAnsi="Calibri"/>
        </w:rPr>
        <w:t xml:space="preserve"> </w:t>
      </w:r>
      <w:r>
        <w:rPr>
          <w:sz w:val="22"/>
          <w:rFonts w:ascii="Calibri" w:hAnsi="Calibri"/>
        </w:rPr>
        <w:t xml:space="preserve">För detta ändamål ska lämpliga bevis läggas fram för att det ska framläggas tillräckliga bevis för den påstådda diskrimineringen av dess journalistiskt-redaktionella innehåll i den mening som avses i § 94(2) i MStV eller §§ 8 och 9.</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I synnerhet kan följande lämnas in:</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utvärdering av det egna journalistiska och redaktionella innehållets lämplighet i medieförmedlaren och</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lämpliga studier.</w:t>
      </w: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3</w:t>
      </w:r>
      <w:r>
        <w:rPr>
          <w:sz w:val="22"/>
          <w:rFonts w:ascii="Calibri" w:hAnsi="Calibri"/>
        </w:rPr>
        <w:t xml:space="preserve">Den klagande ska dessutom, om möjligt, lägga fram lämpliga bevis för att medieförmedlaren har ett särskilt stort inflytande på det journalistiska och redaktionella innehållets synbarhet i den mening som avses i § 94(1) i MStV.</w:t>
      </w:r>
      <w:r>
        <w:rPr>
          <w:sz w:val="22"/>
          <w:rFonts w:ascii="Calibri" w:hAnsi="Calibri"/>
        </w:rPr>
        <w:t xml:space="preserve"> </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(4) Ett uppenbart fall enligt § 94(3), mening 2 i MStV och (1) föreligger om de omständigheter som ligger till grund för överträdelsen av förbudet mot diskriminering tydligt kan identifieras för tredje man.</w:t>
      </w:r>
      <w:r>
        <w:rPr>
          <w:sz w:val="22"/>
          <w:rFonts w:ascii="Calibri" w:hAnsi="Calibri"/>
        </w:rPr>
        <w:t xml:space="preserve"> </w:t>
      </w:r>
    </w:p>
    <w:p w:rsidR="00D87095" w:rsidRPr="00D87095" w:rsidRDefault="00D87095"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12 §</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Rättelse</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Om den behöriga federala mediemyndigheten genom ZAK fastställer att leverantören av en medieförmedlare bryter mot §§ 92–94 i MStV eller bestämmelserna i denna stadga, ska leverantören av medieförmedlaren omedelbart rätta medieförmedlaren.</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Tillhandahållaren av medieförmedlaren är skyldig att på ett lämpligt och begripligt sätt styrka rättelsen till den behöriga federala mediemyndigheten.</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13 §</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Information och inlämning av handlingar</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För att kontrollera en eventuell överträdelse är leverantören av en mellanhand skyldig att tillhandahålla all nödvändig information, göra information tillgänglig och lämna in handlingar.</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Den behöriga federala mediemyndigheten får särskilt</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kräva att alla handlingar som styrker kriterierna i § 93(1), stycke 1 i MStV eller de centrala kriterierna och deras viktning och även funktionen av de algoritmer som används i den mening som avses i § 93(1), stycke 2 i MStV;</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så som vittnen höra de anställda hos den förmedlare av media som deltar i definitionen, det tekniska genomförandet och ändringen av kriterierna enligt § 93(1), stycke 1 i MStV eller centrala kriterier och dess viktning samt de algoritmer som används i den mening som avses i § 93(1), styck 2 i MStV;</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från leverantören av medieförmedlaren kräva en försäkran om den information som ska göras öppen i enlighet med § 93(1) i MStV och § 6;</w:t>
      </w:r>
    </w:p>
    <w:p w:rsid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kräva att avtal, åtaganden eller andra skyldigheter som objektivt har att göra med tillgång till och bevarande av innehåll lämnas in till medieförmedlaren, särskilt i fråga om införande, presentation och bevarande av journalistiskt och redaktionellt innehåll.</w:t>
      </w:r>
    </w:p>
    <w:p w:rsidR="00D622FF" w:rsidRPr="00D87095" w:rsidRDefault="00D622FF" w:rsidP="00D622FF">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När medieförmedlaren lämnar in de handlingar som avses i punkt 1, ska denne märka upp de delar av handlingarna som innehåller företags- eller affärshemligheter.</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I detta fall måste de dessutom lägga fram en version som tredje man ur deras synvinkel kan betrakta utan att avslöja företags- eller affärshemligheter.</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Om detta inte sker kan den federala mediemyndigheten anta samtycke till inspektion, såvida den inte är medveten om särskilda omständigheter som inte motiverar ett sådant antagande.</w:t>
      </w:r>
      <w:r>
        <w:rPr>
          <w:sz w:val="22"/>
          <w:rFonts w:ascii="Calibri" w:hAnsi="Calibri"/>
        </w:rPr>
        <w:t xml:space="preserve"> </w:t>
      </w:r>
      <w:r>
        <w:rPr>
          <w:sz w:val="22"/>
          <w:vertAlign w:val="superscript"/>
          <w:rFonts w:ascii="Calibri" w:hAnsi="Calibri"/>
        </w:rPr>
        <w:t xml:space="preserve">4</w:t>
      </w:r>
      <w:r>
        <w:rPr>
          <w:sz w:val="22"/>
          <w:rFonts w:ascii="Calibri" w:hAnsi="Calibri"/>
        </w:rPr>
        <w:t xml:space="preserve">Om den federala statliga mediemyndigheten anser att märkningen av dokument som företags- eller affärshemligheter är omotiverad, måste den ge leverantören möjlighet att kommentera innan den beslutar om att bevilja tredje part tillgång.</w:t>
      </w:r>
    </w:p>
    <w:p w:rsid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 </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Del 5:</w:t>
      </w:r>
      <w:r>
        <w:rPr>
          <w:b/>
          <w:sz w:val="22"/>
          <w:rFonts w:ascii="Calibri" w:hAnsi="Calibri"/>
        </w:rPr>
        <w:t xml:space="preserve"> </w:t>
      </w:r>
      <w:r>
        <w:rPr>
          <w:b/>
          <w:sz w:val="22"/>
          <w:rFonts w:ascii="Calibri" w:hAnsi="Calibri"/>
        </w:rPr>
        <w:t xml:space="preserve">Slutbestämmelser</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14 §</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Översyn</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DF0BF7">
      <w:pPr>
        <w:spacing w:after="200" w:line="276" w:lineRule="auto"/>
        <w:contextualSpacing/>
        <w:rPr>
          <w:sz w:val="22"/>
          <w:szCs w:val="22"/>
          <w:rFonts w:ascii="Calibri" w:eastAsia="Calibri" w:hAnsi="Calibri"/>
        </w:rPr>
      </w:pPr>
      <w:r>
        <w:rPr>
          <w:sz w:val="22"/>
          <w:rFonts w:ascii="Calibri" w:hAnsi="Calibri"/>
        </w:rPr>
        <w:t xml:space="preserve">ZAK ska se över denna stadga minst vart tredje år, med särskild hänsyn till</w:t>
      </w:r>
      <w:r>
        <w:rPr>
          <w:sz w:val="22"/>
          <w:rFonts w:ascii="Calibri" w:hAnsi="Calibri"/>
        </w:rPr>
        <w:tab/>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erfarenheterna från den praktiska tillämpningen av denna stadga;</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den tekniska och ekonomiska utvecklingen på lagstiftningsområdet;</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enskilda medieförmedlares betydelse för den allmänna opinionen;</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samregleringsutveckling, t.ex. branschövergripande åtaganden;</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utveckling av forskning om öppenhet och diskriminering;</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utveckling av forskning och vetenskap inom området dataanalys, artificiell intelligens och maskininlärning.</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15 §</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Ikraftträdande</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8C60A0" w:rsidRPr="008C60A0" w:rsidRDefault="006E5D47" w:rsidP="00DF0BF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Denna stadga träder i kraft den 1 september 2021.</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Om motsvarande stadgar inte har antagits och offentliggjorts av alla federala statliga mediemyndigheter senast den 31 augusti 2021, ska denna stadga bli obsolet.</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Ordföranden för styrelsekonferensen för Federal State Media Authorities (DLM) ska på internet under paraplymärket ”medieanstalter” offentliggöra om alla federala statliga mediemyndigheter har antagit och offentliggjort motsvarande stadgar inom den period som anges i mening 2.</w:t>
      </w:r>
      <w:r w:rsidR="00CF50DB">
        <w:rPr>
          <w:rStyle w:val="Funotenzeichen"/>
          <w:rFonts w:asciiTheme="minorHAnsi" w:eastAsia="Calibri" w:hAnsiTheme="minorHAnsi" w:cstheme="minorHAnsi"/>
          <w:sz w:val="22"/>
          <w:szCs w:val="22"/>
          <w:lang w:eastAsia="en-US"/>
        </w:rPr>
        <w:footnoteReference w:id="1"/>
      </w:r>
    </w:p>
    <w:sectPr w:rsidR="008C60A0" w:rsidRPr="008C60A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DB6" w:rsidRDefault="00F32DB6" w:rsidP="00986629">
      <w:r>
        <w:separator/>
      </w:r>
    </w:p>
  </w:endnote>
  <w:endnote w:type="continuationSeparator" w:id="0">
    <w:p w:rsidR="00F32DB6" w:rsidRDefault="00F32DB6"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1344168373"/>
      <w:docPartObj>
        <w:docPartGallery w:val="Page Numbers (Bottom of Page)"/>
        <w:docPartUnique/>
      </w:docPartObj>
    </w:sdtPr>
    <w:sdtEndPr/>
    <w:sdtContent>
      <w:p w:rsidR="00C41351" w:rsidRPr="00C41351" w:rsidRDefault="00C41351">
        <w:pPr>
          <w:pStyle w:val="Fuzeile"/>
          <w:jc w:val="center"/>
          <w:rPr>
            <w:sz w:val="22"/>
            <w:szCs w:val="22"/>
            <w:rFonts w:asciiTheme="minorHAnsi" w:hAnsiTheme="minorHAnsi" w:cstheme="minorHAnsi"/>
          </w:rPr>
        </w:pPr>
        <w:r w:rsidRPr="00C41351">
          <w:rPr>
            <w:sz w:val="22"/>
            <w:rFonts w:asciiTheme="minorHAnsi" w:hAnsiTheme="minorHAnsi" w:cstheme="minorHAnsi"/>
          </w:rPr>
          <w:fldChar w:fldCharType="begin"/>
        </w:r>
        <w:r w:rsidRPr="00C41351">
          <w:rPr>
            <w:sz w:val="22"/>
            <w:rFonts w:asciiTheme="minorHAnsi" w:hAnsiTheme="minorHAnsi" w:cstheme="minorHAnsi"/>
          </w:rPr>
          <w:instrText>PAGE   \* MERGEFORMAT</w:instrText>
        </w:r>
        <w:r w:rsidRPr="00C41351">
          <w:rPr>
            <w:sz w:val="22"/>
            <w:rFonts w:asciiTheme="minorHAnsi" w:hAnsiTheme="minorHAnsi" w:cstheme="minorHAnsi"/>
          </w:rPr>
          <w:fldChar w:fldCharType="separate"/>
        </w:r>
        <w:r w:rsidR="00673759">
          <w:rPr>
            <w:sz w:val="22"/>
            <w:rFonts w:asciiTheme="minorHAnsi" w:hAnsiTheme="minorHAnsi" w:cstheme="minorHAnsi"/>
          </w:rPr>
          <w:t>8</w:t>
        </w:r>
        <w:r w:rsidRPr="00C41351">
          <w:rPr>
            <w:sz w:val="22"/>
            <w:rFonts w:asciiTheme="minorHAnsi" w:hAnsiTheme="minorHAnsi" w:cstheme="minorHAnsi"/>
          </w:rPr>
          <w:fldChar w:fldCharType="end"/>
        </w:r>
      </w:p>
    </w:sdtContent>
  </w:sdt>
  <w:p w:rsidR="00793947" w:rsidRDefault="007939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DB6" w:rsidRDefault="00F32DB6" w:rsidP="00986629">
      <w:r>
        <w:separator/>
      </w:r>
    </w:p>
  </w:footnote>
  <w:footnote w:type="continuationSeparator" w:id="0">
    <w:p w:rsidR="00F32DB6" w:rsidRDefault="00F32DB6" w:rsidP="00986629">
      <w:r>
        <w:continuationSeparator/>
      </w:r>
    </w:p>
  </w:footnote>
  <w:footnote w:id="1">
    <w:p w:rsidR="00CF50DB" w:rsidRDefault="00CF50DB" w:rsidP="00CF50DB">
      <w:pPr>
        <w:pStyle w:val="Funotentext"/>
      </w:pPr>
      <w:r>
        <w:rPr>
          <w:rStyle w:val="Funotenzeichen"/>
        </w:rPr>
        <w:footnoteRef/>
      </w:r>
      <w:r>
        <w:t xml:space="preserve"> Som har anmälts i enlighet med Europaparlamentets och rådets direktiv (EU) 2015/1535 av den 9 september 2015 om informationsförfarande beträffande tekniska föreskrifter och föreskrifter för informationssamhällets tjänster (OJ L 241, den 17 september 2015,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629" w:rsidRPr="00986629" w:rsidRDefault="00986629">
    <w:pPr>
      <w:pStyle w:val="Kopfzeile"/>
      <w:rPr>
        <w:sz w:val="16"/>
      </w:rPr>
    </w:pPr>
    <w:r>
      <w:rPr>
        <w:sz w:val="20"/>
      </w:rPr>
      <w:br/>
    </w:r>
    <w:r>
      <w:drawing>
        <wp:anchor distT="0" distB="0" distL="114300" distR="114300" simplePos="0" relativeHeight="251658240" behindDoc="0" locked="1" layoutInCell="1" allowOverlap="1">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rPr>
      <w:br/>
    </w:r>
    <w:r>
      <w:rPr>
        <w:sz w:val="20"/>
      </w:rPr>
      <w:br/>
    </w:r>
  </w:p>
  <w:p w:rsidR="00986629" w:rsidRDefault="009866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E2F"/>
    <w:multiLevelType w:val="hybridMultilevel"/>
    <w:tmpl w:val="18DABDC4"/>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 w15:restartNumberingAfterBreak="0">
    <w:nsid w:val="06051896"/>
    <w:multiLevelType w:val="hybridMultilevel"/>
    <w:tmpl w:val="EFC056D6"/>
    <w:lvl w:ilvl="0" w:tplc="683A071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15:restartNumberingAfterBreak="0">
    <w:nsid w:val="07184E44"/>
    <w:multiLevelType w:val="hybridMultilevel"/>
    <w:tmpl w:val="90D252CA"/>
    <w:lvl w:ilvl="0" w:tplc="232480C8">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663BE0"/>
    <w:multiLevelType w:val="hybridMultilevel"/>
    <w:tmpl w:val="985221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A35CF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E5509B"/>
    <w:multiLevelType w:val="hybridMultilevel"/>
    <w:tmpl w:val="51242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7D09E5"/>
    <w:multiLevelType w:val="hybridMultilevel"/>
    <w:tmpl w:val="20A490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6E209C"/>
    <w:multiLevelType w:val="hybridMultilevel"/>
    <w:tmpl w:val="26E44CA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34F459E"/>
    <w:multiLevelType w:val="hybridMultilevel"/>
    <w:tmpl w:val="D2EC5AA2"/>
    <w:lvl w:ilvl="0" w:tplc="18A608C6">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107088F"/>
    <w:multiLevelType w:val="hybridMultilevel"/>
    <w:tmpl w:val="5A586D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ED627A"/>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6D4295E"/>
    <w:multiLevelType w:val="hybridMultilevel"/>
    <w:tmpl w:val="5F7A48D2"/>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2" w15:restartNumberingAfterBreak="0">
    <w:nsid w:val="36ED5ED2"/>
    <w:multiLevelType w:val="hybridMultilevel"/>
    <w:tmpl w:val="102A79D4"/>
    <w:lvl w:ilvl="0" w:tplc="533E0752">
      <w:start w:val="4"/>
      <w:numFmt w:val="bullet"/>
      <w:lvlText w:val="•"/>
      <w:lvlJc w:val="left"/>
      <w:pPr>
        <w:ind w:left="1146" w:hanging="360"/>
      </w:pPr>
      <w:rPr>
        <w:rFonts w:ascii="Calibri" w:eastAsia="Times New Roman" w:hAnsi="Calibri" w:cs="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3" w15:restartNumberingAfterBreak="0">
    <w:nsid w:val="38107676"/>
    <w:multiLevelType w:val="hybridMultilevel"/>
    <w:tmpl w:val="A37424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BA021B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CE023A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FBF55E0"/>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611B0F"/>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20A4431"/>
    <w:multiLevelType w:val="hybridMultilevel"/>
    <w:tmpl w:val="2EBEBD2A"/>
    <w:lvl w:ilvl="0" w:tplc="71568D74">
      <w:start w:val="1"/>
      <w:numFmt w:val="decimal"/>
      <w:lvlText w:val="%1."/>
      <w:lvlJc w:val="left"/>
      <w:pPr>
        <w:ind w:left="720" w:hanging="360"/>
      </w:pPr>
      <w:rPr>
        <w:rFonts w:asciiTheme="minorHAnsi" w:hAnsiTheme="minorHAnsi" w:cs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2DB1BCD"/>
    <w:multiLevelType w:val="hybridMultilevel"/>
    <w:tmpl w:val="AE6A8532"/>
    <w:lvl w:ilvl="0" w:tplc="2DF45302">
      <w:start w:val="1"/>
      <w:numFmt w:val="decimal"/>
      <w:lvlText w:val="%1."/>
      <w:lvlJc w:val="left"/>
      <w:pPr>
        <w:ind w:left="720" w:hanging="360"/>
      </w:pPr>
      <w:rPr>
        <w:strike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371A26"/>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AAA1800"/>
    <w:multiLevelType w:val="hybridMultilevel"/>
    <w:tmpl w:val="FA22ABB6"/>
    <w:lvl w:ilvl="0" w:tplc="0407000F">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C8C61D4"/>
    <w:multiLevelType w:val="hybridMultilevel"/>
    <w:tmpl w:val="578E6428"/>
    <w:lvl w:ilvl="0" w:tplc="1E38CAD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3" w15:restartNumberingAfterBreak="0">
    <w:nsid w:val="4DCA13AA"/>
    <w:multiLevelType w:val="hybridMultilevel"/>
    <w:tmpl w:val="079668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FCB732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7743BE5"/>
    <w:multiLevelType w:val="hybridMultilevel"/>
    <w:tmpl w:val="0E88EBC8"/>
    <w:lvl w:ilvl="0" w:tplc="274A954C">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8685FB1"/>
    <w:multiLevelType w:val="hybridMultilevel"/>
    <w:tmpl w:val="F01601A0"/>
    <w:lvl w:ilvl="0" w:tplc="24ECC678">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B4070C1"/>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DCF0F6C"/>
    <w:multiLevelType w:val="hybridMultilevel"/>
    <w:tmpl w:val="5356724C"/>
    <w:lvl w:ilvl="0" w:tplc="2D9C354C">
      <w:start w:val="1"/>
      <w:numFmt w:val="decimal"/>
      <w:lvlText w:val="%1."/>
      <w:lvlJc w:val="left"/>
      <w:pPr>
        <w:ind w:left="360" w:hanging="360"/>
      </w:pPr>
      <w:rPr>
        <w:rFonts w:asciiTheme="minorHAnsi" w:hAnsiTheme="minorHAnsi" w:cstheme="minorHAnsi"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F1B679E"/>
    <w:multiLevelType w:val="hybridMultilevel"/>
    <w:tmpl w:val="18E8C4F4"/>
    <w:lvl w:ilvl="0" w:tplc="ABD6BEBC">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FB310F1"/>
    <w:multiLevelType w:val="hybridMultilevel"/>
    <w:tmpl w:val="49C8E2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29256E5"/>
    <w:multiLevelType w:val="hybridMultilevel"/>
    <w:tmpl w:val="9C448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4BF2FD9"/>
    <w:multiLevelType w:val="hybridMultilevel"/>
    <w:tmpl w:val="BC302260"/>
    <w:lvl w:ilvl="0" w:tplc="B422F4C4">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5901D5B"/>
    <w:multiLevelType w:val="hybridMultilevel"/>
    <w:tmpl w:val="37307526"/>
    <w:lvl w:ilvl="0" w:tplc="951E0C1C">
      <w:start w:val="6"/>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1715989"/>
    <w:multiLevelType w:val="hybridMultilevel"/>
    <w:tmpl w:val="C7B611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56507B0"/>
    <w:multiLevelType w:val="hybridMultilevel"/>
    <w:tmpl w:val="D9DA2D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7072854"/>
    <w:multiLevelType w:val="hybridMultilevel"/>
    <w:tmpl w:val="230E27C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AB94F96"/>
    <w:multiLevelType w:val="hybridMultilevel"/>
    <w:tmpl w:val="7F9018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B2C0987"/>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BD45114"/>
    <w:multiLevelType w:val="hybridMultilevel"/>
    <w:tmpl w:val="4FACE3C8"/>
    <w:lvl w:ilvl="0" w:tplc="9FF4C736">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E8053D"/>
    <w:multiLevelType w:val="hybridMultilevel"/>
    <w:tmpl w:val="712C2D8E"/>
    <w:lvl w:ilvl="0" w:tplc="90C0BA88">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DFB5C93"/>
    <w:multiLevelType w:val="hybridMultilevel"/>
    <w:tmpl w:val="664E4A22"/>
    <w:lvl w:ilvl="0" w:tplc="0D56F5BE">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9"/>
  </w:num>
  <w:num w:numId="3">
    <w:abstractNumId w:val="13"/>
  </w:num>
  <w:num w:numId="4">
    <w:abstractNumId w:val="6"/>
  </w:num>
  <w:num w:numId="5">
    <w:abstractNumId w:val="11"/>
  </w:num>
  <w:num w:numId="6">
    <w:abstractNumId w:val="1"/>
  </w:num>
  <w:num w:numId="7">
    <w:abstractNumId w:val="0"/>
  </w:num>
  <w:num w:numId="8">
    <w:abstractNumId w:val="22"/>
  </w:num>
  <w:num w:numId="9">
    <w:abstractNumId w:val="31"/>
  </w:num>
  <w:num w:numId="10">
    <w:abstractNumId w:val="12"/>
  </w:num>
  <w:num w:numId="11">
    <w:abstractNumId w:val="4"/>
  </w:num>
  <w:num w:numId="12">
    <w:abstractNumId w:val="34"/>
  </w:num>
  <w:num w:numId="13">
    <w:abstractNumId w:val="23"/>
  </w:num>
  <w:num w:numId="14">
    <w:abstractNumId w:val="37"/>
  </w:num>
  <w:num w:numId="15">
    <w:abstractNumId w:val="5"/>
  </w:num>
  <w:num w:numId="16">
    <w:abstractNumId w:val="30"/>
  </w:num>
  <w:num w:numId="17">
    <w:abstractNumId w:val="36"/>
  </w:num>
  <w:num w:numId="18">
    <w:abstractNumId w:val="28"/>
  </w:num>
  <w:num w:numId="19">
    <w:abstractNumId w:val="35"/>
  </w:num>
  <w:num w:numId="20">
    <w:abstractNumId w:val="7"/>
  </w:num>
  <w:num w:numId="21">
    <w:abstractNumId w:val="18"/>
  </w:num>
  <w:num w:numId="22">
    <w:abstractNumId w:val="19"/>
  </w:num>
  <w:num w:numId="23">
    <w:abstractNumId w:val="21"/>
  </w:num>
  <w:num w:numId="24">
    <w:abstractNumId w:val="8"/>
  </w:num>
  <w:num w:numId="25">
    <w:abstractNumId w:val="25"/>
  </w:num>
  <w:num w:numId="26">
    <w:abstractNumId w:val="41"/>
  </w:num>
  <w:num w:numId="27">
    <w:abstractNumId w:val="40"/>
  </w:num>
  <w:num w:numId="28">
    <w:abstractNumId w:val="26"/>
  </w:num>
  <w:num w:numId="29">
    <w:abstractNumId w:val="39"/>
  </w:num>
  <w:num w:numId="30">
    <w:abstractNumId w:val="29"/>
  </w:num>
  <w:num w:numId="31">
    <w:abstractNumId w:val="32"/>
  </w:num>
  <w:num w:numId="32">
    <w:abstractNumId w:val="33"/>
  </w:num>
  <w:num w:numId="33">
    <w:abstractNumId w:val="2"/>
  </w:num>
  <w:num w:numId="34">
    <w:abstractNumId w:val="16"/>
  </w:num>
  <w:num w:numId="35">
    <w:abstractNumId w:val="20"/>
  </w:num>
  <w:num w:numId="36">
    <w:abstractNumId w:val="38"/>
  </w:num>
  <w:num w:numId="37">
    <w:abstractNumId w:val="24"/>
  </w:num>
  <w:num w:numId="38">
    <w:abstractNumId w:val="14"/>
  </w:num>
  <w:num w:numId="39">
    <w:abstractNumId w:val="27"/>
  </w:num>
  <w:num w:numId="40">
    <w:abstractNumId w:val="17"/>
  </w:num>
  <w:num w:numId="41">
    <w:abstractNumId w:val="1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25"/>
    <w:rsid w:val="000045F8"/>
    <w:rsid w:val="00011024"/>
    <w:rsid w:val="000C657E"/>
    <w:rsid w:val="00133120"/>
    <w:rsid w:val="001333BE"/>
    <w:rsid w:val="001607B9"/>
    <w:rsid w:val="001D1CDD"/>
    <w:rsid w:val="001D2E17"/>
    <w:rsid w:val="00202046"/>
    <w:rsid w:val="00251322"/>
    <w:rsid w:val="002644D4"/>
    <w:rsid w:val="00281091"/>
    <w:rsid w:val="002A4057"/>
    <w:rsid w:val="002A4368"/>
    <w:rsid w:val="002C21BC"/>
    <w:rsid w:val="003564B3"/>
    <w:rsid w:val="003C28A6"/>
    <w:rsid w:val="003D2EE7"/>
    <w:rsid w:val="003E6BAD"/>
    <w:rsid w:val="004303CE"/>
    <w:rsid w:val="0045797A"/>
    <w:rsid w:val="004F1AEC"/>
    <w:rsid w:val="00511D74"/>
    <w:rsid w:val="00521970"/>
    <w:rsid w:val="00575BA9"/>
    <w:rsid w:val="005C3C1E"/>
    <w:rsid w:val="005D5943"/>
    <w:rsid w:val="00650B4F"/>
    <w:rsid w:val="00673759"/>
    <w:rsid w:val="00691044"/>
    <w:rsid w:val="006E5D47"/>
    <w:rsid w:val="00702C72"/>
    <w:rsid w:val="007417F7"/>
    <w:rsid w:val="00793947"/>
    <w:rsid w:val="007D4A2A"/>
    <w:rsid w:val="00816EE9"/>
    <w:rsid w:val="00817E45"/>
    <w:rsid w:val="0083446E"/>
    <w:rsid w:val="00862E68"/>
    <w:rsid w:val="0089595F"/>
    <w:rsid w:val="008C60A0"/>
    <w:rsid w:val="008F77BA"/>
    <w:rsid w:val="009217BC"/>
    <w:rsid w:val="00986629"/>
    <w:rsid w:val="009C24A4"/>
    <w:rsid w:val="00AD10EE"/>
    <w:rsid w:val="00AE0EB4"/>
    <w:rsid w:val="00AE3223"/>
    <w:rsid w:val="00AF7A0C"/>
    <w:rsid w:val="00B126BF"/>
    <w:rsid w:val="00B21DD1"/>
    <w:rsid w:val="00B25AAD"/>
    <w:rsid w:val="00B50565"/>
    <w:rsid w:val="00B82C25"/>
    <w:rsid w:val="00B93BDE"/>
    <w:rsid w:val="00BA4949"/>
    <w:rsid w:val="00C41351"/>
    <w:rsid w:val="00C65B4D"/>
    <w:rsid w:val="00C902B9"/>
    <w:rsid w:val="00C90B7C"/>
    <w:rsid w:val="00CF50DB"/>
    <w:rsid w:val="00D234F3"/>
    <w:rsid w:val="00D622FF"/>
    <w:rsid w:val="00D87095"/>
    <w:rsid w:val="00DC1A2C"/>
    <w:rsid w:val="00DD3710"/>
    <w:rsid w:val="00DF0BF7"/>
    <w:rsid w:val="00E14290"/>
    <w:rsid w:val="00E52E94"/>
    <w:rsid w:val="00EF480D"/>
    <w:rsid w:val="00F32DB6"/>
    <w:rsid w:val="00F33CAE"/>
    <w:rsid w:val="00F40F94"/>
    <w:rsid w:val="00F65A92"/>
    <w:rsid w:val="00FA6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adjustRightInd w:val="0"/>
      <w:jc w:val="center"/>
      <w:outlineLvl w:val="0"/>
    </w:pPr>
    <w:rPr>
      <w:rFonts w:ascii="Arial" w:hAnsi="Arial"/>
      <w:b/>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Textkrper">
    <w:name w:val="Body Text"/>
    <w:basedOn w:val="Standard"/>
    <w:rPr>
      <w:rFonts w:ascii="Arial" w:hAnsi="Arial"/>
      <w:sz w:val="21"/>
    </w:rPr>
  </w:style>
  <w:style w:type="character" w:customStyle="1" w:styleId="KommentartextZchn">
    <w:name w:val="Kommentartext Zchn"/>
    <w:link w:val="Kommentartext"/>
    <w:locked/>
    <w:rPr>
      <w:lang w:val="sv-SE" w:eastAsia="de-DE" w:bidi="ar-SA"/>
    </w:rPr>
  </w:style>
  <w:style w:type="paragraph" w:styleId="Kopfzeile">
    <w:name w:val="header"/>
    <w:basedOn w:val="Standard"/>
    <w:link w:val="KopfzeileZchn"/>
    <w:rsid w:val="00986629"/>
    <w:pPr>
      <w:tabs>
        <w:tab w:val="center" w:pos="4536"/>
        <w:tab w:val="right" w:pos="9072"/>
      </w:tabs>
    </w:pPr>
  </w:style>
  <w:style w:type="character" w:customStyle="1" w:styleId="KopfzeileZchn">
    <w:name w:val="Kopfzeile Zchn"/>
    <w:link w:val="Kopfzeile"/>
    <w:uiPriority w:val="99"/>
    <w:rsid w:val="00986629"/>
    <w:rPr>
      <w:sz w:val="24"/>
      <w:szCs w:val="24"/>
    </w:rPr>
  </w:style>
  <w:style w:type="paragraph" w:styleId="Fuzeile">
    <w:name w:val="footer"/>
    <w:basedOn w:val="Standard"/>
    <w:link w:val="FuzeileZchn"/>
    <w:uiPriority w:val="99"/>
    <w:rsid w:val="00986629"/>
    <w:pPr>
      <w:tabs>
        <w:tab w:val="center" w:pos="4536"/>
        <w:tab w:val="right" w:pos="9072"/>
      </w:tabs>
    </w:pPr>
  </w:style>
  <w:style w:type="character" w:customStyle="1" w:styleId="FuzeileZchn">
    <w:name w:val="Fußzeile Zchn"/>
    <w:link w:val="Fuzeile"/>
    <w:uiPriority w:val="99"/>
    <w:rsid w:val="00986629"/>
    <w:rPr>
      <w:sz w:val="24"/>
      <w:szCs w:val="24"/>
    </w:rPr>
  </w:style>
  <w:style w:type="paragraph" w:customStyle="1" w:styleId="GGSZ">
    <w:name w:val="GGS ZÜ"/>
    <w:basedOn w:val="Standard"/>
    <w:link w:val="GGSZZchn"/>
    <w:uiPriority w:val="4"/>
    <w:qFormat/>
    <w:rsid w:val="005D5943"/>
    <w:pPr>
      <w:spacing w:before="120"/>
    </w:pPr>
    <w:rPr>
      <w:rFonts w:asciiTheme="minorHAnsi" w:hAnsiTheme="minorHAnsi"/>
      <w:b/>
      <w:sz w:val="22"/>
    </w:rPr>
  </w:style>
  <w:style w:type="character" w:customStyle="1" w:styleId="GGSZZchn">
    <w:name w:val="GGS ZÜ Zchn"/>
    <w:basedOn w:val="Absatz-Standardschriftart"/>
    <w:link w:val="GGSZ"/>
    <w:uiPriority w:val="4"/>
    <w:rsid w:val="005D5943"/>
    <w:rPr>
      <w:rFonts w:asciiTheme="minorHAnsi" w:hAnsiTheme="minorHAnsi"/>
      <w:b/>
      <w:sz w:val="22"/>
      <w:szCs w:val="24"/>
    </w:rPr>
  </w:style>
  <w:style w:type="paragraph" w:styleId="Listenabsatz">
    <w:name w:val="List Paragraph"/>
    <w:basedOn w:val="Standard"/>
    <w:uiPriority w:val="34"/>
    <w:qFormat/>
    <w:rsid w:val="00650B4F"/>
    <w:pPr>
      <w:ind w:left="720"/>
      <w:contextualSpacing/>
    </w:pPr>
  </w:style>
  <w:style w:type="paragraph" w:styleId="Funotentext">
    <w:name w:val="footnote text"/>
    <w:basedOn w:val="Standard"/>
    <w:link w:val="FunotentextZchn"/>
    <w:rsid w:val="00CF50DB"/>
    <w:rPr>
      <w:sz w:val="20"/>
      <w:szCs w:val="20"/>
    </w:rPr>
  </w:style>
  <w:style w:type="character" w:customStyle="1" w:styleId="FunotentextZchn">
    <w:name w:val="Fußnotentext Zchn"/>
    <w:basedOn w:val="Absatz-Standardschriftart"/>
    <w:link w:val="Funotentext"/>
    <w:rsid w:val="00CF50DB"/>
  </w:style>
  <w:style w:type="character" w:styleId="Funotenzeichen">
    <w:name w:val="footnote reference"/>
    <w:basedOn w:val="Absatz-Standardschriftart"/>
    <w:rsid w:val="00CF5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60007-F058-44F5-87D7-C0DBC8FA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2426</Words>
  <Characters>15768</Characters>
  <Application>Microsoft Office Word</Application>
  <DocSecurity>4</DocSecurity>
  <Lines>131</Lines>
  <Paragraphs>36</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Redmann, Petra, EC2</cp:lastModifiedBy>
  <cp:revision>2</cp:revision>
  <cp:lastPrinted>2014-01-13T11:15:00Z</cp:lastPrinted>
  <dcterms:created xsi:type="dcterms:W3CDTF">2021-03-16T11:15:00Z</dcterms:created>
  <dcterms:modified xsi:type="dcterms:W3CDTF">2021-03-16T11:15:00Z</dcterms:modified>
</cp:coreProperties>
</file>