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3" w:type="dxa"/>
        <w:jc w:val="center"/>
        <w:tblLayout w:type="fixed"/>
        <w:tblCellMar>
          <w:left w:w="70" w:type="dxa"/>
          <w:right w:w="70" w:type="dxa"/>
        </w:tblCellMar>
        <w:tblLook w:val="0000" w:firstRow="0" w:lastRow="0" w:firstColumn="0" w:lastColumn="0" w:noHBand="0" w:noVBand="0"/>
      </w:tblPr>
      <w:tblGrid>
        <w:gridCol w:w="6975"/>
        <w:gridCol w:w="3798"/>
      </w:tblGrid>
      <w:tr w:rsidR="00E70CF5" w:rsidRPr="00937C8B" w:rsidTr="007822E4">
        <w:trPr>
          <w:trHeight w:val="600"/>
          <w:jc w:val="center"/>
        </w:trPr>
        <w:tc>
          <w:tcPr>
            <w:tcW w:w="6975" w:type="dxa"/>
            <w:vMerge w:val="restart"/>
            <w:tcBorders>
              <w:top w:val="single" w:sz="4" w:space="0" w:color="auto"/>
              <w:left w:val="single" w:sz="4" w:space="0" w:color="auto"/>
              <w:right w:val="single" w:sz="4" w:space="0" w:color="auto"/>
            </w:tcBorders>
            <w:vAlign w:val="center"/>
          </w:tcPr>
          <w:p w:rsidR="00957C7F" w:rsidRPr="00937C8B" w:rsidRDefault="00957C7F" w:rsidP="00957C7F">
            <w:pPr>
              <w:pStyle w:val="Header"/>
              <w:tabs>
                <w:tab w:val="clear" w:pos="4252"/>
                <w:tab w:val="clear" w:pos="8504"/>
              </w:tabs>
              <w:jc w:val="both"/>
              <w:rPr>
                <w:rFonts w:ascii="Arial" w:hAnsi="Arial"/>
                <w:sz w:val="18"/>
              </w:rPr>
            </w:pPr>
            <w:bookmarkStart w:id="0" w:name="_GoBack"/>
            <w:bookmarkEnd w:id="0"/>
            <w:r>
              <w:rPr>
                <w:rFonts w:ascii="Arial" w:hAnsi="Arial"/>
                <w:sz w:val="18"/>
              </w:rPr>
              <w:t>Chapter</w:t>
            </w:r>
          </w:p>
          <w:p w:rsidR="00957C7F" w:rsidRPr="00937C8B" w:rsidRDefault="00957C7F" w:rsidP="00957C7F">
            <w:pPr>
              <w:pStyle w:val="Header"/>
              <w:tabs>
                <w:tab w:val="clear" w:pos="4252"/>
                <w:tab w:val="clear" w:pos="8504"/>
              </w:tabs>
              <w:jc w:val="both"/>
              <w:rPr>
                <w:rFonts w:ascii="Arial" w:hAnsi="Arial"/>
                <w:sz w:val="16"/>
              </w:rPr>
            </w:pPr>
          </w:p>
          <w:p w:rsidR="00957C7F" w:rsidRPr="00937C8B" w:rsidRDefault="00957C7F" w:rsidP="00957C7F">
            <w:pPr>
              <w:pStyle w:val="Header"/>
              <w:tabs>
                <w:tab w:val="clear" w:pos="4252"/>
                <w:tab w:val="clear" w:pos="8504"/>
              </w:tabs>
              <w:jc w:val="both"/>
              <w:rPr>
                <w:rFonts w:ascii="Arial" w:hAnsi="Arial"/>
                <w:sz w:val="18"/>
              </w:rPr>
            </w:pPr>
            <w:r>
              <w:rPr>
                <w:rFonts w:ascii="Arial" w:hAnsi="Arial"/>
                <w:sz w:val="18"/>
              </w:rPr>
              <w:t>Item</w:t>
            </w:r>
          </w:p>
          <w:p w:rsidR="00957C7F" w:rsidRPr="00937C8B" w:rsidRDefault="00957C7F" w:rsidP="00957C7F">
            <w:pPr>
              <w:pStyle w:val="Header"/>
              <w:tabs>
                <w:tab w:val="clear" w:pos="4252"/>
                <w:tab w:val="clear" w:pos="8504"/>
              </w:tabs>
              <w:jc w:val="both"/>
              <w:rPr>
                <w:rFonts w:ascii="Arial" w:hAnsi="Arial"/>
              </w:rPr>
            </w:pPr>
          </w:p>
          <w:p w:rsidR="00957C7F" w:rsidRPr="00937C8B" w:rsidRDefault="00957C7F" w:rsidP="00957C7F">
            <w:pPr>
              <w:pStyle w:val="Header"/>
              <w:tabs>
                <w:tab w:val="clear" w:pos="4252"/>
                <w:tab w:val="clear" w:pos="8504"/>
              </w:tabs>
              <w:jc w:val="both"/>
              <w:rPr>
                <w:rFonts w:ascii="Arial" w:hAnsi="Arial"/>
              </w:rPr>
            </w:pPr>
          </w:p>
          <w:p w:rsidR="00957C7F" w:rsidRPr="00937C8B" w:rsidRDefault="00957C7F" w:rsidP="00957C7F">
            <w:pPr>
              <w:pStyle w:val="Header"/>
              <w:tabs>
                <w:tab w:val="clear" w:pos="4252"/>
                <w:tab w:val="clear" w:pos="8504"/>
              </w:tabs>
              <w:jc w:val="both"/>
              <w:rPr>
                <w:rFonts w:ascii="Arial" w:hAnsi="Arial"/>
              </w:rPr>
            </w:pPr>
          </w:p>
          <w:p w:rsidR="00957C7F" w:rsidRPr="00937C8B" w:rsidRDefault="00957C7F" w:rsidP="00957C7F">
            <w:pPr>
              <w:pStyle w:val="Header"/>
              <w:tabs>
                <w:tab w:val="clear" w:pos="4252"/>
                <w:tab w:val="clear" w:pos="8504"/>
              </w:tabs>
              <w:jc w:val="center"/>
              <w:rPr>
                <w:rFonts w:ascii="Arial" w:hAnsi="Arial"/>
              </w:rPr>
            </w:pPr>
            <w:r>
              <w:rPr>
                <w:rFonts w:ascii="Arial" w:hAnsi="Arial"/>
                <w:sz w:val="18"/>
              </w:rPr>
              <w:t>(To be completed in the “Official Gazette”)</w:t>
            </w:r>
          </w:p>
          <w:p w:rsidR="00E70CF5" w:rsidRPr="00937C8B" w:rsidRDefault="00E70CF5">
            <w:pPr>
              <w:pStyle w:val="Header"/>
              <w:tabs>
                <w:tab w:val="clear" w:pos="4252"/>
                <w:tab w:val="clear" w:pos="8504"/>
              </w:tabs>
              <w:ind w:left="360" w:right="172"/>
              <w:jc w:val="center"/>
              <w:rPr>
                <w:rFonts w:ascii="Arial" w:hAnsi="Arial"/>
                <w:sz w:val="20"/>
                <w:lang w:val="es-ES_tradnl"/>
              </w:rPr>
            </w:pPr>
          </w:p>
        </w:tc>
        <w:tc>
          <w:tcPr>
            <w:tcW w:w="3798" w:type="dxa"/>
            <w:tcBorders>
              <w:top w:val="single" w:sz="4" w:space="0" w:color="auto"/>
              <w:left w:val="single" w:sz="4" w:space="0" w:color="auto"/>
              <w:bottom w:val="single" w:sz="4" w:space="0" w:color="auto"/>
              <w:right w:val="single" w:sz="4" w:space="0" w:color="auto"/>
            </w:tcBorders>
            <w:vAlign w:val="center"/>
          </w:tcPr>
          <w:p w:rsidR="00E70CF5" w:rsidRPr="00937C8B" w:rsidRDefault="00E70CF5">
            <w:pPr>
              <w:pStyle w:val="Header"/>
              <w:tabs>
                <w:tab w:val="clear" w:pos="4252"/>
                <w:tab w:val="clear" w:pos="8504"/>
              </w:tabs>
              <w:ind w:left="360" w:right="172"/>
              <w:jc w:val="center"/>
              <w:rPr>
                <w:rFonts w:ascii="Arial" w:hAnsi="Arial"/>
                <w:sz w:val="20"/>
                <w:lang w:val="es-ES_tradnl"/>
              </w:rPr>
            </w:pPr>
          </w:p>
        </w:tc>
      </w:tr>
      <w:tr w:rsidR="00E70CF5" w:rsidRPr="00937C8B" w:rsidTr="007822E4">
        <w:trPr>
          <w:trHeight w:hRule="exact" w:val="600"/>
          <w:jc w:val="center"/>
        </w:trPr>
        <w:tc>
          <w:tcPr>
            <w:tcW w:w="6975" w:type="dxa"/>
            <w:vMerge/>
            <w:tcBorders>
              <w:left w:val="single" w:sz="4" w:space="0" w:color="auto"/>
              <w:right w:val="single" w:sz="4" w:space="0" w:color="auto"/>
            </w:tcBorders>
            <w:vAlign w:val="center"/>
          </w:tcPr>
          <w:p w:rsidR="00E70CF5" w:rsidRPr="00937C8B" w:rsidRDefault="00E70CF5">
            <w:pPr>
              <w:pStyle w:val="Header"/>
              <w:tabs>
                <w:tab w:val="clear" w:pos="4252"/>
                <w:tab w:val="clear" w:pos="8504"/>
              </w:tabs>
              <w:ind w:left="360" w:right="172"/>
              <w:jc w:val="center"/>
              <w:rPr>
                <w:rFonts w:ascii="Arial" w:hAnsi="Arial"/>
                <w:sz w:val="20"/>
                <w:lang w:val="es-ES_tradnl"/>
              </w:rPr>
            </w:pPr>
          </w:p>
        </w:tc>
        <w:tc>
          <w:tcPr>
            <w:tcW w:w="3798" w:type="dxa"/>
            <w:tcBorders>
              <w:top w:val="single" w:sz="4" w:space="0" w:color="auto"/>
              <w:left w:val="single" w:sz="4" w:space="0" w:color="auto"/>
              <w:bottom w:val="single" w:sz="4" w:space="0" w:color="auto"/>
              <w:right w:val="single" w:sz="4" w:space="0" w:color="auto"/>
            </w:tcBorders>
            <w:vAlign w:val="center"/>
          </w:tcPr>
          <w:p w:rsidR="00E70CF5" w:rsidRPr="00937C8B" w:rsidRDefault="00E70CF5">
            <w:pPr>
              <w:pStyle w:val="Header"/>
              <w:tabs>
                <w:tab w:val="clear" w:pos="4252"/>
                <w:tab w:val="clear" w:pos="8504"/>
              </w:tabs>
              <w:ind w:left="360" w:right="172"/>
              <w:jc w:val="center"/>
              <w:rPr>
                <w:rFonts w:ascii="Arial" w:hAnsi="Arial"/>
                <w:sz w:val="20"/>
                <w:lang w:val="es-ES_tradnl"/>
              </w:rPr>
            </w:pPr>
          </w:p>
        </w:tc>
      </w:tr>
      <w:tr w:rsidR="00E70CF5" w:rsidRPr="00937C8B" w:rsidTr="00E70CF5">
        <w:trPr>
          <w:trHeight w:hRule="exact" w:val="600"/>
          <w:jc w:val="center"/>
        </w:trPr>
        <w:tc>
          <w:tcPr>
            <w:tcW w:w="6975" w:type="dxa"/>
            <w:vMerge/>
            <w:tcBorders>
              <w:left w:val="single" w:sz="4" w:space="0" w:color="auto"/>
              <w:right w:val="single" w:sz="4" w:space="0" w:color="auto"/>
            </w:tcBorders>
            <w:vAlign w:val="center"/>
          </w:tcPr>
          <w:p w:rsidR="00E70CF5" w:rsidRPr="00937C8B" w:rsidRDefault="00E70CF5">
            <w:pPr>
              <w:pStyle w:val="Header"/>
              <w:tabs>
                <w:tab w:val="clear" w:pos="4252"/>
                <w:tab w:val="clear" w:pos="8504"/>
              </w:tabs>
              <w:ind w:left="360" w:right="172"/>
              <w:jc w:val="center"/>
              <w:rPr>
                <w:rFonts w:ascii="Arial" w:hAnsi="Arial"/>
                <w:sz w:val="20"/>
                <w:lang w:val="es-ES_tradnl"/>
              </w:rPr>
            </w:pPr>
          </w:p>
        </w:tc>
        <w:tc>
          <w:tcPr>
            <w:tcW w:w="3798" w:type="dxa"/>
            <w:tcBorders>
              <w:top w:val="single" w:sz="4" w:space="0" w:color="auto"/>
              <w:left w:val="single" w:sz="4" w:space="0" w:color="auto"/>
              <w:right w:val="single" w:sz="4" w:space="0" w:color="auto"/>
            </w:tcBorders>
            <w:vAlign w:val="center"/>
          </w:tcPr>
          <w:p w:rsidR="00E70CF5" w:rsidRPr="00937C8B" w:rsidRDefault="00E70CF5">
            <w:pPr>
              <w:pStyle w:val="Header"/>
              <w:tabs>
                <w:tab w:val="clear" w:pos="4252"/>
                <w:tab w:val="clear" w:pos="8504"/>
              </w:tabs>
              <w:ind w:left="360" w:right="172"/>
              <w:jc w:val="center"/>
              <w:rPr>
                <w:rFonts w:ascii="Arial" w:hAnsi="Arial"/>
                <w:sz w:val="20"/>
                <w:lang w:val="es-ES_tradnl"/>
              </w:rPr>
            </w:pPr>
          </w:p>
        </w:tc>
      </w:tr>
      <w:tr w:rsidR="00E70CF5" w:rsidRPr="00937C8B" w:rsidTr="00E70CF5">
        <w:trPr>
          <w:trHeight w:hRule="exact" w:val="600"/>
          <w:jc w:val="center"/>
        </w:trPr>
        <w:tc>
          <w:tcPr>
            <w:tcW w:w="6975" w:type="dxa"/>
            <w:vMerge/>
            <w:tcBorders>
              <w:left w:val="single" w:sz="4" w:space="0" w:color="auto"/>
              <w:bottom w:val="single" w:sz="4" w:space="0" w:color="auto"/>
              <w:right w:val="single" w:sz="4" w:space="0" w:color="auto"/>
            </w:tcBorders>
            <w:vAlign w:val="center"/>
          </w:tcPr>
          <w:p w:rsidR="00E70CF5" w:rsidRPr="00937C8B" w:rsidRDefault="00E70CF5">
            <w:pPr>
              <w:pStyle w:val="Header"/>
              <w:tabs>
                <w:tab w:val="clear" w:pos="4252"/>
                <w:tab w:val="clear" w:pos="8504"/>
              </w:tabs>
              <w:ind w:left="360" w:right="172"/>
              <w:jc w:val="center"/>
              <w:rPr>
                <w:rFonts w:ascii="Arial" w:hAnsi="Arial"/>
                <w:sz w:val="20"/>
                <w:lang w:val="es-ES_tradnl"/>
              </w:rPr>
            </w:pPr>
          </w:p>
        </w:tc>
        <w:tc>
          <w:tcPr>
            <w:tcW w:w="3798" w:type="dxa"/>
            <w:tcBorders>
              <w:left w:val="single" w:sz="4" w:space="0" w:color="auto"/>
              <w:bottom w:val="single" w:sz="4" w:space="0" w:color="auto"/>
              <w:right w:val="single" w:sz="4" w:space="0" w:color="auto"/>
            </w:tcBorders>
            <w:vAlign w:val="center"/>
          </w:tcPr>
          <w:p w:rsidR="00E70CF5" w:rsidRPr="00937C8B" w:rsidRDefault="00E70CF5">
            <w:pPr>
              <w:pStyle w:val="Header"/>
              <w:tabs>
                <w:tab w:val="clear" w:pos="4252"/>
                <w:tab w:val="clear" w:pos="8504"/>
              </w:tabs>
              <w:ind w:left="360" w:right="172"/>
              <w:jc w:val="center"/>
              <w:rPr>
                <w:rFonts w:ascii="Arial" w:hAnsi="Arial"/>
                <w:sz w:val="20"/>
                <w:lang w:val="es-ES_tradnl"/>
              </w:rPr>
            </w:pPr>
          </w:p>
        </w:tc>
      </w:tr>
    </w:tbl>
    <w:p w:rsidR="00831252" w:rsidRDefault="00831252" w:rsidP="00831252">
      <w:pPr>
        <w:pStyle w:val="PlainText"/>
        <w:rPr>
          <w:rFonts w:ascii="Courier New" w:hAnsi="Courier New" w:cs="Courier New"/>
          <w:sz w:val="20"/>
          <w:lang w:val="fr-FR"/>
        </w:rPr>
      </w:pPr>
    </w:p>
    <w:p w:rsidR="00831252" w:rsidRPr="008E3FB8" w:rsidRDefault="00831252" w:rsidP="00831252">
      <w:pPr>
        <w:pStyle w:val="PlainText"/>
        <w:rPr>
          <w:rFonts w:ascii="Courier New" w:hAnsi="Courier New" w:cs="Courier New"/>
          <w:sz w:val="20"/>
        </w:rPr>
      </w:pPr>
      <w:r>
        <w:rPr>
          <w:rFonts w:ascii="Courier New" w:hAnsi="Courier New"/>
          <w:sz w:val="20"/>
        </w:rPr>
        <w:t>1. ------IND- 2018 0617 E-- EN- ------ 20200709 --- --- FINAL</w:t>
      </w:r>
    </w:p>
    <w:p w:rsidR="009F6AAD" w:rsidRPr="00937C8B" w:rsidRDefault="009F6AAD">
      <w:pPr>
        <w:pStyle w:val="Header"/>
        <w:tabs>
          <w:tab w:val="clear" w:pos="4252"/>
          <w:tab w:val="clear" w:pos="8504"/>
        </w:tabs>
        <w:ind w:left="360" w:right="172"/>
        <w:rPr>
          <w:rFonts w:ascii="Arial" w:hAnsi="Arial"/>
          <w:sz w:val="20"/>
        </w:rPr>
      </w:pPr>
    </w:p>
    <w:tbl>
      <w:tblPr>
        <w:tblW w:w="10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88"/>
      </w:tblGrid>
      <w:tr w:rsidR="009F6AAD" w:rsidRPr="00937C8B" w:rsidTr="0058501F">
        <w:trPr>
          <w:trHeight w:hRule="exact" w:val="2295"/>
          <w:jc w:val="center"/>
        </w:trPr>
        <w:tc>
          <w:tcPr>
            <w:tcW w:w="10788" w:type="dxa"/>
            <w:tcBorders>
              <w:bottom w:val="single" w:sz="4" w:space="0" w:color="auto"/>
            </w:tcBorders>
          </w:tcPr>
          <w:p w:rsidR="009F6AAD" w:rsidRPr="00937C8B" w:rsidRDefault="009F6AAD">
            <w:pPr>
              <w:pStyle w:val="Header"/>
              <w:tabs>
                <w:tab w:val="clear" w:pos="4252"/>
                <w:tab w:val="clear" w:pos="8504"/>
              </w:tabs>
              <w:ind w:left="461" w:right="172"/>
              <w:jc w:val="both"/>
              <w:rPr>
                <w:rFonts w:ascii="Arial" w:hAnsi="Arial"/>
                <w:lang w:val="es-ES_tradnl"/>
              </w:rPr>
            </w:pPr>
          </w:p>
          <w:p w:rsidR="004F5D35" w:rsidRPr="00937C8B" w:rsidRDefault="004F5D35">
            <w:pPr>
              <w:pStyle w:val="Header"/>
              <w:tabs>
                <w:tab w:val="clear" w:pos="4252"/>
                <w:tab w:val="clear" w:pos="8504"/>
              </w:tabs>
              <w:ind w:left="461" w:right="172"/>
              <w:jc w:val="both"/>
              <w:rPr>
                <w:rFonts w:ascii="Arial" w:hAnsi="Arial"/>
                <w:lang w:val="es-ES_tradnl"/>
              </w:rPr>
            </w:pPr>
          </w:p>
          <w:p w:rsidR="009F6AAD" w:rsidRPr="00937C8B" w:rsidRDefault="000F2780" w:rsidP="00957C7F">
            <w:pPr>
              <w:tabs>
                <w:tab w:val="left" w:pos="1080"/>
              </w:tabs>
              <w:spacing w:line="360" w:lineRule="atLeast"/>
              <w:ind w:left="461" w:right="170"/>
              <w:jc w:val="both"/>
              <w:rPr>
                <w:rFonts w:ascii="Arial" w:hAnsi="Arial"/>
                <w:b/>
                <w:sz w:val="28"/>
              </w:rPr>
            </w:pPr>
            <w:r>
              <w:rPr>
                <w:rFonts w:ascii="Arial" w:hAnsi="Arial"/>
                <w:b/>
              </w:rPr>
              <w:t xml:space="preserve">ROYAL DECREE AMENDING THE TECHNICAL BUILDING CODE ADOPTED BY ROYAL DECREE 314/2006 OF 17 MARCH 2006 </w:t>
            </w:r>
          </w:p>
        </w:tc>
      </w:tr>
    </w:tbl>
    <w:p w:rsidR="009F6AAD" w:rsidRPr="00937C8B" w:rsidRDefault="009F6AAD">
      <w:pPr>
        <w:ind w:left="360" w:right="172"/>
        <w:jc w:val="both"/>
      </w:pPr>
    </w:p>
    <w:p w:rsidR="004836CD" w:rsidRPr="00937C8B" w:rsidRDefault="004836CD" w:rsidP="000D0247">
      <w:pPr>
        <w:spacing w:before="120" w:line="312" w:lineRule="auto"/>
        <w:ind w:firstLine="426"/>
        <w:jc w:val="both"/>
        <w:rPr>
          <w:rFonts w:ascii="Arial" w:hAnsi="Arial" w:cs="Arial"/>
        </w:rPr>
      </w:pPr>
      <w:r>
        <w:rPr>
          <w:rFonts w:ascii="Arial" w:hAnsi="Arial"/>
        </w:rPr>
        <w:t>Law 38/1999 of 5 November 1999 on building regulations defines the Technical Building Code [Código Técnico de la Edificación – CTE] as the regulatory framework that lays down the basic quality requirements for buildings and their installations and that allows for the fulfilment of the basic requirements laid down in its Article 3. The CTE referred to in this law was approved by Royal Decree 314/2006 of 17 March 2006.</w:t>
      </w:r>
    </w:p>
    <w:p w:rsidR="004836CD" w:rsidRPr="00937C8B" w:rsidRDefault="004836CD" w:rsidP="0058501F">
      <w:pPr>
        <w:spacing w:before="120" w:line="312" w:lineRule="auto"/>
        <w:ind w:firstLine="425"/>
        <w:jc w:val="both"/>
        <w:rPr>
          <w:rFonts w:ascii="Arial" w:hAnsi="Arial" w:cs="Arial"/>
        </w:rPr>
      </w:pPr>
      <w:r>
        <w:rPr>
          <w:rFonts w:ascii="Arial" w:hAnsi="Arial"/>
        </w:rPr>
        <w:t xml:space="preserve">The basic documents that make up Part II of the CTE set out and, where appropriate, quantify the basic requirements laid down in Part I through the setting of performance target levels or limits or other parameters. Specifically, basic documents </w:t>
      </w:r>
      <w:r>
        <w:rPr>
          <w:rFonts w:ascii="Arial" w:hAnsi="Arial"/>
          <w:u w:val="single"/>
        </w:rPr>
        <w:t>DB-HE ‘Energy Saving</w:t>
      </w:r>
      <w:r>
        <w:rPr>
          <w:rFonts w:ascii="Arial" w:hAnsi="Arial"/>
        </w:rPr>
        <w:t xml:space="preserve">’ and DB-HS ‘Health’ specify and quantify the energy performance and health requirements, respectively, applicable to new buildings and the works to be carried out on existing buildings. </w:t>
      </w:r>
    </w:p>
    <w:p w:rsidR="004836CD" w:rsidRPr="00937C8B" w:rsidRDefault="004836CD" w:rsidP="0058501F">
      <w:pPr>
        <w:spacing w:before="120" w:line="312" w:lineRule="auto"/>
        <w:ind w:firstLine="425"/>
        <w:jc w:val="both"/>
        <w:rPr>
          <w:rFonts w:ascii="Arial" w:hAnsi="Arial" w:cs="Arial"/>
        </w:rPr>
      </w:pPr>
      <w:r>
        <w:rPr>
          <w:rFonts w:ascii="Arial" w:hAnsi="Arial"/>
        </w:rPr>
        <w:t xml:space="preserve">The building energy efficiency requirements set out in Articles 4, 5 and 6 of Directive 2002/91/EC of the European Parliament and of the Council of 16 December 2002 on the energy performance of buildings were transposed in Royal Decree 314/2006 of 17 March 2006 and are included in the Basic Document on Energy Saving. Directive 2010/31/EU of the European Parliament and of the Council of 19 May 2010 on the energy performance of buildings was subsequently approved, which amended and reworded Directive 2002/91/EC of the European Parliament and of the Council of 16 December 2002 on the energy performance of buildings, resulting in the updating of basic document DB-HE ‘Energy Saving’ through Order FOM/1635/2013 of 10 September 2013, subsequently amended by Order FOM/588/2017 of 15 June 2017, to finish adapting its content to the aforesaid Directive. Directive 2010/31/EU of the European Parliament and of the Council of 19 May 2010 on the energy performance of buildings was amended by </w:t>
      </w:r>
      <w:r>
        <w:rPr>
          <w:rFonts w:ascii="Arial" w:hAnsi="Arial"/>
        </w:rPr>
        <w:lastRenderedPageBreak/>
        <w:t xml:space="preserve">Directive (EU) 2018/844 of the European Parliament and of the Council of 30 May 2018 amending Directive 2010/31/EU on the energy performance of buildings, and by Directive 2012/27/EU of the European Parliament and of the Council of 25 October 2012 on energy efficiency. This Royal Decree does not transpose Directive (EU) 2018/844 of the European Parliament and of the Council of 30 May 2018. </w:t>
      </w:r>
    </w:p>
    <w:p w:rsidR="004836CD" w:rsidRPr="00937C8B" w:rsidRDefault="004836CD" w:rsidP="0058501F">
      <w:pPr>
        <w:spacing w:before="120" w:line="312" w:lineRule="auto"/>
        <w:ind w:firstLine="425"/>
        <w:jc w:val="both"/>
        <w:rPr>
          <w:rFonts w:ascii="Arial" w:hAnsi="Arial" w:cs="Arial"/>
        </w:rPr>
      </w:pPr>
      <w:r>
        <w:rPr>
          <w:rFonts w:ascii="Arial" w:hAnsi="Arial"/>
        </w:rPr>
        <w:t xml:space="preserve">Directive 2010/31/EU of the European Parliament and of the Council of 19 May 2010 on the energy performance of buildings requires that the minimum energy efficiency requirements be revised and updated at least every five years to keep them in line with technological advancements in the building industry. Hence the need for this new revision of Basic Document DB-HE ‘Energy Saving’. This revision introduces amendments to the structure of the basic requirements to adapt them to European legislation, revising the minimum energy efficiency levels applicable to buildings and updating the definition of nearly-zero energy buildings. </w:t>
      </w:r>
    </w:p>
    <w:p w:rsidR="004836CD" w:rsidRPr="00937C8B" w:rsidRDefault="004836CD" w:rsidP="0058501F">
      <w:pPr>
        <w:spacing w:before="120" w:line="312" w:lineRule="auto"/>
        <w:ind w:firstLine="425"/>
        <w:jc w:val="both"/>
        <w:rPr>
          <w:rFonts w:ascii="Arial" w:hAnsi="Arial" w:cs="Arial"/>
        </w:rPr>
      </w:pPr>
      <w:r>
        <w:rPr>
          <w:rFonts w:ascii="Arial" w:hAnsi="Arial"/>
        </w:rPr>
        <w:t xml:space="preserve">Meanwhile, on 5 December 2013, Council Directive 2013/59/EURATOM of 5 December 2013 laying down basic safety standards for protection against the dangers arising from exposure to ionising radiation was approved, and Directives 89/618/Euratom, 90/641/Euratom, 96/29/Euratom, 97/43/Euratom and 2003/122/Euratom were repealed. </w:t>
      </w:r>
    </w:p>
    <w:p w:rsidR="004836CD" w:rsidRPr="00937C8B" w:rsidRDefault="004836CD" w:rsidP="0058501F">
      <w:pPr>
        <w:spacing w:before="120" w:line="312" w:lineRule="auto"/>
        <w:ind w:firstLine="425"/>
        <w:jc w:val="both"/>
        <w:rPr>
          <w:rFonts w:ascii="Arial" w:hAnsi="Arial" w:cs="Arial"/>
        </w:rPr>
      </w:pPr>
      <w:r>
        <w:rPr>
          <w:rFonts w:ascii="Arial" w:hAnsi="Arial"/>
        </w:rPr>
        <w:t xml:space="preserve">This Directive requires that Member States establish national reference levels for radon concentrations in enclosed areas and adopt appropriate measures to limit radon penetration in buildings. </w:t>
      </w:r>
    </w:p>
    <w:p w:rsidR="004836CD" w:rsidRPr="00937C8B" w:rsidRDefault="004836CD" w:rsidP="0058501F">
      <w:pPr>
        <w:spacing w:before="120" w:line="312" w:lineRule="auto"/>
        <w:ind w:firstLine="425"/>
        <w:jc w:val="both"/>
        <w:rPr>
          <w:rFonts w:ascii="Arial" w:hAnsi="Arial" w:cs="Arial"/>
        </w:rPr>
      </w:pPr>
      <w:r>
        <w:rPr>
          <w:rFonts w:ascii="Arial" w:hAnsi="Arial"/>
        </w:rPr>
        <w:t>As a result, and in partial transposition of this Directive, this Royal Decree introduces a new basic health requirement HS6 to protect against radon gas, for which all buildings located in urban areas found to carry a significant level of risk must now have adequate means to mitigate their foreseeable internal risk of exposure to radon from the ground. This basic requirement is implemented through the inclusion of a new section in basic document DB-HS ‘Health’, defining and quantifying the requirement and laying down criteria for verifying and documenting its fulfilment.</w:t>
      </w:r>
    </w:p>
    <w:p w:rsidR="004836CD" w:rsidRPr="00937C8B" w:rsidRDefault="004836CD" w:rsidP="0058501F">
      <w:pPr>
        <w:spacing w:before="120" w:line="312" w:lineRule="auto"/>
        <w:ind w:firstLine="425"/>
        <w:jc w:val="both"/>
        <w:rPr>
          <w:rFonts w:ascii="Arial" w:hAnsi="Arial" w:cs="Arial"/>
        </w:rPr>
      </w:pPr>
      <w:r>
        <w:rPr>
          <w:rFonts w:ascii="Arial" w:hAnsi="Arial"/>
        </w:rPr>
        <w:t>Similarly, taking into account the potential effects on the building's exterior enclosures deriving from the regulatory increase in new energy efficiency requirements, several amendments have been made to basic document DB-HS “Fire Safety” to adequately mitigate the risk of fire spreading across the exterior of the building.</w:t>
      </w:r>
    </w:p>
    <w:p w:rsidR="004836CD" w:rsidRPr="00937C8B" w:rsidRDefault="004836CD" w:rsidP="0058501F">
      <w:pPr>
        <w:spacing w:before="120" w:line="312" w:lineRule="auto"/>
        <w:ind w:firstLine="425"/>
        <w:jc w:val="both"/>
        <w:rPr>
          <w:rFonts w:ascii="Arial" w:hAnsi="Arial" w:cs="Arial"/>
        </w:rPr>
      </w:pPr>
      <w:r>
        <w:rPr>
          <w:rFonts w:ascii="Arial" w:hAnsi="Arial"/>
        </w:rPr>
        <w:t>Finally, this Royal Decree also includes an update to the regulatory references in several of the CTE Basic Documents.</w:t>
      </w:r>
    </w:p>
    <w:p w:rsidR="004836CD" w:rsidRPr="00937C8B" w:rsidRDefault="004836CD" w:rsidP="0058501F">
      <w:pPr>
        <w:spacing w:before="120" w:line="312" w:lineRule="auto"/>
        <w:ind w:firstLine="425"/>
        <w:jc w:val="both"/>
        <w:rPr>
          <w:rFonts w:ascii="Arial" w:hAnsi="Arial" w:cs="Arial"/>
        </w:rPr>
      </w:pPr>
      <w:r>
        <w:rPr>
          <w:rFonts w:ascii="Arial" w:hAnsi="Arial"/>
        </w:rPr>
        <w:t xml:space="preserve">This Royal Decree complies with the principles of necessity, effectiveness, proportionality, legal certainty, transparency and efficiency laid down in Article 129 of Law 39/2015 of 1 October 2015 on common administrative procedures for public administrations. With regard to the principles of necessity and effectiveness, this regulation meets the obligation to transpose the European </w:t>
      </w:r>
      <w:r>
        <w:rPr>
          <w:rFonts w:ascii="Arial" w:hAnsi="Arial"/>
        </w:rPr>
        <w:lastRenderedPageBreak/>
        <w:t>directives into national law and is in line with public interest objectives, such as controlling the risk of exposure to high levels of radon for building users and reducing energy consumption in buildings while limiting user vulnerability. All of this will provide better personal safety and living conditions, social well-being and environmental protection. This regulation is also in line with the principle of proportionality, given that it provides the necessary and sufficient means to implement the legal mandates given in the indicated provisions, but does not include an innovation that may be unnecessary or go beyond what is legally required, nor does it entail any restriction on the rights of citizens. This regulation meets the principle of legal certainty because it was developed according to the procedures defined in Government Law 50/1997 of 27 November 1997 and the principle of transparency because it clearly identifies its purpose and its publicly accessible explanatory memorandum explains its contents in full. Finally, it also meets the principle of efficiency because it does not impose any administrative burden.</w:t>
      </w:r>
    </w:p>
    <w:p w:rsidR="004836CD" w:rsidRPr="00937C8B" w:rsidRDefault="004836CD" w:rsidP="0058501F">
      <w:pPr>
        <w:spacing w:before="120" w:line="312" w:lineRule="auto"/>
        <w:ind w:firstLine="425"/>
        <w:jc w:val="both"/>
        <w:rPr>
          <w:rFonts w:ascii="Arial" w:hAnsi="Arial" w:cs="Arial"/>
        </w:rPr>
      </w:pPr>
      <w:r>
        <w:rPr>
          <w:rFonts w:ascii="Arial" w:hAnsi="Arial"/>
        </w:rPr>
        <w:t>This general provision has been subjected to the procedure for the provision of information in the field of technical regulations and of rules on Information Society services, laid down in Directive (EU) 2015/1535 of the European Parliament and of the Council of 9 September 2015, and in Royal Decree 1337/1999 of 31 July 1999.</w:t>
      </w:r>
    </w:p>
    <w:p w:rsidR="004836CD" w:rsidRPr="00937C8B" w:rsidRDefault="004836CD" w:rsidP="0058501F">
      <w:pPr>
        <w:spacing w:before="120" w:line="312" w:lineRule="auto"/>
        <w:ind w:firstLine="425"/>
        <w:jc w:val="both"/>
        <w:rPr>
          <w:rFonts w:ascii="Arial" w:hAnsi="Arial" w:cs="Arial"/>
        </w:rPr>
      </w:pPr>
      <w:r>
        <w:rPr>
          <w:rFonts w:ascii="Arial" w:hAnsi="Arial"/>
        </w:rPr>
        <w:t>Pursuant to the above, at the proposal of the Minister for Development, in agreement with the Council of State, and following deliberation by the Council of Ministers at its meeting held on        ,</w:t>
      </w:r>
    </w:p>
    <w:p w:rsidR="00025E15" w:rsidRPr="00937C8B" w:rsidRDefault="00025E15" w:rsidP="00511D25">
      <w:pPr>
        <w:spacing w:before="120" w:line="312" w:lineRule="auto"/>
        <w:jc w:val="both"/>
        <w:rPr>
          <w:rFonts w:ascii="Arial" w:hAnsi="Arial" w:cs="Arial"/>
        </w:rPr>
      </w:pPr>
    </w:p>
    <w:p w:rsidR="004836CD" w:rsidRPr="00831252" w:rsidRDefault="004836CD" w:rsidP="00D27646">
      <w:pPr>
        <w:keepNext/>
        <w:spacing w:before="120" w:line="312" w:lineRule="auto"/>
        <w:ind w:firstLine="425"/>
        <w:jc w:val="center"/>
        <w:rPr>
          <w:rFonts w:ascii="Arial" w:hAnsi="Arial" w:cs="Arial"/>
        </w:rPr>
      </w:pPr>
      <w:r>
        <w:rPr>
          <w:rFonts w:ascii="Arial" w:hAnsi="Arial"/>
        </w:rPr>
        <w:t>I HEREBY DECREE:</w:t>
      </w:r>
    </w:p>
    <w:p w:rsidR="004836CD" w:rsidRPr="00831252" w:rsidRDefault="004836CD" w:rsidP="00D27646">
      <w:pPr>
        <w:keepNext/>
        <w:ind w:firstLine="284"/>
        <w:jc w:val="both"/>
        <w:rPr>
          <w:rFonts w:ascii="Arial" w:hAnsi="Arial" w:cs="Arial"/>
          <w:lang w:val="pt-PT"/>
        </w:rPr>
      </w:pPr>
    </w:p>
    <w:p w:rsidR="00511D25" w:rsidRPr="00937C8B" w:rsidRDefault="004836CD" w:rsidP="0058501F">
      <w:pPr>
        <w:spacing w:before="120" w:line="312" w:lineRule="auto"/>
        <w:jc w:val="both"/>
        <w:rPr>
          <w:rFonts w:ascii="Arial" w:hAnsi="Arial" w:cs="Arial"/>
          <w:i/>
          <w:sz w:val="20"/>
          <w:szCs w:val="20"/>
        </w:rPr>
      </w:pPr>
      <w:r>
        <w:rPr>
          <w:rFonts w:ascii="Arial" w:hAnsi="Arial"/>
          <w:b/>
        </w:rPr>
        <w:t>Sole article.</w:t>
      </w:r>
      <w:r>
        <w:rPr>
          <w:rFonts w:ascii="Arial" w:hAnsi="Arial"/>
        </w:rPr>
        <w:t xml:space="preserve"> Amendment of the Technical Building Code (CTE) approved by Royal Decree 314/2006 of 17 March 2006. </w:t>
      </w:r>
    </w:p>
    <w:p w:rsidR="004836CD" w:rsidRPr="00937C8B" w:rsidRDefault="004836CD" w:rsidP="00D27646">
      <w:pPr>
        <w:keepNext/>
        <w:spacing w:before="120" w:line="312" w:lineRule="auto"/>
        <w:jc w:val="both"/>
        <w:rPr>
          <w:rFonts w:ascii="Arial" w:hAnsi="Arial" w:cs="Arial"/>
        </w:rPr>
      </w:pPr>
      <w:r>
        <w:rPr>
          <w:rFonts w:ascii="Arial" w:hAnsi="Arial"/>
        </w:rPr>
        <w:t>Royal Decree 314/2006 of 17 March 2006 approving the Technical Building Code (CTE) is amended as follows:</w:t>
      </w:r>
    </w:p>
    <w:p w:rsidR="004836CD" w:rsidRPr="00937C8B" w:rsidRDefault="004836CD" w:rsidP="00D27646">
      <w:pPr>
        <w:keepNext/>
        <w:spacing w:before="120" w:line="312" w:lineRule="auto"/>
        <w:jc w:val="both"/>
        <w:rPr>
          <w:rFonts w:ascii="Arial" w:hAnsi="Arial" w:cs="Arial"/>
        </w:rPr>
      </w:pPr>
      <w:r>
        <w:rPr>
          <w:rFonts w:ascii="Arial" w:hAnsi="Arial"/>
        </w:rPr>
        <w:t>One. Part I of the Technical Building Code is amended in the following terms:</w:t>
      </w:r>
    </w:p>
    <w:p w:rsidR="004836CD" w:rsidRPr="00937C8B" w:rsidRDefault="004836CD" w:rsidP="00D27646">
      <w:pPr>
        <w:keepNext/>
        <w:spacing w:before="120" w:line="312" w:lineRule="auto"/>
        <w:jc w:val="both"/>
        <w:rPr>
          <w:rFonts w:ascii="Arial" w:hAnsi="Arial" w:cs="Arial"/>
        </w:rPr>
      </w:pPr>
      <w:r>
        <w:rPr>
          <w:rFonts w:ascii="Arial" w:hAnsi="Arial"/>
        </w:rPr>
        <w:t>In Chapter 3, Article 13(3), the following text is introduced at the end:</w:t>
      </w:r>
    </w:p>
    <w:p w:rsidR="004836CD" w:rsidRPr="00937C8B" w:rsidRDefault="004836CD" w:rsidP="0058501F">
      <w:pPr>
        <w:spacing w:before="120" w:line="312" w:lineRule="auto"/>
        <w:ind w:left="425"/>
        <w:jc w:val="both"/>
        <w:rPr>
          <w:rFonts w:ascii="Arial" w:hAnsi="Arial" w:cs="Arial"/>
        </w:rPr>
      </w:pPr>
      <w:r>
        <w:rPr>
          <w:rFonts w:ascii="Arial" w:hAnsi="Arial"/>
        </w:rPr>
        <w:t>‘13.6 Basic requirement HS 6: Protection against exposure to radon.</w:t>
      </w:r>
    </w:p>
    <w:p w:rsidR="004836CD" w:rsidRPr="00937C8B" w:rsidRDefault="004836CD" w:rsidP="0058501F">
      <w:pPr>
        <w:spacing w:before="120" w:line="312" w:lineRule="auto"/>
        <w:ind w:left="426"/>
        <w:jc w:val="both"/>
        <w:rPr>
          <w:rFonts w:ascii="Arial" w:hAnsi="Arial" w:cs="Arial"/>
        </w:rPr>
      </w:pPr>
      <w:r>
        <w:rPr>
          <w:rFonts w:ascii="Arial" w:hAnsi="Arial"/>
        </w:rPr>
        <w:t>Buildings shall have adequate means to limit the foreseeable risk of exposure to radon from the ground in enclosed spaces.’</w:t>
      </w:r>
    </w:p>
    <w:p w:rsidR="004836CD" w:rsidRPr="00937C8B" w:rsidRDefault="004836CD" w:rsidP="00D27646">
      <w:pPr>
        <w:keepNext/>
        <w:spacing w:before="120" w:line="312" w:lineRule="auto"/>
        <w:jc w:val="both"/>
        <w:rPr>
          <w:rFonts w:ascii="Arial" w:hAnsi="Arial" w:cs="Arial"/>
        </w:rPr>
      </w:pPr>
      <w:r>
        <w:rPr>
          <w:rFonts w:ascii="Arial" w:hAnsi="Arial"/>
        </w:rPr>
        <w:t>In Chapter 3, Article 15 is drafted as follows:</w:t>
      </w:r>
    </w:p>
    <w:p w:rsidR="004836CD" w:rsidRPr="00937C8B" w:rsidRDefault="004836CD" w:rsidP="00D27646">
      <w:pPr>
        <w:keepNext/>
        <w:spacing w:before="120" w:line="312" w:lineRule="auto"/>
        <w:ind w:left="425"/>
        <w:jc w:val="both"/>
        <w:rPr>
          <w:rFonts w:ascii="Arial" w:hAnsi="Arial" w:cs="Arial"/>
        </w:rPr>
      </w:pPr>
      <w:r>
        <w:rPr>
          <w:rFonts w:ascii="Arial" w:hAnsi="Arial"/>
        </w:rPr>
        <w:t>‘Article 15. Basic energy-saving requirements (HE)</w:t>
      </w:r>
    </w:p>
    <w:p w:rsidR="004836CD" w:rsidRPr="00937C8B" w:rsidRDefault="004836CD" w:rsidP="0058501F">
      <w:pPr>
        <w:spacing w:before="120" w:line="312" w:lineRule="auto"/>
        <w:ind w:left="709" w:hanging="283"/>
        <w:jc w:val="both"/>
        <w:rPr>
          <w:rFonts w:ascii="Arial" w:hAnsi="Arial" w:cs="Arial"/>
        </w:rPr>
      </w:pPr>
      <w:r>
        <w:rPr>
          <w:rFonts w:ascii="Arial" w:hAnsi="Arial"/>
        </w:rPr>
        <w:t>1.</w:t>
      </w:r>
      <w:r>
        <w:rPr>
          <w:rFonts w:ascii="Arial" w:hAnsi="Arial"/>
        </w:rPr>
        <w:tab/>
        <w:t xml:space="preserve">The objective of the basic ‘Energy saving’ obligation is to achieve rational use of the energy required for use of the buildings, thus reducing consumption to sustainable limits and also </w:t>
      </w:r>
      <w:r>
        <w:rPr>
          <w:rFonts w:ascii="Arial" w:hAnsi="Arial"/>
        </w:rPr>
        <w:lastRenderedPageBreak/>
        <w:t>ensuring that some of this energy comes from renewable sources, based on characteristics of its design, construction, use and maintenance.</w:t>
      </w:r>
    </w:p>
    <w:p w:rsidR="004836CD" w:rsidRPr="00937C8B" w:rsidRDefault="004836CD" w:rsidP="0058501F">
      <w:pPr>
        <w:spacing w:before="120" w:line="312" w:lineRule="auto"/>
        <w:ind w:left="709" w:hanging="283"/>
        <w:jc w:val="both"/>
        <w:rPr>
          <w:rFonts w:ascii="Arial" w:hAnsi="Arial" w:cs="Arial"/>
        </w:rPr>
      </w:pPr>
      <w:r>
        <w:rPr>
          <w:rFonts w:ascii="Arial" w:hAnsi="Arial"/>
        </w:rPr>
        <w:t>2.</w:t>
      </w:r>
      <w:r>
        <w:rPr>
          <w:rFonts w:ascii="Arial" w:hAnsi="Arial"/>
        </w:rPr>
        <w:tab/>
        <w:t>To achieve this objective, buildings shall be designed, built, used and maintained in such a way as to ensure compliance with the basic requirements set out in the subsections below.</w:t>
      </w:r>
    </w:p>
    <w:p w:rsidR="004836CD" w:rsidRPr="00937C8B" w:rsidRDefault="004836CD" w:rsidP="0058501F">
      <w:pPr>
        <w:spacing w:before="120" w:line="312" w:lineRule="auto"/>
        <w:ind w:left="709" w:hanging="283"/>
        <w:jc w:val="both"/>
        <w:rPr>
          <w:rFonts w:ascii="Arial" w:hAnsi="Arial" w:cs="Arial"/>
        </w:rPr>
      </w:pPr>
      <w:r>
        <w:rPr>
          <w:rFonts w:ascii="Arial" w:hAnsi="Arial"/>
        </w:rPr>
        <w:t>3.</w:t>
      </w:r>
      <w:r>
        <w:rPr>
          <w:rFonts w:ascii="Arial" w:hAnsi="Arial"/>
        </w:rPr>
        <w:tab/>
        <w:t>The Basic Document ‘DB-HE Energy-Saving’ specifies objective parameters and procedures to be followed to ensure compliance with the basic requirements and attainment of the minimum quality levels related to the basic energy-saving regulations.</w:t>
      </w:r>
    </w:p>
    <w:p w:rsidR="004836CD" w:rsidRPr="00937C8B" w:rsidRDefault="004836CD" w:rsidP="00D27646">
      <w:pPr>
        <w:keepNext/>
        <w:spacing w:before="120" w:line="312" w:lineRule="auto"/>
        <w:ind w:left="709" w:hanging="284"/>
        <w:jc w:val="both"/>
        <w:rPr>
          <w:rFonts w:ascii="Arial" w:hAnsi="Arial" w:cs="Arial"/>
        </w:rPr>
      </w:pPr>
      <w:r>
        <w:rPr>
          <w:rFonts w:ascii="Arial" w:hAnsi="Arial"/>
        </w:rPr>
        <w:t>15.1. Basic requirement HE 0: Limiting energy consumption.</w:t>
      </w:r>
    </w:p>
    <w:p w:rsidR="004836CD" w:rsidRPr="00937C8B" w:rsidRDefault="004836CD" w:rsidP="0058501F">
      <w:pPr>
        <w:spacing w:before="120" w:line="312" w:lineRule="auto"/>
        <w:ind w:left="426"/>
        <w:jc w:val="both"/>
        <w:rPr>
          <w:rFonts w:ascii="Arial" w:hAnsi="Arial" w:cs="Arial"/>
        </w:rPr>
      </w:pPr>
      <w:r>
        <w:rPr>
          <w:rFonts w:ascii="Arial" w:hAnsi="Arial"/>
        </w:rPr>
        <w:t>The energy consumption of buildings shall be limited according to their climate zone, use and, for existing buildings, the scope of the works. Energy consumption shall be satisfied largely through the use of energy deriving from renewable sources.</w:t>
      </w:r>
    </w:p>
    <w:p w:rsidR="004836CD" w:rsidRPr="00937C8B" w:rsidRDefault="004836CD" w:rsidP="00D27646">
      <w:pPr>
        <w:keepNext/>
        <w:spacing w:before="120" w:line="312" w:lineRule="auto"/>
        <w:ind w:left="425"/>
        <w:jc w:val="both"/>
        <w:rPr>
          <w:rFonts w:ascii="Arial" w:hAnsi="Arial" w:cs="Arial"/>
        </w:rPr>
      </w:pPr>
      <w:r>
        <w:rPr>
          <w:rFonts w:ascii="Arial" w:hAnsi="Arial"/>
        </w:rPr>
        <w:t>15.2. Basic requirement HE 1: Conditions for controlling energy demand</w:t>
      </w:r>
    </w:p>
    <w:p w:rsidR="004836CD" w:rsidRPr="00937C8B" w:rsidRDefault="004836CD" w:rsidP="0058501F">
      <w:pPr>
        <w:spacing w:before="120" w:line="312" w:lineRule="auto"/>
        <w:ind w:left="426"/>
        <w:jc w:val="both"/>
        <w:rPr>
          <w:rFonts w:ascii="Arial" w:hAnsi="Arial" w:cs="Arial"/>
        </w:rPr>
      </w:pPr>
      <w:r>
        <w:rPr>
          <w:rFonts w:ascii="Arial" w:hAnsi="Arial"/>
        </w:rPr>
        <w:t>Buildings shall have a thermal envelope with characteristics that limit the primary energy needs to achieve thermal comfort according to the climate zone of the building, summer and winter patterns, the use of the building and, for existing buildings, the scope of the works.</w:t>
      </w:r>
    </w:p>
    <w:p w:rsidR="004836CD" w:rsidRPr="00937C8B" w:rsidRDefault="004836CD" w:rsidP="0058501F">
      <w:pPr>
        <w:spacing w:before="120" w:line="312" w:lineRule="auto"/>
        <w:ind w:left="426"/>
        <w:jc w:val="both"/>
        <w:rPr>
          <w:rFonts w:ascii="Arial" w:hAnsi="Arial" w:cs="Arial"/>
        </w:rPr>
      </w:pPr>
      <w:r>
        <w:rPr>
          <w:rFonts w:ascii="Arial" w:hAnsi="Arial"/>
        </w:rPr>
        <w:t>The components of the thermal envelope shall have such characteristics, based on the climate zone, that they prevent decompensation in the thermal quality of the different habitable spaces. Likewise, the characteristics of the interior partitions shall limit the heat transfer between units used for different purposes and between usage units and shared areas of the building.</w:t>
      </w:r>
    </w:p>
    <w:p w:rsidR="004836CD" w:rsidRPr="00937C8B" w:rsidRDefault="004836CD" w:rsidP="0058501F">
      <w:pPr>
        <w:spacing w:before="120" w:line="312" w:lineRule="auto"/>
        <w:ind w:left="426"/>
        <w:jc w:val="both"/>
        <w:rPr>
          <w:rFonts w:ascii="Arial" w:hAnsi="Arial" w:cs="Arial"/>
        </w:rPr>
      </w:pPr>
      <w:r>
        <w:rPr>
          <w:rFonts w:ascii="Arial" w:hAnsi="Arial"/>
        </w:rPr>
        <w:t>Risks arising from processes that significantly reduce the thermal efficiency or service life of components of the thermal envelope, such as condensation, shall also be limited.</w:t>
      </w:r>
    </w:p>
    <w:p w:rsidR="004836CD" w:rsidRPr="00937C8B" w:rsidRDefault="004836CD" w:rsidP="00D27646">
      <w:pPr>
        <w:keepNext/>
        <w:spacing w:before="120" w:line="312" w:lineRule="auto"/>
        <w:ind w:left="425"/>
        <w:jc w:val="both"/>
        <w:rPr>
          <w:rFonts w:ascii="Arial" w:hAnsi="Arial" w:cs="Arial"/>
        </w:rPr>
      </w:pPr>
      <w:r>
        <w:rPr>
          <w:rFonts w:ascii="Arial" w:hAnsi="Arial"/>
        </w:rPr>
        <w:t>15.3. Basic requirement HE 2: Conditions of heating installations</w:t>
      </w:r>
    </w:p>
    <w:p w:rsidR="004836CD" w:rsidRPr="00937C8B" w:rsidRDefault="004836CD" w:rsidP="0058501F">
      <w:pPr>
        <w:spacing w:before="120" w:line="312" w:lineRule="auto"/>
        <w:ind w:left="426"/>
        <w:jc w:val="both"/>
        <w:rPr>
          <w:rFonts w:ascii="Arial" w:hAnsi="Arial" w:cs="Arial"/>
        </w:rPr>
      </w:pPr>
      <w:r>
        <w:rPr>
          <w:rFonts w:ascii="Arial" w:hAnsi="Arial"/>
        </w:rPr>
        <w:t>Heating installations in buildings shall be suitable to achieve thermal comfort for their occupants. This requirement is currently provided for in the prevailing Regulations on Thermal Installations in Buildings (RITE), and application thereof shall be defined in the building design.</w:t>
      </w:r>
    </w:p>
    <w:p w:rsidR="004836CD" w:rsidRPr="00937C8B" w:rsidRDefault="004836CD" w:rsidP="00D27646">
      <w:pPr>
        <w:keepNext/>
        <w:spacing w:before="120" w:line="312" w:lineRule="auto"/>
        <w:ind w:left="425"/>
        <w:jc w:val="both"/>
        <w:rPr>
          <w:rFonts w:ascii="Arial" w:hAnsi="Arial" w:cs="Arial"/>
        </w:rPr>
      </w:pPr>
      <w:r>
        <w:rPr>
          <w:rFonts w:ascii="Arial" w:hAnsi="Arial"/>
        </w:rPr>
        <w:t>15.4. Basic requirement HE 3: Conditions of lighting installations</w:t>
      </w:r>
    </w:p>
    <w:p w:rsidR="004836CD" w:rsidRPr="00937C8B" w:rsidRDefault="004836CD" w:rsidP="0058501F">
      <w:pPr>
        <w:spacing w:before="120" w:line="312" w:lineRule="auto"/>
        <w:ind w:left="426"/>
        <w:jc w:val="both"/>
        <w:rPr>
          <w:rFonts w:ascii="Arial" w:hAnsi="Arial" w:cs="Arial"/>
        </w:rPr>
      </w:pPr>
      <w:r>
        <w:rPr>
          <w:rFonts w:ascii="Arial" w:hAnsi="Arial"/>
        </w:rPr>
        <w:t>Buildings shall have energy-efficient lighting installations suited to the needs of their users, control systems enabling lighting use to be adjusted in consideration of actual occupation of the area, and adjustment systems to optimise the use of natural light in areas that satisfy certain conditions.</w:t>
      </w:r>
    </w:p>
    <w:p w:rsidR="004836CD" w:rsidRPr="00937C8B" w:rsidRDefault="004836CD" w:rsidP="00D27646">
      <w:pPr>
        <w:keepNext/>
        <w:spacing w:before="120" w:line="312" w:lineRule="auto"/>
        <w:ind w:left="425"/>
        <w:jc w:val="both"/>
        <w:rPr>
          <w:rFonts w:ascii="Arial" w:hAnsi="Arial" w:cs="Arial"/>
        </w:rPr>
      </w:pPr>
      <w:r>
        <w:rPr>
          <w:rFonts w:ascii="Arial" w:hAnsi="Arial"/>
        </w:rPr>
        <w:lastRenderedPageBreak/>
        <w:t>15.5. Basic requirement HE 4: Minimum contribution of renewable energy to cover domestic hot water demand</w:t>
      </w:r>
    </w:p>
    <w:p w:rsidR="004836CD" w:rsidRPr="00937C8B" w:rsidRDefault="004836CD" w:rsidP="0058501F">
      <w:pPr>
        <w:spacing w:before="120" w:line="312" w:lineRule="auto"/>
        <w:ind w:left="426"/>
        <w:jc w:val="both"/>
        <w:rPr>
          <w:rFonts w:ascii="Arial" w:hAnsi="Arial" w:cs="Arial"/>
        </w:rPr>
      </w:pPr>
      <w:r>
        <w:rPr>
          <w:rFonts w:ascii="Arial" w:hAnsi="Arial"/>
        </w:rPr>
        <w:t>Buildings shall largely meet their DHW or indoor pool heating needs with energy from renewable sources or renewable cogeneration processes, or with energy generated in the building itself or from a connection to a district heating system.</w:t>
      </w:r>
    </w:p>
    <w:p w:rsidR="004836CD" w:rsidRPr="00937C8B" w:rsidRDefault="004836CD" w:rsidP="00D27646">
      <w:pPr>
        <w:keepNext/>
        <w:spacing w:before="120" w:line="312" w:lineRule="auto"/>
        <w:ind w:left="425"/>
        <w:jc w:val="both"/>
        <w:rPr>
          <w:rFonts w:ascii="Arial" w:hAnsi="Arial" w:cs="Arial"/>
        </w:rPr>
      </w:pPr>
      <w:r>
        <w:rPr>
          <w:rFonts w:ascii="Arial" w:hAnsi="Arial"/>
        </w:rPr>
        <w:t>15.6. Basic requirement HE 5: Minimum electricity generation</w:t>
      </w:r>
    </w:p>
    <w:p w:rsidR="004836CD" w:rsidRPr="00937C8B" w:rsidRDefault="004836CD" w:rsidP="0058501F">
      <w:pPr>
        <w:spacing w:before="120" w:line="312" w:lineRule="auto"/>
        <w:ind w:left="426"/>
        <w:jc w:val="both"/>
        <w:rPr>
          <w:rFonts w:ascii="Arial" w:hAnsi="Arial" w:cs="Arial"/>
        </w:rPr>
      </w:pPr>
      <w:r>
        <w:rPr>
          <w:rFonts w:ascii="Arial" w:hAnsi="Arial"/>
        </w:rPr>
        <w:t>Buildings with high electricity consumption shall incorporate systems for generating electricity from renewable sources for internal use or for supplying to the grid.’</w:t>
      </w:r>
    </w:p>
    <w:p w:rsidR="00D609C6" w:rsidRPr="00937C8B" w:rsidRDefault="00F654E5" w:rsidP="00D27646">
      <w:pPr>
        <w:keepNext/>
        <w:spacing w:before="120" w:line="312" w:lineRule="auto"/>
        <w:jc w:val="both"/>
        <w:rPr>
          <w:rFonts w:ascii="Arial" w:hAnsi="Arial" w:cs="Arial"/>
        </w:rPr>
      </w:pPr>
      <w:r>
        <w:rPr>
          <w:rFonts w:ascii="Arial" w:hAnsi="Arial"/>
        </w:rPr>
        <w:t xml:space="preserve">The following amendments are made to the Table of contents: </w:t>
      </w:r>
    </w:p>
    <w:p w:rsidR="004836CD" w:rsidRPr="00937C8B" w:rsidRDefault="004836CD" w:rsidP="00D27646">
      <w:pPr>
        <w:pStyle w:val="ListParagraph"/>
        <w:keepNext/>
        <w:numPr>
          <w:ilvl w:val="0"/>
          <w:numId w:val="2"/>
        </w:numPr>
        <w:spacing w:before="120" w:after="0" w:line="312" w:lineRule="auto"/>
        <w:ind w:left="284" w:hanging="284"/>
        <w:jc w:val="both"/>
        <w:rPr>
          <w:rFonts w:ascii="Arial" w:hAnsi="Arial" w:cs="Arial"/>
          <w:sz w:val="24"/>
          <w:szCs w:val="24"/>
        </w:rPr>
      </w:pPr>
      <w:r>
        <w:rPr>
          <w:rFonts w:ascii="Arial" w:hAnsi="Arial"/>
          <w:sz w:val="24"/>
        </w:rPr>
        <w:t>An additional subsection is included in the reference to Article 13, which is worded as follows:</w:t>
      </w:r>
    </w:p>
    <w:p w:rsidR="004836CD" w:rsidRPr="00937C8B" w:rsidRDefault="004836CD" w:rsidP="0058501F">
      <w:pPr>
        <w:spacing w:before="120" w:line="312" w:lineRule="auto"/>
        <w:ind w:left="360"/>
        <w:jc w:val="both"/>
        <w:rPr>
          <w:rFonts w:ascii="Arial" w:hAnsi="Arial" w:cs="Arial"/>
        </w:rPr>
      </w:pPr>
      <w:r>
        <w:rPr>
          <w:rFonts w:ascii="Arial" w:hAnsi="Arial"/>
        </w:rPr>
        <w:t xml:space="preserve">‘13.6. Basic requirement HS 6: Protection against exposure to radon’ </w:t>
      </w:r>
    </w:p>
    <w:p w:rsidR="004836CD" w:rsidRPr="00937C8B" w:rsidRDefault="004836CD" w:rsidP="00D27646">
      <w:pPr>
        <w:pStyle w:val="ListParagraph"/>
        <w:keepNext/>
        <w:numPr>
          <w:ilvl w:val="0"/>
          <w:numId w:val="2"/>
        </w:numPr>
        <w:spacing w:before="120" w:after="0" w:line="312" w:lineRule="auto"/>
        <w:ind w:left="284" w:hanging="284"/>
        <w:jc w:val="both"/>
        <w:rPr>
          <w:rFonts w:ascii="Arial" w:hAnsi="Arial" w:cs="Arial"/>
        </w:rPr>
      </w:pPr>
      <w:r>
        <w:rPr>
          <w:rFonts w:ascii="Arial" w:hAnsi="Arial"/>
        </w:rPr>
        <w:t xml:space="preserve">The reference to Article 15 is drafted as follows: </w:t>
      </w:r>
    </w:p>
    <w:p w:rsidR="004836CD" w:rsidRPr="00937C8B" w:rsidRDefault="004836CD" w:rsidP="00D27646">
      <w:pPr>
        <w:keepNext/>
        <w:autoSpaceDE w:val="0"/>
        <w:autoSpaceDN w:val="0"/>
        <w:adjustRightInd w:val="0"/>
        <w:spacing w:before="120" w:line="312" w:lineRule="auto"/>
        <w:ind w:left="284" w:firstLine="142"/>
        <w:rPr>
          <w:rFonts w:ascii="Arial" w:hAnsi="Arial" w:cs="Arial"/>
        </w:rPr>
      </w:pPr>
      <w:r>
        <w:rPr>
          <w:rFonts w:ascii="Arial" w:hAnsi="Arial"/>
        </w:rPr>
        <w:t>“Article 15. Basic energy-saving requirements (HE)</w:t>
      </w:r>
    </w:p>
    <w:p w:rsidR="004836CD" w:rsidRPr="00937C8B" w:rsidRDefault="008C5A28" w:rsidP="0058501F">
      <w:pPr>
        <w:autoSpaceDE w:val="0"/>
        <w:autoSpaceDN w:val="0"/>
        <w:adjustRightInd w:val="0"/>
        <w:spacing w:before="120" w:line="312" w:lineRule="auto"/>
        <w:ind w:left="2410" w:hanging="567"/>
        <w:jc w:val="both"/>
        <w:rPr>
          <w:rFonts w:ascii="Arial" w:hAnsi="Arial" w:cs="Arial"/>
        </w:rPr>
      </w:pPr>
      <w:r>
        <w:rPr>
          <w:rFonts w:ascii="Arial" w:hAnsi="Arial"/>
        </w:rPr>
        <w:t>15(1)</w:t>
      </w:r>
      <w:r>
        <w:rPr>
          <w:rFonts w:ascii="Arial" w:hAnsi="Arial"/>
        </w:rPr>
        <w:tab/>
        <w:t>Basic requirement HE 0: Limiting energy consumption</w:t>
      </w:r>
    </w:p>
    <w:p w:rsidR="004836CD" w:rsidRPr="00937C8B" w:rsidRDefault="004836CD" w:rsidP="0058501F">
      <w:pPr>
        <w:autoSpaceDE w:val="0"/>
        <w:autoSpaceDN w:val="0"/>
        <w:adjustRightInd w:val="0"/>
        <w:spacing w:before="120" w:line="312" w:lineRule="auto"/>
        <w:ind w:left="2410" w:hanging="567"/>
        <w:jc w:val="both"/>
        <w:rPr>
          <w:rFonts w:ascii="Arial" w:hAnsi="Arial" w:cs="Arial"/>
        </w:rPr>
      </w:pPr>
      <w:r>
        <w:rPr>
          <w:rFonts w:ascii="Arial" w:hAnsi="Arial"/>
        </w:rPr>
        <w:t>15(2)</w:t>
      </w:r>
      <w:r>
        <w:rPr>
          <w:rFonts w:ascii="Arial" w:hAnsi="Arial"/>
        </w:rPr>
        <w:tab/>
        <w:t xml:space="preserve">Basic requirement HE 1: Conditions for controlling energy demand </w:t>
      </w:r>
    </w:p>
    <w:p w:rsidR="004836CD" w:rsidRPr="00937C8B" w:rsidRDefault="004836CD" w:rsidP="0058501F">
      <w:pPr>
        <w:autoSpaceDE w:val="0"/>
        <w:autoSpaceDN w:val="0"/>
        <w:adjustRightInd w:val="0"/>
        <w:spacing w:before="120" w:line="312" w:lineRule="auto"/>
        <w:ind w:left="2410" w:hanging="567"/>
        <w:jc w:val="both"/>
        <w:rPr>
          <w:rFonts w:ascii="Arial" w:hAnsi="Arial" w:cs="Arial"/>
        </w:rPr>
      </w:pPr>
      <w:r>
        <w:rPr>
          <w:rFonts w:ascii="Arial" w:hAnsi="Arial"/>
        </w:rPr>
        <w:t>15(3)</w:t>
      </w:r>
      <w:r>
        <w:rPr>
          <w:rFonts w:ascii="Arial" w:hAnsi="Arial"/>
        </w:rPr>
        <w:tab/>
        <w:t xml:space="preserve">Basic requirement HE 2: Conditions of heating installations </w:t>
      </w:r>
    </w:p>
    <w:p w:rsidR="004836CD" w:rsidRPr="00937C8B" w:rsidRDefault="004836CD" w:rsidP="0058501F">
      <w:pPr>
        <w:autoSpaceDE w:val="0"/>
        <w:autoSpaceDN w:val="0"/>
        <w:adjustRightInd w:val="0"/>
        <w:spacing w:before="120" w:line="312" w:lineRule="auto"/>
        <w:ind w:left="2410" w:hanging="567"/>
        <w:jc w:val="both"/>
        <w:rPr>
          <w:rFonts w:ascii="Arial" w:hAnsi="Arial" w:cs="Arial"/>
        </w:rPr>
      </w:pPr>
      <w:r>
        <w:rPr>
          <w:rFonts w:ascii="Arial" w:hAnsi="Arial"/>
        </w:rPr>
        <w:t>15(4)</w:t>
      </w:r>
      <w:r>
        <w:rPr>
          <w:rFonts w:ascii="Arial" w:hAnsi="Arial"/>
        </w:rPr>
        <w:tab/>
        <w:t>Basic requirement HE 3: Conditions of lighting installations</w:t>
      </w:r>
    </w:p>
    <w:p w:rsidR="004836CD" w:rsidRPr="00937C8B" w:rsidRDefault="004836CD" w:rsidP="0058501F">
      <w:pPr>
        <w:autoSpaceDE w:val="0"/>
        <w:autoSpaceDN w:val="0"/>
        <w:adjustRightInd w:val="0"/>
        <w:spacing w:before="120" w:line="312" w:lineRule="auto"/>
        <w:ind w:left="2410" w:hanging="567"/>
        <w:jc w:val="both"/>
        <w:rPr>
          <w:rFonts w:ascii="Arial" w:hAnsi="Arial" w:cs="Arial"/>
        </w:rPr>
      </w:pPr>
      <w:r>
        <w:rPr>
          <w:rFonts w:ascii="Arial" w:hAnsi="Arial"/>
        </w:rPr>
        <w:t>15(5)</w:t>
      </w:r>
      <w:r>
        <w:rPr>
          <w:rFonts w:ascii="Arial" w:hAnsi="Arial"/>
        </w:rPr>
        <w:tab/>
        <w:t>Basic requirement HE 4: Minimum contribution of renewable energy to cover domestic hot water demand</w:t>
      </w:r>
    </w:p>
    <w:p w:rsidR="004836CD" w:rsidRPr="00937C8B" w:rsidRDefault="004836CD" w:rsidP="0058501F">
      <w:pPr>
        <w:spacing w:before="120" w:line="312" w:lineRule="auto"/>
        <w:ind w:left="2410" w:hanging="567"/>
        <w:jc w:val="both"/>
        <w:rPr>
          <w:rFonts w:ascii="Arial" w:hAnsi="Arial" w:cs="Arial"/>
        </w:rPr>
      </w:pPr>
      <w:r>
        <w:rPr>
          <w:rFonts w:ascii="Arial" w:hAnsi="Arial"/>
        </w:rPr>
        <w:t>15(6)</w:t>
      </w:r>
      <w:r>
        <w:rPr>
          <w:rFonts w:ascii="Arial" w:hAnsi="Arial"/>
        </w:rPr>
        <w:tab/>
        <w:t>Basic requirement HE 5: Minimum electricity generation”</w:t>
      </w:r>
    </w:p>
    <w:p w:rsidR="004836CD" w:rsidRPr="00937C8B" w:rsidRDefault="004836CD" w:rsidP="00D27646">
      <w:pPr>
        <w:keepNext/>
        <w:spacing w:before="120" w:line="312" w:lineRule="auto"/>
        <w:jc w:val="both"/>
        <w:rPr>
          <w:rFonts w:ascii="Arial" w:hAnsi="Arial" w:cs="Arial"/>
        </w:rPr>
      </w:pPr>
      <w:r>
        <w:rPr>
          <w:rFonts w:ascii="Arial" w:hAnsi="Arial"/>
        </w:rPr>
        <w:t>In Annex III ‘Terminology’, the definition of ‘Energy demand’ is reworded as follows:</w:t>
      </w:r>
    </w:p>
    <w:p w:rsidR="004836CD" w:rsidRPr="00937C8B" w:rsidRDefault="004836CD" w:rsidP="00D27646">
      <w:pPr>
        <w:keepNext/>
        <w:spacing w:before="120" w:line="312" w:lineRule="auto"/>
        <w:ind w:left="425"/>
        <w:jc w:val="both"/>
        <w:rPr>
          <w:rFonts w:ascii="Arial" w:hAnsi="Arial" w:cs="Arial"/>
        </w:rPr>
      </w:pPr>
      <w:r>
        <w:rPr>
          <w:rFonts w:ascii="Arial" w:hAnsi="Arial"/>
        </w:rPr>
        <w:t>‘Energy demand:</w:t>
      </w:r>
    </w:p>
    <w:p w:rsidR="004836CD" w:rsidRPr="00937C8B" w:rsidRDefault="004836CD" w:rsidP="0058501F">
      <w:pPr>
        <w:spacing w:before="120" w:line="312" w:lineRule="auto"/>
        <w:ind w:left="425"/>
        <w:jc w:val="both"/>
        <w:rPr>
          <w:rFonts w:ascii="Arial" w:hAnsi="Arial" w:cs="Arial"/>
        </w:rPr>
      </w:pPr>
      <w:r>
        <w:rPr>
          <w:rFonts w:ascii="Arial" w:hAnsi="Arial"/>
        </w:rPr>
        <w:t>Useful energy to be provided by the technical systems to maintain regulatory conditions inside the building. This may be divided into demand for heating, cooling, domestic hot water (DHW), ventilation and humidity and lighting control, and is expressed in kW h/m</w:t>
      </w:r>
      <w:r>
        <w:rPr>
          <w:rFonts w:ascii="Arial" w:hAnsi="Arial"/>
          <w:vertAlign w:val="superscript"/>
        </w:rPr>
        <w:t>2</w:t>
      </w:r>
      <w:r>
        <w:rPr>
          <w:rFonts w:ascii="Arial" w:hAnsi="Arial"/>
        </w:rPr>
        <w:t>·year.”</w:t>
      </w:r>
    </w:p>
    <w:p w:rsidR="004836CD" w:rsidRPr="00937C8B" w:rsidRDefault="004836CD" w:rsidP="0058501F">
      <w:pPr>
        <w:spacing w:before="120" w:line="312" w:lineRule="auto"/>
        <w:jc w:val="both"/>
        <w:rPr>
          <w:rFonts w:ascii="Arial" w:hAnsi="Arial" w:cs="Arial"/>
        </w:rPr>
      </w:pPr>
      <w:r>
        <w:rPr>
          <w:rFonts w:ascii="Arial" w:hAnsi="Arial"/>
        </w:rPr>
        <w:t>Two. The Basic Document DB-HE ‘Energy Saving’ from Part II of the Technical Building Code (CTE) is replaced with the one attached as Annex I to this Royal Decree.</w:t>
      </w:r>
    </w:p>
    <w:p w:rsidR="004836CD" w:rsidRPr="00937C8B" w:rsidRDefault="004836CD" w:rsidP="0058501F">
      <w:pPr>
        <w:spacing w:before="120" w:line="312" w:lineRule="auto"/>
        <w:jc w:val="both"/>
        <w:rPr>
          <w:rFonts w:ascii="Arial" w:hAnsi="Arial" w:cs="Arial"/>
        </w:rPr>
      </w:pPr>
      <w:r>
        <w:rPr>
          <w:rFonts w:ascii="Arial" w:hAnsi="Arial"/>
        </w:rPr>
        <w:t>Three. The Basic Document DB-HS ‘Health’ from Part II of the Technical Building Code (CTE) is amended to incorporate section HS 6, which is included as Annex II to this Royal Decree.</w:t>
      </w:r>
    </w:p>
    <w:p w:rsidR="004836CD" w:rsidRPr="00937C8B" w:rsidRDefault="004836CD" w:rsidP="00D27646">
      <w:pPr>
        <w:keepNext/>
        <w:spacing w:before="120" w:line="312" w:lineRule="auto"/>
        <w:jc w:val="both"/>
        <w:rPr>
          <w:rFonts w:ascii="Arial" w:hAnsi="Arial" w:cs="Arial"/>
        </w:rPr>
      </w:pPr>
      <w:r>
        <w:rPr>
          <w:rFonts w:ascii="Arial" w:hAnsi="Arial"/>
        </w:rPr>
        <w:lastRenderedPageBreak/>
        <w:t>The following amendments are also introduced into this basic document DB-HS:</w:t>
      </w:r>
    </w:p>
    <w:p w:rsidR="004836CD" w:rsidRPr="00937C8B" w:rsidRDefault="004836CD" w:rsidP="00425ADA">
      <w:pPr>
        <w:pStyle w:val="ListParagraph"/>
        <w:numPr>
          <w:ilvl w:val="0"/>
          <w:numId w:val="3"/>
        </w:numPr>
        <w:spacing w:before="120" w:after="0" w:line="312" w:lineRule="auto"/>
        <w:ind w:left="284" w:hanging="284"/>
        <w:jc w:val="both"/>
        <w:rPr>
          <w:rFonts w:ascii="Arial" w:hAnsi="Arial" w:cs="Arial"/>
          <w:sz w:val="24"/>
          <w:szCs w:val="24"/>
        </w:rPr>
      </w:pPr>
      <w:r>
        <w:rPr>
          <w:rFonts w:ascii="Arial" w:hAnsi="Arial"/>
          <w:sz w:val="24"/>
        </w:rPr>
        <w:t>In the first part of subsection “I Purpose”, in the sentence “The sections of this DB correspond to basic requirements HS 1 to HS 5”, “HS 5” should be replaced with “HS 6”.</w:t>
      </w:r>
    </w:p>
    <w:p w:rsidR="004836CD" w:rsidRPr="00937C8B" w:rsidRDefault="004836CD" w:rsidP="00425ADA">
      <w:pPr>
        <w:pStyle w:val="ListParagraph"/>
        <w:numPr>
          <w:ilvl w:val="0"/>
          <w:numId w:val="3"/>
        </w:numPr>
        <w:spacing w:before="120" w:after="0" w:line="312" w:lineRule="auto"/>
        <w:ind w:left="284" w:hanging="284"/>
        <w:jc w:val="both"/>
        <w:rPr>
          <w:rFonts w:ascii="Arial" w:hAnsi="Arial" w:cs="Arial"/>
          <w:sz w:val="24"/>
          <w:szCs w:val="24"/>
        </w:rPr>
      </w:pPr>
      <w:r>
        <w:rPr>
          <w:rFonts w:ascii="Arial" w:hAnsi="Arial"/>
          <w:sz w:val="24"/>
        </w:rPr>
        <w:t>The table of contents is amended to incorporate the reference to the new HS 6, adding the following text:</w:t>
      </w:r>
    </w:p>
    <w:p w:rsidR="004836CD" w:rsidRPr="00937C8B" w:rsidRDefault="004836CD" w:rsidP="00D27646">
      <w:pPr>
        <w:keepNext/>
        <w:autoSpaceDE w:val="0"/>
        <w:autoSpaceDN w:val="0"/>
        <w:adjustRightInd w:val="0"/>
        <w:spacing w:before="120" w:line="312" w:lineRule="auto"/>
        <w:ind w:left="709"/>
        <w:rPr>
          <w:rFonts w:ascii="Arial" w:hAnsi="Arial" w:cs="Arial"/>
          <w:color w:val="000000"/>
        </w:rPr>
      </w:pPr>
      <w:r>
        <w:rPr>
          <w:rFonts w:ascii="Arial" w:hAnsi="Arial"/>
        </w:rPr>
        <w:t>“</w:t>
      </w:r>
      <w:r>
        <w:rPr>
          <w:rFonts w:ascii="Arial" w:hAnsi="Arial"/>
          <w:color w:val="000000"/>
        </w:rPr>
        <w:t xml:space="preserve">Section HS 6 Protection against exposure to radon </w:t>
      </w:r>
    </w:p>
    <w:p w:rsidR="004836CD" w:rsidRPr="00937C8B" w:rsidRDefault="004836CD" w:rsidP="0058501F">
      <w:pPr>
        <w:autoSpaceDE w:val="0"/>
        <w:autoSpaceDN w:val="0"/>
        <w:adjustRightInd w:val="0"/>
        <w:spacing w:before="120" w:line="312" w:lineRule="auto"/>
        <w:ind w:left="709"/>
        <w:rPr>
          <w:rFonts w:ascii="Arial" w:hAnsi="Arial" w:cs="Arial"/>
          <w:color w:val="000000"/>
        </w:rPr>
      </w:pPr>
      <w:r>
        <w:rPr>
          <w:rFonts w:ascii="Arial" w:hAnsi="Arial"/>
          <w:color w:val="000000"/>
        </w:rPr>
        <w:t xml:space="preserve">1 Scope </w:t>
      </w:r>
    </w:p>
    <w:p w:rsidR="004836CD" w:rsidRPr="00937C8B" w:rsidRDefault="004836CD" w:rsidP="0058501F">
      <w:pPr>
        <w:autoSpaceDE w:val="0"/>
        <w:autoSpaceDN w:val="0"/>
        <w:adjustRightInd w:val="0"/>
        <w:spacing w:before="120" w:line="312" w:lineRule="auto"/>
        <w:ind w:left="709"/>
        <w:rPr>
          <w:rFonts w:ascii="Arial" w:hAnsi="Arial" w:cs="Arial"/>
          <w:color w:val="000000"/>
        </w:rPr>
      </w:pPr>
      <w:r>
        <w:rPr>
          <w:rFonts w:ascii="Arial" w:hAnsi="Arial"/>
          <w:color w:val="000000"/>
        </w:rPr>
        <w:t xml:space="preserve">2 Characterisation and quantification of the requirement </w:t>
      </w:r>
    </w:p>
    <w:p w:rsidR="004836CD" w:rsidRPr="00937C8B" w:rsidRDefault="004836CD" w:rsidP="00D27646">
      <w:pPr>
        <w:keepNext/>
        <w:autoSpaceDE w:val="0"/>
        <w:autoSpaceDN w:val="0"/>
        <w:adjustRightInd w:val="0"/>
        <w:spacing w:before="120" w:line="312" w:lineRule="auto"/>
        <w:ind w:left="709"/>
        <w:rPr>
          <w:rFonts w:ascii="Arial" w:hAnsi="Arial" w:cs="Arial"/>
          <w:color w:val="000000"/>
        </w:rPr>
      </w:pPr>
      <w:r>
        <w:rPr>
          <w:rFonts w:ascii="Arial" w:hAnsi="Arial"/>
          <w:color w:val="000000"/>
        </w:rPr>
        <w:t xml:space="preserve">3 Checking and demonstrating compliance with the requirement </w:t>
      </w:r>
    </w:p>
    <w:p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3.1 Protective barrier </w:t>
      </w:r>
    </w:p>
    <w:p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3.2 Ventilated containment space </w:t>
      </w:r>
    </w:p>
    <w:p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3.3 Depressurisation of the ground </w:t>
      </w:r>
    </w:p>
    <w:p w:rsidR="004836CD" w:rsidRPr="00937C8B" w:rsidRDefault="004836CD" w:rsidP="00D27646">
      <w:pPr>
        <w:keepNext/>
        <w:autoSpaceDE w:val="0"/>
        <w:autoSpaceDN w:val="0"/>
        <w:adjustRightInd w:val="0"/>
        <w:spacing w:before="120" w:line="312" w:lineRule="auto"/>
        <w:ind w:left="709"/>
        <w:rPr>
          <w:rFonts w:ascii="Arial" w:hAnsi="Arial" w:cs="Arial"/>
          <w:color w:val="000000"/>
        </w:rPr>
      </w:pPr>
      <w:r>
        <w:rPr>
          <w:rFonts w:ascii="Arial" w:hAnsi="Arial"/>
          <w:color w:val="000000"/>
        </w:rPr>
        <w:t xml:space="preserve">4 Construction products </w:t>
      </w:r>
    </w:p>
    <w:p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4.1 Mandatory product characteristics </w:t>
      </w:r>
    </w:p>
    <w:p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4.2 Controlling on-site acceptance of products </w:t>
      </w:r>
    </w:p>
    <w:p w:rsidR="004836CD" w:rsidRPr="00937C8B" w:rsidRDefault="004836CD" w:rsidP="00D27646">
      <w:pPr>
        <w:keepNext/>
        <w:autoSpaceDE w:val="0"/>
        <w:autoSpaceDN w:val="0"/>
        <w:adjustRightInd w:val="0"/>
        <w:spacing w:before="120" w:line="312" w:lineRule="auto"/>
        <w:ind w:left="709"/>
        <w:rPr>
          <w:rFonts w:ascii="Arial" w:hAnsi="Arial" w:cs="Arial"/>
          <w:color w:val="000000"/>
        </w:rPr>
      </w:pPr>
      <w:r>
        <w:rPr>
          <w:rFonts w:ascii="Arial" w:hAnsi="Arial"/>
          <w:color w:val="000000"/>
        </w:rPr>
        <w:t xml:space="preserve">5 Construction </w:t>
      </w:r>
    </w:p>
    <w:p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5.1 Implementation </w:t>
      </w:r>
    </w:p>
    <w:p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5.2 Project oversight </w:t>
      </w:r>
    </w:p>
    <w:p w:rsidR="004836CD" w:rsidRPr="00937C8B" w:rsidRDefault="004836CD" w:rsidP="0058501F">
      <w:pPr>
        <w:autoSpaceDE w:val="0"/>
        <w:autoSpaceDN w:val="0"/>
        <w:adjustRightInd w:val="0"/>
        <w:spacing w:before="120" w:line="312" w:lineRule="auto"/>
        <w:ind w:left="709" w:firstLine="142"/>
        <w:rPr>
          <w:rFonts w:ascii="Arial" w:hAnsi="Arial" w:cs="Arial"/>
          <w:color w:val="000000"/>
        </w:rPr>
      </w:pPr>
      <w:r>
        <w:rPr>
          <w:rFonts w:ascii="Arial" w:hAnsi="Arial"/>
          <w:color w:val="000000"/>
        </w:rPr>
        <w:t xml:space="preserve">5.3 Inspection of completed work </w:t>
      </w:r>
    </w:p>
    <w:p w:rsidR="004836CD" w:rsidRPr="00937C8B" w:rsidRDefault="004836CD" w:rsidP="0058501F">
      <w:pPr>
        <w:autoSpaceDE w:val="0"/>
        <w:autoSpaceDN w:val="0"/>
        <w:adjustRightInd w:val="0"/>
        <w:spacing w:before="120" w:line="312" w:lineRule="auto"/>
        <w:ind w:left="709"/>
        <w:rPr>
          <w:rFonts w:ascii="Arial" w:hAnsi="Arial" w:cs="Arial"/>
          <w:color w:val="000000"/>
        </w:rPr>
      </w:pPr>
      <w:r>
        <w:rPr>
          <w:rFonts w:ascii="Arial" w:hAnsi="Arial"/>
          <w:color w:val="000000"/>
        </w:rPr>
        <w:t xml:space="preserve">6 Maintenance and preservation </w:t>
      </w:r>
    </w:p>
    <w:p w:rsidR="004836CD" w:rsidRPr="00937C8B" w:rsidRDefault="004836CD" w:rsidP="0058501F">
      <w:pPr>
        <w:autoSpaceDE w:val="0"/>
        <w:autoSpaceDN w:val="0"/>
        <w:adjustRightInd w:val="0"/>
        <w:spacing w:before="120" w:line="312" w:lineRule="auto"/>
        <w:ind w:left="709"/>
        <w:rPr>
          <w:rFonts w:ascii="Arial" w:hAnsi="Arial" w:cs="Arial"/>
        </w:rPr>
      </w:pPr>
      <w:r>
        <w:rPr>
          <w:rFonts w:ascii="Arial" w:hAnsi="Arial"/>
        </w:rPr>
        <w:t xml:space="preserve">Appendix A Terminology </w:t>
      </w:r>
    </w:p>
    <w:p w:rsidR="004836CD" w:rsidRPr="00937C8B" w:rsidRDefault="004836CD" w:rsidP="0058501F">
      <w:pPr>
        <w:autoSpaceDE w:val="0"/>
        <w:autoSpaceDN w:val="0"/>
        <w:adjustRightInd w:val="0"/>
        <w:spacing w:before="120" w:line="312" w:lineRule="auto"/>
        <w:ind w:left="709"/>
        <w:rPr>
          <w:rFonts w:ascii="Arial" w:hAnsi="Arial" w:cs="Arial"/>
          <w:bCs/>
        </w:rPr>
      </w:pPr>
      <w:r>
        <w:rPr>
          <w:rFonts w:ascii="Arial" w:hAnsi="Arial"/>
        </w:rPr>
        <w:t>Appendix B Classification of municipalities based on radon potential</w:t>
      </w:r>
    </w:p>
    <w:p w:rsidR="004836CD" w:rsidRPr="00937C8B" w:rsidRDefault="004836CD" w:rsidP="0058501F">
      <w:pPr>
        <w:autoSpaceDE w:val="0"/>
        <w:autoSpaceDN w:val="0"/>
        <w:adjustRightInd w:val="0"/>
        <w:spacing w:before="120" w:line="312" w:lineRule="auto"/>
        <w:ind w:left="709"/>
        <w:rPr>
          <w:rFonts w:ascii="Arial" w:hAnsi="Arial" w:cs="Arial"/>
        </w:rPr>
      </w:pPr>
      <w:r>
        <w:rPr>
          <w:rFonts w:ascii="Arial" w:hAnsi="Arial"/>
        </w:rPr>
        <w:t>Appendix C Determination of average annual levels of radon in the air in the habitable spaces of a building’</w:t>
      </w:r>
    </w:p>
    <w:p w:rsidR="004836CD" w:rsidRPr="00937C8B" w:rsidRDefault="004836CD" w:rsidP="0058501F">
      <w:pPr>
        <w:spacing w:before="120" w:line="312" w:lineRule="auto"/>
        <w:jc w:val="both"/>
        <w:rPr>
          <w:rFonts w:ascii="Arial" w:hAnsi="Arial" w:cs="Arial"/>
        </w:rPr>
      </w:pPr>
      <w:r>
        <w:rPr>
          <w:rFonts w:ascii="Arial" w:hAnsi="Arial"/>
        </w:rPr>
        <w:t xml:space="preserve">Four. Basic Document DB-SI ‘Fire Safety’ included in Part II of the Technical Building Code is amended as follows: </w:t>
      </w:r>
    </w:p>
    <w:p w:rsidR="004836CD" w:rsidRPr="00A77C79" w:rsidRDefault="004836CD" w:rsidP="0058501F">
      <w:pPr>
        <w:autoSpaceDE w:val="0"/>
        <w:autoSpaceDN w:val="0"/>
        <w:adjustRightInd w:val="0"/>
        <w:spacing w:before="120" w:line="312" w:lineRule="auto"/>
        <w:jc w:val="both"/>
        <w:rPr>
          <w:rFonts w:ascii="Arial" w:hAnsi="Arial" w:cs="Arial"/>
        </w:rPr>
      </w:pPr>
      <w:r>
        <w:rPr>
          <w:rFonts w:ascii="Arial" w:hAnsi="Arial"/>
        </w:rPr>
        <w:t>In Section SI 1 Interior propagation, subparagraph 3 Hidden spaces. Passage of installations through fire compartmentalisation elements’, point 2 is removed.</w:t>
      </w:r>
    </w:p>
    <w:p w:rsidR="004836CD" w:rsidRPr="00937C8B" w:rsidRDefault="00993B5C" w:rsidP="0058501F">
      <w:pPr>
        <w:autoSpaceDE w:val="0"/>
        <w:autoSpaceDN w:val="0"/>
        <w:adjustRightInd w:val="0"/>
        <w:spacing w:before="120" w:line="312" w:lineRule="auto"/>
        <w:jc w:val="both"/>
        <w:rPr>
          <w:rFonts w:ascii="Arial" w:hAnsi="Arial" w:cs="Arial"/>
        </w:rPr>
      </w:pPr>
      <w:r>
        <w:rPr>
          <w:rFonts w:ascii="Arial" w:hAnsi="Arial"/>
        </w:rPr>
        <w:t xml:space="preserve">In Section SI 2 Exterior propagation, subsection 1 ‘Dividing walls and façades’, the following amendments are introduced: </w:t>
      </w:r>
    </w:p>
    <w:p w:rsidR="004836CD" w:rsidRPr="00A77C79" w:rsidRDefault="004836CD" w:rsidP="00CD6781">
      <w:pPr>
        <w:pStyle w:val="ListParagraph"/>
        <w:numPr>
          <w:ilvl w:val="0"/>
          <w:numId w:val="71"/>
        </w:numPr>
        <w:autoSpaceDE w:val="0"/>
        <w:autoSpaceDN w:val="0"/>
        <w:adjustRightInd w:val="0"/>
        <w:spacing w:before="120" w:line="312" w:lineRule="auto"/>
        <w:ind w:left="270" w:hanging="270"/>
        <w:jc w:val="both"/>
        <w:rPr>
          <w:rFonts w:ascii="Arial" w:eastAsia="Times New Roman" w:hAnsi="Arial" w:cs="Arial"/>
          <w:sz w:val="24"/>
          <w:szCs w:val="24"/>
        </w:rPr>
      </w:pPr>
      <w:r>
        <w:rPr>
          <w:rFonts w:ascii="Arial" w:hAnsi="Arial"/>
          <w:sz w:val="24"/>
        </w:rPr>
        <w:lastRenderedPageBreak/>
        <w:t>point 4 is drafted as follows:</w:t>
      </w:r>
    </w:p>
    <w:p w:rsidR="004836CD" w:rsidRPr="00937C8B" w:rsidRDefault="004836CD" w:rsidP="00D27646">
      <w:pPr>
        <w:pStyle w:val="CTENumeracion"/>
        <w:keepNext/>
        <w:spacing w:before="120" w:after="0" w:line="312" w:lineRule="auto"/>
        <w:ind w:left="1134" w:hanging="425"/>
        <w:rPr>
          <w:rFonts w:cs="Arial"/>
          <w:sz w:val="24"/>
        </w:rPr>
      </w:pPr>
      <w:r>
        <w:rPr>
          <w:sz w:val="24"/>
        </w:rPr>
        <w:t>‘4.</w:t>
      </w:r>
      <w:r>
        <w:rPr>
          <w:sz w:val="24"/>
        </w:rPr>
        <w:tab/>
        <w:t>The Reaction to fire class of façade construction systems that occupy more than 10% of the surface area shall be as follows, based on the total height of the façade:</w:t>
      </w:r>
    </w:p>
    <w:p w:rsidR="004836CD" w:rsidRPr="00937C8B" w:rsidRDefault="004836CD" w:rsidP="0058501F">
      <w:pPr>
        <w:pStyle w:val="CTENumeracion"/>
        <w:spacing w:before="120" w:after="0" w:line="312" w:lineRule="auto"/>
        <w:ind w:left="1134" w:firstLine="0"/>
        <w:rPr>
          <w:rFonts w:cs="Arial"/>
          <w:sz w:val="24"/>
        </w:rPr>
      </w:pPr>
      <w:r>
        <w:rPr>
          <w:sz w:val="24"/>
        </w:rPr>
        <w:t>- D-s3,d0 on façades up to 10 m high;</w:t>
      </w:r>
    </w:p>
    <w:p w:rsidR="004836CD" w:rsidRPr="00937C8B" w:rsidRDefault="004836CD" w:rsidP="0058501F">
      <w:pPr>
        <w:pStyle w:val="CTENumeracion"/>
        <w:spacing w:before="120" w:after="0" w:line="312" w:lineRule="auto"/>
        <w:ind w:left="1134" w:firstLine="0"/>
        <w:rPr>
          <w:rFonts w:cs="Arial"/>
          <w:sz w:val="24"/>
        </w:rPr>
      </w:pPr>
      <w:r>
        <w:rPr>
          <w:sz w:val="24"/>
        </w:rPr>
        <w:t>- C-s3,d0 on façades up to 18 m high;</w:t>
      </w:r>
    </w:p>
    <w:p w:rsidR="004836CD" w:rsidRPr="00937C8B" w:rsidRDefault="004836CD" w:rsidP="0058501F">
      <w:pPr>
        <w:pStyle w:val="CTENumeracion"/>
        <w:spacing w:before="120" w:after="0" w:line="312" w:lineRule="auto"/>
        <w:ind w:left="1134" w:firstLine="0"/>
        <w:rPr>
          <w:rFonts w:cs="Arial"/>
          <w:sz w:val="24"/>
        </w:rPr>
      </w:pPr>
      <w:r>
        <w:rPr>
          <w:sz w:val="24"/>
        </w:rPr>
        <w:t>- B-s3,d0 on façades higher than 18 m.</w:t>
      </w:r>
    </w:p>
    <w:p w:rsidR="004836CD" w:rsidRPr="00937C8B" w:rsidRDefault="004836CD" w:rsidP="0058501F">
      <w:pPr>
        <w:pStyle w:val="CTENumeracion"/>
        <w:spacing w:before="120" w:after="0" w:line="312" w:lineRule="auto"/>
        <w:ind w:left="1134" w:firstLine="0"/>
        <w:rPr>
          <w:rFonts w:cs="Arial"/>
          <w:sz w:val="24"/>
        </w:rPr>
      </w:pPr>
      <w:r>
        <w:rPr>
          <w:sz w:val="24"/>
        </w:rPr>
        <w:t>This classification must be considered as the final used condition of the construction system, including all materials that make up layers contained in the interior of the façade solution and which are not protected by a layer that is at least EI30.’</w:t>
      </w:r>
    </w:p>
    <w:p w:rsidR="004836CD" w:rsidRPr="00A77C79" w:rsidRDefault="004836CD" w:rsidP="00D27646">
      <w:pPr>
        <w:pStyle w:val="ListParagraph"/>
        <w:keepNext/>
        <w:numPr>
          <w:ilvl w:val="0"/>
          <w:numId w:val="71"/>
        </w:numPr>
        <w:autoSpaceDE w:val="0"/>
        <w:autoSpaceDN w:val="0"/>
        <w:adjustRightInd w:val="0"/>
        <w:spacing w:before="120" w:line="312" w:lineRule="auto"/>
        <w:ind w:left="270" w:hanging="270"/>
        <w:jc w:val="both"/>
        <w:rPr>
          <w:rFonts w:ascii="Arial" w:eastAsia="Times New Roman" w:hAnsi="Arial" w:cs="Arial"/>
          <w:sz w:val="24"/>
          <w:szCs w:val="24"/>
        </w:rPr>
      </w:pPr>
      <w:r>
        <w:rPr>
          <w:rFonts w:ascii="Arial" w:hAnsi="Arial"/>
          <w:sz w:val="24"/>
        </w:rPr>
        <w:t>Two new points (5 and 6) are added, which are drafted as follows:</w:t>
      </w:r>
    </w:p>
    <w:p w:rsidR="004836CD" w:rsidRPr="00937C8B" w:rsidRDefault="004836CD" w:rsidP="00D27646">
      <w:pPr>
        <w:pStyle w:val="CTENumeracion"/>
        <w:keepNext/>
        <w:spacing w:before="120" w:after="0" w:line="312" w:lineRule="auto"/>
        <w:ind w:left="1134" w:hanging="425"/>
        <w:rPr>
          <w:rFonts w:cs="Arial"/>
          <w:sz w:val="24"/>
        </w:rPr>
      </w:pPr>
      <w:r>
        <w:rPr>
          <w:sz w:val="24"/>
        </w:rPr>
        <w:t>‘5.</w:t>
      </w:r>
      <w:r>
        <w:rPr>
          <w:sz w:val="24"/>
        </w:rPr>
        <w:tab/>
        <w:t xml:space="preserve">Insulation systems situated inside ventilated chambers must have at least the following reaction to fire class, based on the total height of the façade: </w:t>
      </w:r>
    </w:p>
    <w:p w:rsidR="004836CD" w:rsidRPr="00937C8B" w:rsidRDefault="004836CD" w:rsidP="0058501F">
      <w:pPr>
        <w:pStyle w:val="CTENumeracion"/>
        <w:spacing w:before="120" w:after="0" w:line="312" w:lineRule="auto"/>
        <w:ind w:left="1134" w:firstLine="0"/>
        <w:rPr>
          <w:rFonts w:cs="Arial"/>
          <w:sz w:val="24"/>
          <w:highlight w:val="yellow"/>
        </w:rPr>
      </w:pPr>
      <w:r>
        <w:rPr>
          <w:sz w:val="24"/>
        </w:rPr>
        <w:t>- D-s3,d0 on façades up to 10 m high;</w:t>
      </w:r>
    </w:p>
    <w:p w:rsidR="004836CD" w:rsidRPr="00937C8B" w:rsidRDefault="004836CD" w:rsidP="0058501F">
      <w:pPr>
        <w:pStyle w:val="CTENumeracion"/>
        <w:spacing w:before="120" w:after="0" w:line="312" w:lineRule="auto"/>
        <w:ind w:left="1134" w:firstLine="0"/>
        <w:rPr>
          <w:rFonts w:cs="Arial"/>
          <w:sz w:val="24"/>
        </w:rPr>
      </w:pPr>
      <w:r>
        <w:rPr>
          <w:sz w:val="24"/>
        </w:rPr>
        <w:t>- B-s3,d0 on façades up to 28 m high;</w:t>
      </w:r>
    </w:p>
    <w:p w:rsidR="004836CD" w:rsidRPr="00937C8B" w:rsidRDefault="004836CD" w:rsidP="0058501F">
      <w:pPr>
        <w:pStyle w:val="CTENumeracion"/>
        <w:spacing w:before="120" w:after="0" w:line="312" w:lineRule="auto"/>
        <w:ind w:left="1134" w:firstLine="0"/>
        <w:rPr>
          <w:rFonts w:cs="Arial"/>
          <w:sz w:val="24"/>
        </w:rPr>
      </w:pPr>
      <w:r>
        <w:rPr>
          <w:sz w:val="24"/>
        </w:rPr>
        <w:t>- A2-s3,d0 on façades higher than 28 m.</w:t>
      </w:r>
    </w:p>
    <w:p w:rsidR="004836CD" w:rsidRPr="00937C8B" w:rsidRDefault="004836CD" w:rsidP="0058501F">
      <w:pPr>
        <w:pStyle w:val="CTENumeracion"/>
        <w:spacing w:before="120" w:after="0" w:line="312" w:lineRule="auto"/>
        <w:ind w:left="1134" w:firstLine="0"/>
        <w:rPr>
          <w:rFonts w:cs="Arial"/>
          <w:sz w:val="24"/>
        </w:rPr>
      </w:pPr>
      <w:r>
        <w:rPr>
          <w:sz w:val="24"/>
        </w:rPr>
        <w:t>The vertical development of ventilated façade chambers in continuity with fire resistant slabs that separate fire sectors must be limited. The conclusion of E 30 barriers may be considered as a valid procedure for limiting such vertical development.”</w:t>
      </w:r>
    </w:p>
    <w:p w:rsidR="004836CD" w:rsidRPr="00937C8B" w:rsidRDefault="004836CD" w:rsidP="0058501F">
      <w:pPr>
        <w:pStyle w:val="CTENumeracion"/>
        <w:spacing w:before="120" w:after="0" w:line="312" w:lineRule="auto"/>
        <w:ind w:left="1134" w:hanging="425"/>
        <w:rPr>
          <w:rFonts w:cs="Arial"/>
          <w:sz w:val="24"/>
        </w:rPr>
      </w:pPr>
      <w:r>
        <w:rPr>
          <w:sz w:val="24"/>
        </w:rPr>
        <w:t>‘6.</w:t>
      </w:r>
      <w:r>
        <w:rPr>
          <w:sz w:val="24"/>
        </w:rPr>
        <w:tab/>
        <w:t>For façades 18 m high or less whose lower level is accessible to the public from the exterior grade or from a roof, the reaction to fire class of the construction systems mentioned in subsection 4 and of those situated inside the ventilated chambers, where applicable, must be at least B-s3,d0 up to a height of at least 3.5 m.’</w:t>
      </w:r>
    </w:p>
    <w:p w:rsidR="004836CD" w:rsidRPr="00937C8B" w:rsidRDefault="004836CD" w:rsidP="00D27646">
      <w:pPr>
        <w:keepNext/>
        <w:spacing w:before="120" w:line="312" w:lineRule="auto"/>
        <w:jc w:val="both"/>
        <w:rPr>
          <w:rFonts w:ascii="Arial" w:hAnsi="Arial" w:cs="Arial"/>
        </w:rPr>
      </w:pPr>
      <w:r>
        <w:rPr>
          <w:rFonts w:ascii="Arial" w:hAnsi="Arial"/>
        </w:rPr>
        <w:t>Five.</w:t>
      </w:r>
      <w:r>
        <w:rPr>
          <w:rFonts w:ascii="Arial" w:hAnsi="Arial"/>
        </w:rPr>
        <w:tab/>
        <w:t>In Basic Document DB-SE ‘Structural Safety’, the legislative references indicated are updated as follows:</w:t>
      </w:r>
    </w:p>
    <w:p w:rsidR="004836CD" w:rsidRPr="00937C8B" w:rsidRDefault="004836CD" w:rsidP="00D27646">
      <w:pPr>
        <w:pStyle w:val="NormalWeb"/>
        <w:keepNext/>
        <w:spacing w:before="120" w:beforeAutospacing="0" w:after="0" w:afterAutospacing="0" w:line="312" w:lineRule="auto"/>
        <w:jc w:val="both"/>
        <w:rPr>
          <w:rFonts w:ascii="Arial" w:hAnsi="Arial" w:cs="Arial"/>
        </w:rPr>
      </w:pPr>
      <w:r>
        <w:rPr>
          <w:rFonts w:ascii="Arial" w:hAnsi="Arial"/>
        </w:rPr>
        <w:t xml:space="preserve">- In the Introduction, Part III General criteria of application, the paragraph: ‘When a regulatory provision is cited in this DB, reference is to be made to the version in force at the time of application. When a UNE, UNE-EN or UNE-EN ISO standard is cited, reference is to be made to the version indicated, even if a subsequent version exists, except for UNE standards corresponding to EN or EN ISO standards whose reference has been published in the Official Journal of the European Union within the framework of application of Council Directive 89/106/EEC on construction products, </w:t>
      </w:r>
      <w:r>
        <w:rPr>
          <w:rFonts w:ascii="Arial" w:hAnsi="Arial"/>
        </w:rPr>
        <w:lastRenderedPageBreak/>
        <w:t xml:space="preserve">in which case the citation must be for the version of said reference’ is replaced with the following paragraphs: </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‘When a regulatory provision is cited in this DB, reference is to be made to the version in force at the time of application. When a UNE, UNE-EN or UNE-EN ISO standard is cited, reference is to be made to the version indicated, even if a subsequent version exists, except in cases of harmonised UNE EN standards that transpose EN standards whose references were published in the Official Journal of the European Union within the framework of application of Regulation (EU) No 305/2011 of the European Parliament and of the Council of 9 March 2011 laying down harmonised conditions for the marketing of construction products and repealing Council Directive 89/106/EEC, in which case the citation shall be for the last Commission Communication that includes said reference. In cases of standards on test methods referenced in the harmonised standards, the version included in the harmonised UNE EN standards listed above shall apply.</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The standards specified in this Basic Document may be replaced by others used by any other EU Member State or party to the Agreement on the European Economic Area or any country party to a customs Association Agreement with the European Union, as long as they are demonstrated to have equivalent technical specifications.’</w:t>
      </w:r>
    </w:p>
    <w:p w:rsidR="004836CD" w:rsidRPr="00937C8B" w:rsidRDefault="004836CD" w:rsidP="00D27646">
      <w:pPr>
        <w:keepNext/>
        <w:spacing w:before="120" w:line="312" w:lineRule="auto"/>
        <w:jc w:val="both"/>
        <w:rPr>
          <w:rFonts w:ascii="Arial" w:hAnsi="Arial" w:cs="Arial"/>
        </w:rPr>
      </w:pPr>
      <w:r>
        <w:rPr>
          <w:rFonts w:ascii="Arial" w:hAnsi="Arial"/>
        </w:rPr>
        <w:t>Six.</w:t>
      </w:r>
      <w:r>
        <w:rPr>
          <w:rFonts w:ascii="Arial" w:hAnsi="Arial"/>
        </w:rPr>
        <w:tab/>
        <w:t>In Basic Document DB-SE-C ‘Structural Safety. Foundations’, the legislative references indicated are updated as follows:</w:t>
      </w:r>
    </w:p>
    <w:p w:rsidR="004836CD" w:rsidRPr="00937C8B" w:rsidRDefault="004836CD" w:rsidP="0058501F">
      <w:pPr>
        <w:spacing w:before="120" w:line="312" w:lineRule="auto"/>
        <w:jc w:val="both"/>
        <w:rPr>
          <w:rFonts w:ascii="Arial" w:hAnsi="Arial" w:cs="Arial"/>
        </w:rPr>
      </w:pPr>
      <w:r>
        <w:rPr>
          <w:rFonts w:ascii="Arial" w:hAnsi="Arial"/>
        </w:rPr>
        <w:t>- In Subsection 2.4.3.1, Table 2.4, the reference ‘UNE 22-381-93’ is replaced by ‘UNE 22381:1993’.</w:t>
      </w:r>
    </w:p>
    <w:p w:rsidR="004836CD" w:rsidRPr="00937C8B" w:rsidRDefault="004836CD" w:rsidP="0058501F">
      <w:pPr>
        <w:spacing w:before="120" w:line="312" w:lineRule="auto"/>
        <w:jc w:val="both"/>
        <w:rPr>
          <w:rFonts w:ascii="Arial" w:hAnsi="Arial" w:cs="Arial"/>
        </w:rPr>
      </w:pPr>
      <w:r>
        <w:rPr>
          <w:rFonts w:ascii="Arial" w:hAnsi="Arial"/>
        </w:rPr>
        <w:t>- In Subsection 3.2.6, point 12, the reference “UNE 80303:96” is replaced by “UNE 80303-1:2017”.</w:t>
      </w:r>
    </w:p>
    <w:p w:rsidR="004836CD" w:rsidRPr="00937C8B" w:rsidRDefault="004836CD" w:rsidP="0058501F">
      <w:pPr>
        <w:spacing w:before="120" w:line="312" w:lineRule="auto"/>
        <w:jc w:val="both"/>
        <w:rPr>
          <w:rFonts w:ascii="Arial" w:hAnsi="Arial" w:cs="Arial"/>
        </w:rPr>
      </w:pPr>
      <w:r>
        <w:rPr>
          <w:rFonts w:ascii="Arial" w:hAnsi="Arial"/>
        </w:rPr>
        <w:t>- In Subsection 5.4.1.1, point 12, the reference “UNE-EN 1536:2000” is replaced by "UNE-EN 1536:2011+A1:2016".</w:t>
      </w:r>
    </w:p>
    <w:p w:rsidR="004836CD" w:rsidRPr="00937C8B" w:rsidRDefault="004836CD" w:rsidP="0058501F">
      <w:pPr>
        <w:spacing w:before="120" w:line="312" w:lineRule="auto"/>
        <w:jc w:val="both"/>
        <w:rPr>
          <w:rFonts w:ascii="Arial" w:hAnsi="Arial" w:cs="Arial"/>
        </w:rPr>
      </w:pPr>
      <w:r>
        <w:rPr>
          <w:rFonts w:ascii="Arial" w:hAnsi="Arial"/>
        </w:rPr>
        <w:t>- In Subsection 5.4.1.2, point 1, the reference “UNE-EN 12699:2001” is replaced by "UNE-EN 12699:2016".</w:t>
      </w:r>
    </w:p>
    <w:p w:rsidR="004836CD" w:rsidRPr="00937C8B" w:rsidRDefault="004836CD" w:rsidP="0058501F">
      <w:pPr>
        <w:spacing w:before="120" w:line="312" w:lineRule="auto"/>
        <w:jc w:val="both"/>
        <w:rPr>
          <w:rFonts w:ascii="Arial" w:hAnsi="Arial" w:cs="Arial"/>
        </w:rPr>
      </w:pPr>
      <w:r>
        <w:rPr>
          <w:rFonts w:ascii="Arial" w:hAnsi="Arial"/>
        </w:rPr>
        <w:t>- In Subsection 5.4.2.1, points 3 and 5, the reference “UNE-EN 1536:2000” is replaced by "UNE-EN 1536:2011+A1:2016".</w:t>
      </w:r>
    </w:p>
    <w:p w:rsidR="004836CD" w:rsidRPr="00937C8B" w:rsidRDefault="004836CD" w:rsidP="0058501F">
      <w:pPr>
        <w:spacing w:before="120" w:line="312" w:lineRule="auto"/>
        <w:jc w:val="both"/>
        <w:rPr>
          <w:rFonts w:ascii="Arial" w:hAnsi="Arial" w:cs="Arial"/>
        </w:rPr>
      </w:pPr>
      <w:r>
        <w:rPr>
          <w:rFonts w:ascii="Arial" w:hAnsi="Arial"/>
        </w:rPr>
        <w:t>- In Subsection 6.3.2.4.3, point 3, the reference “UNE-EN 1537:2001” is replaced by "UNE-EN 1537:2015".</w:t>
      </w:r>
    </w:p>
    <w:p w:rsidR="004836CD" w:rsidRPr="00937C8B" w:rsidRDefault="004836CD" w:rsidP="0058501F">
      <w:pPr>
        <w:spacing w:before="120" w:line="312" w:lineRule="auto"/>
        <w:jc w:val="both"/>
        <w:rPr>
          <w:rFonts w:ascii="Arial" w:hAnsi="Arial" w:cs="Arial"/>
        </w:rPr>
      </w:pPr>
      <w:r>
        <w:rPr>
          <w:rFonts w:ascii="Arial" w:hAnsi="Arial"/>
        </w:rPr>
        <w:t>- In Subsection 6.4.1.2, the reference “UNE-EN 1538:2000” is replaced by "UNE-EN 1538:2011+A1:2016".</w:t>
      </w:r>
    </w:p>
    <w:p w:rsidR="004836CD" w:rsidRPr="00937C8B" w:rsidRDefault="004836CD" w:rsidP="0058501F">
      <w:pPr>
        <w:spacing w:before="120" w:line="312" w:lineRule="auto"/>
        <w:jc w:val="both"/>
        <w:rPr>
          <w:rFonts w:ascii="Arial" w:hAnsi="Arial" w:cs="Arial"/>
        </w:rPr>
      </w:pPr>
      <w:r>
        <w:rPr>
          <w:rFonts w:ascii="Arial" w:hAnsi="Arial"/>
        </w:rPr>
        <w:t>- In Subsection 6.4.1.2.3.1, point 4, the reference “UNE-EN 1538:2000” is replaced by “UNE-EN 1538:2011+A1:2016”.</w:t>
      </w:r>
    </w:p>
    <w:p w:rsidR="004836CD" w:rsidRPr="00937C8B" w:rsidRDefault="004836CD" w:rsidP="0058501F">
      <w:pPr>
        <w:spacing w:before="120" w:line="312" w:lineRule="auto"/>
        <w:jc w:val="both"/>
        <w:rPr>
          <w:rFonts w:ascii="Arial" w:hAnsi="Arial" w:cs="Arial"/>
        </w:rPr>
      </w:pPr>
      <w:r>
        <w:rPr>
          <w:rFonts w:ascii="Arial" w:hAnsi="Arial"/>
        </w:rPr>
        <w:t>- In Subsection 9.2, point 1, the reference “UNE-EN 1537:2001” is replaced by “UNE-EN 1537:2015”.</w:t>
      </w:r>
    </w:p>
    <w:p w:rsidR="004836CD" w:rsidRPr="00937C8B" w:rsidRDefault="004836CD" w:rsidP="0058501F">
      <w:pPr>
        <w:spacing w:before="120" w:line="312" w:lineRule="auto"/>
        <w:jc w:val="both"/>
        <w:rPr>
          <w:rFonts w:ascii="Arial" w:hAnsi="Arial" w:cs="Arial"/>
        </w:rPr>
      </w:pPr>
      <w:r>
        <w:rPr>
          <w:rFonts w:ascii="Arial" w:hAnsi="Arial"/>
        </w:rPr>
        <w:lastRenderedPageBreak/>
        <w:t>- In Subsection 9.4, point 1, the reference ‘UNE-EN 1537:2001’ is replaced by ‘UNE-EN 1537:2015’.</w:t>
      </w:r>
    </w:p>
    <w:p w:rsidR="004836CD" w:rsidRPr="00937C8B" w:rsidRDefault="004836CD" w:rsidP="0058501F">
      <w:pPr>
        <w:spacing w:before="120" w:line="312" w:lineRule="auto"/>
        <w:jc w:val="both"/>
        <w:rPr>
          <w:rFonts w:ascii="Arial" w:hAnsi="Arial" w:cs="Arial"/>
        </w:rPr>
      </w:pPr>
      <w:r>
        <w:rPr>
          <w:rFonts w:ascii="Arial" w:hAnsi="Arial"/>
        </w:rPr>
        <w:t>- In Subsection C.4, point 1, the reference ‘ASTM: G 57-78’ is replaced by ‘UNE 83988-2:2014’.</w:t>
      </w:r>
    </w:p>
    <w:p w:rsidR="004836CD" w:rsidRPr="00937C8B" w:rsidRDefault="004836CD" w:rsidP="0058501F">
      <w:pPr>
        <w:spacing w:before="120" w:line="312" w:lineRule="auto"/>
        <w:jc w:val="both"/>
        <w:rPr>
          <w:rFonts w:ascii="Arial" w:hAnsi="Arial" w:cs="Arial"/>
        </w:rPr>
      </w:pPr>
      <w:r>
        <w:rPr>
          <w:rFonts w:ascii="Arial" w:hAnsi="Arial"/>
        </w:rPr>
        <w:t>- In Subsection C.4, point 4, the reference ‘ASTM: D 4428’ is replaced by ‘ASTM: D 4428/D4428M-14’.</w:t>
      </w:r>
    </w:p>
    <w:p w:rsidR="004836CD" w:rsidRPr="00937C8B" w:rsidRDefault="004836CD" w:rsidP="0058501F">
      <w:pPr>
        <w:spacing w:before="120" w:line="312" w:lineRule="auto"/>
        <w:jc w:val="both"/>
        <w:rPr>
          <w:rFonts w:ascii="Arial" w:hAnsi="Arial" w:cs="Arial"/>
        </w:rPr>
      </w:pPr>
      <w:r>
        <w:rPr>
          <w:rFonts w:ascii="Arial" w:hAnsi="Arial"/>
        </w:rPr>
        <w:t>- In Subsection D.1, Table D.6, the reference ‘UNE 103804:1993’ is replaced by ‘UNE-EN ISO 22476-12:2010’, the reference ‘UNE 103802:1998’ is replaced by ‘UNE-EN ISO 22476-2:2008’ and the reference ‘UNE 103801:1994’ is replaced by ‘UNE-EN ISO 22476-2:2008’.</w:t>
      </w:r>
    </w:p>
    <w:p w:rsidR="004836CD" w:rsidRPr="00937C8B" w:rsidRDefault="004836CD" w:rsidP="0058501F">
      <w:pPr>
        <w:spacing w:before="120" w:line="312" w:lineRule="auto"/>
        <w:jc w:val="both"/>
        <w:rPr>
          <w:rFonts w:ascii="Arial" w:hAnsi="Arial" w:cs="Arial"/>
        </w:rPr>
      </w:pPr>
      <w:r>
        <w:rPr>
          <w:rFonts w:ascii="Arial" w:hAnsi="Arial"/>
        </w:rPr>
        <w:t>- In Subsection D.1, Table D.7, the reference “UNE 103800:1992” is replaced by “UNE-EN ISO 22476-3:2006” and the reference “ENV-199-3” is replaced by “UNE-ENV 1997-3:2002”.</w:t>
      </w:r>
    </w:p>
    <w:p w:rsidR="004836CD" w:rsidRPr="00937C8B" w:rsidRDefault="004836CD" w:rsidP="0058501F">
      <w:pPr>
        <w:spacing w:before="120" w:line="312" w:lineRule="auto"/>
        <w:jc w:val="both"/>
        <w:rPr>
          <w:rFonts w:ascii="Arial" w:hAnsi="Arial" w:cs="Arial"/>
        </w:rPr>
      </w:pPr>
      <w:r>
        <w:rPr>
          <w:rFonts w:ascii="Arial" w:hAnsi="Arial"/>
        </w:rPr>
        <w:t>- In Subsection D.1, Table D.18, the reference ‘UNE 103300:1993’ is replaced by ‘UNE-EN ISO 17892-1:2015’, the reference ‘UNE 103202:1995’ is replaced by ‘UNE 103202:2019’, the reference ‘UNE 103204:1993’ is replaced by ‘UNE 103204:2019’, the reference ‘UNE 103302:1994’ is replaced by ‘UNE EN ISO 17892-3:2018’, the reference ‘UNE 103402 :1998’ is replaced by ‘UNE-EN ISO 17892-9:2019’ and the reference ‘NLT254 :1999’ is replaced by ‘UNE 103406:2006’.</w:t>
      </w:r>
    </w:p>
    <w:p w:rsidR="004D58CD" w:rsidRPr="00937C8B" w:rsidRDefault="004836CD" w:rsidP="0058501F">
      <w:pPr>
        <w:spacing w:before="120" w:line="312" w:lineRule="auto"/>
        <w:jc w:val="both"/>
        <w:rPr>
          <w:rFonts w:ascii="Arial" w:hAnsi="Arial" w:cs="Arial"/>
          <w:i/>
          <w:sz w:val="20"/>
          <w:szCs w:val="20"/>
        </w:rPr>
      </w:pPr>
      <w:r>
        <w:rPr>
          <w:rFonts w:ascii="Arial" w:hAnsi="Arial"/>
        </w:rPr>
        <w:t xml:space="preserve">- In Subsection D.1, Table D.19, the reference ‘UNE 22-950 Part 1:1990’ is replaced by ‘UNE 22950-1:1990’, the reference ‘UNE 22-950 Part 2:1990’ is replaced by ‘UNE 22950-2:1990’ and the reference ‘NLT 225:1996’ is replaced by ‘UNE 146510:2008’. </w:t>
      </w:r>
    </w:p>
    <w:p w:rsidR="004836CD" w:rsidRPr="00937C8B" w:rsidRDefault="004836CD" w:rsidP="00D27646">
      <w:pPr>
        <w:keepNext/>
        <w:spacing w:before="120" w:line="312" w:lineRule="auto"/>
        <w:jc w:val="both"/>
        <w:rPr>
          <w:rFonts w:ascii="Arial" w:hAnsi="Arial" w:cs="Arial"/>
        </w:rPr>
      </w:pPr>
      <w:r>
        <w:rPr>
          <w:rFonts w:ascii="Arial" w:hAnsi="Arial"/>
        </w:rPr>
        <w:t>- Annex G Reference standards is replaced by:</w:t>
      </w:r>
    </w:p>
    <w:p w:rsidR="004836CD" w:rsidRPr="00937C8B" w:rsidRDefault="004836CD" w:rsidP="00D27646">
      <w:pPr>
        <w:keepNext/>
        <w:widowControl w:val="0"/>
        <w:spacing w:before="120" w:line="312" w:lineRule="auto"/>
        <w:ind w:left="851"/>
        <w:jc w:val="both"/>
        <w:rPr>
          <w:rFonts w:ascii="Arial" w:hAnsi="Arial" w:cs="Arial"/>
          <w:bCs/>
        </w:rPr>
      </w:pPr>
      <w:r>
        <w:rPr>
          <w:rFonts w:ascii="Arial" w:hAnsi="Arial"/>
        </w:rPr>
        <w:t>“Annex G. Reference standards</w:t>
      </w:r>
    </w:p>
    <w:p w:rsidR="004836CD" w:rsidRPr="00937C8B" w:rsidRDefault="004836CD" w:rsidP="0058501F">
      <w:pPr>
        <w:widowControl w:val="0"/>
        <w:spacing w:before="120" w:line="312" w:lineRule="auto"/>
        <w:ind w:left="851"/>
        <w:jc w:val="both"/>
        <w:rPr>
          <w:rFonts w:ascii="Arial" w:hAnsi="Arial" w:cs="Arial"/>
          <w:bCs/>
        </w:rPr>
      </w:pPr>
      <w:r>
        <w:rPr>
          <w:rFonts w:ascii="Arial" w:hAnsi="Arial"/>
        </w:rPr>
        <w:t>This annex provides the full references for the standards cited in the text of DB-SE-C. This annex designates these standards with an asterisk. In addition, for information purposes, it lists other standards related to application of DB-SE-C.</w:t>
      </w:r>
    </w:p>
    <w:p w:rsidR="004836CD" w:rsidRPr="00937C8B" w:rsidRDefault="004836CD" w:rsidP="00D27646">
      <w:pPr>
        <w:keepNext/>
        <w:spacing w:before="120" w:line="312" w:lineRule="auto"/>
        <w:ind w:left="851"/>
        <w:jc w:val="both"/>
        <w:outlineLvl w:val="0"/>
        <w:rPr>
          <w:rFonts w:ascii="Arial" w:hAnsi="Arial" w:cs="Arial"/>
        </w:rPr>
      </w:pPr>
      <w:bookmarkStart w:id="1" w:name="_Toc39158106"/>
      <w:r>
        <w:rPr>
          <w:rFonts w:ascii="Arial" w:hAnsi="Arial"/>
        </w:rPr>
        <w:t>UNE standards</w:t>
      </w:r>
      <w:bookmarkEnd w:id="1"/>
    </w:p>
    <w:p w:rsidR="004836CD" w:rsidRPr="00937C8B" w:rsidRDefault="004836CD" w:rsidP="0058501F">
      <w:pPr>
        <w:spacing w:before="120" w:line="312" w:lineRule="auto"/>
        <w:ind w:left="3969" w:hanging="3118"/>
        <w:jc w:val="both"/>
        <w:rPr>
          <w:rFonts w:ascii="Arial" w:hAnsi="Arial" w:cs="Arial"/>
        </w:rPr>
      </w:pPr>
      <w:r>
        <w:rPr>
          <w:rFonts w:ascii="Arial" w:hAnsi="Arial"/>
        </w:rPr>
        <w:t>*UNE 22381:1993</w:t>
      </w:r>
      <w:r>
        <w:rPr>
          <w:rFonts w:ascii="Arial" w:hAnsi="Arial"/>
        </w:rPr>
        <w:tab/>
        <w:t>Control of vibrations produced by blasting.</w:t>
      </w:r>
    </w:p>
    <w:p w:rsidR="004836CD" w:rsidRPr="00937C8B" w:rsidRDefault="004836CD" w:rsidP="0058501F">
      <w:pPr>
        <w:spacing w:before="120" w:line="312" w:lineRule="auto"/>
        <w:ind w:left="3969" w:hanging="3118"/>
        <w:jc w:val="both"/>
        <w:rPr>
          <w:rFonts w:ascii="Arial" w:hAnsi="Arial" w:cs="Arial"/>
        </w:rPr>
      </w:pPr>
      <w:r>
        <w:rPr>
          <w:rFonts w:ascii="Arial" w:hAnsi="Arial"/>
        </w:rPr>
        <w:t>*UNE 22950-1:1990</w:t>
      </w:r>
      <w:r>
        <w:rPr>
          <w:rFonts w:ascii="Arial" w:hAnsi="Arial"/>
        </w:rPr>
        <w:tab/>
        <w:t>Mechanical properties of rocks. Strength testing. Part 1: Resistance to uniaxial compression.</w:t>
      </w:r>
    </w:p>
    <w:p w:rsidR="004836CD" w:rsidRPr="00937C8B" w:rsidRDefault="004836CD" w:rsidP="0058501F">
      <w:pPr>
        <w:spacing w:before="120" w:line="312" w:lineRule="auto"/>
        <w:ind w:left="3969" w:hanging="3118"/>
        <w:jc w:val="both"/>
        <w:rPr>
          <w:rFonts w:ascii="Arial" w:hAnsi="Arial" w:cs="Arial"/>
        </w:rPr>
      </w:pPr>
      <w:r>
        <w:rPr>
          <w:rFonts w:ascii="Arial" w:hAnsi="Arial"/>
        </w:rPr>
        <w:t>*UNE 22950-2:1990</w:t>
      </w:r>
      <w:r>
        <w:rPr>
          <w:rFonts w:ascii="Arial" w:hAnsi="Arial"/>
        </w:rPr>
        <w:tab/>
        <w:t xml:space="preserve">Mechanical properties of rocks. Strength testing. Part 2: Tensile strength. Indirect determination (Brazilian test). </w:t>
      </w:r>
    </w:p>
    <w:p w:rsidR="004836CD" w:rsidRPr="00937C8B" w:rsidRDefault="004836CD" w:rsidP="0058501F">
      <w:pPr>
        <w:spacing w:before="120" w:line="312" w:lineRule="auto"/>
        <w:ind w:left="3969" w:hanging="3118"/>
        <w:jc w:val="both"/>
        <w:rPr>
          <w:rFonts w:ascii="Arial" w:hAnsi="Arial" w:cs="Arial"/>
        </w:rPr>
      </w:pPr>
      <w:r>
        <w:rPr>
          <w:rFonts w:ascii="Arial" w:hAnsi="Arial"/>
        </w:rPr>
        <w:t xml:space="preserve">*UNE 80303-1:2017 </w:t>
      </w:r>
      <w:r>
        <w:rPr>
          <w:rFonts w:ascii="Arial" w:hAnsi="Arial"/>
        </w:rPr>
        <w:tab/>
        <w:t xml:space="preserve">Cements with additional characteristics. Part 1: Sulphate-resistant cements. </w:t>
      </w:r>
    </w:p>
    <w:p w:rsidR="004836CD" w:rsidRPr="00937C8B" w:rsidRDefault="004836CD" w:rsidP="0058501F">
      <w:pPr>
        <w:spacing w:before="120" w:line="312" w:lineRule="auto"/>
        <w:ind w:left="3969" w:hanging="3118"/>
        <w:jc w:val="both"/>
        <w:rPr>
          <w:rFonts w:ascii="Arial" w:hAnsi="Arial" w:cs="Arial"/>
        </w:rPr>
      </w:pPr>
      <w:r>
        <w:rPr>
          <w:rFonts w:ascii="Arial" w:hAnsi="Arial"/>
        </w:rPr>
        <w:t xml:space="preserve">UNE 80303-2:2017 </w:t>
      </w:r>
      <w:r>
        <w:rPr>
          <w:rFonts w:ascii="Arial" w:hAnsi="Arial"/>
        </w:rPr>
        <w:tab/>
        <w:t>Cements with additional characteristics. Part 2: Sea-water resistant cements.</w:t>
      </w:r>
    </w:p>
    <w:p w:rsidR="004836CD" w:rsidRPr="00937C8B" w:rsidRDefault="004836CD" w:rsidP="0058501F">
      <w:pPr>
        <w:spacing w:before="120" w:line="312" w:lineRule="auto"/>
        <w:ind w:left="3969" w:hanging="3118"/>
        <w:jc w:val="both"/>
        <w:rPr>
          <w:rFonts w:ascii="Arial" w:hAnsi="Arial" w:cs="Arial"/>
        </w:rPr>
      </w:pPr>
      <w:r>
        <w:rPr>
          <w:rFonts w:ascii="Arial" w:hAnsi="Arial"/>
        </w:rPr>
        <w:lastRenderedPageBreak/>
        <w:t>*UNE 83988-2:2014</w:t>
      </w:r>
      <w:r>
        <w:rPr>
          <w:rFonts w:ascii="Arial" w:hAnsi="Arial"/>
        </w:rPr>
        <w:tab/>
        <w:t>Concrete durability. Test methods. Determination of electrical resistivity. Part 2: Four points or Wenner method.</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103101:1995</w:t>
      </w:r>
      <w:r>
        <w:rPr>
          <w:rFonts w:ascii="Arial" w:hAnsi="Arial"/>
        </w:rPr>
        <w:tab/>
        <w:t>Particle size analysis of a soil by screening.</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103102:1995</w:t>
      </w:r>
      <w:r>
        <w:rPr>
          <w:rFonts w:ascii="Arial" w:hAnsi="Arial"/>
        </w:rPr>
        <w:tab/>
        <w:t>Particle size analysis of a fine soil by sedimentation. Densimetry method.</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103103:1994</w:t>
      </w:r>
      <w:r>
        <w:rPr>
          <w:rFonts w:ascii="Arial" w:hAnsi="Arial"/>
        </w:rPr>
        <w:tab/>
        <w:t>Determination of the liquid limit of a soil by the Casagrande apparatus method.</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103104:1993</w:t>
      </w:r>
      <w:r>
        <w:rPr>
          <w:rFonts w:ascii="Arial" w:hAnsi="Arial"/>
        </w:rPr>
        <w:tab/>
        <w:t>Test for plastic limit of a soil.</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103108:1996</w:t>
      </w:r>
      <w:r>
        <w:rPr>
          <w:rFonts w:ascii="Arial" w:hAnsi="Arial"/>
        </w:rPr>
        <w:tab/>
        <w:t>Determination of shrinkage characteristics in a soil.</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103200:1993</w:t>
      </w:r>
      <w:r>
        <w:rPr>
          <w:rFonts w:ascii="Arial" w:hAnsi="Arial"/>
        </w:rPr>
        <w:tab/>
        <w:t xml:space="preserve">Determination of carbonate content in soils. </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103202:2019</w:t>
      </w:r>
      <w:r>
        <w:rPr>
          <w:rFonts w:ascii="Arial" w:hAnsi="Arial"/>
        </w:rPr>
        <w:tab/>
        <w:t xml:space="preserve">Qualitative determination of soluble sulphate content in groundwater. </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103204:2009</w:t>
      </w:r>
      <w:r>
        <w:rPr>
          <w:rFonts w:ascii="Arial" w:hAnsi="Arial"/>
        </w:rPr>
        <w:tab/>
        <w:t xml:space="preserve">Organic matter content of a soil by the potassium permanganate method. </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103301:1994</w:t>
      </w:r>
      <w:r>
        <w:rPr>
          <w:rFonts w:ascii="Arial" w:hAnsi="Arial"/>
        </w:rPr>
        <w:tab/>
        <w:t>Determination of a soil density. Method of balance with water bath.</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103400:1993</w:t>
      </w:r>
      <w:r>
        <w:rPr>
          <w:rFonts w:ascii="Arial" w:hAnsi="Arial"/>
        </w:rPr>
        <w:tab/>
        <w:t>Simple compression rupture test in soil test specimens.</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103401:1998</w:t>
      </w:r>
      <w:r>
        <w:rPr>
          <w:rFonts w:ascii="Arial" w:hAnsi="Arial"/>
        </w:rPr>
        <w:tab/>
        <w:t>Determination of the shear strength of a soil with the direct shear box.</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103405:1994</w:t>
      </w:r>
      <w:r>
        <w:rPr>
          <w:rFonts w:ascii="Arial" w:hAnsi="Arial"/>
        </w:rPr>
        <w:tab/>
        <w:t xml:space="preserve">Geotechnics. One-dimensional consolidation test in an edometric cell. </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103406:2006</w:t>
      </w:r>
      <w:r>
        <w:rPr>
          <w:rFonts w:ascii="Arial" w:hAnsi="Arial"/>
        </w:rPr>
        <w:tab/>
        <w:t>Collapse test in soils.</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103500:1994</w:t>
      </w:r>
      <w:r>
        <w:rPr>
          <w:rFonts w:ascii="Arial" w:hAnsi="Arial"/>
        </w:rPr>
        <w:tab/>
        <w:t>Geotechnics. Compaction test. Standard proctor.</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103501:1994</w:t>
      </w:r>
      <w:r>
        <w:rPr>
          <w:rFonts w:ascii="Arial" w:hAnsi="Arial"/>
        </w:rPr>
        <w:tab/>
        <w:t>Geotechnics. Compaction test. Modified Proctor.</w:t>
      </w:r>
    </w:p>
    <w:p w:rsidR="004836CD" w:rsidRPr="00937C8B" w:rsidRDefault="004836CD" w:rsidP="0058501F">
      <w:pPr>
        <w:spacing w:before="120" w:line="312" w:lineRule="auto"/>
        <w:ind w:left="3969" w:hanging="3118"/>
        <w:jc w:val="both"/>
        <w:rPr>
          <w:rFonts w:ascii="Arial" w:hAnsi="Arial" w:cs="Arial"/>
        </w:rPr>
      </w:pPr>
      <w:r>
        <w:rPr>
          <w:rFonts w:ascii="Arial" w:hAnsi="Arial"/>
        </w:rPr>
        <w:t xml:space="preserve">*UNE 103600:1996 </w:t>
      </w:r>
      <w:r>
        <w:rPr>
          <w:rFonts w:ascii="Arial" w:hAnsi="Arial"/>
        </w:rPr>
        <w:tab/>
        <w:t>Determination of expansivity in a soil in the Lambe apparatus.</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103601:1996</w:t>
      </w:r>
      <w:r>
        <w:rPr>
          <w:rFonts w:ascii="Arial" w:hAnsi="Arial"/>
        </w:rPr>
        <w:tab/>
        <w:t>Test for free swelling of soils in oedometer device.</w:t>
      </w:r>
    </w:p>
    <w:p w:rsidR="004836CD" w:rsidRPr="00937C8B" w:rsidRDefault="004836CD" w:rsidP="0058501F">
      <w:pPr>
        <w:spacing w:before="120" w:line="312" w:lineRule="auto"/>
        <w:ind w:left="3969" w:hanging="3118"/>
        <w:jc w:val="both"/>
        <w:rPr>
          <w:rFonts w:ascii="Arial" w:hAnsi="Arial" w:cs="Arial"/>
        </w:rPr>
      </w:pPr>
      <w:r>
        <w:rPr>
          <w:rFonts w:ascii="Arial" w:hAnsi="Arial"/>
        </w:rPr>
        <w:t>*UNE 103602:1996</w:t>
      </w:r>
      <w:r>
        <w:rPr>
          <w:rFonts w:ascii="Arial" w:hAnsi="Arial"/>
        </w:rPr>
        <w:tab/>
        <w:t>Test method for one-dimensional swell pressure of a soil in consolidometer.</w:t>
      </w:r>
    </w:p>
    <w:p w:rsidR="004836CD" w:rsidRPr="00937C8B" w:rsidRDefault="004836CD" w:rsidP="0058501F">
      <w:pPr>
        <w:spacing w:before="120" w:line="312" w:lineRule="auto"/>
        <w:ind w:left="3969" w:hanging="3118"/>
        <w:jc w:val="both"/>
        <w:rPr>
          <w:rFonts w:ascii="Arial" w:hAnsi="Arial" w:cs="Arial"/>
        </w:rPr>
      </w:pPr>
      <w:r>
        <w:rPr>
          <w:rFonts w:ascii="Arial" w:hAnsi="Arial"/>
        </w:rPr>
        <w:t>*UNE 146510:2018</w:t>
      </w:r>
      <w:r>
        <w:rPr>
          <w:rFonts w:ascii="Arial" w:hAnsi="Arial"/>
        </w:rPr>
        <w:tab/>
        <w:t>Stability of aggregates and rock fragments against water immersion effects and wet-dry cycles.</w:t>
      </w:r>
    </w:p>
    <w:p w:rsidR="004836CD" w:rsidRPr="00937C8B" w:rsidRDefault="004836CD" w:rsidP="0058501F">
      <w:pPr>
        <w:spacing w:before="120" w:line="312" w:lineRule="auto"/>
        <w:ind w:left="3969" w:hanging="3118"/>
        <w:jc w:val="both"/>
        <w:rPr>
          <w:rFonts w:ascii="Arial" w:hAnsi="Arial" w:cs="Arial"/>
        </w:rPr>
      </w:pPr>
      <w:r>
        <w:rPr>
          <w:rFonts w:ascii="Arial" w:hAnsi="Arial"/>
        </w:rPr>
        <w:lastRenderedPageBreak/>
        <w:t>UNE EN 197-1:2011</w:t>
      </w:r>
      <w:r>
        <w:rPr>
          <w:rFonts w:ascii="Arial" w:hAnsi="Arial"/>
        </w:rPr>
        <w:tab/>
        <w:t>Cement. Part 1: Composition, specifications and conformity criteria for common cements.</w:t>
      </w:r>
    </w:p>
    <w:p w:rsidR="004836CD" w:rsidRPr="00937C8B" w:rsidRDefault="004836CD" w:rsidP="0058501F">
      <w:pPr>
        <w:spacing w:before="120" w:line="312" w:lineRule="auto"/>
        <w:ind w:left="3969" w:hanging="3118"/>
        <w:jc w:val="both"/>
        <w:rPr>
          <w:rFonts w:ascii="Arial" w:hAnsi="Arial" w:cs="Arial"/>
        </w:rPr>
      </w:pPr>
      <w:r>
        <w:rPr>
          <w:rFonts w:ascii="Arial" w:hAnsi="Arial"/>
        </w:rPr>
        <w:t>*UNE EN 1536:2011+A1:2016</w:t>
      </w:r>
      <w:r>
        <w:rPr>
          <w:rFonts w:ascii="Arial" w:hAnsi="Arial"/>
        </w:rPr>
        <w:tab/>
        <w:t>Execution of special geotechnical work. Bored piles.</w:t>
      </w:r>
    </w:p>
    <w:p w:rsidR="004836CD" w:rsidRPr="00937C8B" w:rsidRDefault="004836CD" w:rsidP="0058501F">
      <w:pPr>
        <w:spacing w:before="120" w:line="312" w:lineRule="auto"/>
        <w:ind w:left="3969" w:hanging="3118"/>
        <w:jc w:val="both"/>
        <w:rPr>
          <w:rFonts w:ascii="Arial" w:hAnsi="Arial" w:cs="Arial"/>
        </w:rPr>
      </w:pPr>
      <w:r>
        <w:rPr>
          <w:rFonts w:ascii="Arial" w:hAnsi="Arial"/>
        </w:rPr>
        <w:t>*UNE EN 1537:2015</w:t>
      </w:r>
      <w:r>
        <w:rPr>
          <w:rFonts w:ascii="Arial" w:hAnsi="Arial"/>
        </w:rPr>
        <w:tab/>
        <w:t>Execution of special geotechnical works. Ground anchors.</w:t>
      </w:r>
    </w:p>
    <w:p w:rsidR="004836CD" w:rsidRPr="00937C8B" w:rsidRDefault="004836CD" w:rsidP="0058501F">
      <w:pPr>
        <w:spacing w:before="120" w:line="312" w:lineRule="auto"/>
        <w:ind w:left="3969" w:hanging="3118"/>
        <w:jc w:val="both"/>
        <w:rPr>
          <w:rFonts w:ascii="Arial" w:hAnsi="Arial" w:cs="Arial"/>
        </w:rPr>
      </w:pPr>
      <w:r>
        <w:rPr>
          <w:rFonts w:ascii="Arial" w:hAnsi="Arial"/>
        </w:rPr>
        <w:t>*UNE EN 1538:2011+A1:2016</w:t>
      </w:r>
      <w:r>
        <w:rPr>
          <w:rFonts w:ascii="Arial" w:hAnsi="Arial"/>
        </w:rPr>
        <w:tab/>
        <w:t>Execution of special geotechnical work. Diaphragm walls.</w:t>
      </w:r>
    </w:p>
    <w:p w:rsidR="004836CD" w:rsidRPr="00A77C79" w:rsidRDefault="004836CD" w:rsidP="0058501F">
      <w:pPr>
        <w:spacing w:before="120" w:line="312" w:lineRule="auto"/>
        <w:ind w:left="3969" w:hanging="3118"/>
        <w:jc w:val="both"/>
        <w:rPr>
          <w:rFonts w:ascii="Arial" w:hAnsi="Arial" w:cs="Arial"/>
        </w:rPr>
      </w:pPr>
      <w:r>
        <w:rPr>
          <w:rFonts w:ascii="Arial" w:hAnsi="Arial"/>
        </w:rPr>
        <w:t>*UNE EN 12699:2016</w:t>
      </w:r>
      <w:r>
        <w:rPr>
          <w:rFonts w:ascii="Arial" w:hAnsi="Arial"/>
        </w:rPr>
        <w:tab/>
        <w:t>Execution of special geotechnical works. Displacement piles.</w:t>
      </w:r>
    </w:p>
    <w:p w:rsidR="004836CD" w:rsidRPr="00937C8B" w:rsidRDefault="004836CD" w:rsidP="0058501F">
      <w:pPr>
        <w:spacing w:before="120" w:line="312" w:lineRule="auto"/>
        <w:ind w:left="3969" w:hanging="3118"/>
        <w:jc w:val="both"/>
        <w:rPr>
          <w:rFonts w:ascii="Arial" w:hAnsi="Arial" w:cs="Arial"/>
          <w:bCs/>
        </w:rPr>
      </w:pPr>
      <w:r>
        <w:rPr>
          <w:rFonts w:ascii="Arial" w:hAnsi="Arial"/>
        </w:rPr>
        <w:t>*UNE EN ISO 17892-1:2015</w:t>
      </w:r>
      <w:r>
        <w:rPr>
          <w:rFonts w:ascii="Arial" w:hAnsi="Arial"/>
        </w:rPr>
        <w:tab/>
        <w:t>Geotechnical investigation and testing. Laboratory testing of soil. Part 1: Determination of water content.</w:t>
      </w:r>
    </w:p>
    <w:p w:rsidR="004836CD" w:rsidRPr="00937C8B" w:rsidRDefault="004836CD" w:rsidP="0058501F">
      <w:pPr>
        <w:spacing w:before="120" w:line="312" w:lineRule="auto"/>
        <w:ind w:left="3969" w:hanging="3118"/>
        <w:jc w:val="both"/>
        <w:rPr>
          <w:rFonts w:ascii="Arial" w:hAnsi="Arial" w:cs="Arial"/>
        </w:rPr>
      </w:pPr>
      <w:r>
        <w:rPr>
          <w:rFonts w:ascii="Arial" w:hAnsi="Arial"/>
        </w:rPr>
        <w:t>*UNE EN ISO 17892-3:2018</w:t>
      </w:r>
      <w:r>
        <w:rPr>
          <w:rFonts w:ascii="Arial" w:hAnsi="Arial"/>
        </w:rPr>
        <w:tab/>
        <w:t>Geotechnical investigation and testing. Laboratory testing of soil. Part 3: Determination of particle density.</w:t>
      </w:r>
    </w:p>
    <w:p w:rsidR="004836CD" w:rsidRPr="00937C8B" w:rsidRDefault="004836CD" w:rsidP="0058501F">
      <w:pPr>
        <w:spacing w:before="120" w:line="312" w:lineRule="auto"/>
        <w:ind w:left="3969" w:hanging="3118"/>
        <w:jc w:val="both"/>
        <w:rPr>
          <w:rFonts w:ascii="Arial" w:hAnsi="Arial" w:cs="Arial"/>
        </w:rPr>
      </w:pPr>
      <w:r>
        <w:rPr>
          <w:rFonts w:ascii="Arial" w:hAnsi="Arial"/>
        </w:rPr>
        <w:t>*UNE EN ISO 17892-9:2019</w:t>
      </w:r>
      <w:r>
        <w:rPr>
          <w:rFonts w:ascii="Arial" w:hAnsi="Arial"/>
        </w:rPr>
        <w:tab/>
        <w:t>Geotechnical investigation and testing. Laboratory testing of soil. Part 9: Consolidated triaxial compression tests on water.</w:t>
      </w:r>
    </w:p>
    <w:p w:rsidR="004836CD" w:rsidRPr="00937C8B" w:rsidRDefault="004836CD" w:rsidP="0058501F">
      <w:pPr>
        <w:spacing w:before="120" w:line="312" w:lineRule="auto"/>
        <w:ind w:left="3969" w:hanging="3118"/>
        <w:jc w:val="both"/>
        <w:rPr>
          <w:rFonts w:ascii="Arial" w:hAnsi="Arial" w:cs="Arial"/>
        </w:rPr>
      </w:pPr>
      <w:r>
        <w:rPr>
          <w:rFonts w:ascii="Arial" w:hAnsi="Arial"/>
        </w:rPr>
        <w:t>*UNE EN ISO 22476-2:2008</w:t>
      </w:r>
      <w:r>
        <w:rPr>
          <w:rFonts w:ascii="Arial" w:hAnsi="Arial"/>
        </w:rPr>
        <w:tab/>
        <w:t>Geotechnical investigation and testing. Field testing. Part 2: Dynamic probing (+UNE EN ISO 22476-2:2008/A1:2014)</w:t>
      </w:r>
    </w:p>
    <w:p w:rsidR="004836CD" w:rsidRPr="00937C8B" w:rsidRDefault="004836CD" w:rsidP="0058501F">
      <w:pPr>
        <w:spacing w:before="120" w:line="312" w:lineRule="auto"/>
        <w:ind w:left="3969" w:hanging="3118"/>
        <w:jc w:val="both"/>
        <w:rPr>
          <w:rFonts w:ascii="Arial" w:hAnsi="Arial" w:cs="Arial"/>
        </w:rPr>
      </w:pPr>
      <w:r>
        <w:rPr>
          <w:rFonts w:ascii="Arial" w:hAnsi="Arial"/>
        </w:rPr>
        <w:t>*UNE EN ISO 22476-3:2008</w:t>
      </w:r>
      <w:r>
        <w:rPr>
          <w:rFonts w:ascii="Arial" w:hAnsi="Arial"/>
        </w:rPr>
        <w:tab/>
        <w:t>Geotechnical investigation and testing - Field testing - Part 3: Standard penetration test (+UNE EN ISO 22476-3:2008/A1:2014)</w:t>
      </w:r>
    </w:p>
    <w:p w:rsidR="004836CD" w:rsidRPr="00937C8B" w:rsidRDefault="004836CD" w:rsidP="0058501F">
      <w:pPr>
        <w:spacing w:before="120" w:line="312" w:lineRule="auto"/>
        <w:ind w:left="3969" w:hanging="3118"/>
        <w:jc w:val="both"/>
        <w:rPr>
          <w:rFonts w:ascii="Arial" w:hAnsi="Arial" w:cs="Arial"/>
        </w:rPr>
      </w:pPr>
      <w:r>
        <w:rPr>
          <w:rFonts w:ascii="Arial" w:hAnsi="Arial"/>
        </w:rPr>
        <w:t>*UNE EN ISO 22476-12:2010</w:t>
      </w:r>
      <w:r>
        <w:rPr>
          <w:rFonts w:ascii="Arial" w:hAnsi="Arial"/>
        </w:rPr>
        <w:tab/>
        <w:t>Geotechnical investigation and testing. Field testing. Part 12: Mechanical cone penetration test (CPTM).</w:t>
      </w:r>
    </w:p>
    <w:p w:rsidR="004836CD" w:rsidRPr="00937C8B" w:rsidRDefault="004836CD" w:rsidP="0058501F">
      <w:pPr>
        <w:spacing w:before="120" w:line="312" w:lineRule="auto"/>
        <w:ind w:left="3969" w:hanging="3118"/>
        <w:jc w:val="both"/>
        <w:rPr>
          <w:rFonts w:ascii="Arial" w:hAnsi="Arial" w:cs="Arial"/>
        </w:rPr>
      </w:pPr>
      <w:r>
        <w:rPr>
          <w:rFonts w:ascii="Arial" w:hAnsi="Arial"/>
        </w:rPr>
        <w:t>*UNE ENV 1997-3:2002</w:t>
      </w:r>
      <w:r>
        <w:rPr>
          <w:rFonts w:ascii="Arial" w:hAnsi="Arial"/>
        </w:rPr>
        <w:tab/>
        <w:t>Eurocode 7. Geotechnical design. Design assisted by field testing.</w:t>
      </w:r>
    </w:p>
    <w:p w:rsidR="004836CD" w:rsidRPr="00937C8B" w:rsidRDefault="004836CD" w:rsidP="0058501F">
      <w:pPr>
        <w:spacing w:before="120" w:line="312" w:lineRule="auto"/>
        <w:ind w:left="3969" w:hanging="3118"/>
        <w:jc w:val="both"/>
        <w:rPr>
          <w:rFonts w:ascii="Arial" w:hAnsi="Arial" w:cs="Arial"/>
        </w:rPr>
      </w:pPr>
      <w:r>
        <w:rPr>
          <w:rFonts w:ascii="Arial" w:hAnsi="Arial"/>
        </w:rPr>
        <w:t>ASTM standards</w:t>
      </w:r>
    </w:p>
    <w:p w:rsidR="004836CD" w:rsidRPr="00937C8B" w:rsidRDefault="004836CD" w:rsidP="0058501F">
      <w:pPr>
        <w:spacing w:before="120" w:line="312" w:lineRule="auto"/>
        <w:ind w:left="3969" w:hanging="3118"/>
        <w:jc w:val="both"/>
        <w:rPr>
          <w:rFonts w:ascii="Arial" w:hAnsi="Arial" w:cs="Arial"/>
          <w:bCs/>
        </w:rPr>
      </w:pPr>
      <w:r>
        <w:rPr>
          <w:rFonts w:ascii="Arial" w:hAnsi="Arial"/>
        </w:rPr>
        <w:t xml:space="preserve">*ASTM: D 4428/D4428M-14 </w:t>
      </w:r>
      <w:r>
        <w:rPr>
          <w:rFonts w:ascii="Arial" w:hAnsi="Arial"/>
        </w:rPr>
        <w:tab/>
        <w:t>Standard Test Methods for Crosshole Seismic Testing.</w:t>
      </w:r>
    </w:p>
    <w:p w:rsidR="004836CD" w:rsidRPr="00937C8B" w:rsidRDefault="004836CD" w:rsidP="0058501F">
      <w:pPr>
        <w:spacing w:before="120" w:line="312" w:lineRule="auto"/>
        <w:ind w:left="3969" w:hanging="3118"/>
        <w:jc w:val="both"/>
        <w:rPr>
          <w:rFonts w:ascii="Arial" w:hAnsi="Arial" w:cs="Arial"/>
        </w:rPr>
      </w:pPr>
      <w:r>
        <w:rPr>
          <w:rFonts w:ascii="Arial" w:hAnsi="Arial"/>
        </w:rPr>
        <w:t>NLT standards</w:t>
      </w:r>
    </w:p>
    <w:p w:rsidR="004836CD" w:rsidRPr="00A77C79" w:rsidRDefault="004836CD" w:rsidP="0058501F">
      <w:pPr>
        <w:spacing w:before="120" w:line="312" w:lineRule="auto"/>
        <w:ind w:left="3969" w:hanging="3118"/>
        <w:jc w:val="both"/>
        <w:rPr>
          <w:rFonts w:ascii="Arial" w:hAnsi="Arial" w:cs="Arial"/>
        </w:rPr>
      </w:pPr>
      <w:r>
        <w:rPr>
          <w:rFonts w:ascii="Arial" w:hAnsi="Arial"/>
        </w:rPr>
        <w:t>*NLT 251:1996</w:t>
      </w:r>
      <w:r>
        <w:rPr>
          <w:rFonts w:ascii="Arial" w:hAnsi="Arial"/>
        </w:rPr>
        <w:tab/>
        <w:t>Determination of the durability of the crumbling of soft rocks.’</w:t>
      </w:r>
    </w:p>
    <w:p w:rsidR="004836CD" w:rsidRPr="00937C8B" w:rsidRDefault="004836CD" w:rsidP="00D27646">
      <w:pPr>
        <w:keepNext/>
        <w:spacing w:before="120" w:line="312" w:lineRule="auto"/>
        <w:jc w:val="both"/>
        <w:rPr>
          <w:rFonts w:ascii="Arial" w:hAnsi="Arial" w:cs="Arial"/>
        </w:rPr>
      </w:pPr>
      <w:r>
        <w:rPr>
          <w:rFonts w:ascii="Arial" w:hAnsi="Arial"/>
        </w:rPr>
        <w:t>Seven. In Basic Document DB-SE-F ‘Structural Safety. Factory’ the legislative references indicated are updated as follows:</w:t>
      </w:r>
    </w:p>
    <w:p w:rsidR="004836CD" w:rsidRPr="00937C8B" w:rsidRDefault="004836CD" w:rsidP="0058501F">
      <w:pPr>
        <w:spacing w:before="120" w:line="312" w:lineRule="auto"/>
        <w:jc w:val="both"/>
        <w:rPr>
          <w:rFonts w:ascii="Arial" w:hAnsi="Arial" w:cs="Arial"/>
        </w:rPr>
      </w:pPr>
      <w:r>
        <w:rPr>
          <w:rFonts w:ascii="Arial" w:hAnsi="Arial"/>
        </w:rPr>
        <w:t>- In Subsection 4.4, point 1, the reference ‘UNE ENV 10080:1996’ is replaced by “UNE-EN 10080:2006’, the reference ‘UNE EN 10088’ is replaced by ‘UNE-EN 10088-1:2015’ and the reference ‘UNE EN 845-3:2001’ is replaced by ‘UNE-EN 845-3:2014’.</w:t>
      </w:r>
    </w:p>
    <w:p w:rsidR="004836CD" w:rsidRPr="00937C8B" w:rsidRDefault="004836CD" w:rsidP="0058501F">
      <w:pPr>
        <w:spacing w:before="120" w:line="312" w:lineRule="auto"/>
        <w:jc w:val="both"/>
        <w:rPr>
          <w:rFonts w:ascii="Arial" w:hAnsi="Arial" w:cs="Arial"/>
        </w:rPr>
      </w:pPr>
      <w:r>
        <w:rPr>
          <w:rFonts w:ascii="Arial" w:hAnsi="Arial"/>
        </w:rPr>
        <w:lastRenderedPageBreak/>
        <w:t>- In Subsection 4.6.2, point 1, the reference “UNE EN 1052, Parts 1 to 4 (1999, 2000, 2003 and 2001, respectively)” are replaced by “UNE-EN 1052-1:1999, UNE-EN 1052-2:2000, UNE-EN 1052-3:2003 and UNE-EN 1052-4:2001”.</w:t>
      </w:r>
    </w:p>
    <w:p w:rsidR="004836CD" w:rsidRPr="00937C8B" w:rsidRDefault="004836CD" w:rsidP="0058501F">
      <w:pPr>
        <w:spacing w:before="120" w:line="312" w:lineRule="auto"/>
        <w:jc w:val="both"/>
        <w:rPr>
          <w:rFonts w:ascii="Arial" w:hAnsi="Arial" w:cs="Arial"/>
        </w:rPr>
      </w:pPr>
      <w:r>
        <w:rPr>
          <w:rFonts w:ascii="Arial" w:hAnsi="Arial"/>
        </w:rPr>
        <w:t>-</w:t>
      </w:r>
      <w:r>
        <w:rPr>
          <w:rFonts w:ascii="Arial" w:hAnsi="Arial"/>
        </w:rPr>
        <w:tab/>
        <w:t>In Subsection 7.3.1.1, point 5, the reference “UNE EN 845–1:2001” is replaced by “UNE EN 845-1:2014”.</w:t>
      </w:r>
    </w:p>
    <w:p w:rsidR="004836CD" w:rsidRPr="00937C8B" w:rsidRDefault="004836CD" w:rsidP="0058501F">
      <w:pPr>
        <w:spacing w:before="120" w:line="312" w:lineRule="auto"/>
        <w:jc w:val="both"/>
        <w:rPr>
          <w:rFonts w:ascii="Arial" w:hAnsi="Arial" w:cs="Arial"/>
        </w:rPr>
      </w:pPr>
      <w:r>
        <w:rPr>
          <w:rFonts w:ascii="Arial" w:hAnsi="Arial"/>
        </w:rPr>
        <w:t>- In Subsection 7.3.2.3, point 2, the reference ‘UNE EN 845-3:2006’ is replaced by ‘UNE-EN 845-3:2014’.</w:t>
      </w:r>
    </w:p>
    <w:p w:rsidR="004836CD" w:rsidRPr="00937C8B" w:rsidRDefault="004836CD" w:rsidP="0058501F">
      <w:pPr>
        <w:spacing w:before="120" w:line="312" w:lineRule="auto"/>
        <w:jc w:val="both"/>
        <w:rPr>
          <w:rFonts w:ascii="Arial" w:hAnsi="Arial" w:cs="Arial"/>
        </w:rPr>
      </w:pPr>
      <w:r>
        <w:rPr>
          <w:rFonts w:ascii="Arial" w:hAnsi="Arial"/>
        </w:rPr>
        <w:t>- In Subsection 8.1.1, point 3, the reference “UNE EN 772-1:2002” is replaced by “UNE-EN 772-1:2011+A1:2016” and, in point 7, the reference “EN 772-1:2002” is replaced by “UNE-EN 772-1:2011+A1:2016”.</w:t>
      </w:r>
    </w:p>
    <w:p w:rsidR="004836CD" w:rsidRPr="00937C8B" w:rsidRDefault="004836CD" w:rsidP="0058501F">
      <w:pPr>
        <w:spacing w:before="120" w:line="312" w:lineRule="auto"/>
        <w:jc w:val="both"/>
        <w:rPr>
          <w:rFonts w:ascii="Arial" w:hAnsi="Arial" w:cs="Arial"/>
        </w:rPr>
      </w:pPr>
      <w:r>
        <w:rPr>
          <w:rFonts w:ascii="Arial" w:hAnsi="Arial"/>
        </w:rPr>
        <w:t>- In Subsection 8.2, point 1, the reference “EN 1052-1” is replaced by “UNE-EN 1052-1:1999”</w:t>
      </w:r>
    </w:p>
    <w:p w:rsidR="004836CD" w:rsidRPr="00937C8B" w:rsidRDefault="004836CD" w:rsidP="0058501F">
      <w:pPr>
        <w:spacing w:before="120" w:line="312" w:lineRule="auto"/>
        <w:jc w:val="both"/>
        <w:rPr>
          <w:rFonts w:ascii="Arial" w:hAnsi="Arial" w:cs="Arial"/>
        </w:rPr>
      </w:pPr>
      <w:r>
        <w:rPr>
          <w:rFonts w:ascii="Arial" w:hAnsi="Arial"/>
        </w:rPr>
        <w:t>- In Annex C, point 3, the reference “EN 771-3” is replaced by “UNE-EN 771-3:2011+A1:2016”, the reference “UNE EN 771-4:2000” is replaced by “UNE-EN 771-4:2011+A1:2016”, the reference “EN 771-1” is replaced by “UNE-EN 771-1:2011+A1:2016” and the reference “UNE EN 771-2:2000” is replaced by “UNE-EN 771-2:2011+A1:2016”</w:t>
      </w:r>
    </w:p>
    <w:p w:rsidR="004836CD" w:rsidRPr="00937C8B" w:rsidRDefault="004836CD" w:rsidP="0058501F">
      <w:pPr>
        <w:spacing w:before="120" w:line="312" w:lineRule="auto"/>
        <w:jc w:val="both"/>
        <w:rPr>
          <w:rFonts w:ascii="Arial" w:hAnsi="Arial" w:cs="Arial"/>
        </w:rPr>
      </w:pPr>
      <w:r>
        <w:rPr>
          <w:rFonts w:ascii="Arial" w:hAnsi="Arial"/>
        </w:rPr>
        <w:t>- In Annex C, point 5(c), the reference “EN 772-1” is replaced by “UNE-EN 772-1:2011+A1:2016”.</w:t>
      </w:r>
    </w:p>
    <w:p w:rsidR="004836CD" w:rsidRPr="00937C8B" w:rsidRDefault="004836CD" w:rsidP="00D27646">
      <w:pPr>
        <w:keepNext/>
        <w:spacing w:before="120" w:line="312" w:lineRule="auto"/>
        <w:jc w:val="both"/>
        <w:rPr>
          <w:rFonts w:ascii="Arial" w:hAnsi="Arial" w:cs="Arial"/>
        </w:rPr>
      </w:pPr>
      <w:r>
        <w:rPr>
          <w:rFonts w:ascii="Arial" w:hAnsi="Arial"/>
        </w:rPr>
        <w:t>- Annex H Reference standards is replaced by:</w:t>
      </w:r>
    </w:p>
    <w:p w:rsidR="004836CD" w:rsidRPr="00937C8B" w:rsidRDefault="004836CD" w:rsidP="00D27646">
      <w:pPr>
        <w:keepNext/>
        <w:widowControl w:val="0"/>
        <w:spacing w:before="120" w:line="312" w:lineRule="auto"/>
        <w:ind w:left="4111" w:hanging="3260"/>
        <w:jc w:val="both"/>
        <w:rPr>
          <w:rFonts w:ascii="Arial" w:hAnsi="Arial" w:cs="Arial"/>
        </w:rPr>
      </w:pPr>
      <w:r>
        <w:rPr>
          <w:rFonts w:ascii="Arial" w:hAnsi="Arial"/>
        </w:rPr>
        <w:t>“Annex H. Reference standards</w:t>
      </w:r>
    </w:p>
    <w:p w:rsidR="004836CD" w:rsidRPr="00937C8B" w:rsidRDefault="004836CD" w:rsidP="0058501F">
      <w:pPr>
        <w:widowControl w:val="0"/>
        <w:spacing w:before="120" w:line="312" w:lineRule="auto"/>
        <w:ind w:left="851"/>
        <w:jc w:val="both"/>
        <w:rPr>
          <w:rFonts w:ascii="Arial" w:hAnsi="Arial" w:cs="Arial"/>
          <w:bCs/>
        </w:rPr>
      </w:pPr>
      <w:r>
        <w:rPr>
          <w:rFonts w:ascii="Arial" w:hAnsi="Arial"/>
        </w:rPr>
        <w:t>This annex provides the full references for the standards cited in the text of DB-SE-F. This annex designates these standards with an asterisk. In addition, for information purposes, it lists other standards related to application of DB-SE-F.</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771-1:2011+A1:2016</w:t>
      </w:r>
      <w:r>
        <w:rPr>
          <w:rFonts w:ascii="Arial" w:hAnsi="Arial"/>
        </w:rPr>
        <w:tab/>
        <w:t xml:space="preserve">Specification for masonry units. Part 1: Clay masonry units. </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771-2:2011+A1:2016</w:t>
      </w:r>
      <w:r>
        <w:rPr>
          <w:rFonts w:ascii="Arial" w:hAnsi="Arial"/>
        </w:rPr>
        <w:tab/>
        <w:t xml:space="preserve">Specification for masonry units. Part 2: Calcium silicate masonry units. </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771-3:2011+A1:2016</w:t>
      </w:r>
      <w:r>
        <w:rPr>
          <w:rFonts w:ascii="Arial" w:hAnsi="Arial"/>
        </w:rPr>
        <w:tab/>
        <w:t>Specification for masonry units - Part 3: Aggregate concrete masonry units (Dense and lightweight aggregates).</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771-4:2011+A1:2016</w:t>
      </w:r>
      <w:r>
        <w:rPr>
          <w:rFonts w:ascii="Arial" w:hAnsi="Arial"/>
        </w:rPr>
        <w:tab/>
        <w:t>Specification for masonry units - Part 4: Autoclaved aerated concrete masonry units.</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771-5:2011+A1:2016</w:t>
      </w:r>
      <w:r>
        <w:rPr>
          <w:rFonts w:ascii="Arial" w:hAnsi="Arial"/>
        </w:rPr>
        <w:tab/>
        <w:t>Specification for masonry units - Part 5: Manufactured stone masonry units.</w:t>
      </w:r>
    </w:p>
    <w:p w:rsidR="004836CD" w:rsidRPr="00937C8B" w:rsidRDefault="004836CD" w:rsidP="0058501F">
      <w:pPr>
        <w:spacing w:before="120" w:line="312" w:lineRule="auto"/>
        <w:ind w:left="4111" w:hanging="3260"/>
        <w:jc w:val="both"/>
        <w:rPr>
          <w:rFonts w:ascii="Arial" w:hAnsi="Arial" w:cs="Arial"/>
        </w:rPr>
      </w:pPr>
      <w:r>
        <w:rPr>
          <w:rFonts w:ascii="Arial" w:hAnsi="Arial"/>
        </w:rPr>
        <w:t>UNE-EN 771-6:2012+A1:2016</w:t>
      </w:r>
      <w:r>
        <w:rPr>
          <w:rFonts w:ascii="Arial" w:hAnsi="Arial"/>
        </w:rPr>
        <w:tab/>
        <w:t>Specification for masonry units. Part 6: Natural stone masonry units.</w:t>
      </w:r>
    </w:p>
    <w:p w:rsidR="004836CD" w:rsidRPr="00937C8B" w:rsidRDefault="004836CD" w:rsidP="0058501F">
      <w:pPr>
        <w:spacing w:before="120" w:line="312" w:lineRule="auto"/>
        <w:ind w:left="4111" w:hanging="3260"/>
        <w:jc w:val="both"/>
        <w:rPr>
          <w:rFonts w:ascii="Arial" w:hAnsi="Arial" w:cs="Arial"/>
        </w:rPr>
      </w:pPr>
      <w:r>
        <w:rPr>
          <w:rFonts w:ascii="Arial" w:hAnsi="Arial"/>
        </w:rPr>
        <w:lastRenderedPageBreak/>
        <w:t>*UNE EN 772-1:2011+A1:2016</w:t>
      </w:r>
      <w:r>
        <w:rPr>
          <w:rFonts w:ascii="Arial" w:hAnsi="Arial"/>
        </w:rPr>
        <w:tab/>
        <w:t>Methods of test for masonry units. Part 1: Determination of compressive strength.</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845-1:2014</w:t>
      </w:r>
      <w:r>
        <w:rPr>
          <w:rFonts w:ascii="Arial" w:hAnsi="Arial"/>
        </w:rPr>
        <w:tab/>
        <w:t>Specification for ancillary components for masonry. Part 1: Wall ties, tension straps, hangers and brackets.</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845-3:2014</w:t>
      </w:r>
      <w:r>
        <w:rPr>
          <w:rFonts w:ascii="Arial" w:hAnsi="Arial"/>
        </w:rPr>
        <w:tab/>
        <w:t>Specification for ancillary components for masonry. Part 3: Bed joint reinforcement of steel meshwork.</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846-2:2001</w:t>
      </w:r>
      <w:r>
        <w:rPr>
          <w:rFonts w:ascii="Arial" w:hAnsi="Arial"/>
        </w:rPr>
        <w:tab/>
        <w:t>Methods of test for ancillary components for masonry. Part 2: Determination of bond strength of prefabricated bed joint reinforcement in mortar joints.</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846-5:2013</w:t>
      </w:r>
      <w:r>
        <w:rPr>
          <w:rFonts w:ascii="Arial" w:hAnsi="Arial"/>
        </w:rPr>
        <w:tab/>
        <w:t>Methods of test for ancillary components for masonry. Part 5: Determination of tensile and compressive load capacity and load displacement characteristics of wall ties (couple test).</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846-6:2015</w:t>
      </w:r>
      <w:r>
        <w:rPr>
          <w:rFonts w:ascii="Arial" w:hAnsi="Arial"/>
        </w:rPr>
        <w:tab/>
        <w:t>Methods of test for ancillary components for masonry. Part 6: Determination of tensile and compressive load capacity and load displacement characteristics of wall ties (single end test).</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998-2:2018</w:t>
      </w:r>
      <w:r>
        <w:rPr>
          <w:rFonts w:ascii="Arial" w:hAnsi="Arial"/>
        </w:rPr>
        <w:tab/>
        <w:t xml:space="preserve"> Specification for mortar for masonry. Part 2: Masonry mortar.</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1015-11:2000</w:t>
      </w:r>
      <w:r>
        <w:rPr>
          <w:rFonts w:ascii="Arial" w:hAnsi="Arial"/>
        </w:rPr>
        <w:tab/>
        <w:t>Methods of test for mortar for masonry. Part 11: Determination of flexural and compressive strength of hardened mortar (+UNE-EN 1015-11:2000/A1:2007).</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1052-1:1999</w:t>
      </w:r>
      <w:r>
        <w:rPr>
          <w:rFonts w:ascii="Arial" w:hAnsi="Arial"/>
        </w:rPr>
        <w:tab/>
        <w:t>Methods of test for masonry. Part 1: Determination of compressive strength.</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1052-2:2000</w:t>
      </w:r>
      <w:r>
        <w:rPr>
          <w:rFonts w:ascii="Arial" w:hAnsi="Arial"/>
        </w:rPr>
        <w:tab/>
        <w:t>Methods of test for masonry. Part 2: Determination of flexural strength.</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1052-3:2003</w:t>
      </w:r>
      <w:r>
        <w:rPr>
          <w:rFonts w:ascii="Arial" w:hAnsi="Arial"/>
        </w:rPr>
        <w:tab/>
        <w:t>Methods of test for masonry. Part 3: Determination of initial shear strength (+UNE-EN 1052-3:2003/A1:2008).</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1052-4:2001</w:t>
      </w:r>
      <w:r>
        <w:rPr>
          <w:rFonts w:ascii="Arial" w:hAnsi="Arial"/>
        </w:rPr>
        <w:tab/>
        <w:t>Methods of test for masonry - Part 4: Determination of shear strength including damp proof course.</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10080:2006</w:t>
      </w:r>
      <w:r>
        <w:rPr>
          <w:rFonts w:ascii="Arial" w:hAnsi="Arial"/>
        </w:rPr>
        <w:tab/>
        <w:t>Steel for the reinforcement of concrete. Weldable reinforcing steel. General.</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10088-1:2015</w:t>
      </w:r>
      <w:r>
        <w:rPr>
          <w:rFonts w:ascii="Arial" w:hAnsi="Arial"/>
        </w:rPr>
        <w:tab/>
        <w:t xml:space="preserve">Stainless steels - Part 1: List of stainless steels. </w:t>
      </w:r>
    </w:p>
    <w:p w:rsidR="004836CD" w:rsidRPr="00937C8B" w:rsidRDefault="004836CD" w:rsidP="0058501F">
      <w:pPr>
        <w:spacing w:before="120" w:line="312" w:lineRule="auto"/>
        <w:ind w:left="4111" w:hanging="3260"/>
        <w:jc w:val="both"/>
        <w:rPr>
          <w:rFonts w:ascii="Arial" w:hAnsi="Arial" w:cs="Arial"/>
        </w:rPr>
      </w:pPr>
      <w:r>
        <w:rPr>
          <w:rFonts w:ascii="Arial" w:hAnsi="Arial"/>
        </w:rPr>
        <w:lastRenderedPageBreak/>
        <w:t>UNE EN 10088-2:2015</w:t>
      </w:r>
      <w:r>
        <w:rPr>
          <w:rFonts w:ascii="Arial" w:hAnsi="Arial"/>
        </w:rPr>
        <w:tab/>
        <w:t>Stainless steels - Part 2: Technical delivery conditions for sheet/plate and strip of corrosion resisting steels for general purposes.</w:t>
      </w:r>
    </w:p>
    <w:p w:rsidR="004836CD" w:rsidRPr="00937C8B" w:rsidRDefault="004836CD" w:rsidP="0058501F">
      <w:pPr>
        <w:spacing w:before="120" w:line="312" w:lineRule="auto"/>
        <w:ind w:left="4111" w:hanging="3260"/>
        <w:jc w:val="both"/>
        <w:rPr>
          <w:rFonts w:ascii="Arial" w:hAnsi="Arial" w:cs="Arial"/>
        </w:rPr>
      </w:pPr>
      <w:r>
        <w:rPr>
          <w:rFonts w:ascii="Arial" w:hAnsi="Arial"/>
        </w:rPr>
        <w:t>UNE EN 10088-3:2015</w:t>
      </w:r>
      <w:r>
        <w:rPr>
          <w:rFonts w:ascii="Arial" w:hAnsi="Arial"/>
        </w:rPr>
        <w:tab/>
        <w:t>Stainless steels. Part 3: Technical delivery conditions for semi-finished products, bars, rods, wire, sections and bright products of corrosion resisting steels for general purposes.</w:t>
      </w:r>
    </w:p>
    <w:p w:rsidR="004836CD" w:rsidRPr="00937C8B" w:rsidRDefault="004836CD" w:rsidP="00D27646">
      <w:pPr>
        <w:keepNext/>
        <w:spacing w:before="120" w:line="312" w:lineRule="auto"/>
        <w:jc w:val="both"/>
        <w:rPr>
          <w:rFonts w:ascii="Arial" w:hAnsi="Arial" w:cs="Arial"/>
        </w:rPr>
      </w:pPr>
      <w:r>
        <w:rPr>
          <w:rFonts w:ascii="Arial" w:hAnsi="Arial"/>
        </w:rPr>
        <w:t>Eight.</w:t>
      </w:r>
      <w:r>
        <w:rPr>
          <w:rFonts w:ascii="Arial" w:hAnsi="Arial"/>
        </w:rPr>
        <w:tab/>
        <w:t>In basic document DB-SE-M “Structural Safety. Wood”, the legislative references indicated are updated as follows:</w:t>
      </w:r>
    </w:p>
    <w:p w:rsidR="004836CD" w:rsidRPr="00937C8B" w:rsidRDefault="004836CD" w:rsidP="0058501F">
      <w:pPr>
        <w:spacing w:before="120" w:line="312" w:lineRule="auto"/>
        <w:jc w:val="both"/>
        <w:rPr>
          <w:rFonts w:ascii="Arial" w:hAnsi="Arial" w:cs="Arial"/>
        </w:rPr>
      </w:pPr>
      <w:r>
        <w:rPr>
          <w:rFonts w:ascii="Arial" w:hAnsi="Arial"/>
        </w:rPr>
        <w:t>- In Subsection 2.2.1.2, point 3(a), the reference “UNE EN 14374” is replaced by “UNE-EN 14374:2005”.</w:t>
      </w:r>
    </w:p>
    <w:p w:rsidR="004836CD" w:rsidRPr="00937C8B" w:rsidRDefault="004836CD" w:rsidP="0058501F">
      <w:pPr>
        <w:spacing w:before="120" w:line="312" w:lineRule="auto"/>
        <w:jc w:val="both"/>
        <w:rPr>
          <w:rFonts w:ascii="Arial" w:hAnsi="Arial" w:cs="Arial"/>
        </w:rPr>
      </w:pPr>
      <w:r>
        <w:rPr>
          <w:rFonts w:ascii="Arial" w:hAnsi="Arial"/>
        </w:rPr>
        <w:t>- In Subsection 2.2.3, Table 2.4 , the reference “UNE EN 636” is replaced by “UNE-EN 636:2012+A1:2015”, the reference “UNE-EN 300” is replaced by “UNE-EN 300:2007”, the reference “UNE-EN 312” is replaced by “UNE-EN 312:2010”, the reference “UNE EN 622-2” is replaced by “UNE-EN 622-2:2004”, the reference “UNE EN 622-3” is replaced by “UNE-EN 622-3:2005”, the reference “UNE EN 622-5” is replaced by “UNE-EN 622-5:2010”, the reference “UNE-EN 14279” is replaced by “UNE-EN 14279:2007+A1:2009”, the reference “UNE-EN 14081-1” is replaced by “UNE-EN 14081-1:2016”, the reference “UNE-EN 14080” is replaced by “UNE-EN 14080:2013” and the reference “UNE-EN 14374” is replaced by “UNE-EN 14374:2005”.</w:t>
      </w:r>
    </w:p>
    <w:p w:rsidR="004836CD" w:rsidRPr="00937C8B" w:rsidRDefault="004836CD" w:rsidP="0058501F">
      <w:pPr>
        <w:spacing w:before="120" w:line="312" w:lineRule="auto"/>
        <w:jc w:val="both"/>
        <w:rPr>
          <w:rFonts w:ascii="Arial" w:hAnsi="Arial" w:cs="Arial"/>
        </w:rPr>
      </w:pPr>
      <w:r>
        <w:rPr>
          <w:rFonts w:ascii="Arial" w:hAnsi="Arial"/>
        </w:rPr>
        <w:t>-</w:t>
      </w:r>
      <w:r>
        <w:rPr>
          <w:rFonts w:ascii="Arial" w:hAnsi="Arial"/>
        </w:rPr>
        <w:tab/>
        <w:t>In Subsection 3.2.1.3, Table 3.1, the reference “UNE EN 351-1” is replaced by “UNE-EN 351-1:2008” and the reference “UNE-EN 350-2” is replaced by “UNE-EN 350:2016”.</w:t>
      </w:r>
    </w:p>
    <w:p w:rsidR="004836CD" w:rsidRPr="00937C8B" w:rsidRDefault="004836CD" w:rsidP="0058501F">
      <w:pPr>
        <w:spacing w:before="120" w:line="312" w:lineRule="auto"/>
        <w:jc w:val="both"/>
        <w:rPr>
          <w:rFonts w:ascii="Arial" w:hAnsi="Arial" w:cs="Arial"/>
        </w:rPr>
      </w:pPr>
      <w:r>
        <w:rPr>
          <w:rFonts w:ascii="Arial" w:hAnsi="Arial"/>
        </w:rPr>
        <w:t>- In Subsection 3.2.3, point 5, the reference “UNE-EN 350” is replaced by “UNE-EN 350:2016”.</w:t>
      </w:r>
    </w:p>
    <w:p w:rsidR="004836CD" w:rsidRPr="00937C8B" w:rsidRDefault="004836CD" w:rsidP="0058501F">
      <w:pPr>
        <w:spacing w:before="120" w:line="312" w:lineRule="auto"/>
        <w:jc w:val="both"/>
        <w:rPr>
          <w:rFonts w:ascii="Arial" w:hAnsi="Arial" w:cs="Arial"/>
        </w:rPr>
      </w:pPr>
      <w:r>
        <w:rPr>
          <w:rFonts w:ascii="Arial" w:hAnsi="Arial"/>
        </w:rPr>
        <w:t>- In Subsection 4.2.1, point 3, the reference “UNE-ENV 387” is replaced by “UNE-EN 14080:2013”.</w:t>
      </w:r>
    </w:p>
    <w:p w:rsidR="004836CD" w:rsidRPr="00937C8B" w:rsidRDefault="004836CD" w:rsidP="0058501F">
      <w:pPr>
        <w:spacing w:before="120" w:line="312" w:lineRule="auto"/>
        <w:jc w:val="both"/>
        <w:rPr>
          <w:rFonts w:ascii="Arial" w:hAnsi="Arial" w:cs="Arial"/>
        </w:rPr>
      </w:pPr>
      <w:r>
        <w:rPr>
          <w:rFonts w:ascii="Arial" w:hAnsi="Arial"/>
        </w:rPr>
        <w:t>- In Subsection 4.5.2, point 2, the reference ‘UNE EN 301’ is replaced by ‘UNE EN 301:2018’.</w:t>
      </w:r>
    </w:p>
    <w:p w:rsidR="004836CD" w:rsidRPr="00937C8B" w:rsidRDefault="004836CD" w:rsidP="0058501F">
      <w:pPr>
        <w:spacing w:before="120" w:line="312" w:lineRule="auto"/>
        <w:jc w:val="both"/>
        <w:rPr>
          <w:rFonts w:ascii="Arial" w:hAnsi="Arial" w:cs="Arial"/>
        </w:rPr>
      </w:pPr>
      <w:r>
        <w:rPr>
          <w:rFonts w:ascii="Arial" w:hAnsi="Arial"/>
        </w:rPr>
        <w:t>- In Subsection 4.5.3, point 1, the reference “UNE-EN 301” is replaced by “UNE-EN 301:2018”.</w:t>
      </w:r>
    </w:p>
    <w:p w:rsidR="004836CD" w:rsidRPr="00937C8B" w:rsidRDefault="004836CD" w:rsidP="0058501F">
      <w:pPr>
        <w:spacing w:before="120" w:line="312" w:lineRule="auto"/>
        <w:jc w:val="both"/>
        <w:rPr>
          <w:rFonts w:ascii="Arial" w:hAnsi="Arial" w:cs="Arial"/>
        </w:rPr>
      </w:pPr>
      <w:r>
        <w:rPr>
          <w:rFonts w:ascii="Arial" w:hAnsi="Arial"/>
        </w:rPr>
        <w:t>- In Subsection 6.1.8, point 2, the reference “EN 13986” is replaced by “UNE-EN 13986:2006+A1:2015” and the reference “EN 14374” is replaced by “UNE-EN 14374:2005”.</w:t>
      </w:r>
    </w:p>
    <w:p w:rsidR="004836CD" w:rsidRPr="00937C8B" w:rsidRDefault="004836CD" w:rsidP="0058501F">
      <w:pPr>
        <w:spacing w:before="120" w:line="312" w:lineRule="auto"/>
        <w:jc w:val="both"/>
        <w:rPr>
          <w:rFonts w:ascii="Arial" w:hAnsi="Arial" w:cs="Arial"/>
        </w:rPr>
      </w:pPr>
      <w:r>
        <w:rPr>
          <w:rFonts w:ascii="Arial" w:hAnsi="Arial"/>
        </w:rPr>
        <w:t>- In Subsection 7.1, Table 7.1, the reference “UNE EN 636” is replaced by “UNE-EN 636:2012+A1:2015”, the reference “UNE-EN 300” is replaced by “UNE-EN 300:2007”, the reference “UNE-EN 312” is replaced by “UNE-EN 312:2010”, the reference “UNE EN 622-2” is replaced by “UNE-EN 622-2:2004”, the reference “UNE EN 622-3” is replaced by “UNE-EN 622-3:2005”, the reference “UNE EN 622-5” is replaced by “UNE-EN 622-5:2010” and the reference “UNE EN 622-4” is replaced by “UNE-EN 622-4:2010”.</w:t>
      </w:r>
    </w:p>
    <w:p w:rsidR="004836CD" w:rsidRPr="00937C8B" w:rsidRDefault="004836CD" w:rsidP="0058501F">
      <w:pPr>
        <w:spacing w:before="120" w:line="312" w:lineRule="auto"/>
        <w:jc w:val="both"/>
        <w:rPr>
          <w:rFonts w:ascii="Arial" w:hAnsi="Arial" w:cs="Arial"/>
        </w:rPr>
      </w:pPr>
      <w:r>
        <w:rPr>
          <w:rFonts w:ascii="Arial" w:hAnsi="Arial"/>
        </w:rPr>
        <w:t>-</w:t>
      </w:r>
      <w:r>
        <w:rPr>
          <w:rFonts w:ascii="Arial" w:hAnsi="Arial"/>
        </w:rPr>
        <w:tab/>
        <w:t>In Subsection 7.2, point 1, the reference “UNE EN 26891” is replaced by “UNE-EN 26891:1992”.</w:t>
      </w:r>
    </w:p>
    <w:p w:rsidR="004836CD" w:rsidRPr="00937C8B" w:rsidRDefault="004836CD" w:rsidP="0058501F">
      <w:pPr>
        <w:spacing w:before="120" w:line="312" w:lineRule="auto"/>
        <w:jc w:val="both"/>
        <w:rPr>
          <w:rFonts w:ascii="Arial" w:hAnsi="Arial" w:cs="Arial"/>
        </w:rPr>
      </w:pPr>
      <w:r>
        <w:rPr>
          <w:rFonts w:ascii="Arial" w:hAnsi="Arial"/>
        </w:rPr>
        <w:lastRenderedPageBreak/>
        <w:t>- In Subsection 7.2, point 2, the reference ‘UNE EN 13271’ is replaced by ‘UNE-EN 13271:2002’.</w:t>
      </w:r>
    </w:p>
    <w:p w:rsidR="004836CD" w:rsidRPr="00937C8B" w:rsidRDefault="004836CD" w:rsidP="0058501F">
      <w:pPr>
        <w:spacing w:before="120" w:line="312" w:lineRule="auto"/>
        <w:jc w:val="both"/>
        <w:rPr>
          <w:rFonts w:ascii="Arial" w:hAnsi="Arial" w:cs="Arial"/>
        </w:rPr>
      </w:pPr>
      <w:r>
        <w:rPr>
          <w:rFonts w:ascii="Arial" w:hAnsi="Arial"/>
        </w:rPr>
        <w:t>-</w:t>
      </w:r>
      <w:r>
        <w:rPr>
          <w:rFonts w:ascii="Arial" w:hAnsi="Arial"/>
        </w:rPr>
        <w:tab/>
        <w:t>In Subsection 7.2, Table 7.2, the reference “UNE EN 26891” is replaced by “UNE-EN 26891:1992” and the reference “UNE EN 912” is replaced by “UNE-EN 912:2011”.</w:t>
      </w:r>
    </w:p>
    <w:p w:rsidR="004836CD" w:rsidRPr="00937C8B" w:rsidRDefault="004836CD" w:rsidP="0058501F">
      <w:pPr>
        <w:spacing w:before="120" w:line="312" w:lineRule="auto"/>
        <w:jc w:val="both"/>
        <w:rPr>
          <w:rFonts w:ascii="Arial" w:hAnsi="Arial" w:cs="Arial"/>
        </w:rPr>
      </w:pPr>
      <w:r>
        <w:rPr>
          <w:rFonts w:ascii="Arial" w:hAnsi="Arial"/>
        </w:rPr>
        <w:t>- In Subsection 8.2.1, point 1, the reference “UNE EN 1380” is replaced by “UNE-EN 1380:2009”, the reference “UNE EN 1381” is replaced by “UNE-EN 1381:2016”, the reference “UNE EN 26891” is replaced by “UNE-EN 26891:1992” and the reference “UNE EN 28970” is replaced by “UNE-EN ISO 8970:2010”.</w:t>
      </w:r>
    </w:p>
    <w:p w:rsidR="004836CD" w:rsidRPr="00937C8B" w:rsidRDefault="004836CD" w:rsidP="0058501F">
      <w:pPr>
        <w:spacing w:before="120" w:line="312" w:lineRule="auto"/>
        <w:jc w:val="both"/>
        <w:rPr>
          <w:rFonts w:ascii="Arial" w:hAnsi="Arial" w:cs="Arial"/>
        </w:rPr>
      </w:pPr>
      <w:r>
        <w:rPr>
          <w:rFonts w:ascii="Arial" w:hAnsi="Arial"/>
        </w:rPr>
        <w:t>-</w:t>
      </w:r>
      <w:r>
        <w:rPr>
          <w:rFonts w:ascii="Arial" w:hAnsi="Arial"/>
        </w:rPr>
        <w:tab/>
        <w:t>In Subsection 8.3.1.1, point 5, the reference “EN 383” is replaced by “UNE-EN 383:2007” and the reference “UNE EN 14358” is replaced by “UNE-EN 14358:2016”.</w:t>
      </w:r>
    </w:p>
    <w:p w:rsidR="004836CD" w:rsidRPr="00937C8B" w:rsidRDefault="004836CD" w:rsidP="0058501F">
      <w:pPr>
        <w:spacing w:before="120" w:line="312" w:lineRule="auto"/>
        <w:jc w:val="both"/>
        <w:rPr>
          <w:rFonts w:ascii="Arial" w:hAnsi="Arial" w:cs="Arial"/>
        </w:rPr>
      </w:pPr>
      <w:r>
        <w:rPr>
          <w:rFonts w:ascii="Arial" w:hAnsi="Arial"/>
        </w:rPr>
        <w:t>-</w:t>
      </w:r>
      <w:r>
        <w:rPr>
          <w:rFonts w:ascii="Arial" w:hAnsi="Arial"/>
        </w:rPr>
        <w:tab/>
        <w:t>In Subsection 8.3.1.1, point 6, the reference “UNE EN 409” is replaced by “UNE-EN 409:2009” and the reference “UNE EN 14358” is replaced by “UNE-EN 14358:2016”.</w:t>
      </w:r>
    </w:p>
    <w:p w:rsidR="004836CD" w:rsidRPr="00937C8B" w:rsidRDefault="004836CD" w:rsidP="0058501F">
      <w:pPr>
        <w:spacing w:before="120" w:line="312" w:lineRule="auto"/>
        <w:jc w:val="both"/>
        <w:rPr>
          <w:rFonts w:ascii="Arial" w:hAnsi="Arial" w:cs="Arial"/>
        </w:rPr>
      </w:pPr>
      <w:r>
        <w:rPr>
          <w:rFonts w:ascii="Arial" w:hAnsi="Arial"/>
        </w:rPr>
        <w:t>- In Subsection 8.3.1.2, point 7, the reference “UNE ENV-1995” is replaced by "UNE-EN 1995-1-1:2016".</w:t>
      </w:r>
    </w:p>
    <w:p w:rsidR="004836CD" w:rsidRPr="00937C8B" w:rsidRDefault="004836CD" w:rsidP="0058501F">
      <w:pPr>
        <w:spacing w:before="120" w:line="312" w:lineRule="auto"/>
        <w:jc w:val="both"/>
        <w:rPr>
          <w:rFonts w:ascii="Arial" w:hAnsi="Arial" w:cs="Arial"/>
        </w:rPr>
      </w:pPr>
      <w:r>
        <w:rPr>
          <w:rFonts w:ascii="Arial" w:hAnsi="Arial"/>
        </w:rPr>
        <w:t>- In Subsection 8.3.2.1.2, point 4(b), the reference “UNE EN 14545” is replaced by “UNE-EN 14545:2009”.</w:t>
      </w:r>
    </w:p>
    <w:p w:rsidR="004836CD" w:rsidRPr="00937C8B" w:rsidRDefault="004836CD" w:rsidP="0058501F">
      <w:pPr>
        <w:spacing w:before="120" w:line="312" w:lineRule="auto"/>
        <w:jc w:val="both"/>
        <w:rPr>
          <w:rFonts w:ascii="Arial" w:hAnsi="Arial" w:cs="Arial"/>
        </w:rPr>
      </w:pPr>
      <w:r>
        <w:rPr>
          <w:rFonts w:ascii="Arial" w:hAnsi="Arial"/>
        </w:rPr>
        <w:t>- In Subsection 8.3.2.1.3, point 1(c), the reference “UNE EN 622-2” is replaced by “UNE-EN 622-2-2004”.</w:t>
      </w:r>
    </w:p>
    <w:p w:rsidR="004836CD" w:rsidRPr="00937C8B" w:rsidRDefault="004836CD" w:rsidP="0058501F">
      <w:pPr>
        <w:spacing w:before="120" w:line="312" w:lineRule="auto"/>
        <w:jc w:val="both"/>
        <w:rPr>
          <w:rFonts w:ascii="Arial" w:hAnsi="Arial" w:cs="Arial"/>
        </w:rPr>
      </w:pPr>
      <w:r>
        <w:rPr>
          <w:rFonts w:ascii="Arial" w:hAnsi="Arial"/>
        </w:rPr>
        <w:t>- In Subsection 8.3.2.2, point 3(a)(i), the reference “UNE EN 14545” is replaced by “UNE-EN 14545:2009”.</w:t>
      </w:r>
    </w:p>
    <w:p w:rsidR="004836CD" w:rsidRPr="00937C8B" w:rsidRDefault="004836CD" w:rsidP="0058501F">
      <w:pPr>
        <w:spacing w:before="120" w:line="312" w:lineRule="auto"/>
        <w:jc w:val="both"/>
        <w:rPr>
          <w:rFonts w:ascii="Arial" w:hAnsi="Arial" w:cs="Arial"/>
        </w:rPr>
      </w:pPr>
      <w:r>
        <w:rPr>
          <w:rFonts w:ascii="Arial" w:hAnsi="Arial"/>
        </w:rPr>
        <w:t>- In Subsection 8.3.2.2, point 3(b), the reference “UNE-EN 1382” is replaced by “UNE-EN 1382:2016”, the reference “UNE EN 1383” is replaced by “UNE-EN 1383:2016” and the reference “UNE EN 14358” is replaced by “UNE-EN 14358:2016”.</w:t>
      </w:r>
    </w:p>
    <w:p w:rsidR="004836CD" w:rsidRPr="00937C8B" w:rsidRDefault="004836CD" w:rsidP="0058501F">
      <w:pPr>
        <w:spacing w:before="120" w:line="312" w:lineRule="auto"/>
        <w:jc w:val="both"/>
        <w:rPr>
          <w:rFonts w:ascii="Arial" w:hAnsi="Arial" w:cs="Arial"/>
        </w:rPr>
      </w:pPr>
      <w:r>
        <w:rPr>
          <w:rFonts w:ascii="Arial" w:hAnsi="Arial"/>
        </w:rPr>
        <w:t>- In Subsection 8.3.2.3, point 1(a), the reference ‘(as defined in standard UNE EN 14547)’ is removed and, in point 1(b), the reference ‘for non-smooth-shaft nails’ is replaced by ‘for non-smooth-shaft nails (as defined in standard UNE-EN 14592:2009+A1:2012)’.</w:t>
      </w:r>
    </w:p>
    <w:p w:rsidR="004836CD" w:rsidRPr="00937C8B" w:rsidRDefault="004836CD" w:rsidP="0058501F">
      <w:pPr>
        <w:spacing w:before="120" w:line="312" w:lineRule="auto"/>
        <w:jc w:val="both"/>
        <w:rPr>
          <w:rFonts w:ascii="Arial" w:hAnsi="Arial" w:cs="Arial"/>
        </w:rPr>
      </w:pPr>
      <w:r>
        <w:rPr>
          <w:rFonts w:ascii="Arial" w:hAnsi="Arial"/>
        </w:rPr>
        <w:t>- In Subsection 8.3.6.2, points 6 and 8, the reference “EN 14592” is replaced by "UNE-EN 14592:2009+A1:2012”.</w:t>
      </w:r>
    </w:p>
    <w:p w:rsidR="004836CD" w:rsidRPr="00937C8B" w:rsidRDefault="004836CD" w:rsidP="0058501F">
      <w:pPr>
        <w:spacing w:before="120" w:line="312" w:lineRule="auto"/>
        <w:jc w:val="both"/>
        <w:rPr>
          <w:rFonts w:ascii="Arial" w:hAnsi="Arial" w:cs="Arial"/>
        </w:rPr>
      </w:pPr>
      <w:r>
        <w:rPr>
          <w:rFonts w:ascii="Arial" w:hAnsi="Arial"/>
        </w:rPr>
        <w:t>- In Subsection 8.4.1, point 1 and Table 8.7, the reference “UNE EN 912” is replaced by “UNE-EN 912:2011”.</w:t>
      </w:r>
    </w:p>
    <w:p w:rsidR="004836CD" w:rsidRPr="00937C8B" w:rsidRDefault="004836CD" w:rsidP="0058501F">
      <w:pPr>
        <w:spacing w:before="120" w:line="312" w:lineRule="auto"/>
        <w:jc w:val="both"/>
        <w:rPr>
          <w:rFonts w:ascii="Arial" w:hAnsi="Arial" w:cs="Arial"/>
        </w:rPr>
      </w:pPr>
      <w:r>
        <w:rPr>
          <w:rFonts w:ascii="Arial" w:hAnsi="Arial"/>
        </w:rPr>
        <w:t>- In Subsection 8.4.2, point 2, the reference “UNE EN 912” is replaced by “UNE EN 912:2011”.</w:t>
      </w:r>
    </w:p>
    <w:p w:rsidR="004836CD" w:rsidRPr="00937C8B" w:rsidRDefault="004836CD" w:rsidP="0058501F">
      <w:pPr>
        <w:spacing w:before="120" w:line="312" w:lineRule="auto"/>
        <w:jc w:val="both"/>
        <w:rPr>
          <w:rFonts w:ascii="Arial" w:hAnsi="Arial" w:cs="Arial"/>
        </w:rPr>
      </w:pPr>
      <w:r>
        <w:rPr>
          <w:rFonts w:ascii="Arial" w:hAnsi="Arial"/>
        </w:rPr>
        <w:t>- In Subsection 10.4.2.1, point 1, the reference “UNE EN 594” is replaced by “UNE-EN 594:2011”.</w:t>
      </w:r>
    </w:p>
    <w:p w:rsidR="004836CD" w:rsidRPr="00937C8B" w:rsidRDefault="004836CD" w:rsidP="0058501F">
      <w:pPr>
        <w:spacing w:before="120" w:line="312" w:lineRule="auto"/>
        <w:jc w:val="both"/>
        <w:rPr>
          <w:rFonts w:ascii="Arial" w:hAnsi="Arial" w:cs="Arial"/>
        </w:rPr>
      </w:pPr>
      <w:r>
        <w:rPr>
          <w:rFonts w:ascii="Arial" w:hAnsi="Arial"/>
        </w:rPr>
        <w:t>-</w:t>
      </w:r>
      <w:r>
        <w:rPr>
          <w:rFonts w:ascii="Arial" w:hAnsi="Arial"/>
        </w:rPr>
        <w:tab/>
        <w:t>In Subsection 12.2, point 1, the reference “UNE EN 336” is replaced by “UNE-EN 336:2014” and, in point 2, the reference “UNE EN 390” is replaced by “UNE-EN 14080:2013”.</w:t>
      </w:r>
    </w:p>
    <w:p w:rsidR="004836CD" w:rsidRPr="00937C8B" w:rsidRDefault="004836CD" w:rsidP="0058501F">
      <w:pPr>
        <w:spacing w:before="120" w:line="312" w:lineRule="auto"/>
        <w:jc w:val="both"/>
        <w:rPr>
          <w:rFonts w:ascii="Arial" w:hAnsi="Arial" w:cs="Arial"/>
        </w:rPr>
      </w:pPr>
      <w:r>
        <w:rPr>
          <w:rFonts w:ascii="Arial" w:hAnsi="Arial"/>
        </w:rPr>
        <w:lastRenderedPageBreak/>
        <w:t>- In Subsection 12.3, point 1, the reference “EN TC 124-1.3” is replaced by “UNE-EN 14250:2010”.</w:t>
      </w:r>
    </w:p>
    <w:p w:rsidR="004836CD" w:rsidRPr="00937C8B" w:rsidRDefault="004836CD" w:rsidP="0058501F">
      <w:pPr>
        <w:spacing w:before="120" w:line="312" w:lineRule="auto"/>
        <w:jc w:val="both"/>
        <w:rPr>
          <w:rFonts w:ascii="Arial" w:hAnsi="Arial" w:cs="Arial"/>
        </w:rPr>
      </w:pPr>
      <w:r>
        <w:rPr>
          <w:rFonts w:ascii="Arial" w:hAnsi="Arial"/>
        </w:rPr>
        <w:t>- In Subsection 13.1.1, point 1(b)(ii), the reference “UNE EN 386” is replaced by “UNE-EN 14080:2013”.</w:t>
      </w:r>
    </w:p>
    <w:p w:rsidR="004836CD" w:rsidRPr="00937C8B" w:rsidRDefault="004836CD" w:rsidP="0058501F">
      <w:pPr>
        <w:spacing w:before="120" w:line="312" w:lineRule="auto"/>
        <w:jc w:val="both"/>
        <w:rPr>
          <w:rFonts w:ascii="Arial" w:hAnsi="Arial" w:cs="Arial"/>
        </w:rPr>
      </w:pPr>
      <w:r>
        <w:rPr>
          <w:rFonts w:ascii="Arial" w:hAnsi="Arial"/>
        </w:rPr>
        <w:t>- In Subsection 13.1.2, point 1(ii) , the reference “UNE EN 336” is replaced by “UNE-EN 336:2014”, the reference “UNE-EN 13183-2” is replaced by “UNE-EN 13183-2:2002”, the reference “UNE EN 300” is replaced by “UNE-EN 300:2007”, the reference “UNE EN 312-1 ” is replaced by “UNE-EN 312:2010”, the reference “UNE EN 622-1” is replaced by “UNE-EN 622-1:2004”, the reference “UNE EN 315 ” is replaced by “UNE-EN 315:2001” and the reference “UNE EN 390” is replaced by “UNE-EN 14080:2013”.</w:t>
      </w:r>
    </w:p>
    <w:p w:rsidR="004836CD" w:rsidRPr="00937C8B" w:rsidRDefault="004836CD" w:rsidP="0058501F">
      <w:pPr>
        <w:spacing w:before="120" w:line="312" w:lineRule="auto"/>
        <w:jc w:val="both"/>
        <w:rPr>
          <w:rFonts w:ascii="Arial" w:hAnsi="Arial" w:cs="Arial"/>
        </w:rPr>
      </w:pPr>
      <w:r>
        <w:rPr>
          <w:rFonts w:ascii="Arial" w:hAnsi="Arial"/>
        </w:rPr>
        <w:t>- In Subsection C.1, point 5, the reference “UNE 56.544” is replaced by “UNE 56544:2011” and the reference “UNE EN 1912” is replaced by “UNE-EN 1912:2012”.</w:t>
      </w:r>
    </w:p>
    <w:p w:rsidR="004836CD" w:rsidRPr="00937C8B" w:rsidRDefault="004836CD" w:rsidP="0058501F">
      <w:pPr>
        <w:spacing w:before="120" w:line="312" w:lineRule="auto"/>
        <w:jc w:val="both"/>
        <w:rPr>
          <w:rFonts w:ascii="Arial" w:hAnsi="Arial" w:cs="Arial"/>
        </w:rPr>
      </w:pPr>
      <w:r>
        <w:rPr>
          <w:rFonts w:ascii="Arial" w:hAnsi="Arial"/>
        </w:rPr>
        <w:t>- In Subsection C.2, Table C.1, the reference “UNE 56.544” is replaced by “UNE 56544:2011” and the reference “UNE EN 14081-4” is replaced by “UNE-EN 14081-1:2016”.</w:t>
      </w:r>
    </w:p>
    <w:p w:rsidR="004836CD" w:rsidRPr="00937C8B" w:rsidRDefault="004836CD" w:rsidP="0058501F">
      <w:pPr>
        <w:spacing w:before="120" w:line="312" w:lineRule="auto"/>
        <w:jc w:val="both"/>
        <w:rPr>
          <w:rFonts w:ascii="Arial" w:hAnsi="Arial" w:cs="Arial"/>
        </w:rPr>
      </w:pPr>
      <w:r>
        <w:rPr>
          <w:rFonts w:ascii="Arial" w:hAnsi="Arial"/>
        </w:rPr>
        <w:t>- In Subsection C.3, Table C.2, the reference “UNE 56.544 Visual grading for structural sawn timber” is replaced by “UNE 56544:2011 Visual grading for structural sawn timber. Coniferous timber”.</w:t>
      </w:r>
    </w:p>
    <w:p w:rsidR="004836CD" w:rsidRPr="00937C8B" w:rsidRDefault="004836CD" w:rsidP="0058501F">
      <w:pPr>
        <w:spacing w:before="120" w:line="312" w:lineRule="auto"/>
        <w:jc w:val="both"/>
        <w:rPr>
          <w:rFonts w:ascii="Arial" w:hAnsi="Arial" w:cs="Arial"/>
        </w:rPr>
      </w:pPr>
      <w:r>
        <w:rPr>
          <w:rFonts w:ascii="Arial" w:hAnsi="Arial"/>
        </w:rPr>
        <w:t>- In Subsection D.2, point 1, the reference “UNE EN 408” is replaced by “UNE-EN 408:2011+A1:2012” and the reference “UNE EN 1194” is replaced by “UNE-EN 14080:2013”.</w:t>
      </w:r>
    </w:p>
    <w:p w:rsidR="004836CD" w:rsidRPr="00937C8B" w:rsidRDefault="004836CD" w:rsidP="0058501F">
      <w:pPr>
        <w:spacing w:before="120" w:line="312" w:lineRule="auto"/>
        <w:jc w:val="both"/>
        <w:rPr>
          <w:rFonts w:ascii="Arial" w:hAnsi="Arial" w:cs="Arial"/>
        </w:rPr>
      </w:pPr>
      <w:r>
        <w:rPr>
          <w:rFonts w:ascii="Arial" w:hAnsi="Arial"/>
        </w:rPr>
        <w:t>- In Subsection D.3, points 1 and 3, the reference “UNE EN 1194” is replaced by “UNE-EN 14080:2013”.</w:t>
      </w:r>
    </w:p>
    <w:p w:rsidR="004836CD" w:rsidRPr="00937C8B" w:rsidRDefault="004836CD" w:rsidP="0058501F">
      <w:pPr>
        <w:spacing w:before="120" w:line="312" w:lineRule="auto"/>
        <w:jc w:val="both"/>
        <w:rPr>
          <w:rFonts w:ascii="Arial" w:hAnsi="Arial" w:cs="Arial"/>
        </w:rPr>
      </w:pPr>
      <w:r>
        <w:rPr>
          <w:rFonts w:ascii="Arial" w:hAnsi="Arial"/>
        </w:rPr>
        <w:t>- In Subsection E.3, point 2, the reference “UNE EN 789” is replaced by “UNE-EN 789:2006” and point 3 is removed.</w:t>
      </w:r>
    </w:p>
    <w:p w:rsidR="004836CD" w:rsidRPr="00937C8B" w:rsidRDefault="004836CD" w:rsidP="0058501F">
      <w:pPr>
        <w:spacing w:before="120" w:line="312" w:lineRule="auto"/>
        <w:jc w:val="both"/>
        <w:rPr>
          <w:rFonts w:ascii="Arial" w:hAnsi="Arial" w:cs="Arial"/>
        </w:rPr>
      </w:pPr>
      <w:r>
        <w:rPr>
          <w:rFonts w:ascii="Arial" w:hAnsi="Arial"/>
        </w:rPr>
        <w:t>- In Subsection E.3.1.1, Table E.5, the reference “UNE EN 312-4” is replaced by “UNE-EN 312:2010, type P4”, in Table E.6, the reference “UNE EN 312-5” is replaced by “UNE-EN 312:2010, type P5”, in Table E.7, the reference “UNE EN 312-6” is replaced by “UNE-EN 312:2010, type P6” and, in Table E.8, the reference “UNE EN 312-7” is replaced by “UNE-EN 312:2010, type P7”.</w:t>
      </w:r>
    </w:p>
    <w:p w:rsidR="004836CD" w:rsidRPr="00937C8B" w:rsidRDefault="004836CD" w:rsidP="0058501F">
      <w:pPr>
        <w:spacing w:before="120" w:line="312" w:lineRule="auto"/>
        <w:jc w:val="both"/>
        <w:rPr>
          <w:rFonts w:ascii="Arial" w:hAnsi="Arial" w:cs="Arial"/>
        </w:rPr>
      </w:pPr>
      <w:r>
        <w:rPr>
          <w:rFonts w:ascii="Arial" w:hAnsi="Arial"/>
        </w:rPr>
        <w:t>- In Subsection E.3.2.1, Table E.9, the reference “UNE EN 622-2” is replaced by “UNE-EN 622-2:2004”, the reference “UNE EN 622-3” is replaced by “UNE-EN 622-3:2005” and, in Table E.10, the reference “UNE EN 622-5” is replaced by “UNE-EN 622-5:2010”.</w:t>
      </w:r>
    </w:p>
    <w:p w:rsidR="004836CD" w:rsidRPr="00937C8B" w:rsidRDefault="004836CD" w:rsidP="0058501F">
      <w:pPr>
        <w:spacing w:before="120" w:line="312" w:lineRule="auto"/>
        <w:jc w:val="both"/>
        <w:rPr>
          <w:rFonts w:ascii="Arial" w:hAnsi="Arial" w:cs="Arial"/>
        </w:rPr>
      </w:pPr>
      <w:r>
        <w:rPr>
          <w:rFonts w:ascii="Arial" w:hAnsi="Arial"/>
        </w:rPr>
        <w:t>- In Subsection E.3.3.1, point 1, the reference “UNE EN 789” is replaced by “UNE-EN 789:2006” and the reference “UNE EN 1058” is replaced by “UNE-EN 1058:2010”.</w:t>
      </w:r>
    </w:p>
    <w:p w:rsidR="004836CD" w:rsidRPr="00937C8B" w:rsidRDefault="004836CD" w:rsidP="0058501F">
      <w:pPr>
        <w:spacing w:before="120" w:line="312" w:lineRule="auto"/>
        <w:jc w:val="both"/>
        <w:rPr>
          <w:rFonts w:ascii="Arial" w:hAnsi="Arial" w:cs="Arial"/>
        </w:rPr>
      </w:pPr>
      <w:r>
        <w:rPr>
          <w:rFonts w:ascii="Arial" w:hAnsi="Arial"/>
        </w:rPr>
        <w:t>- In Subsection E.3.4.1, Tables E.11 and E.12, the reference “UNE EN 300” is replaced by “UNE-EN 300:2007”.</w:t>
      </w:r>
    </w:p>
    <w:p w:rsidR="004836CD" w:rsidRPr="00937C8B" w:rsidRDefault="004836CD" w:rsidP="00D27646">
      <w:pPr>
        <w:keepNext/>
        <w:spacing w:before="120" w:line="312" w:lineRule="auto"/>
        <w:jc w:val="both"/>
        <w:rPr>
          <w:rFonts w:ascii="Arial" w:hAnsi="Arial" w:cs="Arial"/>
        </w:rPr>
      </w:pPr>
      <w:r>
        <w:rPr>
          <w:rFonts w:ascii="Arial" w:hAnsi="Arial"/>
        </w:rPr>
        <w:lastRenderedPageBreak/>
        <w:t>- Annex I is replaced with the following:</w:t>
      </w:r>
    </w:p>
    <w:p w:rsidR="004836CD" w:rsidRPr="00937C8B" w:rsidRDefault="004836CD" w:rsidP="00D27646">
      <w:pPr>
        <w:keepNext/>
        <w:spacing w:before="120" w:line="312" w:lineRule="auto"/>
        <w:ind w:left="709"/>
        <w:jc w:val="both"/>
        <w:rPr>
          <w:rFonts w:ascii="Arial" w:hAnsi="Arial" w:cs="Arial"/>
        </w:rPr>
      </w:pPr>
      <w:r>
        <w:rPr>
          <w:rFonts w:ascii="Arial" w:hAnsi="Arial"/>
        </w:rPr>
        <w:t>‘Annex I. Reference standards</w:t>
      </w:r>
    </w:p>
    <w:p w:rsidR="004836CD" w:rsidRPr="00A77C79" w:rsidRDefault="004836CD" w:rsidP="0058501F">
      <w:pPr>
        <w:widowControl w:val="0"/>
        <w:spacing w:before="120" w:line="312" w:lineRule="auto"/>
        <w:ind w:left="709"/>
        <w:jc w:val="both"/>
        <w:rPr>
          <w:rFonts w:ascii="Arial" w:hAnsi="Arial" w:cs="Arial"/>
        </w:rPr>
      </w:pPr>
      <w:r>
        <w:rPr>
          <w:rFonts w:ascii="Arial" w:hAnsi="Arial"/>
        </w:rPr>
        <w:t>This annex provides the full references for the standards cited in the text of DB-SE-M. This annex designates these standards with an asterisk. In addition, for information purposes, it lists other standards related to application of DB-SE-M.</w:t>
      </w:r>
    </w:p>
    <w:p w:rsidR="004836CD" w:rsidRPr="00937C8B" w:rsidRDefault="004836CD" w:rsidP="0058501F">
      <w:pPr>
        <w:spacing w:before="120" w:line="312" w:lineRule="auto"/>
        <w:ind w:left="3828" w:hanging="3119"/>
        <w:jc w:val="both"/>
        <w:rPr>
          <w:rFonts w:ascii="Arial" w:hAnsi="Arial" w:cs="Arial"/>
        </w:rPr>
      </w:pPr>
      <w:r>
        <w:rPr>
          <w:rFonts w:ascii="Arial" w:hAnsi="Arial"/>
        </w:rPr>
        <w:t>*UNE 56544:2011</w:t>
      </w:r>
      <w:r>
        <w:rPr>
          <w:rFonts w:ascii="Arial" w:hAnsi="Arial"/>
        </w:rPr>
        <w:tab/>
        <w:t>Visual grading for structural sawn timber. Coniferous timber.</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300:2007</w:t>
      </w:r>
      <w:r>
        <w:rPr>
          <w:rFonts w:ascii="Arial" w:hAnsi="Arial"/>
        </w:rPr>
        <w:tab/>
        <w:t>Oriented Strand Boards (OSB) - Definitions, classification and specifications.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301:2018</w:t>
      </w:r>
      <w:r>
        <w:rPr>
          <w:rFonts w:ascii="Arial" w:hAnsi="Arial"/>
        </w:rPr>
        <w:tab/>
        <w:t>Adhesives, phenolic and aminoplastic, for load-bearing timber structures. Classification and performance requirements.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302-1:2013</w:t>
      </w:r>
      <w:r>
        <w:rPr>
          <w:rFonts w:ascii="Arial" w:hAnsi="Arial"/>
        </w:rPr>
        <w:tab/>
        <w:t>Adhesives for load-bearing timber structures. Test methods. Part 1: Determination of longitudinal tensile shear strength.</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302-2:2018</w:t>
      </w:r>
      <w:r>
        <w:rPr>
          <w:rFonts w:ascii="Arial" w:hAnsi="Arial"/>
        </w:rPr>
        <w:tab/>
        <w:t xml:space="preserve">Adhesives for load-bearing timber structures. Test methods. Part 2: Determination of resistance to delamination. </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302-3:2018</w:t>
      </w:r>
      <w:r>
        <w:rPr>
          <w:rFonts w:ascii="Arial" w:hAnsi="Arial"/>
        </w:rPr>
        <w:tab/>
        <w:t>Adhesives for load-bearing timber structures. Test methods. Part 3: Determination of the effect of acid damage to wood fibres by temperature and humidity cycling on the transverse tensile strength.</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302-4:2013</w:t>
      </w:r>
      <w:r>
        <w:rPr>
          <w:rFonts w:ascii="Arial" w:hAnsi="Arial"/>
        </w:rPr>
        <w:tab/>
        <w:t>Adhesives for load-bearing timber structures. Test methods. Part 4: Determination of the effects of wood shrinkage on the shear strength.</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309:2006</w:t>
      </w:r>
      <w:r>
        <w:rPr>
          <w:rFonts w:ascii="Arial" w:hAnsi="Arial"/>
        </w:rPr>
        <w:tab/>
        <w:t>Particleboards. Definition and classification.</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312:2010</w:t>
      </w:r>
      <w:r>
        <w:rPr>
          <w:rFonts w:ascii="Arial" w:hAnsi="Arial"/>
        </w:rPr>
        <w:tab/>
        <w:t>Particleboards. Specifications.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313-1:1996</w:t>
      </w:r>
      <w:r>
        <w:rPr>
          <w:rFonts w:ascii="Arial" w:hAnsi="Arial"/>
        </w:rPr>
        <w:tab/>
        <w:t>Plywood. Classification and terminology. Part 1: Classification.</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313-2:2000</w:t>
      </w:r>
      <w:r>
        <w:rPr>
          <w:rFonts w:ascii="Arial" w:hAnsi="Arial"/>
        </w:rPr>
        <w:tab/>
        <w:t>Plywood. Classification and terminology. Part 2: Terminology.</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315:2001</w:t>
      </w:r>
      <w:r>
        <w:rPr>
          <w:rFonts w:ascii="Arial" w:hAnsi="Arial"/>
        </w:rPr>
        <w:tab/>
        <w:t>Plywood. Tolerances for dimensions.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316:2009</w:t>
      </w:r>
      <w:r>
        <w:rPr>
          <w:rFonts w:ascii="Arial" w:hAnsi="Arial"/>
        </w:rPr>
        <w:tab/>
        <w:t>Wood fibre boards. Definition, classification and symbols.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335:2013</w:t>
      </w:r>
      <w:r>
        <w:rPr>
          <w:rFonts w:ascii="Arial" w:hAnsi="Arial"/>
        </w:rPr>
        <w:tab/>
        <w:t>Durability of wood and wood-based products. Use classes: definitions, application to solid wood and wood-based products.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336:2014</w:t>
      </w:r>
      <w:r>
        <w:rPr>
          <w:rFonts w:ascii="Arial" w:hAnsi="Arial"/>
        </w:rPr>
        <w:tab/>
        <w:t>Structural timber. Sizes, permitted deviations.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338:2016</w:t>
      </w:r>
      <w:r>
        <w:rPr>
          <w:rFonts w:ascii="Arial" w:hAnsi="Arial"/>
        </w:rPr>
        <w:tab/>
        <w:t>Structural timber. Strength classes.</w:t>
      </w:r>
    </w:p>
    <w:p w:rsidR="008C5A28" w:rsidRPr="00937C8B" w:rsidRDefault="008C5A28" w:rsidP="0058501F">
      <w:pPr>
        <w:spacing w:before="120" w:line="312" w:lineRule="auto"/>
        <w:ind w:left="3828" w:hanging="3119"/>
        <w:jc w:val="both"/>
        <w:rPr>
          <w:rFonts w:ascii="Arial" w:hAnsi="Arial" w:cs="Arial"/>
        </w:rPr>
      </w:pPr>
    </w:p>
    <w:p w:rsidR="004836CD" w:rsidRPr="00937C8B" w:rsidRDefault="004836CD" w:rsidP="0058501F">
      <w:pPr>
        <w:spacing w:before="120" w:line="312" w:lineRule="auto"/>
        <w:ind w:left="3828" w:hanging="3119"/>
        <w:jc w:val="both"/>
        <w:rPr>
          <w:rFonts w:ascii="Arial" w:hAnsi="Arial" w:cs="Arial"/>
        </w:rPr>
      </w:pPr>
      <w:r>
        <w:rPr>
          <w:rFonts w:ascii="Arial" w:hAnsi="Arial"/>
        </w:rPr>
        <w:t>*UNE EN 350:2016</w:t>
      </w:r>
      <w:r>
        <w:rPr>
          <w:rFonts w:ascii="Arial" w:hAnsi="Arial"/>
        </w:rPr>
        <w:tab/>
        <w:t>Durability of wood and wood-based products. Testing and classification of the durability to biological agents of wood and wood-based materials.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351-1:2008</w:t>
      </w:r>
      <w:r>
        <w:rPr>
          <w:rFonts w:ascii="Arial" w:hAnsi="Arial"/>
        </w:rPr>
        <w:tab/>
        <w:t>Durability of wood and wood-based products. Preservative-treated solid wood. Part 1: Classification of preservative penetration and retention. (+ ERRATUM 2008)</w:t>
      </w:r>
    </w:p>
    <w:p w:rsidR="004836CD" w:rsidRPr="00937C8B" w:rsidRDefault="004836CD" w:rsidP="0058501F">
      <w:pPr>
        <w:spacing w:before="120" w:line="312" w:lineRule="auto"/>
        <w:ind w:left="3828" w:hanging="3119"/>
        <w:jc w:val="both"/>
        <w:rPr>
          <w:rFonts w:ascii="Arial" w:hAnsi="Arial" w:cs="Arial"/>
        </w:rPr>
      </w:pPr>
      <w:r>
        <w:rPr>
          <w:rFonts w:ascii="Arial" w:hAnsi="Arial"/>
        </w:rPr>
        <w:t xml:space="preserve">UNE EN 351-2:2008 </w:t>
      </w:r>
      <w:r>
        <w:rPr>
          <w:rFonts w:ascii="Arial" w:hAnsi="Arial"/>
        </w:rPr>
        <w:tab/>
        <w:t>Durability of wood and wood-based products. Preservative-treated solid wood. Part 2: Guidance on sampling for the analysis of preservative-treated wood.</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383:2007</w:t>
      </w:r>
      <w:r>
        <w:rPr>
          <w:rFonts w:ascii="Arial" w:hAnsi="Arial"/>
        </w:rPr>
        <w:tab/>
        <w:t xml:space="preserve">Timber structures. Test methods. Determination of embedment strength and foundation values for dowel type fasteners. </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384:2016</w:t>
      </w:r>
      <w:r>
        <w:rPr>
          <w:rFonts w:ascii="Arial" w:hAnsi="Arial"/>
        </w:rPr>
        <w:tab/>
        <w:t>Structural timber. Determination of characteristic values of mechanical properties and density.</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408:2011+A1:2012</w:t>
      </w:r>
      <w:r>
        <w:rPr>
          <w:rFonts w:ascii="Arial" w:hAnsi="Arial"/>
        </w:rPr>
        <w:tab/>
        <w:t>Timber structures. Structural timber and glued laminated timber. Determination of some physical and mechanical properties.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409:2009</w:t>
      </w:r>
      <w:r>
        <w:rPr>
          <w:rFonts w:ascii="Arial" w:hAnsi="Arial"/>
        </w:rPr>
        <w:tab/>
        <w:t>Timber structures. Test methods. Determination of the yield moment of dowel type fasteners.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460:1995</w:t>
      </w:r>
      <w:r>
        <w:rPr>
          <w:rFonts w:ascii="Arial" w:hAnsi="Arial"/>
        </w:rPr>
        <w:tab/>
        <w:t>Durability of wood and wood-based products. Natural durability of solid wood. Guide to the durability requirements for wood to be used in hazard classes.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520:2005+A1:2010</w:t>
      </w:r>
      <w:r>
        <w:rPr>
          <w:rFonts w:ascii="Arial" w:hAnsi="Arial"/>
        </w:rPr>
        <w:tab/>
        <w:t>Gypsum plasterboards. Definitions, requirements and test methods.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594:2011</w:t>
      </w:r>
      <w:r>
        <w:rPr>
          <w:rFonts w:ascii="Arial" w:hAnsi="Arial"/>
        </w:rPr>
        <w:tab/>
        <w:t>Timber structures. Test methods. Racking strength and stiffness of timber frame wall panels.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595:1996</w:t>
      </w:r>
      <w:r>
        <w:rPr>
          <w:rFonts w:ascii="Arial" w:hAnsi="Arial"/>
        </w:rPr>
        <w:tab/>
        <w:t>Timber structures. Test methods. Test of trusses for the determination of strength and deformation behaviour.</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599-1:2010+A1:2014</w:t>
      </w:r>
      <w:r>
        <w:rPr>
          <w:rFonts w:ascii="Arial" w:hAnsi="Arial"/>
        </w:rPr>
        <w:tab/>
        <w:t>Durability of wood and wood-based products. Efficacy of preventive wood preservatives as determined by biological tests. Part 1: Specification according to use class.</w:t>
      </w:r>
    </w:p>
    <w:p w:rsidR="004836CD" w:rsidRPr="00937C8B" w:rsidRDefault="004836CD" w:rsidP="0058501F">
      <w:pPr>
        <w:spacing w:before="120" w:line="312" w:lineRule="auto"/>
        <w:ind w:left="3828" w:hanging="3119"/>
        <w:jc w:val="both"/>
        <w:rPr>
          <w:rFonts w:ascii="Arial" w:hAnsi="Arial" w:cs="Arial"/>
        </w:rPr>
      </w:pPr>
      <w:r>
        <w:rPr>
          <w:rFonts w:ascii="Arial" w:hAnsi="Arial"/>
        </w:rPr>
        <w:lastRenderedPageBreak/>
        <w:t>UNE EN 599-2:2017</w:t>
      </w:r>
      <w:r>
        <w:rPr>
          <w:rFonts w:ascii="Arial" w:hAnsi="Arial"/>
        </w:rPr>
        <w:tab/>
        <w:t>Durability of wood and wood-based products. Efficacy of preventive wood preservatives as determined by biological tests. Part 2: Labelling.</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622-1:2004</w:t>
      </w:r>
      <w:r>
        <w:rPr>
          <w:rFonts w:ascii="Arial" w:hAnsi="Arial"/>
        </w:rPr>
        <w:tab/>
        <w:t xml:space="preserve">Fibreboards. Specifications. Part 1: General requirements. </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622-2:2004</w:t>
      </w:r>
      <w:r>
        <w:rPr>
          <w:rFonts w:ascii="Arial" w:hAnsi="Arial"/>
        </w:rPr>
        <w:tab/>
        <w:t xml:space="preserve">Fibreboards. Specifications. Part 2: Requirements for hardboards. </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622-3:2005</w:t>
      </w:r>
      <w:r>
        <w:rPr>
          <w:rFonts w:ascii="Arial" w:hAnsi="Arial"/>
        </w:rPr>
        <w:tab/>
        <w:t>Fibreboards. Specifications. Part 3: Requirements for medium boards.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622-4:2010</w:t>
      </w:r>
      <w:r>
        <w:rPr>
          <w:rFonts w:ascii="Arial" w:hAnsi="Arial"/>
        </w:rPr>
        <w:tab/>
        <w:t>Fibreboards. Specifications. Part 4: Requirements for softboards.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622-5:2010</w:t>
      </w:r>
      <w:r>
        <w:rPr>
          <w:rFonts w:ascii="Arial" w:hAnsi="Arial"/>
        </w:rPr>
        <w:tab/>
        <w:t>Fibreboards. Specifications. Part 5: Requirements for dry process boards (MDF).</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636:2012+A1:2015</w:t>
      </w:r>
      <w:r>
        <w:rPr>
          <w:rFonts w:ascii="Arial" w:hAnsi="Arial"/>
        </w:rPr>
        <w:tab/>
        <w:t xml:space="preserve">Plywood. Specifications. </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789:2006</w:t>
      </w:r>
      <w:r>
        <w:rPr>
          <w:rFonts w:ascii="Arial" w:hAnsi="Arial"/>
        </w:rPr>
        <w:tab/>
        <w:t>Timber structures. Test methods. Determination of mechanical properties of wood based panels.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912:2011</w:t>
      </w:r>
      <w:r>
        <w:rPr>
          <w:rFonts w:ascii="Arial" w:hAnsi="Arial"/>
        </w:rPr>
        <w:tab/>
        <w:t>Timber fasteners. Specifications for connectors for timbers.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1058:2010</w:t>
      </w:r>
      <w:r>
        <w:rPr>
          <w:rFonts w:ascii="Arial" w:hAnsi="Arial"/>
        </w:rPr>
        <w:tab/>
        <w:t>Wood-based panels. Determination of characteristic 5-percentile values and characteristic mean values.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1380:2009</w:t>
      </w:r>
      <w:r>
        <w:rPr>
          <w:rFonts w:ascii="Arial" w:hAnsi="Arial"/>
        </w:rPr>
        <w:tab/>
        <w:t>Timber structures. Test methods. Load bearing nails, screws, dowels and bolts.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1381:2016</w:t>
      </w:r>
      <w:r>
        <w:rPr>
          <w:rFonts w:ascii="Arial" w:hAnsi="Arial"/>
        </w:rPr>
        <w:tab/>
        <w:t>Timber structures. Test methods. Load bearing stapled joints.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1382:2016</w:t>
      </w:r>
      <w:r>
        <w:rPr>
          <w:rFonts w:ascii="Arial" w:hAnsi="Arial"/>
        </w:rPr>
        <w:tab/>
        <w:t>Timber Structures. Test methods. Withdrawal capacity of timber fasteners.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1383:2016</w:t>
      </w:r>
      <w:r>
        <w:rPr>
          <w:rFonts w:ascii="Arial" w:hAnsi="Arial"/>
        </w:rPr>
        <w:tab/>
        <w:t>Timber structures. Test methods. Pull through resistance of timber fasteners.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1912:2012</w:t>
      </w:r>
      <w:r>
        <w:rPr>
          <w:rFonts w:ascii="Arial" w:hAnsi="Arial"/>
        </w:rPr>
        <w:tab/>
        <w:t>Structural Timber. Strength classes. Assignment of visual grades and species. (+AC: 2013)</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1995-1-1:2016</w:t>
      </w:r>
      <w:r>
        <w:rPr>
          <w:rFonts w:ascii="Arial" w:hAnsi="Arial"/>
        </w:rPr>
        <w:tab/>
        <w:t>Eurocode 5: Design of timber structures. Part 1-1: General. Common rules and rules for buildings.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10346:2015</w:t>
      </w:r>
      <w:r>
        <w:rPr>
          <w:rFonts w:ascii="Arial" w:hAnsi="Arial"/>
        </w:rPr>
        <w:tab/>
        <w:t>Continuously hot-dip coated steel flat products for cold forming. Technical delivery conditions.</w:t>
      </w:r>
    </w:p>
    <w:p w:rsidR="004836CD" w:rsidRPr="00937C8B" w:rsidRDefault="004836CD" w:rsidP="0058501F">
      <w:pPr>
        <w:spacing w:before="120" w:line="312" w:lineRule="auto"/>
        <w:ind w:left="3828" w:hanging="3119"/>
        <w:jc w:val="both"/>
        <w:rPr>
          <w:rFonts w:ascii="Arial" w:hAnsi="Arial" w:cs="Arial"/>
        </w:rPr>
      </w:pPr>
      <w:r>
        <w:rPr>
          <w:rFonts w:ascii="Arial" w:hAnsi="Arial"/>
        </w:rPr>
        <w:lastRenderedPageBreak/>
        <w:t>UNE EN 12369-1:2001</w:t>
      </w:r>
      <w:r>
        <w:rPr>
          <w:rFonts w:ascii="Arial" w:hAnsi="Arial"/>
        </w:rPr>
        <w:tab/>
        <w:t xml:space="preserve">Wood-based Panels. Characteristic Value for Structural Design. Part 1: OSB, particleboard and fibreboards. </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12369-2:2011</w:t>
      </w:r>
      <w:r>
        <w:rPr>
          <w:rFonts w:ascii="Arial" w:hAnsi="Arial"/>
        </w:rPr>
        <w:tab/>
        <w:t>Wood-based panels. Characteristic values for structural design. Part 2: Plywood. (+ERRATUM:2005)</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12436:2002</w:t>
      </w:r>
      <w:r>
        <w:rPr>
          <w:rFonts w:ascii="Arial" w:hAnsi="Arial"/>
        </w:rPr>
        <w:tab/>
        <w:t xml:space="preserve">Adhesives for load-bearing timber structures. Casein adhesives. Classification and performance requirements. </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13183-1:2002</w:t>
      </w:r>
      <w:r>
        <w:rPr>
          <w:rFonts w:ascii="Arial" w:hAnsi="Arial"/>
        </w:rPr>
        <w:tab/>
        <w:t xml:space="preserve"> Moisture content of a piece of sawn timber. Part 1: Determination by oven dry method. (+ERRATUM:2003+AC:2004)</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13183-2:2002</w:t>
      </w:r>
      <w:r>
        <w:rPr>
          <w:rFonts w:ascii="Arial" w:hAnsi="Arial"/>
        </w:rPr>
        <w:tab/>
        <w:t>Moisture content of a piece of sawn timber. Part 2: Estimation by electrical resistance method. (+ERRATUM:2003+AC:2004)</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13271:2002</w:t>
      </w:r>
      <w:r>
        <w:rPr>
          <w:rFonts w:ascii="Arial" w:hAnsi="Arial"/>
        </w:rPr>
        <w:tab/>
        <w:t>Timber fasteners. Characteristic load-carrying capacities and slip-moduli for connector joints. (+AC:2004)</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13986:2006+A1:2015</w:t>
      </w:r>
      <w:r>
        <w:rPr>
          <w:rFonts w:ascii="Arial" w:hAnsi="Arial"/>
        </w:rPr>
        <w:tab/>
        <w:t>Wood-based panels for use in construction. Characteristics, evaluation of conformity and marking.</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14080:2013</w:t>
      </w:r>
      <w:r>
        <w:rPr>
          <w:rFonts w:ascii="Arial" w:hAnsi="Arial"/>
        </w:rPr>
        <w:tab/>
        <w:t>Timber structures. Glued laminated timber and glued solid timber. Requirements.</w:t>
      </w:r>
    </w:p>
    <w:p w:rsidR="008C5A28" w:rsidRPr="00937C8B" w:rsidRDefault="008C5A28" w:rsidP="0058501F">
      <w:pPr>
        <w:spacing w:before="120" w:line="312" w:lineRule="auto"/>
        <w:ind w:left="3828" w:hanging="3119"/>
        <w:jc w:val="both"/>
        <w:rPr>
          <w:rFonts w:ascii="Arial" w:hAnsi="Arial" w:cs="Arial"/>
        </w:rPr>
      </w:pPr>
    </w:p>
    <w:p w:rsidR="004836CD" w:rsidRPr="00937C8B" w:rsidRDefault="004836CD" w:rsidP="0058501F">
      <w:pPr>
        <w:spacing w:before="120" w:line="312" w:lineRule="auto"/>
        <w:ind w:left="3828" w:hanging="3119"/>
        <w:jc w:val="both"/>
        <w:rPr>
          <w:rFonts w:ascii="Arial" w:hAnsi="Arial" w:cs="Arial"/>
        </w:rPr>
      </w:pPr>
      <w:r>
        <w:rPr>
          <w:rFonts w:ascii="Arial" w:hAnsi="Arial"/>
        </w:rPr>
        <w:t>*UNE EN 14081-1:2016</w:t>
      </w:r>
      <w:r>
        <w:rPr>
          <w:rFonts w:ascii="Arial" w:hAnsi="Arial"/>
        </w:rPr>
        <w:tab/>
        <w:t>Timber structures. Strength graded structural timber with rectangular cross section. Part 1: General requirements.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14250:2010</w:t>
      </w:r>
      <w:r>
        <w:rPr>
          <w:rFonts w:ascii="Arial" w:hAnsi="Arial"/>
        </w:rPr>
        <w:tab/>
        <w:t>Timber structures. Product requirements for prefabricated structural members assembled with punched metal plate fasteners.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14251:2004</w:t>
      </w:r>
      <w:r>
        <w:rPr>
          <w:rFonts w:ascii="Arial" w:hAnsi="Arial"/>
        </w:rPr>
        <w:tab/>
        <w:t>Structural round timber. Test methods.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14279:2007+A1:2009</w:t>
      </w:r>
      <w:r>
        <w:rPr>
          <w:rFonts w:ascii="Arial" w:hAnsi="Arial"/>
        </w:rPr>
        <w:tab/>
        <w:t>Laminated Veneer Lumber (LVL). Definitions, classification and specifications.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14358:2016</w:t>
      </w:r>
      <w:r>
        <w:rPr>
          <w:rFonts w:ascii="Arial" w:hAnsi="Arial"/>
        </w:rPr>
        <w:tab/>
        <w:t>Timber structures. Calculation and verification of characteristic values.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14374:2005</w:t>
      </w:r>
      <w:r>
        <w:rPr>
          <w:rFonts w:ascii="Arial" w:hAnsi="Arial"/>
        </w:rPr>
        <w:tab/>
        <w:t>Timber structures. Structural laminated veneer lumber. Requirements.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14545:2009</w:t>
      </w:r>
      <w:r>
        <w:rPr>
          <w:rFonts w:ascii="Arial" w:hAnsi="Arial"/>
        </w:rPr>
        <w:tab/>
        <w:t>Timber structures. Connectors. Requirements.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14592:2009+A1:2012</w:t>
      </w:r>
      <w:r>
        <w:rPr>
          <w:rFonts w:ascii="Arial" w:hAnsi="Arial"/>
        </w:rPr>
        <w:tab/>
        <w:t>Timber structures. Dowel-type fasteners. Requirements.</w:t>
      </w:r>
    </w:p>
    <w:p w:rsidR="004836CD" w:rsidRPr="00937C8B" w:rsidRDefault="004836CD" w:rsidP="0058501F">
      <w:pPr>
        <w:spacing w:before="120" w:line="312" w:lineRule="auto"/>
        <w:ind w:left="3828" w:hanging="3119"/>
        <w:jc w:val="both"/>
        <w:rPr>
          <w:rFonts w:ascii="Arial" w:hAnsi="Arial" w:cs="Arial"/>
        </w:rPr>
      </w:pPr>
      <w:r>
        <w:rPr>
          <w:rFonts w:ascii="Arial" w:hAnsi="Arial"/>
        </w:rPr>
        <w:lastRenderedPageBreak/>
        <w:t>*UNE EN 26891:1992</w:t>
      </w:r>
      <w:r>
        <w:rPr>
          <w:rFonts w:ascii="Arial" w:hAnsi="Arial"/>
        </w:rPr>
        <w:tab/>
        <w:t>Timber structures. Joints made with mechanical fasteners. General principles for the determination of strength and deformation characteristics.</w:t>
      </w:r>
    </w:p>
    <w:p w:rsidR="004836CD" w:rsidRPr="00937C8B" w:rsidRDefault="004836CD" w:rsidP="0058501F">
      <w:pPr>
        <w:spacing w:before="120" w:line="312" w:lineRule="auto"/>
        <w:ind w:left="3828" w:hanging="3119"/>
        <w:jc w:val="both"/>
        <w:rPr>
          <w:rFonts w:ascii="Arial" w:hAnsi="Arial" w:cs="Arial"/>
        </w:rPr>
      </w:pPr>
      <w:r>
        <w:rPr>
          <w:rFonts w:ascii="Arial" w:hAnsi="Arial"/>
        </w:rPr>
        <w:t>UNE EN ISO 2081:2018</w:t>
      </w:r>
      <w:r>
        <w:rPr>
          <w:rFonts w:ascii="Arial" w:hAnsi="Arial"/>
        </w:rPr>
        <w:tab/>
        <w:t>Metallic and other inorganic coatings. Electroplated coatings of zinc with supplementary treatments on iron or steel.</w:t>
      </w:r>
    </w:p>
    <w:p w:rsidR="004836CD" w:rsidRPr="00937C8B" w:rsidRDefault="004836CD" w:rsidP="0058501F">
      <w:pPr>
        <w:spacing w:before="120" w:line="312" w:lineRule="auto"/>
        <w:ind w:left="3828" w:hanging="3119"/>
        <w:jc w:val="both"/>
        <w:rPr>
          <w:rFonts w:ascii="Arial" w:hAnsi="Arial" w:cs="Arial"/>
        </w:rPr>
      </w:pPr>
      <w:r>
        <w:rPr>
          <w:rFonts w:ascii="Arial" w:hAnsi="Arial"/>
        </w:rPr>
        <w:t xml:space="preserve">*UNE EN ISO 8970:2010 </w:t>
      </w:r>
      <w:r>
        <w:rPr>
          <w:rFonts w:ascii="Arial" w:hAnsi="Arial"/>
        </w:rPr>
        <w:tab/>
        <w:t>Timber structures. Testing of joints made with mechanical fasteners. Requirements for wood density. (ISO 8970:2010).”</w:t>
      </w:r>
    </w:p>
    <w:p w:rsidR="004836CD" w:rsidRPr="00937C8B" w:rsidRDefault="004836CD" w:rsidP="00D27646">
      <w:pPr>
        <w:keepNext/>
        <w:spacing w:before="120" w:line="312" w:lineRule="auto"/>
        <w:jc w:val="both"/>
        <w:rPr>
          <w:rFonts w:ascii="Arial" w:hAnsi="Arial" w:cs="Arial"/>
        </w:rPr>
      </w:pPr>
      <w:r>
        <w:rPr>
          <w:rFonts w:ascii="Arial" w:hAnsi="Arial"/>
        </w:rPr>
        <w:t>Nine. In basic document DB-SI “Fire Safety”, the legislative references indicated are updated as follows:</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 xml:space="preserve">- In the Introduction, Part III General criteria of application, the paragraph: ‘When a regulatory provision is cited in this DB, reference is to be made to the version in force at the time of application. When a UNE, UNE-EN or UNE-EN ISO standard is cited, reference is to be made to the version indicated, even if a subsequent version exists, except for UNE standards corresponding to EN or EN ISO standards whose reference has been published in the Official Journal of the European Union within the framework of application of Council Directive 89/106/EEC on construction products, in which case the citation must be for the version of said reference’ is replaced with the following paragraphs: </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‘When a regulatory provision is cited in this DB, reference is to be made to the version in force at the time of application. When a UNE, UNE-EN or UNE-EN ISO standard is cited, reference is to be made to the version indicated, even if a subsequent version exists, except in cases of harmonised UNE EN standards that transpose EN standards whose references were published in the Official Journal of the European Union within the framework of application of Regulation (EU) No 305/2011 of the European Parliament and of the Council of 9 March 2011 laying down harmonised conditions for the marketing of construction products and repealing Council Directive 89/106/EEC, in which case the citation shall be for the last Commission Communication that includes said reference. In cases of standards on test methods referenced in the harmonised standards, the version included in the harmonised UNE EN standards listed above shall apply.</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The standards specified in this Basic Document may be replaced by others used by any other EU Member State or party to the Agreement on the European Economic Area or any country party to a customs Association Agreement with the European Union, as long as they are demonstrated to have equivalent technical specifications.’</w:t>
      </w:r>
    </w:p>
    <w:p w:rsidR="004836CD" w:rsidRPr="00937C8B" w:rsidRDefault="004836CD" w:rsidP="0058501F">
      <w:pPr>
        <w:spacing w:before="120" w:line="312" w:lineRule="auto"/>
        <w:jc w:val="both"/>
        <w:rPr>
          <w:rFonts w:ascii="Arial" w:hAnsi="Arial" w:cs="Arial"/>
        </w:rPr>
      </w:pPr>
      <w:r>
        <w:rPr>
          <w:rFonts w:ascii="Arial" w:hAnsi="Arial"/>
        </w:rPr>
        <w:t>- In Subsection V, the reference ‘Royal Decree 312/2005 of 18 March 2005’ is replaced by ‘Royal Decree 842/2013 of 31 October 2013’.</w:t>
      </w:r>
    </w:p>
    <w:p w:rsidR="004836CD" w:rsidRPr="00937C8B" w:rsidRDefault="004836CD" w:rsidP="0058501F">
      <w:pPr>
        <w:spacing w:before="120" w:line="312" w:lineRule="auto"/>
        <w:jc w:val="both"/>
        <w:rPr>
          <w:rFonts w:ascii="Arial" w:hAnsi="Arial" w:cs="Arial"/>
        </w:rPr>
      </w:pPr>
      <w:r>
        <w:rPr>
          <w:rFonts w:ascii="Arial" w:hAnsi="Arial"/>
        </w:rPr>
        <w:lastRenderedPageBreak/>
        <w:t>- In Subsection VI, the references ‘Royal Decree 338/2010 of 19 March 2010, Royal Decree 1715/2010 of 17 December 2010, Royal Decree 239/2013 of 5 April 2013 and Royal Decree 1027/2015 of 27 November 2015’ are added at the end of the first paragraph.</w:t>
      </w:r>
    </w:p>
    <w:p w:rsidR="004836CD" w:rsidRPr="00937C8B" w:rsidRDefault="004836CD" w:rsidP="0058501F">
      <w:pPr>
        <w:spacing w:before="120" w:line="312" w:lineRule="auto"/>
        <w:jc w:val="both"/>
        <w:rPr>
          <w:rFonts w:ascii="Arial" w:hAnsi="Arial" w:cs="Arial"/>
        </w:rPr>
      </w:pPr>
      <w:r>
        <w:rPr>
          <w:rFonts w:ascii="Arial" w:hAnsi="Arial"/>
        </w:rPr>
        <w:t>- In Subsection SI1-2, Table 2.1, Note (2), the reference ‘UNE EN 12101-3:2002’ is replaced by ‘UNE EN 12101-3:2016’.</w:t>
      </w:r>
    </w:p>
    <w:p w:rsidR="004836CD" w:rsidRPr="00937C8B" w:rsidRDefault="004836CD" w:rsidP="0058501F">
      <w:pPr>
        <w:spacing w:before="120" w:line="312" w:lineRule="auto"/>
        <w:jc w:val="both"/>
        <w:rPr>
          <w:rFonts w:ascii="Arial" w:hAnsi="Arial" w:cs="Arial"/>
        </w:rPr>
      </w:pPr>
      <w:r>
        <w:rPr>
          <w:rFonts w:ascii="Arial" w:hAnsi="Arial"/>
        </w:rPr>
        <w:t>- In Subsection SI1-4, point 3, the reference ‘class M2 compliant with UNE 23727:1990 “Reaction to fire test of building materials. Classification of building materials”’ is replaced by ‘level T2 compliant with standard UNE EN 15619:2014 “Rubber or plastic coated fabrics. Safety of temporary structures (tents). Specification for coated fabrics intended for tents and related structures” or C-s2,d0, as per UNE EN 13501-1:2007.’</w:t>
      </w:r>
    </w:p>
    <w:p w:rsidR="004836CD" w:rsidRPr="00937C8B" w:rsidRDefault="004836CD" w:rsidP="0058501F">
      <w:pPr>
        <w:spacing w:before="120" w:line="312" w:lineRule="auto"/>
        <w:jc w:val="both"/>
        <w:rPr>
          <w:rFonts w:ascii="Arial" w:hAnsi="Arial" w:cs="Arial"/>
        </w:rPr>
      </w:pPr>
      <w:r>
        <w:rPr>
          <w:rFonts w:ascii="Arial" w:hAnsi="Arial"/>
        </w:rPr>
        <w:t>- In Subsection SI1-4, point 4(a), the reference ‘UNE-EN 1021-1:2006’ is replaced by ‘UNE-EN 1021-1:2015’.</w:t>
      </w:r>
    </w:p>
    <w:p w:rsidR="004836CD" w:rsidRPr="00937C8B" w:rsidRDefault="004836CD" w:rsidP="0058501F">
      <w:pPr>
        <w:spacing w:before="120" w:line="312" w:lineRule="auto"/>
        <w:jc w:val="both"/>
        <w:rPr>
          <w:rFonts w:ascii="Arial" w:hAnsi="Arial" w:cs="Arial"/>
        </w:rPr>
      </w:pPr>
      <w:r>
        <w:rPr>
          <w:rFonts w:ascii="Arial" w:hAnsi="Arial"/>
        </w:rPr>
        <w:t>- In Subsection SI3-6, point 5, the reference in the last paragraph ‘UNE-EN 12635:2002+A1:2009’ is replaced by ‘UNE 85121:2018’.</w:t>
      </w:r>
    </w:p>
    <w:p w:rsidR="004836CD" w:rsidRPr="00937C8B" w:rsidRDefault="004836CD" w:rsidP="0058501F">
      <w:pPr>
        <w:spacing w:before="120" w:line="312" w:lineRule="auto"/>
        <w:jc w:val="both"/>
        <w:rPr>
          <w:rFonts w:ascii="Arial" w:hAnsi="Arial" w:cs="Arial"/>
        </w:rPr>
      </w:pPr>
      <w:r>
        <w:rPr>
          <w:rFonts w:ascii="Arial" w:hAnsi="Arial"/>
        </w:rPr>
        <w:t>- In Subsection SI3-8, point 2, the reference in the first paragraph ‘UNE 23585:2004’ is replaced by ‘UNE 23585:2017’.</w:t>
      </w:r>
    </w:p>
    <w:p w:rsidR="004836CD" w:rsidRPr="00937C8B" w:rsidRDefault="004836CD" w:rsidP="0058501F">
      <w:pPr>
        <w:spacing w:before="120" w:line="312" w:lineRule="auto"/>
        <w:jc w:val="both"/>
        <w:rPr>
          <w:rFonts w:ascii="Arial" w:hAnsi="Arial" w:cs="Arial"/>
        </w:rPr>
      </w:pPr>
      <w:r>
        <w:rPr>
          <w:rFonts w:ascii="Arial" w:hAnsi="Arial"/>
        </w:rPr>
        <w:t>- In Subsection SI3-8, point 2, the reference in the first paragraph “(of which the exclusion of mechanical or forced evacuation systems must not be taken into consideration, as expressed in the final paragraph of Subsection “0.3 Applications”)” is removed.</w:t>
      </w:r>
    </w:p>
    <w:p w:rsidR="004836CD" w:rsidRPr="00937C8B" w:rsidRDefault="004836CD" w:rsidP="0058501F">
      <w:pPr>
        <w:spacing w:before="120" w:line="312" w:lineRule="auto"/>
        <w:jc w:val="both"/>
        <w:rPr>
          <w:rFonts w:ascii="Arial" w:hAnsi="Arial" w:cs="Arial"/>
        </w:rPr>
      </w:pPr>
      <w:r>
        <w:rPr>
          <w:rFonts w:ascii="Arial" w:hAnsi="Arial"/>
        </w:rPr>
        <w:t>- In Subsection SI4-2, points 1 and 2 are replaced by the following: "1 Signs for manual fire protection systems must comply with the prevailing Regulations on Fire Protection Systems, approved by Royal Decree 513/2017 of 22 May 2017."</w:t>
      </w:r>
    </w:p>
    <w:p w:rsidR="004836CD" w:rsidRPr="00937C8B" w:rsidRDefault="004836CD" w:rsidP="0058501F">
      <w:pPr>
        <w:spacing w:before="120" w:line="312" w:lineRule="auto"/>
        <w:jc w:val="both"/>
        <w:rPr>
          <w:rFonts w:ascii="Arial" w:hAnsi="Arial" w:cs="Arial"/>
        </w:rPr>
      </w:pPr>
      <w:r>
        <w:rPr>
          <w:rFonts w:ascii="Arial" w:hAnsi="Arial"/>
        </w:rPr>
        <w:t>- In Subsection SI5-1.2, point 2, the reference “UNE-EN 124:1995” is replaced by “UNE-EN 124-1:2015”.</w:t>
      </w:r>
    </w:p>
    <w:p w:rsidR="004836CD" w:rsidRPr="00937C8B" w:rsidRDefault="004836CD" w:rsidP="0058501F">
      <w:pPr>
        <w:spacing w:before="120" w:line="312" w:lineRule="auto"/>
        <w:jc w:val="both"/>
        <w:rPr>
          <w:rFonts w:ascii="Arial" w:hAnsi="Arial" w:cs="Arial"/>
        </w:rPr>
      </w:pPr>
      <w:r>
        <w:rPr>
          <w:rFonts w:ascii="Arial" w:hAnsi="Arial"/>
        </w:rPr>
        <w:t>- In Subsection SI6-1, point 4, the reference "UNE-EN 1992-1-2:1996, UNE-EN 1993-1-2:1996, UNE-EN 1994-1-2:1996, UNE-EN 1995-1-2:1996" is replaced by "UNE-EN 1992-1-2:2011, UNE-EN 1993-1-2:2016, UNE-EN 1994-1-2:2016, UNE-EN 1995-1-2:2016".</w:t>
      </w:r>
    </w:p>
    <w:p w:rsidR="004836CD" w:rsidRPr="00937C8B" w:rsidRDefault="004836CD" w:rsidP="0058501F">
      <w:pPr>
        <w:spacing w:before="120" w:line="312" w:lineRule="auto"/>
        <w:jc w:val="both"/>
        <w:rPr>
          <w:rFonts w:ascii="Arial" w:hAnsi="Arial" w:cs="Arial"/>
        </w:rPr>
      </w:pPr>
      <w:r>
        <w:rPr>
          <w:rFonts w:ascii="Arial" w:hAnsi="Arial"/>
        </w:rPr>
        <w:t>- In Subsection SI6-1, point 6, the reference ‘Royal Decree 312/2005 of 18 March 2005’ is replaced by ‘Royal Decree 842/2013 of 31 October 2013’.</w:t>
      </w:r>
    </w:p>
    <w:p w:rsidR="004836CD" w:rsidRPr="00937C8B" w:rsidRDefault="004836CD" w:rsidP="0058501F">
      <w:pPr>
        <w:spacing w:before="120" w:line="312" w:lineRule="auto"/>
        <w:jc w:val="both"/>
        <w:rPr>
          <w:rFonts w:ascii="Arial" w:hAnsi="Arial" w:cs="Arial"/>
        </w:rPr>
      </w:pPr>
      <w:r>
        <w:rPr>
          <w:rFonts w:ascii="Arial" w:hAnsi="Arial"/>
        </w:rPr>
        <w:t xml:space="preserve">- In Subsection SI6-4, point 2 is drafted as follows: ‘The supporting structures of foundations formed by textile elements, such as awnings, shall be R 30, except where it is accredited that said element, in addition to being classified under level T2 in accordance with Standard UNE EN 15619:2014 or C-s2,d0, as per UNE EN 13501-1:2007, as established in Chapter 4 of Section 1 of this DB, has a </w:t>
      </w:r>
      <w:r>
        <w:rPr>
          <w:rFonts w:ascii="Arial" w:hAnsi="Arial"/>
        </w:rPr>
        <w:lastRenderedPageBreak/>
        <w:t>surface perforation on all of its layers of 20 cm</w:t>
      </w:r>
      <w:r>
        <w:rPr>
          <w:rFonts w:ascii="Arial" w:hAnsi="Arial"/>
          <w:vertAlign w:val="superscript"/>
        </w:rPr>
        <w:t>2</w:t>
      </w:r>
      <w:r>
        <w:rPr>
          <w:rFonts w:ascii="Arial" w:hAnsi="Arial"/>
        </w:rPr>
        <w:t xml:space="preserve"> or more according to the test defined in Standard UNE EN 14115:2002.’</w:t>
      </w:r>
    </w:p>
    <w:p w:rsidR="004836CD" w:rsidRPr="00937C8B" w:rsidRDefault="004836CD" w:rsidP="0058501F">
      <w:pPr>
        <w:spacing w:before="120" w:line="312" w:lineRule="auto"/>
        <w:jc w:val="both"/>
        <w:rPr>
          <w:rFonts w:ascii="Arial" w:hAnsi="Arial" w:cs="Arial"/>
        </w:rPr>
      </w:pPr>
      <w:r>
        <w:rPr>
          <w:rFonts w:ascii="Arial" w:hAnsi="Arial"/>
        </w:rPr>
        <w:t>- In Subsection SI6-6, point 1(c), the reference ‘Royal Decree 312/2005 of 18 March 2005’ is replaced by ‘Royal Decree 842/2013 of 31 October 2013’.</w:t>
      </w:r>
    </w:p>
    <w:p w:rsidR="004836CD" w:rsidRPr="00937C8B" w:rsidRDefault="004836CD" w:rsidP="0058501F">
      <w:pPr>
        <w:spacing w:before="120" w:line="312" w:lineRule="auto"/>
        <w:jc w:val="both"/>
        <w:rPr>
          <w:rFonts w:ascii="Arial" w:hAnsi="Arial" w:cs="Arial"/>
        </w:rPr>
      </w:pPr>
      <w:r>
        <w:rPr>
          <w:rFonts w:ascii="Arial" w:hAnsi="Arial"/>
        </w:rPr>
        <w:t>- In Annex SI A, under the definition Protected stairway, the reference in the first paragraph ‘DB-SU 1-4’ is replaced by ‘DB-SUA 1-4’.</w:t>
      </w:r>
    </w:p>
    <w:p w:rsidR="004836CD" w:rsidRPr="00937C8B" w:rsidRDefault="004836CD" w:rsidP="0058501F">
      <w:pPr>
        <w:spacing w:before="120" w:line="312" w:lineRule="auto"/>
        <w:jc w:val="both"/>
        <w:rPr>
          <w:rFonts w:ascii="Arial" w:hAnsi="Arial" w:cs="Arial"/>
        </w:rPr>
      </w:pPr>
      <w:r>
        <w:rPr>
          <w:rFonts w:ascii="Arial" w:hAnsi="Arial"/>
        </w:rPr>
        <w:t>- In Annex SI A, under the definition Reaction to fire, the reference “(DPC DI2)” is deleted.</w:t>
      </w:r>
    </w:p>
    <w:p w:rsidR="004836CD" w:rsidRPr="00937C8B" w:rsidRDefault="004836CD" w:rsidP="0058501F">
      <w:pPr>
        <w:spacing w:before="120" w:line="312" w:lineRule="auto"/>
        <w:jc w:val="both"/>
        <w:rPr>
          <w:rFonts w:ascii="Arial" w:hAnsi="Arial" w:cs="Arial"/>
        </w:rPr>
      </w:pPr>
      <w:r>
        <w:rPr>
          <w:rFonts w:ascii="Arial" w:hAnsi="Arial"/>
        </w:rPr>
        <w:t>- In Annex SI A, under the definition Evacuation route, the reference in the fourth paragraph “DB-SU 7” is replaced by “DB-SUA 7”.</w:t>
      </w:r>
    </w:p>
    <w:p w:rsidR="004836CD" w:rsidRPr="00937C8B" w:rsidRDefault="004836CD" w:rsidP="0058501F">
      <w:pPr>
        <w:spacing w:before="120" w:line="312" w:lineRule="auto"/>
        <w:jc w:val="both"/>
        <w:rPr>
          <w:rFonts w:ascii="Arial" w:hAnsi="Arial" w:cs="Arial"/>
        </w:rPr>
      </w:pPr>
      <w:r>
        <w:rPr>
          <w:rFonts w:ascii="Arial" w:hAnsi="Arial"/>
        </w:rPr>
        <w:t>- In Annex SI A, under the definition Fire resistance, the reference “(DPC DI2)” is deleted.</w:t>
      </w:r>
    </w:p>
    <w:p w:rsidR="004836CD" w:rsidRPr="00937C8B" w:rsidRDefault="004836CD" w:rsidP="0058501F">
      <w:pPr>
        <w:spacing w:before="120" w:line="312" w:lineRule="auto"/>
        <w:jc w:val="both"/>
        <w:rPr>
          <w:rFonts w:ascii="Arial" w:hAnsi="Arial" w:cs="Arial"/>
        </w:rPr>
      </w:pPr>
      <w:r>
        <w:rPr>
          <w:rFonts w:ascii="Arial" w:hAnsi="Arial"/>
        </w:rPr>
        <w:t>- In Annex SI A, under the definition Fire sector, the reference “(DPC DI2)” is deleted.</w:t>
      </w:r>
    </w:p>
    <w:p w:rsidR="004836CD" w:rsidRPr="00937C8B" w:rsidRDefault="004836CD" w:rsidP="0058501F">
      <w:pPr>
        <w:spacing w:before="120" w:line="312" w:lineRule="auto"/>
        <w:jc w:val="both"/>
        <w:rPr>
          <w:rFonts w:ascii="Arial" w:hAnsi="Arial" w:cs="Arial"/>
        </w:rPr>
      </w:pPr>
      <w:r>
        <w:rPr>
          <w:rFonts w:ascii="Arial" w:hAnsi="Arial"/>
        </w:rPr>
        <w:t>- In Annex SI A, under the definition Fire alarm system, the reference "UNE 23007-1:1996” is deleted and the reference "UNE EN 54-1:1996" is replaced by "UNE-EN 54-1:2011".</w:t>
      </w:r>
    </w:p>
    <w:p w:rsidR="004836CD" w:rsidRPr="00937C8B" w:rsidRDefault="004836CD" w:rsidP="0058501F">
      <w:pPr>
        <w:spacing w:before="120" w:line="312" w:lineRule="auto"/>
        <w:jc w:val="both"/>
        <w:rPr>
          <w:rFonts w:ascii="Arial" w:hAnsi="Arial" w:cs="Arial"/>
        </w:rPr>
      </w:pPr>
      <w:r>
        <w:rPr>
          <w:rFonts w:ascii="Arial" w:hAnsi="Arial"/>
        </w:rPr>
        <w:t>- In Annex SI A, under the definition Fire alarm system, the second paragraph is deleted.</w:t>
      </w:r>
    </w:p>
    <w:p w:rsidR="004836CD" w:rsidRPr="00937C8B" w:rsidRDefault="004836CD" w:rsidP="0058501F">
      <w:pPr>
        <w:spacing w:before="120" w:line="312" w:lineRule="auto"/>
        <w:jc w:val="both"/>
        <w:rPr>
          <w:rFonts w:ascii="Arial" w:hAnsi="Arial" w:cs="Arial"/>
        </w:rPr>
      </w:pPr>
      <w:r>
        <w:rPr>
          <w:rFonts w:ascii="Arial" w:hAnsi="Arial"/>
        </w:rPr>
        <w:t>- In Annex SI A, under the definition Fire detection system, the reference "UNE 23007-1:1996” is deleted and the reference "UNE EN 54-1:1996" is replaced by "UNE-EN 54-1:2011".</w:t>
      </w:r>
    </w:p>
    <w:p w:rsidR="004836CD" w:rsidRPr="00937C8B" w:rsidRDefault="004836CD" w:rsidP="0058501F">
      <w:pPr>
        <w:spacing w:before="120" w:line="312" w:lineRule="auto"/>
        <w:jc w:val="both"/>
        <w:rPr>
          <w:rFonts w:ascii="Arial" w:hAnsi="Arial" w:cs="Arial"/>
        </w:rPr>
      </w:pPr>
      <w:r>
        <w:rPr>
          <w:rFonts w:ascii="Arial" w:hAnsi="Arial"/>
        </w:rPr>
        <w:t>- In Annex SI A, under the definition Fire detection system, the second paragraph is deleted.</w:t>
      </w:r>
    </w:p>
    <w:p w:rsidR="004836CD" w:rsidRPr="00937C8B" w:rsidRDefault="004836CD" w:rsidP="0058501F">
      <w:pPr>
        <w:spacing w:before="120" w:line="312" w:lineRule="auto"/>
        <w:jc w:val="both"/>
        <w:rPr>
          <w:rFonts w:ascii="Arial" w:hAnsi="Arial" w:cs="Arial"/>
        </w:rPr>
      </w:pPr>
      <w:r>
        <w:rPr>
          <w:rFonts w:ascii="Arial" w:hAnsi="Arial"/>
        </w:rPr>
        <w:t>- In Annex SI A, under the definition Differential pressure system, the reference "UNE 23585:2004” is replaced by "UNE 23585:2017".</w:t>
      </w:r>
    </w:p>
    <w:p w:rsidR="004836CD" w:rsidRPr="00937C8B" w:rsidRDefault="004836CD" w:rsidP="0058501F">
      <w:pPr>
        <w:spacing w:before="120" w:line="312" w:lineRule="auto"/>
        <w:jc w:val="both"/>
        <w:rPr>
          <w:rFonts w:ascii="Arial" w:hAnsi="Arial" w:cs="Arial"/>
        </w:rPr>
      </w:pPr>
      <w:r>
        <w:rPr>
          <w:rFonts w:ascii="Arial" w:hAnsi="Arial"/>
        </w:rPr>
        <w:t>- In Annex B, Subsection B.1, point 2, the reference “UNE-EN 1363:2000” is replaced by “UNE-EN 1363-1:2015”.</w:t>
      </w:r>
    </w:p>
    <w:p w:rsidR="004836CD" w:rsidRPr="00937C8B" w:rsidRDefault="004836CD" w:rsidP="0058501F">
      <w:pPr>
        <w:spacing w:before="120" w:line="312" w:lineRule="auto"/>
        <w:jc w:val="both"/>
        <w:rPr>
          <w:rFonts w:ascii="Arial" w:hAnsi="Arial" w:cs="Arial"/>
        </w:rPr>
      </w:pPr>
      <w:r>
        <w:rPr>
          <w:rFonts w:ascii="Arial" w:hAnsi="Arial"/>
        </w:rPr>
        <w:t>- In Annex B, Subsection B.2, point 1, the reference ‘UNE-EN 1363:2000’ is replaced by ‘UNE-EN 1363-1:2015’.</w:t>
      </w:r>
    </w:p>
    <w:p w:rsidR="004836CD" w:rsidRPr="00937C8B" w:rsidRDefault="004836CD" w:rsidP="0058501F">
      <w:pPr>
        <w:spacing w:before="120" w:line="312" w:lineRule="auto"/>
        <w:jc w:val="both"/>
        <w:rPr>
          <w:rFonts w:ascii="Arial" w:hAnsi="Arial" w:cs="Arial"/>
        </w:rPr>
      </w:pPr>
      <w:r>
        <w:rPr>
          <w:rFonts w:ascii="Arial" w:hAnsi="Arial"/>
        </w:rPr>
        <w:t>- In Annex C, Subsection C.2.4, point 1, the reference “UNE ENV 13381-3:2004” is replaced by “UNE-EN 13381-3:2016”.</w:t>
      </w:r>
    </w:p>
    <w:p w:rsidR="004836CD" w:rsidRPr="00937C8B" w:rsidRDefault="004836CD" w:rsidP="0058501F">
      <w:pPr>
        <w:spacing w:before="120" w:line="312" w:lineRule="auto"/>
        <w:jc w:val="both"/>
        <w:rPr>
          <w:rFonts w:ascii="Arial" w:hAnsi="Arial" w:cs="Arial"/>
        </w:rPr>
      </w:pPr>
      <w:r>
        <w:rPr>
          <w:rFonts w:ascii="Arial" w:hAnsi="Arial"/>
        </w:rPr>
        <w:t>- In Annex E, Subsection E.4.1, point 1, the reference “UNE EN 912:2000” is replaced by “UNE-EN 912:2011”.</w:t>
      </w:r>
    </w:p>
    <w:p w:rsidR="004836CD" w:rsidRPr="00937C8B" w:rsidRDefault="004836CD" w:rsidP="0058501F">
      <w:pPr>
        <w:spacing w:before="120" w:line="312" w:lineRule="auto"/>
        <w:jc w:val="both"/>
        <w:rPr>
          <w:rFonts w:ascii="Arial" w:hAnsi="Arial" w:cs="Arial"/>
        </w:rPr>
      </w:pPr>
      <w:r>
        <w:rPr>
          <w:rFonts w:ascii="Arial" w:hAnsi="Arial"/>
        </w:rPr>
        <w:t>- In Annex E, Subsection E.6, point 2, the reference “UNE EN 301:1994” is replaced by "UNE-EN 301:2018" and the reference "UNE EN 314:1994" is replaced by "UNE-EN 314-1:2007 and UNE-EN 314-2:1994".</w:t>
      </w:r>
    </w:p>
    <w:p w:rsidR="004836CD" w:rsidRPr="00937C8B" w:rsidRDefault="004836CD" w:rsidP="00D27646">
      <w:pPr>
        <w:keepNext/>
        <w:spacing w:before="120" w:line="312" w:lineRule="auto"/>
        <w:jc w:val="both"/>
        <w:rPr>
          <w:rFonts w:ascii="Arial" w:hAnsi="Arial" w:cs="Arial"/>
        </w:rPr>
      </w:pPr>
      <w:r>
        <w:rPr>
          <w:rFonts w:ascii="Arial" w:hAnsi="Arial"/>
        </w:rPr>
        <w:t>- Annex SI G is replaced with the following:</w:t>
      </w:r>
    </w:p>
    <w:p w:rsidR="004836CD" w:rsidRPr="00937C8B" w:rsidRDefault="004836CD" w:rsidP="0058501F">
      <w:pPr>
        <w:spacing w:before="120" w:line="312" w:lineRule="auto"/>
        <w:ind w:left="567"/>
        <w:rPr>
          <w:rFonts w:ascii="Arial" w:hAnsi="Arial" w:cs="Arial"/>
        </w:rPr>
      </w:pPr>
      <w:r>
        <w:rPr>
          <w:rFonts w:ascii="Arial" w:hAnsi="Arial"/>
        </w:rPr>
        <w:t>“Annex SI G Standards related to the application of DB SI</w:t>
      </w:r>
    </w:p>
    <w:p w:rsidR="004836CD" w:rsidRPr="00937C8B" w:rsidRDefault="004836CD" w:rsidP="0058501F">
      <w:pPr>
        <w:spacing w:before="120" w:line="312" w:lineRule="auto"/>
        <w:ind w:left="567"/>
        <w:rPr>
          <w:rFonts w:ascii="Arial" w:hAnsi="Arial" w:cs="Arial"/>
        </w:rPr>
      </w:pPr>
      <w:r>
        <w:rPr>
          <w:rFonts w:ascii="Arial" w:hAnsi="Arial"/>
        </w:rPr>
        <w:lastRenderedPageBreak/>
        <w:t>1</w:t>
      </w:r>
      <w:r>
        <w:rPr>
          <w:rFonts w:ascii="Arial" w:hAnsi="Arial"/>
        </w:rPr>
        <w:tab/>
        <w:t>Reaction to fire</w:t>
      </w:r>
    </w:p>
    <w:p w:rsidR="004836CD" w:rsidRPr="00937C8B" w:rsidRDefault="004836CD" w:rsidP="0058501F">
      <w:pPr>
        <w:spacing w:before="120" w:line="312" w:lineRule="auto"/>
        <w:ind w:left="567"/>
        <w:rPr>
          <w:rFonts w:ascii="Arial" w:hAnsi="Arial" w:cs="Arial"/>
        </w:rPr>
      </w:pPr>
      <w:r>
        <w:rPr>
          <w:rFonts w:ascii="Arial" w:hAnsi="Arial"/>
        </w:rPr>
        <w:t>2</w:t>
      </w:r>
      <w:r>
        <w:rPr>
          <w:rFonts w:ascii="Arial" w:hAnsi="Arial"/>
        </w:rPr>
        <w:tab/>
        <w:t>Fire resistance and Eurocodes</w:t>
      </w:r>
    </w:p>
    <w:p w:rsidR="004836CD" w:rsidRPr="00937C8B" w:rsidRDefault="004836CD" w:rsidP="0058501F">
      <w:pPr>
        <w:spacing w:before="120" w:line="312" w:lineRule="auto"/>
        <w:ind w:left="567"/>
        <w:rPr>
          <w:rFonts w:ascii="Arial" w:hAnsi="Arial" w:cs="Arial"/>
        </w:rPr>
      </w:pPr>
      <w:r>
        <w:rPr>
          <w:rFonts w:ascii="Arial" w:hAnsi="Arial"/>
        </w:rPr>
        <w:t>3</w:t>
      </w:r>
      <w:r>
        <w:rPr>
          <w:rFonts w:ascii="Arial" w:hAnsi="Arial"/>
        </w:rPr>
        <w:tab/>
        <w:t>Smoke and heat control systems (Specifications)</w:t>
      </w:r>
    </w:p>
    <w:p w:rsidR="004836CD" w:rsidRPr="00937C8B" w:rsidRDefault="004836CD" w:rsidP="0058501F">
      <w:pPr>
        <w:spacing w:before="120" w:line="312" w:lineRule="auto"/>
        <w:ind w:left="567"/>
        <w:rPr>
          <w:rFonts w:ascii="Arial" w:hAnsi="Arial" w:cs="Arial"/>
        </w:rPr>
      </w:pPr>
      <w:r>
        <w:rPr>
          <w:rFonts w:ascii="Arial" w:hAnsi="Arial"/>
        </w:rPr>
        <w:t>4</w:t>
      </w:r>
      <w:r>
        <w:rPr>
          <w:rFonts w:ascii="Arial" w:hAnsi="Arial"/>
        </w:rPr>
        <w:tab/>
        <w:t>Hardware and opening devices for fire resistant doors</w:t>
      </w:r>
    </w:p>
    <w:p w:rsidR="004836CD" w:rsidRPr="00937C8B" w:rsidRDefault="004836CD" w:rsidP="0058501F">
      <w:pPr>
        <w:spacing w:before="120" w:line="312" w:lineRule="auto"/>
        <w:ind w:left="567"/>
        <w:rPr>
          <w:rFonts w:ascii="Arial" w:hAnsi="Arial" w:cs="Arial"/>
        </w:rPr>
      </w:pPr>
      <w:r>
        <w:rPr>
          <w:rFonts w:ascii="Arial" w:hAnsi="Arial"/>
        </w:rPr>
        <w:t>5</w:t>
      </w:r>
      <w:r>
        <w:rPr>
          <w:rFonts w:ascii="Arial" w:hAnsi="Arial"/>
        </w:rPr>
        <w:tab/>
        <w:t>Signage</w:t>
      </w:r>
    </w:p>
    <w:p w:rsidR="008C5A28" w:rsidRPr="00937C8B" w:rsidRDefault="004836CD" w:rsidP="00952002">
      <w:pPr>
        <w:spacing w:before="120" w:line="312" w:lineRule="auto"/>
        <w:ind w:left="567"/>
        <w:rPr>
          <w:rFonts w:ascii="Arial" w:hAnsi="Arial" w:cs="Arial"/>
        </w:rPr>
      </w:pPr>
      <w:r>
        <w:rPr>
          <w:rFonts w:ascii="Arial" w:hAnsi="Arial"/>
        </w:rPr>
        <w:t>6</w:t>
      </w:r>
      <w:r>
        <w:rPr>
          <w:rFonts w:ascii="Arial" w:hAnsi="Arial"/>
        </w:rPr>
        <w:tab/>
        <w:t>Other aspects</w:t>
      </w:r>
    </w:p>
    <w:p w:rsidR="004836CD" w:rsidRPr="00A77C79" w:rsidRDefault="004836CD" w:rsidP="0058501F">
      <w:pPr>
        <w:widowControl w:val="0"/>
        <w:spacing w:before="120" w:line="312" w:lineRule="auto"/>
        <w:ind w:left="567"/>
        <w:jc w:val="both"/>
        <w:rPr>
          <w:rFonts w:ascii="Arial" w:hAnsi="Arial" w:cs="Arial"/>
        </w:rPr>
      </w:pPr>
      <w:r>
        <w:rPr>
          <w:rFonts w:ascii="Arial" w:hAnsi="Arial"/>
        </w:rPr>
        <w:t>This annex provides the full references for the standards cited in the text of DBSI. This annex designates these standards with an asterisk. In addition, for information purposes, it lists other standards related to application of DBSI.</w:t>
      </w:r>
    </w:p>
    <w:p w:rsidR="004836CD" w:rsidRPr="00937C8B" w:rsidRDefault="004836CD" w:rsidP="00D27646">
      <w:pPr>
        <w:keepNext/>
        <w:spacing w:before="120" w:line="312" w:lineRule="auto"/>
        <w:ind w:left="851" w:hanging="284"/>
        <w:rPr>
          <w:rFonts w:ascii="Arial" w:hAnsi="Arial" w:cs="Arial"/>
        </w:rPr>
      </w:pPr>
      <w:r>
        <w:rPr>
          <w:rFonts w:ascii="Arial" w:hAnsi="Arial"/>
        </w:rPr>
        <w:t>1</w:t>
      </w:r>
      <w:r>
        <w:rPr>
          <w:rFonts w:ascii="Arial" w:hAnsi="Arial"/>
        </w:rPr>
        <w:tab/>
        <w:t>Reaction to fire</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1021</w:t>
      </w:r>
      <w:r>
        <w:rPr>
          <w:rFonts w:ascii="Arial" w:hAnsi="Arial"/>
        </w:rPr>
        <w:tab/>
        <w:t>Furniture. Assessment of the ignitability of upholstered furniture.</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1021-1:2015</w:t>
      </w:r>
      <w:r>
        <w:rPr>
          <w:rFonts w:ascii="Arial" w:hAnsi="Arial"/>
        </w:rPr>
        <w:tab/>
        <w:t>Part 1: Ignition source smouldering cigarette.</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1021-2:2015</w:t>
      </w:r>
      <w:r>
        <w:rPr>
          <w:rFonts w:ascii="Arial" w:hAnsi="Arial"/>
        </w:rPr>
        <w:tab/>
        <w:t>Part 2: Ignition source match flame equivalent.</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1101:1996</w:t>
      </w:r>
      <w:r>
        <w:rPr>
          <w:rFonts w:ascii="Arial" w:hAnsi="Arial"/>
        </w:rPr>
        <w:tab/>
        <w:t>Textiles and textile products. Burning behaviour. Curtains and drapes. Detailed procedure to determine the ignitability of vertically oriented specimens (small flame). (+UNE-EN 1101:1996/A1: 2005)</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13501</w:t>
      </w:r>
      <w:r>
        <w:rPr>
          <w:rFonts w:ascii="Arial" w:hAnsi="Arial"/>
        </w:rPr>
        <w:tab/>
        <w:t>Fire classification of construction products and building elements.</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13501-1:2007+A1:2010</w:t>
      </w:r>
      <w:r>
        <w:rPr>
          <w:rFonts w:ascii="Arial" w:hAnsi="Arial"/>
        </w:rPr>
        <w:tab/>
        <w:t>Part 1: Classification using data from reaction to fire tests.</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13501-5:2019</w:t>
      </w:r>
      <w:r>
        <w:rPr>
          <w:rFonts w:ascii="Arial" w:hAnsi="Arial"/>
        </w:rPr>
        <w:tab/>
        <w:t xml:space="preserve"> Part 5: Classification using data from external fire exposure to roofs tests.</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14115:2002</w:t>
      </w:r>
      <w:r>
        <w:rPr>
          <w:rFonts w:ascii="Arial" w:hAnsi="Arial"/>
        </w:rPr>
        <w:tab/>
        <w:t>Textiles. Burning behaviour of materials for marquees, large tents and related products. Ease of ignition.</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13772:2011</w:t>
      </w:r>
      <w:r>
        <w:rPr>
          <w:rFonts w:ascii="Arial" w:hAnsi="Arial"/>
        </w:rPr>
        <w:tab/>
        <w:t>Textiles and textile products. Burning behaviour. Curtains and drapes. Measurement of flame spread of vertically oriented specimens with large ignition source.</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13773:2003</w:t>
      </w:r>
      <w:r>
        <w:rPr>
          <w:rFonts w:ascii="Arial" w:hAnsi="Arial"/>
        </w:rPr>
        <w:tab/>
        <w:t>Textiles and textile products. Burning behaviour. Curtains and drapes. Classification scheme.</w:t>
      </w:r>
    </w:p>
    <w:p w:rsidR="004836CD" w:rsidRPr="00937C8B" w:rsidRDefault="004836CD" w:rsidP="0058501F">
      <w:pPr>
        <w:spacing w:before="120" w:line="312" w:lineRule="auto"/>
        <w:ind w:left="3969" w:hanging="3402"/>
        <w:jc w:val="both"/>
        <w:rPr>
          <w:rFonts w:ascii="Arial" w:hAnsi="Arial" w:cs="Arial"/>
        </w:rPr>
      </w:pPr>
      <w:r>
        <w:rPr>
          <w:rFonts w:ascii="Arial" w:hAnsi="Arial"/>
        </w:rPr>
        <w:lastRenderedPageBreak/>
        <w:t>UNE EN 13823:2012+A1:2016</w:t>
      </w:r>
      <w:r>
        <w:rPr>
          <w:rFonts w:ascii="Arial" w:hAnsi="Arial"/>
        </w:rPr>
        <w:tab/>
        <w:t>Reaction to fire tests for building products. Building products excluding floorings exposed to the thermal attack by a single burning item.</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15619:2014</w:t>
      </w:r>
      <w:r>
        <w:rPr>
          <w:rFonts w:ascii="Arial" w:hAnsi="Arial"/>
        </w:rPr>
        <w:tab/>
        <w:t>Rubber or plastic coated fabrics. Safety of temporary structures (tents). Specification for coated fabrics intended for tents and related structures.</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ISO 1182:2011</w:t>
      </w:r>
      <w:r>
        <w:rPr>
          <w:rFonts w:ascii="Arial" w:hAnsi="Arial"/>
        </w:rPr>
        <w:tab/>
        <w:t>Reaction to fire tests for building products. Non-combustibility test. (ISO 1182:2010)</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ISO 1716:2011</w:t>
      </w:r>
      <w:r>
        <w:rPr>
          <w:rFonts w:ascii="Arial" w:hAnsi="Arial"/>
        </w:rPr>
        <w:tab/>
        <w:t>Reaction to fire tests for products. Determination of the gross heat of combustion (calorific value). (ISO 1716:2010)</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ISO 9239-1:2011</w:t>
      </w:r>
      <w:r>
        <w:rPr>
          <w:rFonts w:ascii="Arial" w:hAnsi="Arial"/>
        </w:rPr>
        <w:tab/>
        <w:t>Reaction to fire tests for floorings.</w:t>
      </w:r>
    </w:p>
    <w:p w:rsidR="004836CD" w:rsidRPr="00937C8B" w:rsidRDefault="004836CD" w:rsidP="0058501F">
      <w:pPr>
        <w:spacing w:before="120" w:line="312" w:lineRule="auto"/>
        <w:ind w:left="3969" w:hanging="3402"/>
        <w:jc w:val="both"/>
        <w:rPr>
          <w:rFonts w:ascii="Arial" w:hAnsi="Arial" w:cs="Arial"/>
        </w:rPr>
      </w:pPr>
      <w:r>
        <w:rPr>
          <w:rFonts w:ascii="Arial" w:hAnsi="Arial"/>
        </w:rPr>
        <w:tab/>
        <w:t>Part 1: Determination of the burning behaviour using a radiant heat source. (ISO 9239-1:2010)</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ISO 11925-2:2011</w:t>
      </w:r>
      <w:r>
        <w:rPr>
          <w:rFonts w:ascii="Arial" w:hAnsi="Arial"/>
        </w:rPr>
        <w:tab/>
        <w:t>Reaction to fire tests. Ignitability of products subjected to direct impingement of flame.</w:t>
      </w:r>
    </w:p>
    <w:p w:rsidR="004836CD" w:rsidRPr="00937C8B" w:rsidRDefault="004836CD" w:rsidP="0058501F">
      <w:pPr>
        <w:spacing w:before="120" w:line="312" w:lineRule="auto"/>
        <w:ind w:left="3969" w:hanging="3402"/>
        <w:jc w:val="both"/>
        <w:rPr>
          <w:rFonts w:ascii="Arial" w:hAnsi="Arial" w:cs="Arial"/>
        </w:rPr>
      </w:pPr>
      <w:r>
        <w:rPr>
          <w:rFonts w:ascii="Arial" w:hAnsi="Arial"/>
        </w:rPr>
        <w:tab/>
        <w:t>Part 2: Single-flame source test. (ISO 11925-2:2010)</w:t>
      </w:r>
    </w:p>
    <w:p w:rsidR="004836CD" w:rsidRPr="00937C8B" w:rsidRDefault="004836CD" w:rsidP="0058501F">
      <w:pPr>
        <w:spacing w:before="120" w:line="312" w:lineRule="auto"/>
        <w:ind w:left="3969" w:hanging="3402"/>
        <w:jc w:val="both"/>
        <w:rPr>
          <w:rFonts w:ascii="Arial" w:hAnsi="Arial" w:cs="Arial"/>
        </w:rPr>
      </w:pPr>
      <w:r>
        <w:rPr>
          <w:rFonts w:ascii="Arial" w:hAnsi="Arial"/>
        </w:rPr>
        <w:t>UNE CEN/TS 1187:2013</w:t>
      </w:r>
      <w:r>
        <w:rPr>
          <w:rFonts w:ascii="Arial" w:hAnsi="Arial"/>
        </w:rPr>
        <w:tab/>
        <w:t>Test methods for external fire exposure to roofs.</w:t>
      </w:r>
    </w:p>
    <w:p w:rsidR="004836CD" w:rsidRPr="00937C8B" w:rsidRDefault="004836CD" w:rsidP="00D27646">
      <w:pPr>
        <w:keepNext/>
        <w:spacing w:before="120" w:line="312" w:lineRule="auto"/>
        <w:ind w:left="851" w:hanging="284"/>
        <w:rPr>
          <w:rFonts w:ascii="Arial" w:hAnsi="Arial" w:cs="Arial"/>
        </w:rPr>
      </w:pPr>
      <w:r>
        <w:rPr>
          <w:rFonts w:ascii="Arial" w:hAnsi="Arial"/>
        </w:rPr>
        <w:t>2</w:t>
      </w:r>
      <w:r>
        <w:rPr>
          <w:rFonts w:ascii="Arial" w:hAnsi="Arial"/>
        </w:rPr>
        <w:tab/>
        <w:t>Fire resistance</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81-58:2018</w:t>
      </w:r>
      <w:r>
        <w:rPr>
          <w:rFonts w:ascii="Arial" w:hAnsi="Arial"/>
        </w:rPr>
        <w:tab/>
        <w:t>Safety rules for the construction and installation of lifts. Examination and tests.</w:t>
      </w:r>
    </w:p>
    <w:p w:rsidR="004836CD" w:rsidRPr="00937C8B" w:rsidRDefault="004836CD" w:rsidP="0058501F">
      <w:pPr>
        <w:spacing w:before="120" w:line="312" w:lineRule="auto"/>
        <w:ind w:left="4111" w:hanging="3544"/>
        <w:jc w:val="both"/>
        <w:rPr>
          <w:rFonts w:ascii="Arial" w:hAnsi="Arial" w:cs="Arial"/>
        </w:rPr>
      </w:pPr>
      <w:r>
        <w:rPr>
          <w:rFonts w:ascii="Arial" w:hAnsi="Arial"/>
        </w:rPr>
        <w:tab/>
        <w:t>Part 58: Landing doors fire resistance test.</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1363</w:t>
      </w:r>
      <w:r>
        <w:rPr>
          <w:rFonts w:ascii="Arial" w:hAnsi="Arial"/>
        </w:rPr>
        <w:tab/>
        <w:t>Fire resistance tests.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1363-1:2015</w:t>
      </w:r>
      <w:r>
        <w:rPr>
          <w:rFonts w:ascii="Arial" w:hAnsi="Arial"/>
        </w:rPr>
        <w:tab/>
        <w:t>Part 1: General requirements.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1363-2:2000</w:t>
      </w:r>
      <w:r>
        <w:rPr>
          <w:rFonts w:ascii="Arial" w:hAnsi="Arial"/>
        </w:rPr>
        <w:tab/>
        <w:t>Part 2: Alternative and additional procedures.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1363-3:2000</w:t>
      </w:r>
      <w:r>
        <w:rPr>
          <w:rFonts w:ascii="Arial" w:hAnsi="Arial"/>
        </w:rPr>
        <w:tab/>
        <w:t>Part 3: Verification of furnace performance.</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1364</w:t>
      </w:r>
      <w:r>
        <w:rPr>
          <w:rFonts w:ascii="Arial" w:hAnsi="Arial"/>
        </w:rPr>
        <w:tab/>
        <w:t>Fire resistance tests for non-load-bearing elements.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1364-1:2000</w:t>
      </w:r>
      <w:r>
        <w:rPr>
          <w:rFonts w:ascii="Arial" w:hAnsi="Arial"/>
        </w:rPr>
        <w:tab/>
        <w:t>Part 1: Walls.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1364-2:2000</w:t>
      </w:r>
      <w:r>
        <w:rPr>
          <w:rFonts w:ascii="Arial" w:hAnsi="Arial"/>
        </w:rPr>
        <w:tab/>
        <w:t>Part 2: Ceilings.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1364-3:2015</w:t>
      </w:r>
      <w:r>
        <w:rPr>
          <w:rFonts w:ascii="Arial" w:hAnsi="Arial"/>
        </w:rPr>
        <w:tab/>
        <w:t>Part 3: General requirements. Full configuration (complete assembly).</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1364-4:2015</w:t>
      </w:r>
      <w:r>
        <w:rPr>
          <w:rFonts w:ascii="Arial" w:hAnsi="Arial"/>
        </w:rPr>
        <w:tab/>
        <w:t>Part 4: Curtain walling. Part configuration.</w:t>
      </w:r>
    </w:p>
    <w:p w:rsidR="004836CD" w:rsidRPr="00937C8B" w:rsidRDefault="004836CD" w:rsidP="0058501F">
      <w:pPr>
        <w:spacing w:before="120" w:line="312" w:lineRule="auto"/>
        <w:ind w:left="4111" w:hanging="3544"/>
        <w:jc w:val="both"/>
        <w:rPr>
          <w:rFonts w:ascii="Arial" w:hAnsi="Arial" w:cs="Arial"/>
        </w:rPr>
      </w:pPr>
      <w:r>
        <w:rPr>
          <w:rFonts w:ascii="Arial" w:hAnsi="Arial"/>
        </w:rPr>
        <w:lastRenderedPageBreak/>
        <w:t>UNE EN 1365</w:t>
      </w:r>
      <w:r>
        <w:rPr>
          <w:rFonts w:ascii="Arial" w:hAnsi="Arial"/>
        </w:rPr>
        <w:tab/>
        <w:t>Fire resistance tests for load-bearing elements.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1365-1:2016</w:t>
      </w:r>
      <w:r>
        <w:rPr>
          <w:rFonts w:ascii="Arial" w:hAnsi="Arial"/>
        </w:rPr>
        <w:tab/>
        <w:t>Part 1: Walls.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1365-2:2016</w:t>
      </w:r>
      <w:r>
        <w:rPr>
          <w:rFonts w:ascii="Arial" w:hAnsi="Arial"/>
        </w:rPr>
        <w:tab/>
        <w:t>Part 2: Floors and roofs.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1365-3:2000</w:t>
      </w:r>
      <w:r>
        <w:rPr>
          <w:rFonts w:ascii="Arial" w:hAnsi="Arial"/>
        </w:rPr>
        <w:tab/>
        <w:t>Part 3: Beams.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1365-4:2000</w:t>
      </w:r>
      <w:r>
        <w:rPr>
          <w:rFonts w:ascii="Arial" w:hAnsi="Arial"/>
        </w:rPr>
        <w:tab/>
        <w:t>Part 4: Columns.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1365-5:2005</w:t>
      </w:r>
      <w:r>
        <w:rPr>
          <w:rFonts w:ascii="Arial" w:hAnsi="Arial"/>
        </w:rPr>
        <w:tab/>
        <w:t>Part 5: Balconies and walkways.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1365-6:2005</w:t>
      </w:r>
      <w:r>
        <w:rPr>
          <w:rFonts w:ascii="Arial" w:hAnsi="Arial"/>
        </w:rPr>
        <w:tab/>
        <w:t>Part 6: Stairs.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1366</w:t>
      </w:r>
      <w:r>
        <w:rPr>
          <w:rFonts w:ascii="Arial" w:hAnsi="Arial"/>
        </w:rPr>
        <w:tab/>
        <w:t>Fire resistance tests for service installations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1366-1:2016</w:t>
      </w:r>
      <w:r>
        <w:rPr>
          <w:rFonts w:ascii="Arial" w:hAnsi="Arial"/>
        </w:rPr>
        <w:tab/>
        <w:t>Part 1: Ventilation ducts.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1366-2:2015</w:t>
      </w:r>
      <w:r>
        <w:rPr>
          <w:rFonts w:ascii="Arial" w:hAnsi="Arial"/>
        </w:rPr>
        <w:tab/>
        <w:t>Part 2: Fire dampers.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1366-3:2011</w:t>
      </w:r>
      <w:r>
        <w:rPr>
          <w:rFonts w:ascii="Arial" w:hAnsi="Arial"/>
        </w:rPr>
        <w:tab/>
        <w:t>Part 3: Penetration seals.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1366-4:2008+A1:2010</w:t>
      </w:r>
      <w:r>
        <w:rPr>
          <w:rFonts w:ascii="Arial" w:hAnsi="Arial"/>
        </w:rPr>
        <w:tab/>
        <w:t>Part 4: Linear joint seals.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1366-5:2011</w:t>
      </w:r>
      <w:r>
        <w:rPr>
          <w:rFonts w:ascii="Arial" w:hAnsi="Arial"/>
        </w:rPr>
        <w:tab/>
        <w:t>Part 5: Service ducts and shafts.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1366-6:2005</w:t>
      </w:r>
      <w:r>
        <w:rPr>
          <w:rFonts w:ascii="Arial" w:hAnsi="Arial"/>
        </w:rPr>
        <w:tab/>
        <w:t>Part 6: Raised access and hollow core floors.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1366-7:2006</w:t>
      </w:r>
      <w:r>
        <w:rPr>
          <w:rFonts w:ascii="Arial" w:hAnsi="Arial"/>
        </w:rPr>
        <w:tab/>
        <w:t>Part 7: Conveyor systems and their closures.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1366-8:2005</w:t>
      </w:r>
      <w:r>
        <w:rPr>
          <w:rFonts w:ascii="Arial" w:hAnsi="Arial"/>
        </w:rPr>
        <w:tab/>
        <w:t>Part 8: Smoke extraction ducts.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1366-9:2009</w:t>
      </w:r>
      <w:r>
        <w:rPr>
          <w:rFonts w:ascii="Arial" w:hAnsi="Arial"/>
        </w:rPr>
        <w:tab/>
        <w:t>Part 9: Single compartment smoke extraction ducts.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1366-10:2016+A1:2018</w:t>
      </w:r>
      <w:r>
        <w:rPr>
          <w:rFonts w:ascii="Arial" w:hAnsi="Arial"/>
        </w:rPr>
        <w:tab/>
        <w:t>Part 10: Smoke control dampers.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1366-12:2015</w:t>
      </w:r>
      <w:r>
        <w:rPr>
          <w:rFonts w:ascii="Arial" w:hAnsi="Arial"/>
        </w:rPr>
        <w:tab/>
        <w:t>Part 12: Non-mechanical fire barrier for ventilation ductwork.</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1634</w:t>
      </w:r>
      <w:r>
        <w:rPr>
          <w:rFonts w:ascii="Arial" w:hAnsi="Arial"/>
        </w:rPr>
        <w:tab/>
        <w:t>Fire resistance and smoke control tests for door and shutter assemblies, openable windows and elements of building hardware.</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1634-1:2016+A1:2018</w:t>
      </w:r>
      <w:r>
        <w:rPr>
          <w:rFonts w:ascii="Arial" w:hAnsi="Arial"/>
        </w:rPr>
        <w:tab/>
        <w:t>Part 1: Fire resistance test for door and shutter assemblies and openable windows.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1634-2:2010</w:t>
      </w:r>
      <w:r>
        <w:rPr>
          <w:rFonts w:ascii="Arial" w:hAnsi="Arial"/>
        </w:rPr>
        <w:tab/>
        <w:t>Part 2: Fire resistance characterisation test for elements of building hardware.</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1634-3:2006</w:t>
      </w:r>
      <w:r>
        <w:rPr>
          <w:rFonts w:ascii="Arial" w:hAnsi="Arial"/>
        </w:rPr>
        <w:tab/>
        <w:t>Part 3: Smoke control test for door and shutter assemblies.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1991-1-2:2019</w:t>
      </w:r>
      <w:r>
        <w:rPr>
          <w:rFonts w:ascii="Arial" w:hAnsi="Arial"/>
        </w:rPr>
        <w:tab/>
        <w:t>Eurocode 1: Actions on structures. Part 1-2: General actions. Actions on structures exposed to fire.</w:t>
      </w:r>
    </w:p>
    <w:p w:rsidR="004836CD" w:rsidRPr="00937C8B" w:rsidRDefault="004836CD" w:rsidP="0058501F">
      <w:pPr>
        <w:spacing w:before="120" w:line="312" w:lineRule="auto"/>
        <w:ind w:left="4111" w:hanging="3544"/>
        <w:jc w:val="both"/>
        <w:rPr>
          <w:rFonts w:ascii="Arial" w:hAnsi="Arial" w:cs="Arial"/>
        </w:rPr>
      </w:pPr>
      <w:r>
        <w:rPr>
          <w:rFonts w:ascii="Arial" w:hAnsi="Arial"/>
        </w:rPr>
        <w:lastRenderedPageBreak/>
        <w:t>UNE EN 1992-1-2:2011</w:t>
      </w:r>
      <w:r>
        <w:rPr>
          <w:rFonts w:ascii="Arial" w:hAnsi="Arial"/>
        </w:rPr>
        <w:tab/>
        <w:t>Eurocode 2: Design of concrete structures. Part 1-2: General rules. Structural fire design</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1993-1-2:2016</w:t>
      </w:r>
      <w:r>
        <w:rPr>
          <w:rFonts w:ascii="Arial" w:hAnsi="Arial"/>
        </w:rPr>
        <w:tab/>
        <w:t>Eurocode 3: Design of steel structures. Part 1-2: General rules. Structural fire design</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1994-1-2:2016</w:t>
      </w:r>
      <w:r>
        <w:rPr>
          <w:rFonts w:ascii="Arial" w:hAnsi="Arial"/>
        </w:rPr>
        <w:tab/>
        <w:t>Eurocode 4: Design of composite steel and concrete structures. Part 1-2: General rules. Structural fire design</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1995-1-2:2016</w:t>
      </w:r>
      <w:r>
        <w:rPr>
          <w:rFonts w:ascii="Arial" w:hAnsi="Arial"/>
        </w:rPr>
        <w:tab/>
        <w:t>Eurocode 5: Design of timber structures. Part 1-2: General rules. Structural fire design.</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1996-1-2:2011</w:t>
      </w:r>
      <w:r>
        <w:rPr>
          <w:rFonts w:ascii="Arial" w:hAnsi="Arial"/>
        </w:rPr>
        <w:tab/>
        <w:t>Eurocode 6: Design of masonry structures. Part 1-2: General rules. Structural fire design.</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1999-1-2:2007(approved)</w:t>
      </w:r>
      <w:r>
        <w:rPr>
          <w:rFonts w:ascii="Arial" w:hAnsi="Arial"/>
        </w:rPr>
        <w:tab/>
        <w:t>Eurocode 9: Design of aluminium structures. Part 1-2: Structural fire design.</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13381</w:t>
      </w:r>
      <w:r>
        <w:rPr>
          <w:rFonts w:ascii="Arial" w:hAnsi="Arial"/>
        </w:rPr>
        <w:tab/>
        <w:t>Test methods for determining the contribution to the fire resistance of structural members.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13381-1:2016</w:t>
      </w:r>
      <w:r>
        <w:rPr>
          <w:rFonts w:ascii="Arial" w:hAnsi="Arial"/>
        </w:rPr>
        <w:tab/>
        <w:t>Part 1: Horizontal protective membranes.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13381-2:2016</w:t>
      </w:r>
      <w:r>
        <w:rPr>
          <w:rFonts w:ascii="Arial" w:hAnsi="Arial"/>
        </w:rPr>
        <w:tab/>
        <w:t>Part 2: Vertical protective membranes.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13381-3:2016</w:t>
      </w:r>
      <w:r>
        <w:rPr>
          <w:rFonts w:ascii="Arial" w:hAnsi="Arial"/>
        </w:rPr>
        <w:tab/>
        <w:t>Part 3: Applied protection to concrete members.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13381-4:2014</w:t>
      </w:r>
      <w:r>
        <w:rPr>
          <w:rFonts w:ascii="Arial" w:hAnsi="Arial"/>
        </w:rPr>
        <w:tab/>
        <w:t>Part 4: Applied passive protection to steel members.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13381-5:2016</w:t>
      </w:r>
      <w:r>
        <w:rPr>
          <w:rFonts w:ascii="Arial" w:hAnsi="Arial"/>
        </w:rPr>
        <w:tab/>
        <w:t>Part 5: Applied protection to concrete/profiled sheet steel composite member.</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13381-6:2014</w:t>
      </w:r>
      <w:r>
        <w:rPr>
          <w:rFonts w:ascii="Arial" w:hAnsi="Arial"/>
        </w:rPr>
        <w:tab/>
        <w:t>Part 6: Applied protection to concrete filled hollow steel columns.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ENV 13381-7:2006 EX</w:t>
      </w:r>
      <w:r>
        <w:rPr>
          <w:rFonts w:ascii="Arial" w:hAnsi="Arial"/>
        </w:rPr>
        <w:tab/>
        <w:t>Part 7: Applied protection to timber members.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13381-8:2015</w:t>
      </w:r>
      <w:r>
        <w:rPr>
          <w:rFonts w:ascii="Arial" w:hAnsi="Arial"/>
        </w:rPr>
        <w:tab/>
        <w:t>Part 8: Applied reactive protection to steel members.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13381-9:2016</w:t>
      </w:r>
      <w:r>
        <w:rPr>
          <w:rFonts w:ascii="Arial" w:hAnsi="Arial"/>
        </w:rPr>
        <w:tab/>
        <w:t>Part 9: Applied fire protection systems to steel beams with web openings.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13501</w:t>
      </w:r>
      <w:r>
        <w:rPr>
          <w:rFonts w:ascii="Arial" w:hAnsi="Arial"/>
        </w:rPr>
        <w:tab/>
        <w:t>Fire classification of construction products and building elements.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13501-2:2019</w:t>
      </w:r>
      <w:r>
        <w:rPr>
          <w:rFonts w:ascii="Arial" w:hAnsi="Arial"/>
        </w:rPr>
        <w:tab/>
        <w:t>Part 2: Classification using data from fire resistance tests, excluding ventilation services.</w:t>
      </w:r>
    </w:p>
    <w:p w:rsidR="004836CD" w:rsidRPr="00937C8B" w:rsidRDefault="004836CD" w:rsidP="0058501F">
      <w:pPr>
        <w:spacing w:before="120" w:line="312" w:lineRule="auto"/>
        <w:ind w:left="4111" w:hanging="3544"/>
        <w:jc w:val="both"/>
        <w:rPr>
          <w:rFonts w:ascii="Arial" w:hAnsi="Arial" w:cs="Arial"/>
        </w:rPr>
      </w:pPr>
      <w:r>
        <w:rPr>
          <w:rFonts w:ascii="Arial" w:hAnsi="Arial"/>
        </w:rPr>
        <w:lastRenderedPageBreak/>
        <w:t>UNE EN 13501-3:2007+A1:2010</w:t>
      </w:r>
      <w:r>
        <w:rPr>
          <w:rFonts w:ascii="Arial" w:hAnsi="Arial"/>
        </w:rPr>
        <w:tab/>
        <w:t>Part 3: Classification using data from fire resistance tests on products and elements used in building service installations: fire resisting ducts and fire dampers.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13501-4:2007+A1:2010</w:t>
      </w:r>
      <w:r>
        <w:rPr>
          <w:rFonts w:ascii="Arial" w:hAnsi="Arial"/>
        </w:rPr>
        <w:tab/>
        <w:t>Part 4: Classification using data from fire resistance tests on components of smoke control systems.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14135:2005</w:t>
      </w:r>
      <w:r>
        <w:rPr>
          <w:rFonts w:ascii="Arial" w:hAnsi="Arial"/>
        </w:rPr>
        <w:tab/>
        <w:t>Coverings. Determination of fire protection ability.</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15080</w:t>
      </w:r>
      <w:r>
        <w:rPr>
          <w:rFonts w:ascii="Arial" w:hAnsi="Arial"/>
        </w:rPr>
        <w:tab/>
        <w:t>Extended application of results from fire resistance tests.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15080-8:2011</w:t>
      </w:r>
      <w:r>
        <w:rPr>
          <w:rFonts w:ascii="Arial" w:hAnsi="Arial"/>
        </w:rPr>
        <w:tab/>
        <w:t>Part 8: Beams.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15080-12:2011</w:t>
      </w:r>
      <w:r>
        <w:rPr>
          <w:rFonts w:ascii="Arial" w:hAnsi="Arial"/>
        </w:rPr>
        <w:tab/>
        <w:t>Part 12: Load-bearing masonry walls.</w:t>
      </w:r>
      <w:r>
        <w:rPr>
          <w:rFonts w:ascii="Arial" w:hAnsi="Arial"/>
        </w:rPr>
        <w:tab/>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15254</w:t>
      </w:r>
      <w:r>
        <w:rPr>
          <w:rFonts w:ascii="Arial" w:hAnsi="Arial"/>
        </w:rPr>
        <w:tab/>
        <w:t>Extended application of results from fire resistance tests. Non-load-bearing walls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15254-2:2010</w:t>
      </w:r>
      <w:r>
        <w:rPr>
          <w:rFonts w:ascii="Arial" w:hAnsi="Arial"/>
        </w:rPr>
        <w:tab/>
        <w:t>Part 2: Masonry and gypsum blocks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15254-4:2019</w:t>
      </w:r>
      <w:r>
        <w:rPr>
          <w:rFonts w:ascii="Arial" w:hAnsi="Arial"/>
        </w:rPr>
        <w:tab/>
        <w:t>Part 4: Glazed constructions.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15254-5:2010</w:t>
      </w:r>
      <w:r>
        <w:rPr>
          <w:rFonts w:ascii="Arial" w:hAnsi="Arial"/>
        </w:rPr>
        <w:tab/>
        <w:t>Part 5: Metal sandwich panel construction.</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15254-6:2015</w:t>
      </w:r>
      <w:r>
        <w:rPr>
          <w:rFonts w:ascii="Arial" w:hAnsi="Arial"/>
        </w:rPr>
        <w:tab/>
        <w:t>Part 6: Curtain walling.</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15254-7:2013</w:t>
      </w:r>
      <w:r>
        <w:rPr>
          <w:rFonts w:ascii="Arial" w:hAnsi="Arial"/>
        </w:rPr>
        <w:tab/>
        <w:t>Part 7: Metal sandwich panel construction.</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15269</w:t>
      </w:r>
      <w:r>
        <w:rPr>
          <w:rFonts w:ascii="Arial" w:hAnsi="Arial"/>
        </w:rPr>
        <w:tab/>
        <w:t>Extended application of test results for fire resistance and/or smoke control for door, shutter and openable window assemblies, including their elements of building hardware</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15269-1:2011</w:t>
      </w:r>
      <w:r>
        <w:rPr>
          <w:rFonts w:ascii="Arial" w:hAnsi="Arial"/>
        </w:rPr>
        <w:tab/>
        <w:t>Part 1: General requirements.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15269-2:2016</w:t>
      </w:r>
      <w:r>
        <w:rPr>
          <w:rFonts w:ascii="Arial" w:hAnsi="Arial"/>
        </w:rPr>
        <w:tab/>
        <w:t>Part 2: Fire resistance of hinged and pivoted steel doorsets.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15269-3:2016</w:t>
      </w:r>
      <w:r>
        <w:rPr>
          <w:rFonts w:ascii="Arial" w:hAnsi="Arial"/>
        </w:rPr>
        <w:tab/>
        <w:t>Part 3: Fire resistance of hinged and pivoted timber doorsets and openable timber framed windows.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15269-5:2016+A1:2017</w:t>
      </w:r>
      <w:r>
        <w:rPr>
          <w:rFonts w:ascii="Arial" w:hAnsi="Arial"/>
        </w:rPr>
        <w:tab/>
        <w:t>Part 5: Fire resistance of hinged and pivoted metal framed glazed doorsets and openable windows.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15269-7:2011</w:t>
      </w:r>
      <w:r>
        <w:rPr>
          <w:rFonts w:ascii="Arial" w:hAnsi="Arial"/>
        </w:rPr>
        <w:tab/>
        <w:t>Part 7: Fire resistance for steel sliding doorsets.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15269-10:2015</w:t>
      </w:r>
      <w:r>
        <w:rPr>
          <w:rFonts w:ascii="Arial" w:hAnsi="Arial"/>
        </w:rPr>
        <w:tab/>
        <w:t>Part 10: Fire resistance of steel rolling shutter assemblies.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15269-11:2018+AC:2019</w:t>
      </w:r>
      <w:r>
        <w:rPr>
          <w:rFonts w:ascii="Arial" w:hAnsi="Arial"/>
        </w:rPr>
        <w:tab/>
        <w:t>Part 11: Fire resistance for operable fabric curtains.</w:t>
      </w:r>
    </w:p>
    <w:p w:rsidR="004836CD" w:rsidRPr="00937C8B" w:rsidRDefault="004836CD" w:rsidP="0058501F">
      <w:pPr>
        <w:spacing w:before="120" w:line="312" w:lineRule="auto"/>
        <w:ind w:left="4111" w:hanging="3544"/>
        <w:jc w:val="both"/>
        <w:rPr>
          <w:rFonts w:ascii="Arial" w:hAnsi="Arial" w:cs="Arial"/>
        </w:rPr>
      </w:pPr>
      <w:r>
        <w:rPr>
          <w:rFonts w:ascii="Arial" w:hAnsi="Arial"/>
        </w:rPr>
        <w:t>UNE EN 15269-20:2010</w:t>
      </w:r>
      <w:r>
        <w:rPr>
          <w:rFonts w:ascii="Arial" w:hAnsi="Arial"/>
        </w:rPr>
        <w:tab/>
        <w:t>Part 20: Smoke control for hinged and pivoted steel, timber and metal framed glazed doorsets.</w:t>
      </w:r>
    </w:p>
    <w:p w:rsidR="004836CD" w:rsidRPr="00937C8B" w:rsidRDefault="004836CD" w:rsidP="00D27646">
      <w:pPr>
        <w:keepNext/>
        <w:spacing w:before="120" w:line="312" w:lineRule="auto"/>
        <w:ind w:left="851" w:hanging="284"/>
        <w:rPr>
          <w:rFonts w:ascii="Arial" w:hAnsi="Arial" w:cs="Arial"/>
        </w:rPr>
      </w:pPr>
      <w:r>
        <w:rPr>
          <w:rFonts w:ascii="Arial" w:hAnsi="Arial"/>
        </w:rPr>
        <w:lastRenderedPageBreak/>
        <w:t>3</w:t>
      </w:r>
      <w:r>
        <w:rPr>
          <w:rFonts w:ascii="Arial" w:hAnsi="Arial"/>
        </w:rPr>
        <w:tab/>
        <w:t>Smoke and heat control systems</w:t>
      </w:r>
    </w:p>
    <w:p w:rsidR="004836CD" w:rsidRPr="00937C8B" w:rsidRDefault="004836CD" w:rsidP="0058501F">
      <w:pPr>
        <w:spacing w:before="120" w:line="312" w:lineRule="auto"/>
        <w:ind w:left="3969" w:hanging="3402"/>
        <w:jc w:val="both"/>
        <w:rPr>
          <w:rFonts w:ascii="Arial" w:hAnsi="Arial" w:cs="Arial"/>
        </w:rPr>
      </w:pPr>
      <w:r>
        <w:rPr>
          <w:rFonts w:ascii="Arial" w:hAnsi="Arial"/>
        </w:rPr>
        <w:t>*UNE 23584:2008</w:t>
      </w:r>
      <w:r>
        <w:rPr>
          <w:rFonts w:ascii="Arial" w:hAnsi="Arial"/>
        </w:rPr>
        <w:tab/>
        <w:t>Fire safety. Smoke and heat control systems (SHEVS). Requirements, for installation commissioners and maintenance of SHEVS.</w:t>
      </w:r>
    </w:p>
    <w:p w:rsidR="004836CD" w:rsidRPr="00937C8B" w:rsidRDefault="004836CD" w:rsidP="0058501F">
      <w:pPr>
        <w:spacing w:before="120" w:line="312" w:lineRule="auto"/>
        <w:ind w:left="3969" w:hanging="3402"/>
        <w:jc w:val="both"/>
        <w:rPr>
          <w:rFonts w:ascii="Arial" w:hAnsi="Arial" w:cs="Arial"/>
        </w:rPr>
      </w:pPr>
      <w:r>
        <w:rPr>
          <w:rFonts w:ascii="Arial" w:hAnsi="Arial"/>
        </w:rPr>
        <w:t>*UNE 23585:2017</w:t>
      </w:r>
      <w:r>
        <w:rPr>
          <w:rFonts w:ascii="Arial" w:hAnsi="Arial"/>
        </w:rPr>
        <w:tab/>
        <w:t>Fire safety. Smoke and heat control systems. Requirements, calculation and design methods for temperature control systems and smoke exhaust systems projecting in case of stationary fire.</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12101</w:t>
      </w:r>
      <w:r>
        <w:rPr>
          <w:rFonts w:ascii="Arial" w:hAnsi="Arial"/>
        </w:rPr>
        <w:tab/>
        <w:t>Smoke and heat control systems</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12101-1:2007</w:t>
      </w:r>
      <w:r>
        <w:rPr>
          <w:rFonts w:ascii="Arial" w:hAnsi="Arial"/>
        </w:rPr>
        <w:tab/>
        <w:t>Part 1: Specification for smoke barriers. (+UNE EN 12101-1:2007/A1:2007)</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12101-2:2004</w:t>
      </w:r>
      <w:r>
        <w:rPr>
          <w:rFonts w:ascii="Arial" w:hAnsi="Arial"/>
        </w:rPr>
        <w:tab/>
        <w:t>Part 2: Specification for natural smoke and heat exhaust ventilators.</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12101-3:2016</w:t>
      </w:r>
      <w:r>
        <w:rPr>
          <w:rFonts w:ascii="Arial" w:hAnsi="Arial"/>
        </w:rPr>
        <w:tab/>
        <w:t>Part 3: Specification for powered smoke and heat control ventilators (Fans).</w:t>
      </w:r>
    </w:p>
    <w:p w:rsidR="004836CD" w:rsidRPr="00937C8B" w:rsidRDefault="004836CD" w:rsidP="0058501F">
      <w:pPr>
        <w:spacing w:before="120" w:line="312" w:lineRule="auto"/>
        <w:ind w:left="3969" w:hanging="3402"/>
        <w:jc w:val="both"/>
        <w:rPr>
          <w:rFonts w:ascii="Arial" w:hAnsi="Arial" w:cs="Arial"/>
        </w:rPr>
      </w:pPr>
      <w:r>
        <w:rPr>
          <w:rFonts w:ascii="Arial" w:hAnsi="Arial"/>
        </w:rPr>
        <w:t xml:space="preserve">*UNE EN 12101-6:2006 </w:t>
      </w:r>
      <w:r>
        <w:rPr>
          <w:rFonts w:ascii="Arial" w:hAnsi="Arial"/>
        </w:rPr>
        <w:tab/>
        <w:t>Part 6: Specification for pressure differential systems. Kits.</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12101-7:2013</w:t>
      </w:r>
      <w:r>
        <w:rPr>
          <w:rFonts w:ascii="Arial" w:hAnsi="Arial"/>
        </w:rPr>
        <w:tab/>
        <w:t>Part 7: Smoke duct sections.</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12101-8:2015</w:t>
      </w:r>
      <w:r>
        <w:rPr>
          <w:rFonts w:ascii="Arial" w:hAnsi="Arial"/>
        </w:rPr>
        <w:tab/>
        <w:t>Part 8: Smoke control dampers.</w:t>
      </w:r>
    </w:p>
    <w:p w:rsidR="004836CD" w:rsidRPr="00937C8B" w:rsidRDefault="004836CD" w:rsidP="0058501F">
      <w:pPr>
        <w:spacing w:before="120" w:line="312" w:lineRule="auto"/>
        <w:ind w:left="3969" w:hanging="3402"/>
        <w:jc w:val="both"/>
        <w:rPr>
          <w:rFonts w:ascii="Arial" w:hAnsi="Arial" w:cs="Arial"/>
        </w:rPr>
      </w:pPr>
      <w:r>
        <w:rPr>
          <w:rFonts w:ascii="Arial" w:hAnsi="Arial"/>
        </w:rPr>
        <w:t xml:space="preserve">UNE EN 12101-10:2007 </w:t>
      </w:r>
      <w:r>
        <w:rPr>
          <w:rFonts w:ascii="Arial" w:hAnsi="Arial"/>
        </w:rPr>
        <w:tab/>
        <w:t>Part 10: Power supplies.</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15650:2010</w:t>
      </w:r>
      <w:r>
        <w:rPr>
          <w:rFonts w:ascii="Arial" w:hAnsi="Arial"/>
        </w:rPr>
        <w:tab/>
        <w:t>Ventilation for buildings. Fire dampers.</w:t>
      </w:r>
    </w:p>
    <w:p w:rsidR="004836CD" w:rsidRPr="00937C8B" w:rsidRDefault="004836CD" w:rsidP="00D27646">
      <w:pPr>
        <w:keepNext/>
        <w:spacing w:before="120" w:line="312" w:lineRule="auto"/>
        <w:ind w:left="851" w:hanging="284"/>
        <w:rPr>
          <w:rFonts w:ascii="Arial" w:hAnsi="Arial" w:cs="Arial"/>
        </w:rPr>
      </w:pPr>
      <w:r>
        <w:rPr>
          <w:rFonts w:ascii="Arial" w:hAnsi="Arial"/>
        </w:rPr>
        <w:t>4</w:t>
      </w:r>
      <w:r>
        <w:rPr>
          <w:rFonts w:ascii="Arial" w:hAnsi="Arial"/>
        </w:rPr>
        <w:tab/>
        <w:t>Doors, hardware and opening devices</w:t>
      </w:r>
    </w:p>
    <w:p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 85121:2018</w:t>
      </w:r>
      <w:r>
        <w:rPr>
          <w:rFonts w:ascii="Arial" w:hAnsi="Arial"/>
        </w:rPr>
        <w:tab/>
        <w:t>Powered pedestrian doors. Installation, use and maintenance.</w:t>
      </w:r>
    </w:p>
    <w:p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 EN 179:2009</w:t>
      </w:r>
      <w:r>
        <w:rPr>
          <w:rFonts w:ascii="Arial" w:hAnsi="Arial"/>
        </w:rPr>
        <w:tab/>
        <w:t>Building hardware. Emergency exit devices operated by a lever handle or push pad, for use on escape routes. Requirements and test methods.</w:t>
      </w:r>
    </w:p>
    <w:p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 EN 1125:2009</w:t>
      </w:r>
      <w:r>
        <w:rPr>
          <w:rFonts w:ascii="Arial" w:hAnsi="Arial"/>
        </w:rPr>
        <w:tab/>
        <w:t>Building hardware. Panic exit devices operated by a horizontal bar, for use on escape routes. Requirements and test methods.</w:t>
      </w:r>
    </w:p>
    <w:p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 EN 1154:2003</w:t>
      </w:r>
      <w:r>
        <w:rPr>
          <w:rFonts w:ascii="Arial" w:hAnsi="Arial"/>
        </w:rPr>
        <w:tab/>
        <w:t>Building hardware. Controlled door closing devices. Requirements and test methods.</w:t>
      </w:r>
    </w:p>
    <w:p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lastRenderedPageBreak/>
        <w:t>*UNE EN 1155:2003</w:t>
      </w:r>
      <w:r>
        <w:rPr>
          <w:rFonts w:ascii="Arial" w:hAnsi="Arial"/>
        </w:rPr>
        <w:tab/>
        <w:t>Building hardware. Electrically powered hold-open devices for swing doors. Requirements and test methods.</w:t>
      </w:r>
    </w:p>
    <w:p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 EN 1158:2003</w:t>
      </w:r>
      <w:r>
        <w:rPr>
          <w:rFonts w:ascii="Arial" w:hAnsi="Arial"/>
        </w:rPr>
        <w:tab/>
        <w:t>Building hardware. Door coordinator devices. Requirements and test methods.</w:t>
      </w:r>
    </w:p>
    <w:p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 EN 1191:2013</w:t>
      </w:r>
      <w:r>
        <w:rPr>
          <w:rFonts w:ascii="Arial" w:hAnsi="Arial"/>
        </w:rPr>
        <w:tab/>
        <w:t>Windows and doors. Resistance to repeated opening and closing. Test method.</w:t>
      </w:r>
    </w:p>
    <w:p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 EN 13637:2016</w:t>
      </w:r>
      <w:r>
        <w:rPr>
          <w:rFonts w:ascii="Arial" w:hAnsi="Arial"/>
        </w:rPr>
        <w:tab/>
        <w:t>Building hardware. Electrically controlled exit systems for use on escape routes. Requirements and test methods.</w:t>
      </w:r>
    </w:p>
    <w:p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 EN 16034:2015</w:t>
      </w:r>
      <w:r>
        <w:rPr>
          <w:rFonts w:ascii="Arial" w:hAnsi="Arial"/>
        </w:rPr>
        <w:tab/>
        <w:t>Pedestrian doorsets, industrial, commercial, garage doors and openable windows. Product standard, performance characteristics. Fire resisting and/or smoke control characteristics.</w:t>
      </w:r>
    </w:p>
    <w:p w:rsidR="004836CD" w:rsidRPr="00937C8B" w:rsidRDefault="004836CD" w:rsidP="0058501F">
      <w:pPr>
        <w:tabs>
          <w:tab w:val="left" w:pos="3969"/>
        </w:tabs>
        <w:spacing w:before="120" w:line="312" w:lineRule="auto"/>
        <w:ind w:left="3969" w:hanging="3402"/>
        <w:jc w:val="both"/>
        <w:rPr>
          <w:rFonts w:ascii="Arial" w:hAnsi="Arial" w:cs="Arial"/>
        </w:rPr>
      </w:pPr>
      <w:r>
        <w:rPr>
          <w:rFonts w:ascii="Arial" w:hAnsi="Arial"/>
        </w:rPr>
        <w:t>UNE EN 23740-1:2016</w:t>
      </w:r>
      <w:r>
        <w:rPr>
          <w:rFonts w:ascii="Arial" w:hAnsi="Arial"/>
        </w:rPr>
        <w:tab/>
        <w:t>Fire safety. Shutter assemblies elements. Specific requirements for installation, use and maintenance. Part 1: Fire doors.</w:t>
      </w:r>
    </w:p>
    <w:p w:rsidR="004836CD" w:rsidRPr="00937C8B" w:rsidRDefault="004836CD" w:rsidP="00D27646">
      <w:pPr>
        <w:keepNext/>
        <w:spacing w:before="120" w:line="312" w:lineRule="auto"/>
        <w:ind w:left="851" w:hanging="284"/>
        <w:rPr>
          <w:rFonts w:ascii="Arial" w:hAnsi="Arial" w:cs="Arial"/>
        </w:rPr>
      </w:pPr>
      <w:r>
        <w:rPr>
          <w:rFonts w:ascii="Arial" w:hAnsi="Arial"/>
        </w:rPr>
        <w:t>5</w:t>
      </w:r>
      <w:r>
        <w:rPr>
          <w:rFonts w:ascii="Arial" w:hAnsi="Arial"/>
        </w:rPr>
        <w:tab/>
        <w:t>Signage</w:t>
      </w:r>
    </w:p>
    <w:p w:rsidR="004836CD" w:rsidRPr="00937C8B" w:rsidRDefault="004836CD" w:rsidP="0058501F">
      <w:pPr>
        <w:spacing w:before="120" w:line="312" w:lineRule="auto"/>
        <w:ind w:left="3969" w:hanging="3402"/>
        <w:jc w:val="both"/>
        <w:rPr>
          <w:rFonts w:ascii="Arial" w:hAnsi="Arial" w:cs="Arial"/>
        </w:rPr>
      </w:pPr>
      <w:r>
        <w:rPr>
          <w:rFonts w:ascii="Arial" w:hAnsi="Arial"/>
        </w:rPr>
        <w:t>*UNE 23034:1988</w:t>
      </w:r>
      <w:r>
        <w:rPr>
          <w:rFonts w:ascii="Arial" w:hAnsi="Arial"/>
        </w:rPr>
        <w:tab/>
        <w:t>Fire safety. Safety signs. Means of egress.</w:t>
      </w:r>
    </w:p>
    <w:p w:rsidR="004836CD" w:rsidRPr="00937C8B" w:rsidRDefault="004836CD" w:rsidP="0058501F">
      <w:pPr>
        <w:spacing w:before="120" w:line="312" w:lineRule="auto"/>
        <w:ind w:left="3969" w:hanging="3402"/>
        <w:jc w:val="both"/>
        <w:rPr>
          <w:rFonts w:ascii="Arial" w:hAnsi="Arial" w:cs="Arial"/>
        </w:rPr>
      </w:pPr>
      <w:r>
        <w:rPr>
          <w:rFonts w:ascii="Arial" w:hAnsi="Arial"/>
        </w:rPr>
        <w:t>UNE 23035</w:t>
      </w:r>
      <w:r>
        <w:rPr>
          <w:rFonts w:ascii="Arial" w:hAnsi="Arial"/>
        </w:rPr>
        <w:tab/>
        <w:t>Fire safety. Longtime afterglowing signs.</w:t>
      </w:r>
    </w:p>
    <w:p w:rsidR="004836CD" w:rsidRPr="00937C8B" w:rsidRDefault="004836CD" w:rsidP="0058501F">
      <w:pPr>
        <w:spacing w:before="120" w:line="312" w:lineRule="auto"/>
        <w:ind w:left="3969" w:hanging="3402"/>
        <w:jc w:val="both"/>
        <w:rPr>
          <w:rFonts w:ascii="Arial" w:hAnsi="Arial" w:cs="Arial"/>
        </w:rPr>
      </w:pPr>
      <w:r>
        <w:rPr>
          <w:rFonts w:ascii="Arial" w:hAnsi="Arial"/>
        </w:rPr>
        <w:t>*UNE 23035-1:2003</w:t>
      </w:r>
      <w:r>
        <w:rPr>
          <w:rFonts w:ascii="Arial" w:hAnsi="Arial"/>
        </w:rPr>
        <w:tab/>
        <w:t>Part 1: Measurement and marking.</w:t>
      </w:r>
    </w:p>
    <w:p w:rsidR="004836CD" w:rsidRPr="00937C8B" w:rsidRDefault="004836CD" w:rsidP="0058501F">
      <w:pPr>
        <w:spacing w:before="120" w:line="312" w:lineRule="auto"/>
        <w:ind w:left="3969" w:hanging="3402"/>
        <w:jc w:val="both"/>
        <w:rPr>
          <w:rFonts w:ascii="Arial" w:hAnsi="Arial" w:cs="Arial"/>
        </w:rPr>
      </w:pPr>
      <w:r>
        <w:rPr>
          <w:rFonts w:ascii="Arial" w:hAnsi="Arial"/>
        </w:rPr>
        <w:t>*UNE 23035-2:2003</w:t>
      </w:r>
      <w:r>
        <w:rPr>
          <w:rFonts w:ascii="Arial" w:hAnsi="Arial"/>
        </w:rPr>
        <w:tab/>
        <w:t>Part 2: Measurement of longtime afterglowing products on the spot.</w:t>
      </w:r>
    </w:p>
    <w:p w:rsidR="004836CD" w:rsidRPr="00937C8B" w:rsidRDefault="004836CD" w:rsidP="0058501F">
      <w:pPr>
        <w:spacing w:before="120" w:line="312" w:lineRule="auto"/>
        <w:ind w:left="3969" w:hanging="3402"/>
        <w:jc w:val="both"/>
        <w:rPr>
          <w:rFonts w:ascii="Arial" w:hAnsi="Arial" w:cs="Arial"/>
        </w:rPr>
      </w:pPr>
      <w:r>
        <w:rPr>
          <w:rFonts w:ascii="Arial" w:hAnsi="Arial"/>
        </w:rPr>
        <w:t>*UNE 23035-3:2003</w:t>
      </w:r>
      <w:r>
        <w:rPr>
          <w:rFonts w:ascii="Arial" w:hAnsi="Arial"/>
        </w:rPr>
        <w:tab/>
        <w:t>Part 3: Photoluminescent signs and markings.</w:t>
      </w:r>
    </w:p>
    <w:p w:rsidR="004836CD" w:rsidRPr="00937C8B" w:rsidRDefault="004836CD" w:rsidP="0058501F">
      <w:pPr>
        <w:spacing w:before="120" w:line="312" w:lineRule="auto"/>
        <w:ind w:left="3969" w:hanging="3402"/>
        <w:jc w:val="both"/>
        <w:rPr>
          <w:rFonts w:ascii="Arial" w:hAnsi="Arial" w:cs="Arial"/>
        </w:rPr>
      </w:pPr>
      <w:r>
        <w:rPr>
          <w:rFonts w:ascii="Arial" w:hAnsi="Arial"/>
        </w:rPr>
        <w:t>*UNE 23035-4:2003</w:t>
      </w:r>
      <w:r>
        <w:rPr>
          <w:rFonts w:ascii="Arial" w:hAnsi="Arial"/>
        </w:rPr>
        <w:tab/>
        <w:t>Part 4: General conditions. Measurement and classification.</w:t>
      </w:r>
    </w:p>
    <w:p w:rsidR="004836CD" w:rsidRPr="00937C8B" w:rsidRDefault="004836CD" w:rsidP="00D27646">
      <w:pPr>
        <w:keepNext/>
        <w:spacing w:before="120" w:line="312" w:lineRule="auto"/>
        <w:ind w:left="851" w:hanging="284"/>
        <w:rPr>
          <w:rFonts w:ascii="Arial" w:hAnsi="Arial" w:cs="Arial"/>
        </w:rPr>
      </w:pPr>
      <w:r>
        <w:rPr>
          <w:rFonts w:ascii="Arial" w:hAnsi="Arial"/>
        </w:rPr>
        <w:t>6</w:t>
      </w:r>
      <w:r>
        <w:rPr>
          <w:rFonts w:ascii="Arial" w:hAnsi="Arial"/>
        </w:rPr>
        <w:tab/>
        <w:t>Other aspects</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ISO 13943:2018</w:t>
      </w:r>
      <w:r>
        <w:rPr>
          <w:rFonts w:ascii="Arial" w:hAnsi="Arial"/>
        </w:rPr>
        <w:tab/>
        <w:t>Fire safety. Vocabulary.</w:t>
      </w:r>
    </w:p>
    <w:p w:rsidR="007A61FF" w:rsidRPr="00937C8B" w:rsidRDefault="004836CD" w:rsidP="00952002">
      <w:pPr>
        <w:spacing w:before="120" w:line="312" w:lineRule="auto"/>
        <w:ind w:left="3969" w:hanging="3402"/>
        <w:jc w:val="both"/>
        <w:rPr>
          <w:rFonts w:ascii="Arial" w:hAnsi="Arial" w:cs="Arial"/>
        </w:rPr>
      </w:pPr>
      <w:r>
        <w:rPr>
          <w:rFonts w:ascii="Arial" w:hAnsi="Arial"/>
        </w:rPr>
        <w:t>UNE EN ISO 16730-1:2017</w:t>
      </w:r>
      <w:r>
        <w:rPr>
          <w:rFonts w:ascii="Arial" w:hAnsi="Arial"/>
        </w:rPr>
        <w:tab/>
        <w:t>Fire safety engineering. Procedures and requirements for verification and validation of calculation methods. Part 1: General.</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ISO 16733-1:2017</w:t>
      </w:r>
      <w:r>
        <w:rPr>
          <w:rFonts w:ascii="Arial" w:hAnsi="Arial"/>
        </w:rPr>
        <w:tab/>
        <w:t>Fire safety engineering. Selection of design fire scenarios and design fires. Part 1: Selection of design fire scenarios.</w:t>
      </w:r>
    </w:p>
    <w:p w:rsidR="004836CD" w:rsidRPr="00937C8B" w:rsidRDefault="004836CD" w:rsidP="0058501F">
      <w:pPr>
        <w:spacing w:before="120" w:line="312" w:lineRule="auto"/>
        <w:ind w:left="3969" w:hanging="3402"/>
        <w:jc w:val="both"/>
        <w:rPr>
          <w:rFonts w:ascii="Arial" w:hAnsi="Arial" w:cs="Arial"/>
        </w:rPr>
      </w:pPr>
      <w:r>
        <w:rPr>
          <w:rFonts w:ascii="Arial" w:hAnsi="Arial"/>
        </w:rPr>
        <w:t>UNE EN ISO 23932:2017</w:t>
      </w:r>
      <w:r>
        <w:rPr>
          <w:rFonts w:ascii="Arial" w:hAnsi="Arial"/>
        </w:rPr>
        <w:tab/>
        <w:t>Fire safety engineering. General principles.”</w:t>
      </w:r>
    </w:p>
    <w:p w:rsidR="004836CD" w:rsidRPr="00937C8B" w:rsidRDefault="004836CD" w:rsidP="00D27646">
      <w:pPr>
        <w:keepNext/>
        <w:spacing w:before="120" w:line="312" w:lineRule="auto"/>
        <w:jc w:val="both"/>
        <w:rPr>
          <w:rFonts w:ascii="Arial" w:hAnsi="Arial" w:cs="Arial"/>
        </w:rPr>
      </w:pPr>
      <w:r>
        <w:rPr>
          <w:rFonts w:ascii="Arial" w:hAnsi="Arial"/>
        </w:rPr>
        <w:lastRenderedPageBreak/>
        <w:t>Ten.</w:t>
      </w:r>
      <w:r>
        <w:rPr>
          <w:rFonts w:ascii="Arial" w:hAnsi="Arial"/>
        </w:rPr>
        <w:tab/>
        <w:t>In basic document DB-SUA “User Safety and Accessibility”, the legislative references indicated are updated as follows:</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 xml:space="preserve">- In the Introduction, Part III General criteria of application, the paragraph: ‘When a regulatory provision is cited in this DB, reference is to be made to the version in force at the time of application. When a UNE, UNE-EN or UNE-EN ISO standard is cited, reference is to be made to the version indicated, even if a subsequent version exists, except for UNE standards corresponding to EN or EN ISO standards whose reference has been published in the Official Journal of the European Union within the framework of application of Council Directive 89/106/EEC on construction products, in which case the citation must be for the version of said reference’ is replaced with the following paragraphs: </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‘When a regulatory provision is cited in this DB, reference is to be made to the version in force at the time of application. When a UNE, UNE-EN or UNE-EN ISO standard is cited, reference is to be made to the version indicated, even if a subsequent version exists, except in cases of harmonised UNE EN standards that transpose EN standards whose references were published in the Official Journal of the European Union within the framework of application of Regulation (EU) No 305/2011 of the European Parliament and of the Council of 9 March 2011 laying down harmonised conditions for the marketing of construction products and repealing Council Directive 89/106/EEC, in which case the citation shall be for the last Commission Communication that includes said reference. In cases of standards on test methods referenced in the harmonised standards, the version included in the harmonised UNE EN standards listed above shall apply.</w:t>
      </w:r>
    </w:p>
    <w:p w:rsidR="007A61FF"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The standards specified in this Basic Document may be replaced by others used by any other EU Member State or party to the Agreement on the European Economic Area or any country party to a customs Association Agreement with the European Union, as long as they are demonstrated to have equivalent technical specifications.’</w:t>
      </w:r>
    </w:p>
    <w:p w:rsidR="004836CD" w:rsidRPr="00937C8B" w:rsidRDefault="004836CD" w:rsidP="0058501F">
      <w:pPr>
        <w:spacing w:before="120" w:line="312" w:lineRule="auto"/>
        <w:jc w:val="both"/>
        <w:rPr>
          <w:rFonts w:ascii="Arial" w:hAnsi="Arial" w:cs="Arial"/>
        </w:rPr>
      </w:pPr>
      <w:r>
        <w:rPr>
          <w:rFonts w:ascii="Arial" w:hAnsi="Arial"/>
        </w:rPr>
        <w:t>- In Subsection SUA1-1, point 2, second subparagraph, the reference ‘Slip resistance R</w:t>
      </w:r>
      <w:r>
        <w:rPr>
          <w:rFonts w:ascii="Arial" w:hAnsi="Arial"/>
          <w:vertAlign w:val="subscript"/>
        </w:rPr>
        <w:t>d</w:t>
      </w:r>
      <w:r>
        <w:rPr>
          <w:rFonts w:ascii="Arial" w:hAnsi="Arial"/>
        </w:rPr>
        <w:t xml:space="preserve"> is determined using the pendulum test described in Annex A to UNE ENV 12633:2003 using scale C in test tubes without accelerated wear.’ is replaced by ‘Slip resistance R</w:t>
      </w:r>
      <w:r>
        <w:rPr>
          <w:rFonts w:ascii="Arial" w:hAnsi="Arial"/>
          <w:vertAlign w:val="subscript"/>
        </w:rPr>
        <w:t>d</w:t>
      </w:r>
      <w:r>
        <w:rPr>
          <w:rFonts w:ascii="Arial" w:hAnsi="Arial"/>
        </w:rPr>
        <w:t xml:space="preserve"> is the PTV obtained from the pendulum test described in standard UNE 41901:2017 EX.’. </w:t>
      </w:r>
    </w:p>
    <w:p w:rsidR="004836CD" w:rsidRPr="00937C8B" w:rsidRDefault="004836CD" w:rsidP="0058501F">
      <w:pPr>
        <w:spacing w:before="120" w:line="312" w:lineRule="auto"/>
        <w:jc w:val="both"/>
        <w:rPr>
          <w:rFonts w:ascii="Arial" w:hAnsi="Arial" w:cs="Arial"/>
        </w:rPr>
      </w:pPr>
      <w:r>
        <w:rPr>
          <w:rFonts w:ascii="Arial" w:hAnsi="Arial"/>
        </w:rPr>
        <w:t>- Subsection SUA2-1.2, point 3, is replaced by ‘Industrial, commercial and garage doors and gates shall satisfy the conditions on safety of use established in the applicable regulations and shall have a CE mark in compliance with the applicable European Regulations and Directives’.</w:t>
      </w:r>
    </w:p>
    <w:p w:rsidR="004836CD" w:rsidRPr="00937C8B" w:rsidRDefault="004836CD" w:rsidP="0058501F">
      <w:pPr>
        <w:spacing w:before="120" w:line="312" w:lineRule="auto"/>
        <w:jc w:val="both"/>
        <w:rPr>
          <w:rFonts w:ascii="Arial" w:hAnsi="Arial" w:cs="Arial"/>
        </w:rPr>
      </w:pPr>
      <w:r>
        <w:rPr>
          <w:rFonts w:ascii="Arial" w:hAnsi="Arial"/>
        </w:rPr>
        <w:t>- Subsection SUA2-1.2, point 4, is replaced by ‘Automatic pedestrian doors shall satisfy the conditions on safety of use established in the applicable regulations and shall have a CE mark in compliance with the applicable European Regulations and Directives’.</w:t>
      </w:r>
    </w:p>
    <w:p w:rsidR="004836CD" w:rsidRPr="00937C8B" w:rsidRDefault="004836CD" w:rsidP="00D27646">
      <w:pPr>
        <w:keepNext/>
        <w:spacing w:before="120" w:line="312" w:lineRule="auto"/>
        <w:jc w:val="both"/>
        <w:rPr>
          <w:rFonts w:ascii="Arial" w:hAnsi="Arial" w:cs="Arial"/>
        </w:rPr>
      </w:pPr>
      <w:r>
        <w:rPr>
          <w:rFonts w:ascii="Arial" w:hAnsi="Arial"/>
        </w:rPr>
        <w:lastRenderedPageBreak/>
        <w:t>- Annex C is replaced with the following:</w:t>
      </w:r>
    </w:p>
    <w:p w:rsidR="004836CD" w:rsidRPr="00937C8B" w:rsidRDefault="004836CD" w:rsidP="0058501F">
      <w:pPr>
        <w:pStyle w:val="CteAnejo-TituloSeccion"/>
        <w:spacing w:before="120" w:after="0" w:line="312" w:lineRule="auto"/>
        <w:ind w:left="567"/>
        <w:rPr>
          <w:rStyle w:val="EstiloCTEModTachaprob16ptNegritaSinTachado"/>
          <w:rFonts w:cs="Arial"/>
          <w:strike w:val="0"/>
          <w:sz w:val="24"/>
        </w:rPr>
      </w:pPr>
      <w:bookmarkStart w:id="2" w:name="_Toc305147279"/>
      <w:bookmarkStart w:id="3" w:name="_Toc305154303"/>
      <w:bookmarkStart w:id="4" w:name="_Toc307583340"/>
      <w:bookmarkStart w:id="5" w:name="_Toc307583471"/>
      <w:bookmarkStart w:id="6" w:name="_Toc307584307"/>
      <w:bookmarkStart w:id="7" w:name="_Toc308435871"/>
      <w:bookmarkStart w:id="8" w:name="_Toc308437083"/>
      <w:bookmarkStart w:id="9" w:name="_Toc309985271"/>
      <w:bookmarkStart w:id="10" w:name="_Toc485899133"/>
      <w:bookmarkStart w:id="11" w:name="_Toc39158107"/>
      <w:r>
        <w:rPr>
          <w:rStyle w:val="EstiloCTEModTachaprob16ptNegritaSinTachado"/>
          <w:strike w:val="0"/>
          <w:sz w:val="24"/>
        </w:rPr>
        <w:t>‘Annex C</w:t>
      </w:r>
      <w:r>
        <w:rPr>
          <w:rStyle w:val="EstiloCTEModTachaprob16ptNegritaSinTachado"/>
          <w:strike w:val="0"/>
          <w:sz w:val="24"/>
        </w:rPr>
        <w:tab/>
        <w:t>Standards related to the application of DB SUA</w:t>
      </w:r>
      <w:bookmarkEnd w:id="2"/>
      <w:bookmarkEnd w:id="3"/>
      <w:bookmarkEnd w:id="4"/>
      <w:bookmarkEnd w:id="5"/>
      <w:bookmarkEnd w:id="6"/>
      <w:bookmarkEnd w:id="7"/>
      <w:bookmarkEnd w:id="8"/>
      <w:bookmarkEnd w:id="9"/>
      <w:bookmarkEnd w:id="10"/>
      <w:bookmarkEnd w:id="11"/>
      <w:r>
        <w:rPr>
          <w:rStyle w:val="EstiloCTEModTachaprob16ptNegritaSinTachado"/>
          <w:strike w:val="0"/>
          <w:sz w:val="24"/>
        </w:rPr>
        <w:t xml:space="preserve"> </w:t>
      </w:r>
    </w:p>
    <w:p w:rsidR="004836CD" w:rsidRPr="00937C8B" w:rsidRDefault="004836CD" w:rsidP="0058501F">
      <w:pPr>
        <w:widowControl w:val="0"/>
        <w:spacing w:before="120" w:line="312" w:lineRule="auto"/>
        <w:ind w:left="567"/>
        <w:jc w:val="both"/>
        <w:rPr>
          <w:rFonts w:ascii="Arial" w:hAnsi="Arial" w:cs="Arial"/>
          <w:bCs/>
        </w:rPr>
      </w:pPr>
      <w:r>
        <w:rPr>
          <w:rStyle w:val="EstiloCTEModTachaprobSinTachado"/>
          <w:rFonts w:ascii="Arial" w:hAnsi="Arial"/>
          <w:strike w:val="0"/>
        </w:rPr>
        <w:t xml:space="preserve">This annex gives </w:t>
      </w:r>
      <w:r>
        <w:rPr>
          <w:rFonts w:ascii="Arial" w:hAnsi="Arial"/>
        </w:rPr>
        <w:t xml:space="preserve">the full references for the standards cited in the text of DBSUA. </w:t>
      </w:r>
    </w:p>
    <w:p w:rsidR="004836CD" w:rsidRPr="00937C8B" w:rsidRDefault="004836CD" w:rsidP="00D27646">
      <w:pPr>
        <w:pStyle w:val="CteTtulo3"/>
      </w:pPr>
      <w:r>
        <w:t>1</w:t>
      </w:r>
      <w:r>
        <w:tab/>
        <w:t>Slipperiness</w:t>
      </w:r>
    </w:p>
    <w:p w:rsidR="004836CD" w:rsidRPr="00937C8B" w:rsidRDefault="004836CD" w:rsidP="0058501F">
      <w:pPr>
        <w:spacing w:before="120" w:line="312" w:lineRule="auto"/>
        <w:ind w:left="3544" w:hanging="2977"/>
        <w:jc w:val="both"/>
        <w:rPr>
          <w:rFonts w:ascii="Arial" w:hAnsi="Arial" w:cs="Arial"/>
        </w:rPr>
      </w:pPr>
      <w:r>
        <w:rPr>
          <w:rFonts w:ascii="Arial" w:hAnsi="Arial"/>
        </w:rPr>
        <w:t xml:space="preserve">UNE 41901:2017 EX </w:t>
      </w:r>
      <w:r>
        <w:rPr>
          <w:rFonts w:ascii="Arial" w:hAnsi="Arial"/>
        </w:rPr>
        <w:tab/>
        <w:t>Surfaces for pedestrian transit. Determination of the slip resistance by pendulum friction method. Wet test.</w:t>
      </w:r>
    </w:p>
    <w:p w:rsidR="004836CD" w:rsidRPr="00937C8B" w:rsidRDefault="004836CD" w:rsidP="00D27646">
      <w:pPr>
        <w:pStyle w:val="CteTtulo3"/>
      </w:pPr>
      <w:r>
        <w:t>2</w:t>
      </w:r>
      <w:r>
        <w:tab/>
        <w:t xml:space="preserve">Doors </w:t>
      </w:r>
    </w:p>
    <w:p w:rsidR="004836CD" w:rsidRPr="00937C8B" w:rsidRDefault="004836CD" w:rsidP="0058501F">
      <w:pPr>
        <w:spacing w:before="120" w:line="312" w:lineRule="auto"/>
        <w:ind w:left="3544" w:hanging="2977"/>
        <w:jc w:val="both"/>
        <w:rPr>
          <w:rFonts w:ascii="Arial" w:hAnsi="Arial" w:cs="Arial"/>
        </w:rPr>
      </w:pPr>
      <w:r>
        <w:rPr>
          <w:rFonts w:ascii="Arial" w:hAnsi="Arial"/>
        </w:rPr>
        <w:t>UNE EN 12046-2:2000</w:t>
      </w:r>
      <w:r>
        <w:rPr>
          <w:rFonts w:ascii="Arial" w:hAnsi="Arial"/>
        </w:rPr>
        <w:tab/>
        <w:t>Operating forces. Test method. Part 2: Doors</w:t>
      </w:r>
    </w:p>
    <w:p w:rsidR="004836CD" w:rsidRPr="00937C8B" w:rsidRDefault="004836CD" w:rsidP="00D27646">
      <w:pPr>
        <w:pStyle w:val="CteTtulo3"/>
      </w:pPr>
      <w:r>
        <w:t>3</w:t>
      </w:r>
      <w:r>
        <w:tab/>
        <w:t>Glass in building</w:t>
      </w:r>
    </w:p>
    <w:p w:rsidR="004836CD" w:rsidRPr="00937C8B" w:rsidRDefault="004836CD" w:rsidP="0058501F">
      <w:pPr>
        <w:spacing w:before="120" w:line="312" w:lineRule="auto"/>
        <w:ind w:left="3544" w:hanging="2977"/>
        <w:jc w:val="both"/>
        <w:rPr>
          <w:rFonts w:ascii="Arial" w:hAnsi="Arial" w:cs="Arial"/>
        </w:rPr>
      </w:pPr>
      <w:r>
        <w:rPr>
          <w:rFonts w:ascii="Arial" w:hAnsi="Arial"/>
        </w:rPr>
        <w:t>UNE EN 12600:2003</w:t>
      </w:r>
      <w:r>
        <w:rPr>
          <w:rFonts w:ascii="Arial" w:hAnsi="Arial"/>
        </w:rPr>
        <w:tab/>
        <w:t xml:space="preserve">Glass in building. Pendulum test. Impact test method and classification for flat glass. </w:t>
      </w:r>
    </w:p>
    <w:p w:rsidR="004836CD" w:rsidRPr="00937C8B" w:rsidRDefault="004836CD" w:rsidP="00D27646">
      <w:pPr>
        <w:pStyle w:val="CteTtulo3"/>
      </w:pPr>
      <w:r>
        <w:t>4</w:t>
      </w:r>
      <w:r>
        <w:tab/>
        <w:t>Lifts</w:t>
      </w:r>
    </w:p>
    <w:p w:rsidR="004836CD" w:rsidRPr="00937C8B" w:rsidRDefault="004836CD" w:rsidP="0058501F">
      <w:pPr>
        <w:spacing w:before="120" w:line="312" w:lineRule="auto"/>
        <w:ind w:left="3686" w:hanging="3119"/>
        <w:jc w:val="both"/>
        <w:rPr>
          <w:rFonts w:ascii="Arial" w:hAnsi="Arial" w:cs="Arial"/>
        </w:rPr>
      </w:pPr>
      <w:r>
        <w:rPr>
          <w:rFonts w:ascii="Arial" w:hAnsi="Arial"/>
        </w:rPr>
        <w:t>UNE EN 81-70:2004+A1:2005</w:t>
      </w:r>
      <w:r>
        <w:rPr>
          <w:rFonts w:ascii="Arial" w:hAnsi="Arial"/>
        </w:rPr>
        <w:tab/>
        <w:t xml:space="preserve">Safety rules for the construction and installation of lifts. Particular applications for passenger and goods and passenger lifts. </w:t>
      </w:r>
    </w:p>
    <w:p w:rsidR="004836CD" w:rsidRPr="00937C8B" w:rsidRDefault="004836CD" w:rsidP="0058501F">
      <w:pPr>
        <w:spacing w:before="120" w:line="312" w:lineRule="auto"/>
        <w:ind w:left="3686"/>
        <w:jc w:val="both"/>
        <w:rPr>
          <w:rFonts w:ascii="Arial" w:hAnsi="Arial" w:cs="Arial"/>
        </w:rPr>
      </w:pPr>
      <w:r>
        <w:rPr>
          <w:rFonts w:ascii="Arial" w:hAnsi="Arial"/>
        </w:rPr>
        <w:t>Part 70: Accessibility to lifts for persons including persons with disability.</w:t>
      </w:r>
    </w:p>
    <w:p w:rsidR="004836CD" w:rsidRPr="00937C8B" w:rsidRDefault="004836CD" w:rsidP="00D27646">
      <w:pPr>
        <w:pStyle w:val="CteTtulo3"/>
      </w:pPr>
      <w:r>
        <w:t>5</w:t>
      </w:r>
      <w:r>
        <w:tab/>
        <w:t>Signage</w:t>
      </w:r>
    </w:p>
    <w:p w:rsidR="004836CD" w:rsidRPr="00937C8B" w:rsidRDefault="004836CD" w:rsidP="0058501F">
      <w:pPr>
        <w:spacing w:before="120" w:line="312" w:lineRule="auto"/>
        <w:ind w:left="3686" w:hanging="3119"/>
        <w:jc w:val="both"/>
        <w:rPr>
          <w:rFonts w:ascii="Arial" w:hAnsi="Arial" w:cs="Arial"/>
        </w:rPr>
      </w:pPr>
      <w:r>
        <w:rPr>
          <w:rFonts w:ascii="Arial" w:hAnsi="Arial"/>
        </w:rPr>
        <w:t>UNE 41501:2002</w:t>
      </w:r>
      <w:r>
        <w:rPr>
          <w:rFonts w:ascii="Arial" w:hAnsi="Arial"/>
        </w:rPr>
        <w:tab/>
        <w:t>Symbol of accessibility for mobility. Rules and grades of use.’</w:t>
      </w:r>
    </w:p>
    <w:p w:rsidR="004836CD" w:rsidRPr="00937C8B" w:rsidRDefault="004836CD" w:rsidP="00D27646">
      <w:pPr>
        <w:keepNext/>
        <w:spacing w:before="120" w:line="312" w:lineRule="auto"/>
        <w:jc w:val="both"/>
        <w:rPr>
          <w:rFonts w:ascii="Arial" w:hAnsi="Arial" w:cs="Arial"/>
        </w:rPr>
      </w:pPr>
      <w:r>
        <w:rPr>
          <w:rFonts w:ascii="Arial" w:hAnsi="Arial"/>
        </w:rPr>
        <w:t>Eleven. In basic document DB HR “Protection from Noise” the legislative references indicated are updated as follows:</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 xml:space="preserve">- In the Introduction, Part III General criteria of application, the paragraph: ‘When a regulatory provision is cited in this DB, reference is to be made to the version in force at the time of application. When a UNE standard is cited, reference is to be made to the version indicated, even if a subsequent version exists, except for UNE standards corresponding to EN or EN ISO standards whose reference has been published in the Official Journal of the European Union within the framework of application of Council Directive 89/106/EEC on construction products, in which case the citation must be for the version of said reference’ is replaced with the following paragraphs: </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 xml:space="preserve">‘When a regulatory provision is cited in this DB, reference is to be made to the version in force at the time of application. When a UNE, UNE-EN or UNE-EN ISO standard is cited, reference is to be made to the version indicated, even if a subsequent version exists, except in cases of harmonised UNE EN standards that transpose EN standards whose references were published in the Official </w:t>
      </w:r>
      <w:r>
        <w:rPr>
          <w:rFonts w:ascii="Arial" w:hAnsi="Arial"/>
        </w:rPr>
        <w:lastRenderedPageBreak/>
        <w:t>Journal of the European Union within the framework of application of Regulation (EU) No 305/2011 of the European Parliament and of the Council of 9 March 2011 laying down harmonised conditions for the marketing of construction products and repealing Council Directive 89/106/EEC, in which case the citation shall be for the last Commission Communication that includes said reference. In cases of standards on test methods referenced in the harmonised standards, the version included in the harmonised UNE EN standards listed above shall apply.</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The standards specified in this Basic Document may be replaced by others used by any other EU Member State or party to the Agreement on the European Economic Area or any country party to a customs Association Agreement with the European Union, as long as they are demonstrated to have equivalent technical specifications.’</w:t>
      </w:r>
    </w:p>
    <w:p w:rsidR="004836CD" w:rsidRPr="00937C8B" w:rsidRDefault="004836CD" w:rsidP="0058501F">
      <w:pPr>
        <w:spacing w:before="120" w:line="312" w:lineRule="auto"/>
        <w:jc w:val="both"/>
        <w:rPr>
          <w:rFonts w:ascii="Arial" w:hAnsi="Arial" w:cs="Arial"/>
        </w:rPr>
      </w:pPr>
      <w:r>
        <w:rPr>
          <w:rFonts w:ascii="Arial" w:hAnsi="Arial"/>
        </w:rPr>
        <w:t>- In the table of contents, the reference ‘Annex D. Calculation of vibration reduction index in building element joints’ is replaced by ‘Annex D. Deleted’.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the table of contents, the reference “Annex E. Measurement and evaluation of improvement in sound reduction index, ΔR, and on reducing the impact sound pressure level, ΔL, of coverings” is replaced by “Annex E. Deleted.”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xml:space="preserve">- In Subsection 3.1.3 General option. Sound insulation calculation method, in point 1, the reference “UNE EN 12354 parts 1, 2 and 3” is replaced by “UNE-EN ISO 12354 parts 1, 2 and 3”. </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Subsection 3.1.3.2 Hypothesis for calculation. On-site behaviour of building elements, point 7, the reference “To be determined using the formulae from Annex D based on the ratio of mass per surface unit and on the type of joint and construction elements.” is replaced by “Can be calculated following standard UNE-EN ISO 12354-1”.</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xml:space="preserve">- In Subsection 3.1.3.3 Method for calculating acoustic insulation to airborne noise between interior enclosures, point 3, the reference ‘A.16 and A.17’ is replaced by ‘A.15 and A.16’. </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Subsection 3.1.3.3 Method for calculating acoustic insulation to airborne noise between interior enclosures, point 5, the reference ‘Kij measurements are to be calculated according to Annex D.’ is replaced by ‘Kij measurements may be calculated according to standard UNE EN ISO 12354-1’.</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Subsection 4.2 Mandatory construction element characteristics, point 7, references ‘A.16 and A.17’ and ‘A.27’ are replaced by ‘A.15 and A.16’ and ‘A.26’, respectively.</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Subsection 5.1.1.2 On self-supporting framework and wall linings, in point 1, the reference ‘Vertical partitions in self-supporting framework must be assembled on site according to the specifications of UNE 102040 IN and wall linings, either self-supporting or fastened, must be assembled on site according to the specifications of UNE 102041 IN.’ is replaced by ‘Vertical partitions in self-supporting framework and self-supporting and fastened wall linings must be assembled on site according to the specifications of UNE 102043.’</w:t>
      </w:r>
    </w:p>
    <w:p w:rsidR="004836CD" w:rsidRPr="00937C8B" w:rsidRDefault="004836CD" w:rsidP="0058501F">
      <w:pPr>
        <w:tabs>
          <w:tab w:val="left" w:pos="426"/>
        </w:tabs>
        <w:spacing w:before="120" w:line="312" w:lineRule="auto"/>
        <w:jc w:val="both"/>
        <w:rPr>
          <w:rFonts w:ascii="Arial" w:hAnsi="Arial" w:cs="Arial"/>
        </w:rPr>
      </w:pPr>
      <w:r>
        <w:rPr>
          <w:rFonts w:ascii="Arial" w:hAnsi="Arial"/>
        </w:rPr>
        <w:lastRenderedPageBreak/>
        <w:t>- Subsection 5.3 Completed project inspection, point 2, the references ‘UNE EN ISO 140-4’, ‘UNE EN ISO 140-5’ and ‘UNE EN ISO 140-7’ are replaced by ‘UNE-EN ISO 16283-1’, ‘UNE EN ISO 16283-3’ and ‘UNE-EN ISO 16283-2’, respectively.</w:t>
      </w:r>
    </w:p>
    <w:p w:rsidR="008C5A28" w:rsidRPr="00937C8B" w:rsidRDefault="004836CD" w:rsidP="0058501F">
      <w:pPr>
        <w:tabs>
          <w:tab w:val="left" w:pos="426"/>
        </w:tabs>
        <w:spacing w:before="120" w:line="312" w:lineRule="auto"/>
        <w:jc w:val="both"/>
        <w:rPr>
          <w:rFonts w:ascii="Arial" w:hAnsi="Arial" w:cs="Arial"/>
          <w:sz w:val="12"/>
          <w:szCs w:val="12"/>
        </w:rPr>
      </w:pPr>
      <w:r>
        <w:rPr>
          <w:rFonts w:ascii="Arial" w:hAnsi="Arial"/>
        </w:rPr>
        <w:t>- In Annex A. Terminology, the definition ‘Critical frequency, fc: Limit frequency below which the coincidence effect starts to occur, consisting in transmission of sound energy through the construction element in the form of bending waves, in connection with the sound waves in the air, resulting in reduced sound insulation. This is defined using the elastic constants of the construction elements, with the following equation:</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xml:space="preserve"> </w:t>
      </w:r>
      <w:r>
        <w:object w:dxaOrig="2240"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8pt;height:33pt" o:ole="">
            <v:imagedata r:id="rId11" o:title=""/>
          </v:shape>
          <o:OLEObject Type="Embed" ProgID="Equation.3" ShapeID="_x0000_i1025" DrawAspect="Content" ObjectID="_1655488972" r:id="rId12"/>
        </w:object>
      </w:r>
      <w:r>
        <w:rPr>
          <w:rFonts w:ascii="Arial" w:hAnsi="Arial"/>
        </w:rPr>
        <w:t xml:space="preserve"> [Hz] (A.10) where d: wall thickness, [m]; </w:t>
      </w:r>
      <w:r>
        <w:rPr>
          <w:rFonts w:ascii="Arial" w:hAnsi="Arial"/>
        </w:rPr>
        <w:sym w:font="Symbol" w:char="F072"/>
      </w:r>
      <w:r>
        <w:rPr>
          <w:rFonts w:ascii="Arial" w:hAnsi="Arial"/>
        </w:rPr>
        <w:t>: density, [kg/m</w:t>
      </w:r>
      <w:r>
        <w:rPr>
          <w:rFonts w:ascii="Arial" w:hAnsi="Arial"/>
          <w:vertAlign w:val="superscript"/>
        </w:rPr>
        <w:t>3</w:t>
      </w:r>
      <w:r>
        <w:rPr>
          <w:rFonts w:ascii="Arial" w:hAnsi="Arial"/>
        </w:rPr>
        <w:t>]; E: Young’s modulus, [N/m</w:t>
      </w:r>
      <w:r>
        <w:rPr>
          <w:rFonts w:ascii="Arial" w:hAnsi="Arial"/>
          <w:vertAlign w:val="superscript"/>
        </w:rPr>
        <w:t>2</w:t>
      </w:r>
      <w:r>
        <w:rPr>
          <w:rFonts w:ascii="Arial" w:hAnsi="Arial"/>
        </w:rPr>
        <w:t xml:space="preserve">]; </w:t>
      </w:r>
      <w:r>
        <w:rPr>
          <w:rFonts w:ascii="Arial" w:hAnsi="Arial"/>
        </w:rPr>
        <w:sym w:font="Symbol" w:char="F073"/>
      </w:r>
      <w:r>
        <w:rPr>
          <w:rFonts w:ascii="Arial" w:hAnsi="Arial"/>
        </w:rPr>
        <w:t xml:space="preserve">: Poisson’s ratio’ is now removed. </w:t>
      </w:r>
    </w:p>
    <w:p w:rsidR="00DD60AA" w:rsidRPr="00937C8B" w:rsidRDefault="00DD60AA" w:rsidP="00DD60AA">
      <w:pPr>
        <w:pStyle w:val="NormalWeb"/>
        <w:jc w:val="both"/>
        <w:rPr>
          <w:rFonts w:ascii="Arial" w:hAnsi="Arial" w:cs="Arial"/>
        </w:rPr>
      </w:pPr>
      <w:r>
        <w:t xml:space="preserve">- </w:t>
      </w:r>
      <w:r>
        <w:rPr>
          <w:rFonts w:ascii="Arial" w:hAnsi="Arial"/>
        </w:rPr>
        <w:t>In Annex A. Terminology, in the definition of Apparent sound reduction index, R’, the reference ‘A.11’ is replaced by ‘A.10’.</w:t>
      </w:r>
    </w:p>
    <w:p w:rsidR="00DD60AA" w:rsidRPr="00937C8B" w:rsidRDefault="00DD60AA" w:rsidP="00DD60AA">
      <w:pPr>
        <w:pStyle w:val="NormalWeb"/>
        <w:jc w:val="both"/>
        <w:rPr>
          <w:rFonts w:ascii="Arial" w:hAnsi="Arial" w:cs="Arial"/>
        </w:rPr>
      </w:pPr>
      <w:r>
        <w:rPr>
          <w:rFonts w:ascii="Arial" w:hAnsi="Arial"/>
        </w:rPr>
        <w:t>- In Annex A. Terminology, in the definition of Sound reduction index of a construction element, R, the reference ‘A.12’ is replaced by ‘A.11’.</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in the definition of Vibration reduction index for transmission paths on construction element joints, K</w:t>
      </w:r>
      <w:r>
        <w:rPr>
          <w:rFonts w:ascii="Arial" w:hAnsi="Arial"/>
          <w:vertAlign w:val="subscript"/>
        </w:rPr>
        <w:t>i,j</w:t>
      </w:r>
      <w:r>
        <w:rPr>
          <w:rFonts w:ascii="Arial" w:hAnsi="Arial"/>
        </w:rPr>
        <w:t xml:space="preserve">, the references ‘A.13’ and ‘A.14’ are replaced by ‘A.12’ and ‘A.13’, respectively. </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Annex A. Terminology, in the definition of vibration reduction index for transmission paths on construction element joints, K</w:t>
      </w:r>
      <w:r>
        <w:rPr>
          <w:rFonts w:ascii="Arial" w:hAnsi="Arial"/>
          <w:vertAlign w:val="subscript"/>
        </w:rPr>
        <w:t>i,j</w:t>
      </w:r>
      <w:r>
        <w:rPr>
          <w:rFonts w:ascii="Arial" w:hAnsi="Arial"/>
        </w:rPr>
        <w:t>, the reference ‘If in this case the vibration reduction index, calculated according to Annex D, is less than the minimum for K</w:t>
      </w:r>
      <w:r>
        <w:rPr>
          <w:rFonts w:ascii="Arial" w:hAnsi="Arial"/>
          <w:vertAlign w:val="subscript"/>
        </w:rPr>
        <w:t>ij min</w:t>
      </w:r>
      <w:r>
        <w:rPr>
          <w:rFonts w:ascii="Arial" w:hAnsi="Arial"/>
        </w:rPr>
        <w:t>, then the minimum value is used’ is replaced by ‘For joints in which flank elements have reduced contact with the partition, only the transmission Ff with a value less than K</w:t>
      </w:r>
      <w:r>
        <w:rPr>
          <w:rFonts w:ascii="Arial" w:hAnsi="Arial"/>
          <w:vertAlign w:val="subscript"/>
        </w:rPr>
        <w:t>ij,min</w:t>
      </w:r>
      <w:r>
        <w:rPr>
          <w:rFonts w:ascii="Arial" w:hAnsi="Arial"/>
        </w:rPr>
        <w:t xml:space="preserve"> will be considered’.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in the definition of Overall A-weighted apparent sound reduction index of a construction element, R’</w:t>
      </w:r>
      <w:r>
        <w:rPr>
          <w:rFonts w:ascii="Arial" w:hAnsi="Arial"/>
          <w:vertAlign w:val="subscript"/>
        </w:rPr>
        <w:t>A</w:t>
      </w:r>
      <w:r>
        <w:rPr>
          <w:rFonts w:ascii="Arial" w:hAnsi="Arial"/>
        </w:rPr>
        <w:t xml:space="preserve">, the reference ‘A.15’ is replaced by ‘A.14’. </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in the definition of Overall A-weighted apparent sound reduction index of a construction element, R</w:t>
      </w:r>
      <w:r>
        <w:rPr>
          <w:rFonts w:ascii="Arial" w:hAnsi="Arial"/>
          <w:vertAlign w:val="subscript"/>
        </w:rPr>
        <w:t>A</w:t>
      </w:r>
      <w:r>
        <w:rPr>
          <w:rFonts w:ascii="Arial" w:hAnsi="Arial"/>
        </w:rPr>
        <w:t>, the references ‘A.16’, ‘A.17’ and ‘A.18’ are replaced by ‘A.15’, ‘A.16’ and ‘A.17’, respectively.</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in the definition of Overall A-weighted apparent sound reduction index for dominant outdoor traffic noise, R</w:t>
      </w:r>
      <w:r>
        <w:rPr>
          <w:rFonts w:ascii="Arial" w:hAnsi="Arial"/>
          <w:vertAlign w:val="subscript"/>
        </w:rPr>
        <w:t>Atr</w:t>
      </w:r>
      <w:r>
        <w:rPr>
          <w:rFonts w:ascii="Arial" w:hAnsi="Arial"/>
        </w:rPr>
        <w:t xml:space="preserve">, the reference ‘A.19’ is replaced by ‘A.18’. </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xml:space="preserve">- In Annex A. Terminology, in the definition of Equivalent vibration absorption length of a construction element, a, the reference ‘A.20’ is replaced by ‘A.19’. </w:t>
      </w:r>
    </w:p>
    <w:p w:rsidR="004836CD" w:rsidRPr="00937C8B" w:rsidRDefault="004836CD" w:rsidP="0058501F">
      <w:pPr>
        <w:tabs>
          <w:tab w:val="left" w:pos="426"/>
        </w:tabs>
        <w:spacing w:before="120" w:line="312" w:lineRule="auto"/>
        <w:jc w:val="both"/>
        <w:rPr>
          <w:rFonts w:ascii="Arial" w:hAnsi="Arial" w:cs="Arial"/>
        </w:rPr>
      </w:pPr>
      <w:r>
        <w:rPr>
          <w:rFonts w:ascii="Arial" w:hAnsi="Arial"/>
        </w:rPr>
        <w:lastRenderedPageBreak/>
        <w:t>- In Annex A. Terminology, in the definition of Sound power level, L</w:t>
      </w:r>
      <w:r>
        <w:rPr>
          <w:rFonts w:ascii="Arial" w:hAnsi="Arial"/>
          <w:vertAlign w:val="subscript"/>
        </w:rPr>
        <w:t>w</w:t>
      </w:r>
      <w:r>
        <w:rPr>
          <w:rFonts w:ascii="Arial" w:hAnsi="Arial"/>
        </w:rPr>
        <w:t xml:space="preserve">, the reference ‘A.21’ is replaced by ‘A.20’. </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in the definition of Standardised impact sound pressure level, L’</w:t>
      </w:r>
      <w:r>
        <w:rPr>
          <w:rFonts w:ascii="Arial" w:hAnsi="Arial"/>
          <w:vertAlign w:val="subscript"/>
        </w:rPr>
        <w:t>nT</w:t>
      </w:r>
      <w:r>
        <w:rPr>
          <w:rFonts w:ascii="Arial" w:hAnsi="Arial"/>
        </w:rPr>
        <w:t xml:space="preserve">, the reference ‘A.22’ is replaced by ‘A.21’. </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under the definition of Overall normalised impact sound pressure level of a horizontal construction element, L</w:t>
      </w:r>
      <w:r>
        <w:rPr>
          <w:rFonts w:ascii="Arial" w:hAnsi="Arial"/>
          <w:vertAlign w:val="subscript"/>
        </w:rPr>
        <w:t>n</w:t>
      </w:r>
      <w:r>
        <w:rPr>
          <w:rFonts w:ascii="Arial" w:hAnsi="Arial"/>
        </w:rPr>
        <w:t>, the reference ‘A.23’ is replaced by ‘A.22’.</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in the definition of Normalized impact sound pressure level measured in situ, L’</w:t>
      </w:r>
      <w:r>
        <w:rPr>
          <w:rFonts w:ascii="Arial" w:hAnsi="Arial"/>
          <w:vertAlign w:val="subscript"/>
        </w:rPr>
        <w:t>n</w:t>
      </w:r>
      <w:r>
        <w:rPr>
          <w:rFonts w:ascii="Arial" w:hAnsi="Arial"/>
        </w:rPr>
        <w:t>, the reference ‘A.24’ is replaced by ‘A.23’.</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in the definition of A-weighted sound pressure level, L</w:t>
      </w:r>
      <w:r>
        <w:rPr>
          <w:rFonts w:ascii="Arial" w:hAnsi="Arial"/>
          <w:vertAlign w:val="subscript"/>
        </w:rPr>
        <w:t>pA</w:t>
      </w:r>
      <w:r>
        <w:rPr>
          <w:rFonts w:ascii="Arial" w:hAnsi="Arial"/>
        </w:rPr>
        <w:t>, the reference ‘A.25’ is replaced by ‘A.24’.</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in the definition of Sound pressure level, L</w:t>
      </w:r>
      <w:r>
        <w:rPr>
          <w:rFonts w:ascii="Arial" w:hAnsi="Arial"/>
          <w:vertAlign w:val="subscript"/>
        </w:rPr>
        <w:t>p</w:t>
      </w:r>
      <w:r>
        <w:rPr>
          <w:rFonts w:ascii="Arial" w:hAnsi="Arial"/>
        </w:rPr>
        <w:t>, the reference ‘A.26’ is replaced by ‘A.25’.</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in the definition of Overall normalised impact sound pressure level of a horizontal construction element, L</w:t>
      </w:r>
      <w:r>
        <w:rPr>
          <w:rFonts w:ascii="Arial" w:hAnsi="Arial"/>
          <w:vertAlign w:val="subscript"/>
        </w:rPr>
        <w:t>n,w</w:t>
      </w:r>
      <w:r>
        <w:rPr>
          <w:rFonts w:ascii="Arial" w:hAnsi="Arial"/>
        </w:rPr>
        <w:t>, the references ‘UNE EN 12354-2’ and ‘A.27’ are replaced by ‘UNE EN ISO 12354-2’ and ‘A.26’, respectively.</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in the definition of sound pressure level in a room, L, the references ‘A.28’ and ‘A.29’ are replaced by ‘A.27’ and ‘A.28’, respectively.</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the reference ‘Standardised average A-weighted sound pressure level, L</w:t>
      </w:r>
      <w:r>
        <w:rPr>
          <w:rFonts w:ascii="Arial" w:hAnsi="Arial"/>
          <w:vertAlign w:val="subscript"/>
        </w:rPr>
        <w:t>A,T</w:t>
      </w:r>
      <w:r>
        <w:rPr>
          <w:rFonts w:ascii="Arial" w:hAnsi="Arial"/>
        </w:rPr>
        <w:t xml:space="preserve">: average A-weighted sound pressure level in a room at a reverberation time of 0.5 s. This is defined with the equation: </w:t>
      </w:r>
      <w:r>
        <w:object w:dxaOrig="1960" w:dyaOrig="580">
          <v:shape id="_x0000_i1026" type="#_x0000_t75" style="width:98.3pt;height:29.25pt" o:ole="">
            <v:imagedata r:id="rId13" o:title=""/>
          </v:shape>
          <o:OLEObject Type="Embed" ProgID="Equation.3" ShapeID="_x0000_i1026" DrawAspect="Content" ObjectID="_1655488973" r:id="rId14"/>
        </w:object>
      </w:r>
      <w:r>
        <w:rPr>
          <w:rFonts w:ascii="Arial" w:hAnsi="Arial"/>
        </w:rPr>
        <w:t xml:space="preserve"> [dBA] (A.30). where: L</w:t>
      </w:r>
      <w:r>
        <w:rPr>
          <w:rFonts w:ascii="Arial" w:hAnsi="Arial"/>
          <w:vertAlign w:val="subscript"/>
        </w:rPr>
        <w:t xml:space="preserve">A: </w:t>
      </w:r>
      <w:r>
        <w:rPr>
          <w:rFonts w:ascii="Arial" w:hAnsi="Arial"/>
        </w:rPr>
        <w:t>average A-weighted sound pressure level in a room, [dBA]; T: average reverberation time, [s]’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in the definition of Standardised equivalent continuous sound level, L</w:t>
      </w:r>
      <w:r>
        <w:rPr>
          <w:rFonts w:ascii="Arial" w:hAnsi="Arial"/>
          <w:vertAlign w:val="subscript"/>
        </w:rPr>
        <w:t>eqA,T</w:t>
      </w:r>
      <w:r>
        <w:rPr>
          <w:rFonts w:ascii="Arial" w:hAnsi="Arial"/>
        </w:rPr>
        <w:t>, the reference ‘A.31’ is replaced by ‘A.29’.</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A. Terminology, in the definition of A-weighted equivalent continuous sound level, L</w:t>
      </w:r>
      <w:r>
        <w:rPr>
          <w:rFonts w:ascii="Arial" w:hAnsi="Arial"/>
          <w:vertAlign w:val="subscript"/>
        </w:rPr>
        <w:t>eqA</w:t>
      </w:r>
      <w:r>
        <w:rPr>
          <w:rFonts w:ascii="Arial" w:hAnsi="Arial"/>
        </w:rPr>
        <w:t>, the references ‘A.32’ and ‘A.33’ are replaced by ‘A.30’ and ‘A.31’, respectively.</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xml:space="preserve">- In Annex A, Terminology, under the definition of Reduction of general impact noise pressure level, the reference ‘See Annex E’ is deleted. </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‘Φ: source directivity factor’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w:t>
      </w:r>
      <w:r>
        <w:rPr>
          <w:rFonts w:ascii="Arial" w:hAnsi="Arial"/>
        </w:rPr>
        <w:sym w:font="Symbol" w:char="F072"/>
      </w:r>
      <w:r>
        <w:rPr>
          <w:rFonts w:ascii="Arial" w:hAnsi="Arial"/>
        </w:rPr>
        <w:t>: Density, [kg/m</w:t>
      </w:r>
      <w:r>
        <w:rPr>
          <w:rFonts w:ascii="Arial" w:hAnsi="Arial"/>
          <w:vertAlign w:val="superscript"/>
        </w:rPr>
        <w:t>3</w:t>
      </w:r>
      <w:r>
        <w:rPr>
          <w:rFonts w:ascii="Arial" w:hAnsi="Arial"/>
        </w:rPr>
        <w:t>]’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w:t>
      </w:r>
      <w:r>
        <w:rPr>
          <w:rFonts w:ascii="Arial" w:hAnsi="Arial"/>
        </w:rPr>
        <w:sym w:font="Symbol" w:char="F073"/>
      </w:r>
      <w:r>
        <w:rPr>
          <w:rFonts w:ascii="Arial" w:hAnsi="Arial"/>
        </w:rPr>
        <w:t>: Poisson’s ratio’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lastRenderedPageBreak/>
        <w:t>- In Annex B. Notation, the phrase ‘</w:t>
      </w:r>
      <w:r>
        <w:rPr>
          <w:rFonts w:ascii="Arial" w:hAnsi="Arial"/>
        </w:rPr>
        <w:sym w:font="Symbol" w:char="F044"/>
      </w:r>
      <w:r>
        <w:rPr>
          <w:rFonts w:ascii="Arial" w:hAnsi="Arial"/>
        </w:rPr>
        <w:t>L(f): reduction in impact sound pressure level, for each one-third octave band of a coating,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w:t>
      </w:r>
      <w:r>
        <w:rPr>
          <w:rFonts w:ascii="Arial" w:hAnsi="Arial"/>
        </w:rPr>
        <w:sym w:font="Symbol" w:char="F044"/>
      </w:r>
      <w:r>
        <w:rPr>
          <w:rFonts w:ascii="Arial" w:hAnsi="Arial"/>
        </w:rPr>
        <w:t>R</w:t>
      </w:r>
      <w:r>
        <w:rPr>
          <w:rFonts w:ascii="Arial" w:hAnsi="Arial"/>
          <w:vertAlign w:val="subscript"/>
        </w:rPr>
        <w:t>A,l</w:t>
      </w:r>
      <w:r>
        <w:rPr>
          <w:rFonts w:ascii="Arial" w:hAnsi="Arial"/>
        </w:rPr>
        <w:t>: overall improvement index for the sound reduction index, for the reference curve with low critical frequency, [dBA]’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w:t>
      </w:r>
      <w:r>
        <w:rPr>
          <w:rFonts w:ascii="Arial" w:hAnsi="Arial"/>
        </w:rPr>
        <w:sym w:font="Symbol" w:char="F044"/>
      </w:r>
      <w:r>
        <w:rPr>
          <w:rFonts w:ascii="Arial" w:hAnsi="Arial"/>
        </w:rPr>
        <w:t>R</w:t>
      </w:r>
      <w:r>
        <w:rPr>
          <w:rFonts w:ascii="Arial" w:hAnsi="Arial"/>
          <w:vertAlign w:val="subscript"/>
        </w:rPr>
        <w:t>A,m</w:t>
      </w:r>
      <w:r>
        <w:rPr>
          <w:rFonts w:ascii="Arial" w:hAnsi="Arial"/>
        </w:rPr>
        <w:t>: overall improvement index for the sound reduction index, for the reference curve with medium critical frequency, [dBA]’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‘e</w:t>
      </w:r>
      <w:r>
        <w:rPr>
          <w:rFonts w:ascii="Arial" w:hAnsi="Arial"/>
          <w:vertAlign w:val="subscript"/>
        </w:rPr>
        <w:t>1</w:t>
      </w:r>
      <w:r>
        <w:rPr>
          <w:rFonts w:ascii="Arial" w:hAnsi="Arial"/>
        </w:rPr>
        <w:t>: Thickness of inserted flexible element, [m]’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‘f</w:t>
      </w:r>
      <w:r>
        <w:rPr>
          <w:rFonts w:ascii="Arial" w:hAnsi="Arial"/>
          <w:vertAlign w:val="subscript"/>
        </w:rPr>
        <w:t>c</w:t>
      </w:r>
      <w:r>
        <w:rPr>
          <w:rFonts w:ascii="Arial" w:hAnsi="Arial"/>
        </w:rPr>
        <w:t>: Critical frequency, [Hz]’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‘m’</w:t>
      </w:r>
      <w:r>
        <w:rPr>
          <w:rFonts w:ascii="Arial" w:hAnsi="Arial"/>
          <w:vertAlign w:val="subscript"/>
        </w:rPr>
        <w:t>i</w:t>
      </w:r>
      <w:r>
        <w:rPr>
          <w:rFonts w:ascii="Arial" w:hAnsi="Arial"/>
        </w:rPr>
        <w:t>: Mass per unit of surface area of element i in transmission path ij, [kg/m</w:t>
      </w:r>
      <w:r>
        <w:rPr>
          <w:rFonts w:ascii="Arial" w:hAnsi="Arial"/>
          <w:vertAlign w:val="superscript"/>
        </w:rPr>
        <w:t>2</w:t>
      </w:r>
      <w:r>
        <w:rPr>
          <w:rFonts w:ascii="Arial" w:hAnsi="Arial"/>
        </w:rPr>
        <w:t>]’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‘m’</w:t>
      </w:r>
      <w:r>
        <w:rPr>
          <w:rFonts w:ascii="Arial" w:hAnsi="Arial"/>
          <w:vertAlign w:val="subscript"/>
        </w:rPr>
        <w:sym w:font="Symbol" w:char="F05E"/>
      </w:r>
      <w:r>
        <w:rPr>
          <w:rFonts w:ascii="Arial" w:hAnsi="Arial"/>
          <w:vertAlign w:val="subscript"/>
        </w:rPr>
        <w:t>i</w:t>
      </w:r>
      <w:r>
        <w:rPr>
          <w:rFonts w:ascii="Arial" w:hAnsi="Arial"/>
        </w:rPr>
        <w:t>: Mass per unit of surface area of another, adjoining element perpendicular to i, [kg/m</w:t>
      </w:r>
      <w:r>
        <w:rPr>
          <w:rFonts w:ascii="Arial" w:hAnsi="Arial"/>
          <w:vertAlign w:val="superscript"/>
        </w:rPr>
        <w:t>2</w:t>
      </w:r>
      <w:r>
        <w:rPr>
          <w:rFonts w:ascii="Arial" w:hAnsi="Arial"/>
        </w:rPr>
        <w:t>]’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‘E: Young’s modulus, [N/m</w:t>
      </w:r>
      <w:r>
        <w:rPr>
          <w:rFonts w:ascii="Arial" w:hAnsi="Arial"/>
          <w:vertAlign w:val="superscript"/>
        </w:rPr>
        <w:t>2</w:t>
      </w:r>
      <w:r>
        <w:rPr>
          <w:rFonts w:ascii="Arial" w:hAnsi="Arial"/>
        </w:rPr>
        <w:t>]’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‘L</w:t>
      </w:r>
      <w:r>
        <w:rPr>
          <w:rFonts w:ascii="Arial" w:hAnsi="Arial"/>
          <w:vertAlign w:val="subscript"/>
        </w:rPr>
        <w:t>n,r</w:t>
      </w:r>
      <w:r>
        <w:rPr>
          <w:rFonts w:ascii="Arial" w:hAnsi="Arial"/>
        </w:rPr>
        <w:t>(f): Normalised impact sound pressure level, for each one-third octave band of the floor slab,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‘L</w:t>
      </w:r>
      <w:r>
        <w:rPr>
          <w:rFonts w:ascii="Arial" w:hAnsi="Arial"/>
          <w:vertAlign w:val="subscript"/>
        </w:rPr>
        <w:t>n,r+</w:t>
      </w:r>
      <w:r>
        <w:rPr>
          <w:rFonts w:ascii="Arial" w:hAnsi="Arial"/>
        </w:rPr>
        <w:t>(f): Normalised impact sound pressure level, for each one-third octave band of the floor slab with a floating floor,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‘L</w:t>
      </w:r>
      <w:r>
        <w:rPr>
          <w:rFonts w:ascii="Arial" w:hAnsi="Arial"/>
          <w:vertAlign w:val="subscript"/>
        </w:rPr>
        <w:t>n,r,0</w:t>
      </w:r>
      <w:r>
        <w:rPr>
          <w:rFonts w:ascii="Arial" w:hAnsi="Arial"/>
        </w:rPr>
        <w:t>(f): Impact sound pressure level for each one-third octave band of the reference floor slab,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‘L</w:t>
      </w:r>
      <w:r>
        <w:rPr>
          <w:rFonts w:ascii="Arial" w:hAnsi="Arial"/>
          <w:vertAlign w:val="subscript"/>
        </w:rPr>
        <w:t>n,r,0+</w:t>
      </w:r>
      <w:r>
        <w:rPr>
          <w:rFonts w:ascii="Arial" w:hAnsi="Arial"/>
        </w:rPr>
        <w:t>(f): Normalised impact sound pressure level for each one-third octave band of the reference floor slab plus the impact sound level reduction values of the floating floor,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‘L</w:t>
      </w:r>
      <w:r>
        <w:rPr>
          <w:rFonts w:ascii="Arial" w:hAnsi="Arial"/>
          <w:vertAlign w:val="subscript"/>
        </w:rPr>
        <w:t>n,r,0,w</w:t>
      </w:r>
      <w:r>
        <w:rPr>
          <w:rFonts w:ascii="Arial" w:hAnsi="Arial"/>
        </w:rPr>
        <w:t>: Normalised overall impact sound pressure level for the reference floor slab, with a value of 78 dB,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‘L</w:t>
      </w:r>
      <w:r>
        <w:rPr>
          <w:rFonts w:ascii="Arial" w:hAnsi="Arial"/>
          <w:vertAlign w:val="subscript"/>
        </w:rPr>
        <w:t>n,r,0+,w</w:t>
      </w:r>
      <w:r>
        <w:rPr>
          <w:rFonts w:ascii="Arial" w:hAnsi="Arial"/>
        </w:rPr>
        <w:t>: Normalised impact sound pressure level of the reference floor slab plus the impact sound level reduction values of the floating floor,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reference ‘L</w:t>
      </w:r>
      <w:r>
        <w:rPr>
          <w:rFonts w:ascii="Arial" w:hAnsi="Arial"/>
          <w:vertAlign w:val="subscript"/>
        </w:rPr>
        <w:t>A,T</w:t>
      </w:r>
      <w:r>
        <w:rPr>
          <w:rFonts w:ascii="Arial" w:hAnsi="Arial"/>
        </w:rPr>
        <w:t>: Standardised average A-weighted sound pressure level, [dBA]’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reference ‘R</w:t>
      </w:r>
      <w:r>
        <w:rPr>
          <w:rFonts w:ascii="Arial" w:hAnsi="Arial"/>
          <w:vertAlign w:val="subscript"/>
        </w:rPr>
        <w:t>con</w:t>
      </w:r>
      <w:r>
        <w:rPr>
          <w:rFonts w:ascii="Arial" w:hAnsi="Arial"/>
        </w:rPr>
        <w:t>: Sound reduction index, for each one-third octave band, of the base construction element with coating,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‘R</w:t>
      </w:r>
      <w:r>
        <w:rPr>
          <w:rFonts w:ascii="Arial" w:hAnsi="Arial"/>
          <w:vertAlign w:val="subscript"/>
        </w:rPr>
        <w:t>sin</w:t>
      </w:r>
      <w:r>
        <w:rPr>
          <w:rFonts w:ascii="Arial" w:hAnsi="Arial"/>
        </w:rPr>
        <w:t>: Sound reduction index, for each one-third octave band, of the base construction element alone,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lastRenderedPageBreak/>
        <w:t>- In Annex B. Notation, the phrase ‘R</w:t>
      </w:r>
      <w:r>
        <w:rPr>
          <w:rFonts w:ascii="Arial" w:hAnsi="Arial"/>
          <w:vertAlign w:val="subscript"/>
        </w:rPr>
        <w:t>0</w:t>
      </w:r>
      <w:r>
        <w:rPr>
          <w:rFonts w:ascii="Arial" w:hAnsi="Arial"/>
        </w:rPr>
        <w:t>: Sound reduction index of the reference curve for measurements with a reference base wall of a low critical frequency, in one-third octave bands in the range from 100 to 5,000 Hz,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‘R</w:t>
      </w:r>
      <w:r>
        <w:rPr>
          <w:rFonts w:ascii="Arial" w:hAnsi="Arial"/>
          <w:vertAlign w:val="subscript"/>
        </w:rPr>
        <w:t>0,A</w:t>
      </w:r>
      <w:r>
        <w:rPr>
          <w:rFonts w:ascii="Arial" w:hAnsi="Arial"/>
        </w:rPr>
        <w:t>: Overall A-weighted sound reduction index of the base construction element,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‘R</w:t>
      </w:r>
      <w:r>
        <w:rPr>
          <w:rFonts w:ascii="Arial" w:hAnsi="Arial"/>
          <w:vertAlign w:val="subscript"/>
        </w:rPr>
        <w:t>0,l</w:t>
      </w:r>
      <w:r>
        <w:rPr>
          <w:rFonts w:ascii="Arial" w:hAnsi="Arial"/>
        </w:rPr>
        <w:t>: Sound reduction index values of the reference curve for measurements with a reference base wall of a low critical frequency, in one-third octave bands in the range from 100 to 5,000 Hz,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‘R</w:t>
      </w:r>
      <w:r>
        <w:rPr>
          <w:rFonts w:ascii="Arial" w:hAnsi="Arial"/>
          <w:vertAlign w:val="subscript"/>
        </w:rPr>
        <w:t>0,m</w:t>
      </w:r>
      <w:r>
        <w:rPr>
          <w:rFonts w:ascii="Arial" w:hAnsi="Arial"/>
        </w:rPr>
        <w:t>: Sound reduction index values of the reference curve for measurements with a reference base wall of a medium critical frequency, in one-third octave bands in the range from 100 to 5,000 Hz, [dB]’ is now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B. Notation, the phrase ‘S: Area, [m</w:t>
      </w:r>
      <w:r>
        <w:rPr>
          <w:rFonts w:ascii="Arial" w:hAnsi="Arial"/>
          <w:vertAlign w:val="superscript"/>
        </w:rPr>
        <w:t>2</w:t>
      </w:r>
      <w:r>
        <w:rPr>
          <w:rFonts w:ascii="Arial" w:hAnsi="Arial"/>
        </w:rPr>
        <w:t>]’ is now removed.</w:t>
      </w:r>
    </w:p>
    <w:p w:rsidR="004836CD" w:rsidRPr="00937C8B" w:rsidRDefault="004836CD" w:rsidP="00D27646">
      <w:pPr>
        <w:keepNext/>
        <w:tabs>
          <w:tab w:val="left" w:pos="426"/>
        </w:tabs>
        <w:spacing w:before="120" w:line="312" w:lineRule="auto"/>
        <w:jc w:val="both"/>
        <w:rPr>
          <w:rFonts w:ascii="Arial" w:hAnsi="Arial" w:cs="Arial"/>
        </w:rPr>
      </w:pPr>
      <w:r>
        <w:rPr>
          <w:rFonts w:ascii="Arial" w:hAnsi="Arial"/>
        </w:rPr>
        <w:t>- Annex C is replaced with the following:</w:t>
      </w:r>
    </w:p>
    <w:p w:rsidR="004836CD" w:rsidRPr="00937C8B" w:rsidRDefault="004836CD" w:rsidP="0058501F">
      <w:pPr>
        <w:tabs>
          <w:tab w:val="left" w:pos="426"/>
        </w:tabs>
        <w:spacing w:before="120" w:line="312" w:lineRule="auto"/>
        <w:jc w:val="both"/>
        <w:rPr>
          <w:rFonts w:ascii="Arial" w:hAnsi="Arial" w:cs="Arial"/>
        </w:rPr>
      </w:pPr>
      <w:r>
        <w:rPr>
          <w:rFonts w:ascii="Arial" w:hAnsi="Arial"/>
        </w:rPr>
        <w:t>‘Annex C. Reference standards</w:t>
      </w:r>
    </w:p>
    <w:p w:rsidR="004836CD" w:rsidRPr="00937C8B" w:rsidRDefault="004836CD" w:rsidP="0058501F">
      <w:pPr>
        <w:widowControl w:val="0"/>
        <w:spacing w:before="120" w:line="312" w:lineRule="auto"/>
        <w:jc w:val="both"/>
        <w:rPr>
          <w:rFonts w:ascii="Arial" w:hAnsi="Arial" w:cs="Arial"/>
          <w:bCs/>
        </w:rPr>
      </w:pPr>
      <w:r>
        <w:rPr>
          <w:rFonts w:ascii="Arial" w:hAnsi="Arial"/>
        </w:rPr>
        <w:t>This annex provides the full references for the standards cited in the text of DBHR. This annex designates these standards with an asterisk. In addition, for information purposes, it lists other standards related to application of DBHR.</w:t>
      </w:r>
    </w:p>
    <w:p w:rsidR="004836CD" w:rsidRPr="00937C8B" w:rsidRDefault="004836CD" w:rsidP="00D27646">
      <w:pPr>
        <w:pStyle w:val="CteTtulo3"/>
      </w:pPr>
      <w:r>
        <w:t>1</w:t>
      </w:r>
      <w:r>
        <w:tab/>
        <w:t>Field measurement of acoustic parameters</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3382-2:2008</w:t>
      </w:r>
      <w:r>
        <w:rPr>
          <w:rFonts w:ascii="Arial" w:hAnsi="Arial"/>
        </w:rPr>
        <w:tab/>
        <w:t>Acoustics. Measurement of room acoustic parameters. Part 2: Reverberation time in ordinary rooms. (+UNE-EN ISO 3382-2: 2008/ERRATUM: 2009 V2)</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12999-1:2014</w:t>
      </w:r>
      <w:r>
        <w:rPr>
          <w:rFonts w:ascii="Arial" w:hAnsi="Arial"/>
        </w:rPr>
        <w:tab/>
        <w:t xml:space="preserve">Acoustics. Determination and application of measurement uncertainties in building acoustics. Part 1: Sound insulation. </w:t>
      </w:r>
    </w:p>
    <w:p w:rsidR="004836CD" w:rsidRPr="00937C8B" w:rsidRDefault="004836CD" w:rsidP="0058501F">
      <w:pPr>
        <w:tabs>
          <w:tab w:val="left" w:pos="426"/>
        </w:tabs>
        <w:spacing w:before="120" w:line="312" w:lineRule="auto"/>
        <w:jc w:val="both"/>
        <w:rPr>
          <w:rFonts w:ascii="Arial" w:hAnsi="Arial" w:cs="Arial"/>
        </w:rPr>
      </w:pP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16283-1:2015</w:t>
      </w:r>
      <w:r>
        <w:rPr>
          <w:rFonts w:ascii="Arial" w:hAnsi="Arial"/>
        </w:rPr>
        <w:tab/>
        <w:t>Acoustics. Field measurement of sound insulation in buildings and of building elements. Part 1: Airborne sound insulation. (+UNE-EN ISO 16283-1:2015/A1:2018)</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16283-2:2019</w:t>
      </w:r>
      <w:r>
        <w:rPr>
          <w:rFonts w:ascii="Arial" w:hAnsi="Arial"/>
        </w:rPr>
        <w:tab/>
        <w:t xml:space="preserve">Acoustics. Field measurement of sound insulation in buildings and of building elements. Part 2: Impact sound insulation. </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16283-3:2016</w:t>
      </w:r>
      <w:r>
        <w:rPr>
          <w:rFonts w:ascii="Arial" w:hAnsi="Arial"/>
        </w:rPr>
        <w:tab/>
        <w:t xml:space="preserve">Acoustics. Field measurement of sound insulation in buildings and of building elements. Part 3: Façade sound insulation. </w:t>
      </w:r>
    </w:p>
    <w:p w:rsidR="004836CD" w:rsidRPr="00937C8B" w:rsidRDefault="004836CD" w:rsidP="009467D5">
      <w:pPr>
        <w:pStyle w:val="CteTtulo3"/>
      </w:pPr>
      <w:r>
        <w:lastRenderedPageBreak/>
        <w:t>2</w:t>
      </w:r>
      <w:r>
        <w:tab/>
        <w:t>Laboratory measurement of acoustic parameters</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10140-1:2016</w:t>
      </w:r>
      <w:r>
        <w:rPr>
          <w:rFonts w:ascii="Arial" w:hAnsi="Arial"/>
        </w:rPr>
        <w:tab/>
        <w:t>Acoustics. Laboratory measurement of sound insulation of building elements. Part 1: Application rules for specific products.</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10140-2:2011</w:t>
      </w:r>
      <w:r>
        <w:rPr>
          <w:rFonts w:ascii="Arial" w:hAnsi="Arial"/>
        </w:rPr>
        <w:tab/>
        <w:t>Acoustics. Laboratory measurement of sound insulation of building elements. Part 2: Measurement of airborne sound insulation.</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10140-3:2011</w:t>
      </w:r>
      <w:r>
        <w:rPr>
          <w:rFonts w:ascii="Arial" w:hAnsi="Arial"/>
        </w:rPr>
        <w:tab/>
        <w:t>Acoustics. Laboratory measurement of sound insulation of building elements. Part 3: Measurement of impact sound insulation. (+UNE-EN ISO 10140-3:2011/A1:2015)</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10140-4:2011</w:t>
      </w:r>
      <w:r>
        <w:rPr>
          <w:rFonts w:ascii="Arial" w:hAnsi="Arial"/>
        </w:rPr>
        <w:tab/>
        <w:t xml:space="preserve">Acoustics. Laboratory measurement of sound insulation of building elements. Part 4: Measurement procedures and requirements. </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10140-5:2011</w:t>
      </w:r>
      <w:r>
        <w:rPr>
          <w:rFonts w:ascii="Arial" w:hAnsi="Arial"/>
        </w:rPr>
        <w:tab/>
        <w:t>Acoustics. Laboratory measurement of sound insulation of building elements. Part 5: Requirements for test facilities and equipment. (+UNE-EN ISO 10140-5:2011/A1: 2014)</w:t>
      </w:r>
    </w:p>
    <w:p w:rsidR="004836CD" w:rsidRPr="00937C8B" w:rsidRDefault="004836CD" w:rsidP="009467D5">
      <w:pPr>
        <w:pStyle w:val="CteTtulo3"/>
      </w:pPr>
      <w:r>
        <w:t>3</w:t>
      </w:r>
      <w:r>
        <w:tab/>
        <w:t>Rating of acoustic parameters</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717-1:2013</w:t>
      </w:r>
      <w:r>
        <w:rPr>
          <w:rFonts w:ascii="Arial" w:hAnsi="Arial"/>
        </w:rPr>
        <w:tab/>
        <w:t xml:space="preserve">Acoustics. Rating of sound insulation in buildings and of building elements. Part 1: Airborne sound insulation. </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717-2:2013</w:t>
      </w:r>
      <w:r>
        <w:rPr>
          <w:rFonts w:ascii="Arial" w:hAnsi="Arial"/>
        </w:rPr>
        <w:tab/>
        <w:t xml:space="preserve">Acoustics. Rating of sound insulation in buildings and of building elements. Part 2: Impact sound insulation. </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11654:1998</w:t>
      </w:r>
      <w:r>
        <w:rPr>
          <w:rFonts w:ascii="Arial" w:hAnsi="Arial"/>
        </w:rPr>
        <w:tab/>
        <w:t>Acoustics. Sound absorbers for use in buildings. Rating of sound absorption.</w:t>
      </w:r>
    </w:p>
    <w:p w:rsidR="004836CD" w:rsidRPr="00937C8B" w:rsidRDefault="004836CD" w:rsidP="009467D5">
      <w:pPr>
        <w:pStyle w:val="CteTtulo3"/>
      </w:pPr>
      <w:r>
        <w:t>4</w:t>
      </w:r>
      <w:r>
        <w:tab/>
        <w:t>Measurement of product characteristics</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29052-1:1994</w:t>
      </w:r>
      <w:r>
        <w:rPr>
          <w:rFonts w:ascii="Arial" w:hAnsi="Arial"/>
        </w:rPr>
        <w:tab/>
        <w:t xml:space="preserve">Acoustics. Determination of dynamic stiffness. Part 1: Materials used under floating floors in dwellings. </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29053:1994</w:t>
      </w:r>
      <w:r>
        <w:rPr>
          <w:rFonts w:ascii="Arial" w:hAnsi="Arial"/>
        </w:rPr>
        <w:tab/>
        <w:t xml:space="preserve">Acoustics. Materials for acoustical applications. Determination of airflow resistance. </w:t>
      </w:r>
    </w:p>
    <w:p w:rsidR="004836CD" w:rsidRPr="00937C8B" w:rsidRDefault="004836CD" w:rsidP="009467D5">
      <w:pPr>
        <w:pStyle w:val="CteTtulo3"/>
      </w:pPr>
      <w:r>
        <w:t>5</w:t>
      </w:r>
      <w:r>
        <w:tab/>
        <w:t>Products</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200:2008</w:t>
      </w:r>
      <w:r>
        <w:rPr>
          <w:rFonts w:ascii="Arial" w:hAnsi="Arial"/>
        </w:rPr>
        <w:tab/>
        <w:t>Sanitary tapware. Single taps and combination taps for water supply systems of type 1 and type 2. General technical specification.</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12207:2017</w:t>
      </w:r>
      <w:r>
        <w:rPr>
          <w:rFonts w:ascii="Arial" w:hAnsi="Arial"/>
        </w:rPr>
        <w:tab/>
        <w:t>Windows and doors. Air permeability. Classification.</w:t>
      </w:r>
    </w:p>
    <w:p w:rsidR="007A61FF" w:rsidRPr="00937C8B" w:rsidRDefault="004836CD" w:rsidP="009467D5">
      <w:pPr>
        <w:spacing w:before="120" w:line="312" w:lineRule="auto"/>
        <w:ind w:left="3261" w:hanging="3261"/>
        <w:jc w:val="both"/>
        <w:rPr>
          <w:rFonts w:ascii="Arial" w:hAnsi="Arial" w:cs="Arial"/>
        </w:rPr>
      </w:pPr>
      <w:r>
        <w:rPr>
          <w:rFonts w:ascii="Arial" w:hAnsi="Arial"/>
        </w:rPr>
        <w:t>*UNE 100153:2004 IN</w:t>
      </w:r>
      <w:r>
        <w:rPr>
          <w:rFonts w:ascii="Arial" w:hAnsi="Arial"/>
        </w:rPr>
        <w:tab/>
        <w:t>Air conditioning: Vibration isolators. Design criteria.</w:t>
      </w:r>
    </w:p>
    <w:p w:rsidR="004836CD" w:rsidRPr="00937C8B" w:rsidRDefault="004836CD" w:rsidP="0058501F">
      <w:pPr>
        <w:spacing w:before="120" w:line="312" w:lineRule="auto"/>
        <w:ind w:left="3261" w:hanging="3261"/>
        <w:jc w:val="both"/>
        <w:rPr>
          <w:rFonts w:ascii="Arial" w:hAnsi="Arial" w:cs="Arial"/>
        </w:rPr>
      </w:pPr>
      <w:r>
        <w:rPr>
          <w:rFonts w:ascii="Arial" w:hAnsi="Arial"/>
        </w:rPr>
        <w:lastRenderedPageBreak/>
        <w:t>*UNE 102043:2013</w:t>
      </w:r>
      <w:r>
        <w:rPr>
          <w:rFonts w:ascii="Arial" w:hAnsi="Arial"/>
        </w:rPr>
        <w:tab/>
        <w:t>Installation of construction systems with gypsum plasterboards. Partitions, wall linings and ceilings. Definitions, applications and recommendations.</w:t>
      </w:r>
    </w:p>
    <w:p w:rsidR="004836CD" w:rsidRPr="00937C8B" w:rsidRDefault="004836CD" w:rsidP="009467D5">
      <w:pPr>
        <w:pStyle w:val="CteTtulo3"/>
      </w:pPr>
      <w:r>
        <w:t>6</w:t>
      </w:r>
      <w:r>
        <w:tab/>
        <w:t>Methods for calculating acoustic insulation and absorption</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12354-1:2018</w:t>
      </w:r>
      <w:r>
        <w:rPr>
          <w:rFonts w:ascii="Arial" w:hAnsi="Arial"/>
        </w:rPr>
        <w:tab/>
        <w:t>Building acoustics. Estimation of acoustic performance of buildings from the performance of elements. Part 1: Airborne sound insulation between rooms. (ISO 12354-1:2017)</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12354-2:2018</w:t>
      </w:r>
      <w:r>
        <w:rPr>
          <w:rFonts w:ascii="Arial" w:hAnsi="Arial"/>
        </w:rPr>
        <w:tab/>
        <w:t>Building acoustics. Estimation of acoustic performance of buildings from the performance of elements. Part 2: Impact sound insulation between rooms. (ISO 12354-2:2017)</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12354-3:2018</w:t>
      </w:r>
      <w:r>
        <w:rPr>
          <w:rFonts w:ascii="Arial" w:hAnsi="Arial"/>
        </w:rPr>
        <w:tab/>
        <w:t xml:space="preserve">Building acoustics. Estimation of acoustic performance of buildings from the performance of elements. Part 3: Airborne sound insulation against outdoor sound. (ISO 12354-3:2017). </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ISO 12354-4:2018</w:t>
      </w:r>
      <w:r>
        <w:rPr>
          <w:rFonts w:ascii="Arial" w:hAnsi="Arial"/>
        </w:rPr>
        <w:tab/>
        <w:t>Building acoustics. Estimation of acoustic performance of buildings from the performance of elements. Part 4: Transmission of indoor sound to the outside. (ISO 12354-4:2017)</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12354-5:2009</w:t>
      </w:r>
      <w:r>
        <w:rPr>
          <w:rFonts w:ascii="Arial" w:hAnsi="Arial"/>
        </w:rPr>
        <w:tab/>
        <w:t>Building acoustics. Estimation of acoustic performance of buildings from the performance of elements. Part 5: Sounds levels due to the service equipment. (+UNE-EN 12354-5: 2009/AC: 2010)</w:t>
      </w:r>
    </w:p>
    <w:p w:rsidR="004836CD" w:rsidRPr="00937C8B" w:rsidRDefault="004836CD" w:rsidP="0058501F">
      <w:pPr>
        <w:spacing w:before="120" w:line="312" w:lineRule="auto"/>
        <w:ind w:left="3261" w:hanging="3261"/>
        <w:jc w:val="both"/>
        <w:rPr>
          <w:rFonts w:ascii="Arial" w:hAnsi="Arial" w:cs="Arial"/>
        </w:rPr>
      </w:pPr>
      <w:r>
        <w:rPr>
          <w:rFonts w:ascii="Arial" w:hAnsi="Arial"/>
        </w:rPr>
        <w:t>UNE EN 12354-6:2004</w:t>
      </w:r>
      <w:r>
        <w:rPr>
          <w:rFonts w:ascii="Arial" w:hAnsi="Arial"/>
        </w:rPr>
        <w:tab/>
        <w:t>Building acoustics. Estimation of acoustic performance of buildings from the performance of elements. Part 6: Sound absorption in enclosed spaces.”</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Annex D is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Annex E is removed.</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H. Guide to the use of insulation quantities in relation to demand, Subsection H.1 Acoustic insulation to airborne noise, in Table H.1, the references “UNE EN ISO 140-4” and “UNE EN ISO 140-5” are replaced by “UNE-EN ISO 16283-1” and “UNE-EN ISO 16283-3”, respectively.</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H. Guide to the use of insulation quantities in relation to demand, Subsection H.2 Acoustic insulation to impact noise, point 1, in Table H.2, the reference “UNE EN ISO 140-7” is replaced by “UNE-EN ISO 16283-2”.</w:t>
      </w:r>
    </w:p>
    <w:p w:rsidR="004836CD" w:rsidRPr="00937C8B" w:rsidRDefault="004836CD" w:rsidP="0058501F">
      <w:pPr>
        <w:tabs>
          <w:tab w:val="left" w:pos="426"/>
        </w:tabs>
        <w:spacing w:before="120" w:line="312" w:lineRule="auto"/>
        <w:jc w:val="both"/>
        <w:rPr>
          <w:rFonts w:ascii="Arial" w:hAnsi="Arial" w:cs="Arial"/>
        </w:rPr>
      </w:pPr>
      <w:r>
        <w:rPr>
          <w:rFonts w:ascii="Arial" w:hAnsi="Arial"/>
        </w:rPr>
        <w:t>- In Annex H. Guide to the use of insulation quantities in relation to demand, Subsection H.2 Acoustic insulation to impact noise, point 2, the reference “UNE EN ISO 140-7” is replaced by “UNE-EN ISO 16283-2”.</w:t>
      </w:r>
    </w:p>
    <w:p w:rsidR="004836CD" w:rsidRPr="00937C8B" w:rsidRDefault="004836CD" w:rsidP="0058501F">
      <w:pPr>
        <w:spacing w:before="120" w:line="312" w:lineRule="auto"/>
        <w:jc w:val="both"/>
        <w:rPr>
          <w:rFonts w:ascii="Arial" w:hAnsi="Arial" w:cs="Arial"/>
        </w:rPr>
      </w:pPr>
      <w:r>
        <w:rPr>
          <w:rFonts w:ascii="Arial" w:hAnsi="Arial"/>
        </w:rPr>
        <w:lastRenderedPageBreak/>
        <w:t>Twelve. In basic document DB-HS “Health”, the legislative references indicated are updated as follows:</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 xml:space="preserve">- In the Introduction, Part III General criteria of application, the paragraph: ‘When a regulatory provision is cited in this DB, reference is to be made to the version in force at the time of application. When a UNE, UNE-EN or UNE-EN ISO standard is cited, reference is to be made to the version indicated, even if a subsequent version exists, except for UNE standards corresponding to EN or EN ISO standards whose reference has been published in the Official Journal of the European Union within the framework of application of Council Directive 89/106/EEC on construction products, in which case the citation must be for the version of said reference’ is replaced with the following paragraphs: </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‘When a regulatory provision is cited in this DB, reference is to be made to the version in force at the time of application. When a UNE, UNE-EN or UNE-EN ISO standard is cited, reference is to be made to the version indicated, even if a subsequent version exists, except in cases of harmonised UNE EN standards that transpose EN standards whose references were published in the Official Journal of the European Union within the framework of application of Regulation (EU) No 305/2011 of the European Parliament and of the Council of 9 March 2011 laying down harmonised conditions for the marketing of construction products and repealing Council Directive 89/106/EEC, in which case the citation shall be for the last Commission Communication that includes said reference. In cases of standards on test methods referenced in the harmonised standards, the version included in the harmonised UNE EN standards listed above shall apply.</w:t>
      </w:r>
    </w:p>
    <w:p w:rsidR="004836CD" w:rsidRPr="00937C8B" w:rsidRDefault="004836CD" w:rsidP="0058501F">
      <w:pPr>
        <w:pStyle w:val="NormalWeb"/>
        <w:spacing w:before="120" w:beforeAutospacing="0" w:after="0" w:afterAutospacing="0" w:line="312" w:lineRule="auto"/>
        <w:jc w:val="both"/>
        <w:rPr>
          <w:rFonts w:ascii="Arial" w:hAnsi="Arial" w:cs="Arial"/>
        </w:rPr>
      </w:pPr>
      <w:r>
        <w:rPr>
          <w:rFonts w:ascii="Arial" w:hAnsi="Arial"/>
        </w:rPr>
        <w:t>The standards specified in this Basic Document may be replaced by others used by any other EU Member State or party to the Agreement on the European Economic Area or any country party to a customs Association Agreement with the European Union, as long as they are demonstrated to have equivalent technical specifications.’</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xml:space="preserve">- In Section HS 1, Subsection 2.3.2, the reference ‘UNE EN 772-11:2001 and UNE EN 772-11:2001/A1:2006’ is replaced by ‘UNE-EN 772-11:2011’. </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1, Subsection 2.3.2, the reference “UNE EN ISO 13755:2002” is replaced by “UNE-EN ISO 13755:2008”.</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1, Subsection 2.4.3.1, the reference “UNE 127100” is replaced by “UNE 127100:1999”.</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1, Subsection 2.4.3.1, the reference ‘UNE 136020’ is replaced by ‘UNE 136020:2004’.</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xml:space="preserve">- In Section HS 1, Subsection 4.1.2, the reference ‘UNE EN 772-11:2001 and UNE EN 772-11:2001/A1:2006’ is replaced by ‘UNE-EN 772-11:2011’. </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lastRenderedPageBreak/>
        <w:t>-</w:t>
      </w:r>
      <w:r>
        <w:rPr>
          <w:rFonts w:ascii="Arial" w:hAnsi="Arial"/>
        </w:rPr>
        <w:tab/>
        <w:t xml:space="preserve">In Section HS 1, Subsection 5.1.3.1, the reference “UNE EN 772-11:2001 and UNE EN 772-11:2001 /A1:2006" is replaced by "UNE-EN 772-11:2011". </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w:t>
      </w:r>
      <w:r>
        <w:rPr>
          <w:rFonts w:ascii="Arial" w:hAnsi="Arial"/>
        </w:rPr>
        <w:tab/>
        <w:t>In Section HS 1, Appendix A, reference “UNE EN 1609:1997” is replaced by “UNE EN 1609:2013” and the reference “UNE EN 12087:1997” is replaced by “UNE-EN 12087:2013”.</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2, Subsection 2.1.3, the reference “UNE 20315:1994” is replaced by “UNE 20315:2017”.</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3, Subsection 3.1.1, the reference ‘UNE EN 12207:2000’ is replaced by ‘UNE EN 12207:2017’.</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3, Subsection 5.1, the reference “UNE 100 102:1988” is replaced by “UNE-EN ISO 1507:2007”.</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Part 4.4.4, point 1, the reference “UNE 100 156:1989" is replaced by "UNE 100156:2014 IN" and the reference "UNE ENV 12 108:2002" is replaced by "UNE-ENV 12 108:2015 IN".</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4.5.2.1, point 2, the reference “UNE 100 030:1994” is replaced by “UNE 100030:2017”.</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5.1.1.2, point 3, the reference “UNE 10242:1995" is replaced by "UNE 10242:1995 (+UNE-EN 10242/1M:1999, +UNE-EN 10242/A2:2004)".</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w:t>
      </w:r>
      <w:r>
        <w:rPr>
          <w:rFonts w:ascii="Arial" w:hAnsi="Arial"/>
        </w:rPr>
        <w:tab/>
        <w:t>In Section HS 4, Subsection 5.1.1.3.3, point 2, the reference “UNE EN ISO 12 241:1999" is replaced by "UNE-EN ISO 12241:2010”.</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5.1.4.2, point 5, the reference "as specified in standard UNE 100 050:20" is deleted.</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5.2.1.1, point 2(b), the reference “Method A from standard UNE ENV 12108:2002” is replaced by “test procedure A from standard UNE-CEN/TR 12108:2015 IN".</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6.2, point 1(a), the reference "stainless steel pipes, pursuant to standard UNE 19 047:1996" is deleted.</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6.2, point 1(b), the reference “Standard UNE EN 1 057:1996” is replaced by “standard UNE-EN 1057:2007+A1:2010".</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6.2, point 1(c), the reference “Standard” is replaced by “standard”.</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lastRenderedPageBreak/>
        <w:t>- In Section HS 4, Subsection 6.2, point 1(d), the reference “Standard UNE EN 545:1995” is replaced by “standard UNE-EN 545:2011".</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6.2, point 1(e), the reference “Standard UNE EN 1452:2000" is replaced by "standards UNE-EN ISO 1452-1:2010, UNE-EN ISO 1452-2:2010 and UNE-EN ISO 1452-3:2011".</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6.2, point 1(f), the reference ‘UNE EN ISO 15877:2004’ is replaced by ‘standards UNE-EN ISO 15874-1:2013, UNE-EN ISO 15874-2:2013 and UNE-EN ISO 15874-3:2013’.</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In Section HS 4, Subsection 6.2, point 1(g), the reference ‘Standards UNE EN 12201:20030 is replaced by ‘standards UNE-EN 12201-1:2012, UNE-EN 12201-2:2012+A1:2014, UNE-EN 12201-3:2012 + A1:2013 and UNE-EN 12201-4:2012’.</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6.2, point 1(h), the reference ‘Standard UNE EN ISO 15875:2004’ is replaced by ‘standards UNE-EN ISO 15875-1:2004 (+UNE-EN ISO 15875-1:2004/A1:2007), UNE-EN ISO 15875-2:2004 (+UNE-EN ISO 15875-2:2004/A1:2007) and UNE-EN ISO 15875-3:2004’.</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6.2, point 1(i), the reference “Standard UNE EN ISO 15876:2004" is replaced by "standards UNE-EN ISO 15876-1:2017, UNE-EN ISO 15876-2:2017 and UNE-EN ISO 15876-3:2017".</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6.2, point 1(j), the reference “Standard UNE EN ISO 15874:2004" is replaced by "standards UNE-EN ISO 15874-1:2013, UNE-EN ISO 15874-2:2013 and UNE-EN ISO 15874-3:2013".</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6.2, point 1, the references contained in k) and l) are replaced by a single “multi-layer polymer pipes pursuant to standards UNE-EN ISO 21003-1:2009, UNE-EN ISO 21003-2:2009 (+UNE-EN ISO 21003-2:2009/A1:2011) and UNE-EN ISO 21003-3:2009".</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4, Subsection 6.2, point 1, the list is renumbered starting from a) to j).</w:t>
      </w:r>
    </w:p>
    <w:p w:rsidR="004836CD" w:rsidRPr="00937C8B" w:rsidRDefault="004836CD" w:rsidP="00D27646">
      <w:pPr>
        <w:keepNext/>
        <w:tabs>
          <w:tab w:val="left" w:pos="0"/>
          <w:tab w:val="left" w:pos="8460"/>
          <w:tab w:val="left" w:pos="10432"/>
        </w:tabs>
        <w:spacing w:before="120" w:line="312" w:lineRule="auto"/>
        <w:ind w:right="-6"/>
        <w:jc w:val="both"/>
        <w:rPr>
          <w:rFonts w:ascii="Arial" w:hAnsi="Arial" w:cs="Arial"/>
        </w:rPr>
      </w:pPr>
      <w:r>
        <w:rPr>
          <w:rFonts w:ascii="Arial" w:hAnsi="Arial"/>
        </w:rPr>
        <w:t>- In Section HS 4, “Appendix C. Reference standards” is replaced by:</w:t>
      </w:r>
    </w:p>
    <w:p w:rsidR="004836CD" w:rsidRPr="00937C8B" w:rsidRDefault="004836CD" w:rsidP="00D27646">
      <w:pPr>
        <w:pStyle w:val="Heading4"/>
        <w:spacing w:before="120" w:line="312" w:lineRule="auto"/>
        <w:ind w:left="709"/>
        <w:rPr>
          <w:rFonts w:ascii="Arial" w:hAnsi="Arial" w:cs="Arial"/>
          <w:b w:val="0"/>
          <w:sz w:val="24"/>
          <w:szCs w:val="24"/>
        </w:rPr>
      </w:pPr>
      <w:r>
        <w:rPr>
          <w:rFonts w:ascii="Arial" w:hAnsi="Arial"/>
          <w:b w:val="0"/>
          <w:sz w:val="24"/>
        </w:rPr>
        <w:t>“</w:t>
      </w:r>
      <w:r>
        <w:rPr>
          <w:rFonts w:ascii="Arial" w:hAnsi="Arial"/>
          <w:bCs/>
          <w:sz w:val="24"/>
        </w:rPr>
        <w:t>Appendix C. Reference standards</w:t>
      </w:r>
    </w:p>
    <w:p w:rsidR="004836CD" w:rsidRPr="00937C8B" w:rsidRDefault="004836CD" w:rsidP="0058501F">
      <w:pPr>
        <w:pStyle w:val="BodyText"/>
        <w:spacing w:before="120" w:line="312" w:lineRule="auto"/>
        <w:ind w:left="709"/>
        <w:rPr>
          <w:rFonts w:ascii="Arial" w:hAnsi="Arial" w:cs="Arial"/>
          <w:sz w:val="24"/>
          <w:szCs w:val="24"/>
        </w:rPr>
      </w:pPr>
      <w:r>
        <w:rPr>
          <w:rFonts w:ascii="Arial" w:hAnsi="Arial"/>
          <w:sz w:val="24"/>
        </w:rPr>
        <w:t>This appendix provides the full references for the standards cited in the text of DB HS4.</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10242:1995</w:t>
      </w:r>
      <w:r>
        <w:rPr>
          <w:rFonts w:ascii="Arial" w:hAnsi="Arial"/>
          <w:sz w:val="24"/>
        </w:rPr>
        <w:tab/>
        <w:t>Threaded pipe fitting in malleable cast iron. (+UNE-EN 10242/1M:1999, +UNE-EN 10242/A2:2004)</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19049-1:1997</w:t>
      </w:r>
      <w:r>
        <w:rPr>
          <w:rFonts w:ascii="Arial" w:hAnsi="Arial"/>
          <w:sz w:val="24"/>
        </w:rPr>
        <w:tab/>
        <w:t>Stainless steel tubes for the conveyance of hot/cold water. Part 1: Tubes.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100030:2017</w:t>
      </w:r>
      <w:r>
        <w:rPr>
          <w:rFonts w:ascii="Arial" w:hAnsi="Arial"/>
          <w:sz w:val="24"/>
        </w:rPr>
        <w:tab/>
        <w:t xml:space="preserve">Guidelines for prevention and control of proliferation and spread of Legionella in facilities. </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lastRenderedPageBreak/>
        <w:t>UNE 100151:1988</w:t>
      </w:r>
      <w:r>
        <w:rPr>
          <w:rFonts w:ascii="Arial" w:hAnsi="Arial"/>
          <w:sz w:val="24"/>
        </w:rPr>
        <w:tab/>
        <w:t>Air conditioning. Site pressure testing of pipework.</w:t>
      </w:r>
    </w:p>
    <w:p w:rsidR="004836CD" w:rsidRPr="00937C8B" w:rsidRDefault="004836CD" w:rsidP="0058501F">
      <w:pPr>
        <w:pStyle w:val="nota"/>
        <w:tabs>
          <w:tab w:val="clear" w:pos="1122"/>
          <w:tab w:val="clear" w:pos="1309"/>
        </w:tabs>
        <w:spacing w:before="120" w:line="312" w:lineRule="auto"/>
        <w:ind w:left="3969" w:hanging="3260"/>
        <w:rPr>
          <w:bCs w:val="0"/>
          <w:sz w:val="24"/>
        </w:rPr>
      </w:pPr>
      <w:r>
        <w:rPr>
          <w:sz w:val="24"/>
        </w:rPr>
        <w:t>UNE 100156:2004 IN</w:t>
      </w:r>
      <w:r>
        <w:rPr>
          <w:sz w:val="24"/>
        </w:rPr>
        <w:tab/>
        <w:t>Air conditioning. Expansion joints. Design criteria.</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100171:1989 IN</w:t>
      </w:r>
      <w:r>
        <w:rPr>
          <w:rFonts w:ascii="Arial" w:hAnsi="Arial"/>
          <w:sz w:val="24"/>
        </w:rPr>
        <w:tab/>
        <w:t>Air conditioning. Thermal insulation. Erection of insulating materials.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CEN/TR 12108:2015 IN</w:t>
      </w:r>
      <w:r>
        <w:rPr>
          <w:rFonts w:ascii="Arial" w:hAnsi="Arial"/>
          <w:sz w:val="24"/>
        </w:rPr>
        <w:tab/>
        <w:t>Plastics piping systems. Guidance for the installation inside buildings of pressure piping systems for hot and cold water intended for human consumption.</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EN 1057:2007+A1:2010</w:t>
      </w:r>
      <w:r>
        <w:rPr>
          <w:rFonts w:ascii="Arial" w:hAnsi="Arial"/>
          <w:sz w:val="24"/>
        </w:rPr>
        <w:tab/>
        <w:t>Copper and copper alloys. Seamless, round copper tubes for water and gas in sanitary and heating applications.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 xml:space="preserve">UNE EN 10240:1998 </w:t>
      </w:r>
      <w:r>
        <w:rPr>
          <w:rFonts w:ascii="Arial" w:hAnsi="Arial"/>
          <w:sz w:val="24"/>
        </w:rPr>
        <w:tab/>
        <w:t>Internal and/or external protective coatings for steel tubes. Specification for hot dip galvanized coatings applied in automatic plants.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EN 12201-1:2012</w:t>
      </w:r>
      <w:r>
        <w:rPr>
          <w:rFonts w:ascii="Arial" w:hAnsi="Arial"/>
          <w:sz w:val="24"/>
        </w:rPr>
        <w:tab/>
        <w:t>Plastics piping systems for water supply, and for drainage and sewerage under pressure. Polyethylene (PE). Part 1: General.</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EN 12201-2:2012+A1:2014</w:t>
      </w:r>
      <w:r>
        <w:rPr>
          <w:rFonts w:ascii="Arial" w:hAnsi="Arial"/>
          <w:sz w:val="24"/>
        </w:rPr>
        <w:tab/>
        <w:t>Plastics piping systems for water supply, and for drainage and sewerage under pressure. Polyethylene (PE). Part 2: Pipes.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EN 12201-3:2012+A1:2013</w:t>
      </w:r>
      <w:r>
        <w:rPr>
          <w:rFonts w:ascii="Arial" w:hAnsi="Arial"/>
          <w:sz w:val="24"/>
        </w:rPr>
        <w:tab/>
        <w:t>Plastics piping systems for water supply, and for drainage and sewerage under pressure. Polyethylene (PE). Part 3: Fittings.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EN 12201-4:2012</w:t>
      </w:r>
      <w:r>
        <w:rPr>
          <w:rFonts w:ascii="Arial" w:hAnsi="Arial"/>
          <w:sz w:val="24"/>
        </w:rPr>
        <w:tab/>
        <w:t>Plastics piping systems for water supply, and for drainage and sewerage under pressure. Polyethylene (PE). Part 4: Valves.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 xml:space="preserve">UNE EN ISO 1452-1:2010 </w:t>
      </w:r>
      <w:r>
        <w:rPr>
          <w:rFonts w:ascii="Arial" w:hAnsi="Arial"/>
          <w:sz w:val="24"/>
        </w:rPr>
        <w:tab/>
        <w:t>Plastics piping systems for water supply and for buried and above-ground drainage and sewerage under pressure. Unplasticised poly(vinyl chloride) (PVC-U). Part 1: General.</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 xml:space="preserve">UNE EN ISO 1452-2:2010 </w:t>
      </w:r>
      <w:r>
        <w:rPr>
          <w:rFonts w:ascii="Arial" w:hAnsi="Arial"/>
          <w:sz w:val="24"/>
        </w:rPr>
        <w:tab/>
        <w:t>Plastics piping systems for water supply and for buried and above-ground drainage and sewerage under pressure. Unplasticised poly(vinyl chloride) (PVC-U). Part 2: Tubes.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 xml:space="preserve">UNE EN ISO 1452-3:2011 </w:t>
      </w:r>
      <w:r>
        <w:rPr>
          <w:rFonts w:ascii="Arial" w:hAnsi="Arial"/>
          <w:sz w:val="24"/>
        </w:rPr>
        <w:tab/>
        <w:t>Plastics piping systems for water supply and for buried and above-ground drainage and sewerage under pressure. Unplasticised poly(vinyl chloride) (PVC-U). Part 3: Fittings.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lastRenderedPageBreak/>
        <w:t>UNE EN ISO 12241:2010</w:t>
      </w:r>
      <w:r>
        <w:rPr>
          <w:rFonts w:ascii="Arial" w:hAnsi="Arial"/>
          <w:sz w:val="24"/>
        </w:rPr>
        <w:tab/>
        <w:t>Thermal insulation for building equipment and industrial installations. Calculation rules.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EN ISO 15874-1:2013</w:t>
      </w:r>
      <w:r>
        <w:rPr>
          <w:rFonts w:ascii="Arial" w:hAnsi="Arial"/>
          <w:sz w:val="24"/>
        </w:rPr>
        <w:tab/>
        <w:t>Plastics piping systems for hot and cold water installations. Polypropylene (PP). Part 1: General.</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EN ISO 15874-2:2013</w:t>
      </w:r>
      <w:r>
        <w:rPr>
          <w:rFonts w:ascii="Arial" w:hAnsi="Arial"/>
          <w:sz w:val="24"/>
        </w:rPr>
        <w:tab/>
        <w:t>Plastics piping systems for hot and cold water installations. Polypropylene (PP). Part 2: Tubes.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EN ISO 15874-3:2013</w:t>
      </w:r>
      <w:r>
        <w:rPr>
          <w:rFonts w:ascii="Arial" w:hAnsi="Arial"/>
          <w:sz w:val="24"/>
        </w:rPr>
        <w:tab/>
        <w:t>Plastics piping systems for hot and cold water installations. Polypropylene (PP). Part 3: Fittings.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 xml:space="preserve">UNE EN ISO 15875-1:2004 </w:t>
      </w:r>
      <w:r>
        <w:rPr>
          <w:rFonts w:ascii="Arial" w:hAnsi="Arial"/>
          <w:sz w:val="24"/>
        </w:rPr>
        <w:tab/>
        <w:t>Plastics piping systems for hot and cold water installations. Cross-linked polyethylene (PE-X). Part 1: General. (+UNE-EN ISO 15875-1:2004/A1:2007)</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 xml:space="preserve">UNE EN ISO 15875-2:2004 </w:t>
      </w:r>
      <w:r>
        <w:rPr>
          <w:rFonts w:ascii="Arial" w:hAnsi="Arial"/>
          <w:sz w:val="24"/>
        </w:rPr>
        <w:tab/>
        <w:t>Plastics piping systems for hot and cold water installations. Cross-linked polyethylene (PE-X). Part 2: Tubes. (+UNE-EN ISO 15875-2:2004/A1:2007)</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EN ISO 15875-3:2004</w:t>
      </w:r>
      <w:r>
        <w:rPr>
          <w:rFonts w:ascii="Arial" w:hAnsi="Arial"/>
          <w:sz w:val="24"/>
        </w:rPr>
        <w:tab/>
        <w:t>Plastics piping systems for hot and cold water installations. Cross-linked polyethylene (PE-X). Part 3: Fittings.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EN ISO 15876-1:2017</w:t>
      </w:r>
      <w:r>
        <w:rPr>
          <w:rFonts w:ascii="Arial" w:hAnsi="Arial"/>
          <w:sz w:val="24"/>
        </w:rPr>
        <w:tab/>
        <w:t>Plastics piping systems for hot and cold water installations. Polybutylene (PB). Part 1: General.</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EN ISO 15876-2:2017</w:t>
      </w:r>
      <w:r>
        <w:rPr>
          <w:rFonts w:ascii="Arial" w:hAnsi="Arial"/>
          <w:sz w:val="24"/>
        </w:rPr>
        <w:tab/>
        <w:t>Plastics piping systems for hot and cold water installations. Polybutylene (PB). Part 2: Pipes.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UNE EN ISO 15876-3:2017</w:t>
      </w:r>
      <w:r>
        <w:rPr>
          <w:rFonts w:ascii="Arial" w:hAnsi="Arial"/>
          <w:sz w:val="24"/>
        </w:rPr>
        <w:tab/>
        <w:t>Plastics piping systems for hot and cold water installations. Polybutylene (PB). Part 3: Fittings.</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 xml:space="preserve">UNE EN ISO 21003-1:2009 </w:t>
      </w:r>
      <w:r>
        <w:rPr>
          <w:rFonts w:ascii="Arial" w:hAnsi="Arial"/>
          <w:sz w:val="24"/>
        </w:rPr>
        <w:tab/>
        <w:t>Multilayer piping systems for hot and cold water installations inside buildings. Part 1: General.</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 xml:space="preserve">UNE EN ISO 21003-2:2009 </w:t>
      </w:r>
      <w:r>
        <w:rPr>
          <w:rFonts w:ascii="Arial" w:hAnsi="Arial"/>
          <w:sz w:val="24"/>
        </w:rPr>
        <w:tab/>
        <w:t>Multilayer piping systems for hot and cold water installations inside buildings. Part 2: Tubes. (+UNE-EN ISO 21003-2:2009/A1:2011)</w:t>
      </w:r>
    </w:p>
    <w:p w:rsidR="004836CD" w:rsidRPr="00937C8B" w:rsidRDefault="004836CD" w:rsidP="0058501F">
      <w:pPr>
        <w:pStyle w:val="BodyText"/>
        <w:spacing w:before="120" w:line="312" w:lineRule="auto"/>
        <w:ind w:left="3969" w:hanging="3260"/>
        <w:rPr>
          <w:rFonts w:ascii="Arial" w:hAnsi="Arial" w:cs="Arial"/>
          <w:sz w:val="24"/>
          <w:szCs w:val="24"/>
        </w:rPr>
      </w:pPr>
      <w:r>
        <w:rPr>
          <w:rFonts w:ascii="Arial" w:hAnsi="Arial"/>
          <w:sz w:val="24"/>
        </w:rPr>
        <w:t xml:space="preserve">UNE EN ISO 21003-3:2009 </w:t>
      </w:r>
      <w:r>
        <w:rPr>
          <w:rFonts w:ascii="Arial" w:hAnsi="Arial"/>
          <w:sz w:val="24"/>
        </w:rPr>
        <w:tab/>
        <w:t>Multilayer piping systems for hot and cold water installations inside buildings. Part 3: Fittings.”</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5, Subsection 6.2(a), the reference ‘UNE EN 545:2002, UNE EN 598:1996, UNE EN 877:2000’ is replaced by ‘UNE-EN 598:2008+A1:2009 and UNE-EN 877:2000 (+UNE-EN 877:2000/A1:2007)’.</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lastRenderedPageBreak/>
        <w:t>- In Section HS 5, Subsection 6.2(b), the reference ‘UNE EN 1329-1:1999, UNE EN 1401-1:1998, UNE EN 1453-1:2000, UNE EN 1456-1:2002’ is replaced by ‘UNE EN 1329-1:2014 + A1:2018, UNE EN 1401-1:2009, UNE EN 1453-1:2017, UNE EN 1566-1:1999, UNE EN ISO 1452-1:2010, UNE EN ISO 1452-2:2010’.</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5, Subsection 6.2(c), the reference ‘UNE EN 1852-1:1998’ is replaced by ‘UNE-EN 1852-1:2018’.</w:t>
      </w:r>
    </w:p>
    <w:p w:rsidR="007A61FF"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5, Subsection 6.2(d), the reference “UNE EN 295-1:1999" is replaced by "UNE-EN 295-1:2013".</w:t>
      </w:r>
    </w:p>
    <w:p w:rsidR="004836CD" w:rsidRPr="00937C8B" w:rsidRDefault="004836CD" w:rsidP="0058501F">
      <w:pPr>
        <w:tabs>
          <w:tab w:val="left" w:pos="0"/>
          <w:tab w:val="left" w:pos="8460"/>
          <w:tab w:val="left" w:pos="10432"/>
        </w:tabs>
        <w:spacing w:before="120" w:line="312" w:lineRule="auto"/>
        <w:ind w:right="-6"/>
        <w:jc w:val="both"/>
        <w:rPr>
          <w:rFonts w:ascii="Arial" w:hAnsi="Arial" w:cs="Arial"/>
        </w:rPr>
      </w:pPr>
      <w:r>
        <w:rPr>
          <w:rFonts w:ascii="Arial" w:hAnsi="Arial"/>
        </w:rPr>
        <w:t>- In Section HS 5, Subsection 6.2(e), the reference “UNE 127010:1995 EX" is replaced by "UNE-EN 1916:2008 “national supplement: UNE 127916:2014)".</w:t>
      </w:r>
    </w:p>
    <w:p w:rsidR="004836CD" w:rsidRPr="00937C8B" w:rsidRDefault="004836CD" w:rsidP="00D27646">
      <w:pPr>
        <w:keepNext/>
        <w:tabs>
          <w:tab w:val="left" w:pos="0"/>
          <w:tab w:val="left" w:pos="8460"/>
          <w:tab w:val="left" w:pos="10432"/>
        </w:tabs>
        <w:spacing w:before="120" w:line="312" w:lineRule="auto"/>
        <w:ind w:right="-6"/>
        <w:jc w:val="both"/>
        <w:rPr>
          <w:rFonts w:ascii="Arial" w:hAnsi="Arial" w:cs="Arial"/>
        </w:rPr>
      </w:pPr>
      <w:r>
        <w:rPr>
          <w:rFonts w:ascii="Arial" w:hAnsi="Arial"/>
        </w:rPr>
        <w:t>- In Section HS 5, ‘Appendix C. Reference standards’ is replaced by:</w:t>
      </w:r>
    </w:p>
    <w:p w:rsidR="004836CD" w:rsidRPr="00A77C79" w:rsidRDefault="004836CD" w:rsidP="00D27646">
      <w:pPr>
        <w:pStyle w:val="Ttulo1CTE"/>
        <w:spacing w:before="120" w:after="0" w:line="312" w:lineRule="auto"/>
        <w:ind w:left="709"/>
        <w:rPr>
          <w:b w:val="0"/>
          <w:bCs w:val="0"/>
          <w:kern w:val="0"/>
          <w:sz w:val="24"/>
          <w:szCs w:val="24"/>
        </w:rPr>
      </w:pPr>
      <w:bookmarkStart w:id="12" w:name="_Toc39158108"/>
      <w:r>
        <w:rPr>
          <w:b w:val="0"/>
          <w:sz w:val="24"/>
        </w:rPr>
        <w:t>‘Annex C. Reference standards</w:t>
      </w:r>
      <w:bookmarkEnd w:id="12"/>
    </w:p>
    <w:p w:rsidR="004836CD" w:rsidRPr="00A77C79" w:rsidRDefault="004836CD" w:rsidP="00205EA2">
      <w:pPr>
        <w:widowControl w:val="0"/>
        <w:spacing w:before="120" w:line="312" w:lineRule="auto"/>
        <w:ind w:left="851"/>
        <w:jc w:val="both"/>
        <w:rPr>
          <w:rFonts w:ascii="Arial" w:hAnsi="Arial" w:cs="Arial"/>
        </w:rPr>
      </w:pPr>
      <w:r>
        <w:rPr>
          <w:rFonts w:ascii="Arial" w:hAnsi="Arial"/>
        </w:rPr>
        <w:t>This appendix provides the full references for the standards cited in the text of DB HS5.</w:t>
      </w:r>
    </w:p>
    <w:p w:rsidR="00F63F8C" w:rsidRPr="00937C8B" w:rsidRDefault="004836CD" w:rsidP="008C5A28">
      <w:pPr>
        <w:spacing w:before="120" w:line="312" w:lineRule="auto"/>
        <w:ind w:left="3544" w:hanging="2835"/>
        <w:jc w:val="both"/>
        <w:rPr>
          <w:rFonts w:ascii="Arial" w:hAnsi="Arial" w:cs="Arial"/>
        </w:rPr>
      </w:pPr>
      <w:r>
        <w:rPr>
          <w:rFonts w:ascii="Arial" w:hAnsi="Arial"/>
        </w:rPr>
        <w:t xml:space="preserve">UNE 127916:2014 </w:t>
      </w:r>
      <w:r>
        <w:rPr>
          <w:rFonts w:ascii="Arial" w:hAnsi="Arial"/>
        </w:rPr>
        <w:tab/>
        <w:t>Concrete pipes and fittings, unreinforced, steel fibre and reinforced. National complement to the UNE EN 1916:2008 standard.</w:t>
      </w:r>
    </w:p>
    <w:p w:rsidR="004836CD" w:rsidRPr="00937C8B" w:rsidRDefault="004836CD" w:rsidP="008C5A28">
      <w:pPr>
        <w:spacing w:before="120" w:line="312" w:lineRule="auto"/>
        <w:ind w:left="3544" w:hanging="2835"/>
        <w:jc w:val="both"/>
        <w:rPr>
          <w:rFonts w:ascii="Arial" w:hAnsi="Arial" w:cs="Arial"/>
        </w:rPr>
      </w:pPr>
      <w:r>
        <w:rPr>
          <w:rFonts w:ascii="Arial" w:hAnsi="Arial"/>
        </w:rPr>
        <w:t>UNE EN 295-1:2013</w:t>
      </w:r>
      <w:r>
        <w:rPr>
          <w:rFonts w:ascii="Arial" w:hAnsi="Arial"/>
        </w:rPr>
        <w:tab/>
        <w:t>Vitrified clay pipe systems for drains and sewers. Part 1: Requirements for pipes, fittings and joints.</w:t>
      </w:r>
    </w:p>
    <w:p w:rsidR="004836CD" w:rsidRPr="00937C8B" w:rsidRDefault="004836CD" w:rsidP="00205EA2">
      <w:pPr>
        <w:pStyle w:val="Heading4"/>
        <w:spacing w:before="120" w:line="312" w:lineRule="auto"/>
        <w:ind w:left="3544" w:hanging="2835"/>
        <w:rPr>
          <w:rFonts w:ascii="Arial" w:hAnsi="Arial" w:cs="Arial"/>
          <w:b w:val="0"/>
          <w:bCs/>
          <w:sz w:val="24"/>
          <w:szCs w:val="24"/>
        </w:rPr>
      </w:pPr>
      <w:r>
        <w:rPr>
          <w:rFonts w:ascii="Arial" w:hAnsi="Arial"/>
          <w:b w:val="0"/>
          <w:sz w:val="24"/>
        </w:rPr>
        <w:t>UNE EN 598:2008+A1:2009</w:t>
      </w:r>
      <w:r>
        <w:rPr>
          <w:rFonts w:ascii="Arial" w:hAnsi="Arial"/>
          <w:b w:val="0"/>
          <w:sz w:val="24"/>
        </w:rPr>
        <w:tab/>
        <w:t>Ductile iron pipes, fittings, accessories and their joints for sewerage applications. Requirements and test methods.</w:t>
      </w:r>
    </w:p>
    <w:p w:rsidR="004836CD" w:rsidRPr="00937C8B" w:rsidRDefault="004836CD" w:rsidP="00205EA2">
      <w:pPr>
        <w:pStyle w:val="BodyText"/>
        <w:spacing w:before="120" w:line="312" w:lineRule="auto"/>
        <w:ind w:left="3544" w:hanging="2835"/>
        <w:rPr>
          <w:rFonts w:ascii="Arial" w:hAnsi="Arial" w:cs="Arial"/>
          <w:sz w:val="24"/>
          <w:szCs w:val="24"/>
        </w:rPr>
      </w:pPr>
      <w:r>
        <w:rPr>
          <w:rFonts w:ascii="Arial" w:hAnsi="Arial"/>
          <w:sz w:val="24"/>
        </w:rPr>
        <w:t xml:space="preserve">UNE EN 877:2000 </w:t>
      </w:r>
      <w:r>
        <w:rPr>
          <w:rFonts w:ascii="Arial" w:hAnsi="Arial"/>
          <w:sz w:val="24"/>
        </w:rPr>
        <w:tab/>
        <w:t>Cast iron pipes and fittings, their joints and accessories for the evacuation of water from buildings. Requirements, test methods and quality assurance. (+UNE EN 877:2000/A1:2007)</w:t>
      </w:r>
    </w:p>
    <w:p w:rsidR="004836CD" w:rsidRPr="00937C8B" w:rsidRDefault="004836CD" w:rsidP="00205EA2">
      <w:pPr>
        <w:spacing w:before="120" w:line="312" w:lineRule="auto"/>
        <w:ind w:left="3544" w:hanging="2835"/>
        <w:jc w:val="both"/>
        <w:rPr>
          <w:rFonts w:ascii="Arial" w:hAnsi="Arial" w:cs="Arial"/>
        </w:rPr>
      </w:pPr>
      <w:r>
        <w:rPr>
          <w:rFonts w:ascii="Arial" w:hAnsi="Arial"/>
        </w:rPr>
        <w:t>UNE EN 1329-1:2014+A1:2018</w:t>
      </w:r>
      <w:r>
        <w:rPr>
          <w:rFonts w:ascii="Arial" w:hAnsi="Arial"/>
        </w:rPr>
        <w:tab/>
        <w:t>Plastics piping systems for soil and waste discharge (low and high temperature) within the building structure. Unplasticised poly(vinyl chloride) (PVC-U). Part 1: Specifications for pipes, fittings and the systems.</w:t>
      </w:r>
    </w:p>
    <w:p w:rsidR="004836CD" w:rsidRPr="00937C8B" w:rsidRDefault="004836CD" w:rsidP="00205EA2">
      <w:pPr>
        <w:spacing w:before="120" w:line="312" w:lineRule="auto"/>
        <w:ind w:left="3544" w:hanging="2835"/>
        <w:jc w:val="both"/>
        <w:rPr>
          <w:rFonts w:ascii="Arial" w:hAnsi="Arial" w:cs="Arial"/>
        </w:rPr>
      </w:pPr>
      <w:r>
        <w:rPr>
          <w:rFonts w:ascii="Arial" w:hAnsi="Arial"/>
        </w:rPr>
        <w:t>UNE EN 1401-1:2009</w:t>
      </w:r>
      <w:r>
        <w:rPr>
          <w:rFonts w:ascii="Arial" w:hAnsi="Arial"/>
        </w:rPr>
        <w:tab/>
        <w:t>Plastics piping systems for non-pressure underground drainage and sewerage. Unplasticised poly(vinyl chloride) (PVC-U). Part 1: Specifications for pipes, fittings and the systems.</w:t>
      </w:r>
    </w:p>
    <w:p w:rsidR="007A61FF" w:rsidRPr="00937C8B" w:rsidRDefault="004836CD" w:rsidP="00376F0E">
      <w:pPr>
        <w:spacing w:before="120" w:line="312" w:lineRule="auto"/>
        <w:ind w:left="3544" w:hanging="2835"/>
        <w:jc w:val="both"/>
        <w:rPr>
          <w:rFonts w:ascii="Arial" w:hAnsi="Arial" w:cs="Arial"/>
        </w:rPr>
      </w:pPr>
      <w:r>
        <w:rPr>
          <w:rFonts w:ascii="Arial" w:hAnsi="Arial"/>
        </w:rPr>
        <w:t>UNE EN 1453-1:2017</w:t>
      </w:r>
      <w:r>
        <w:rPr>
          <w:rFonts w:ascii="Arial" w:hAnsi="Arial"/>
        </w:rPr>
        <w:tab/>
        <w:t xml:space="preserve">Plastics piping systems with structured-wall pipes for soil and waste discharge (low and high temperature) inside buildings. </w:t>
      </w:r>
      <w:r>
        <w:rPr>
          <w:rFonts w:ascii="Arial" w:hAnsi="Arial"/>
        </w:rPr>
        <w:lastRenderedPageBreak/>
        <w:t xml:space="preserve">Unplasticised poly(vinyl chloride) (PVC-U). Part 1: Specifications for pipes and the system. </w:t>
      </w:r>
    </w:p>
    <w:p w:rsidR="004836CD" w:rsidRPr="00937C8B" w:rsidRDefault="004836CD" w:rsidP="00205EA2">
      <w:pPr>
        <w:spacing w:before="120" w:line="312" w:lineRule="auto"/>
        <w:ind w:left="3544" w:hanging="2835"/>
        <w:jc w:val="both"/>
        <w:rPr>
          <w:rFonts w:ascii="Arial" w:hAnsi="Arial" w:cs="Arial"/>
        </w:rPr>
      </w:pPr>
      <w:r>
        <w:rPr>
          <w:rFonts w:ascii="Arial" w:hAnsi="Arial"/>
        </w:rPr>
        <w:t>UNE EN 1566-1:1999</w:t>
      </w:r>
      <w:r>
        <w:rPr>
          <w:rFonts w:ascii="Arial" w:hAnsi="Arial"/>
        </w:rPr>
        <w:tab/>
        <w:t>Plastics piping systems for soil and waste discharge (low and high temperature) within the building structure. Chlorinated poly(vinyl chloride) (PVC-C). Part 1: Specifications for pipes, fittings and the systems.</w:t>
      </w:r>
    </w:p>
    <w:p w:rsidR="004836CD" w:rsidRPr="00937C8B" w:rsidRDefault="004836CD" w:rsidP="00205EA2">
      <w:pPr>
        <w:spacing w:before="120" w:line="312" w:lineRule="auto"/>
        <w:ind w:left="3544" w:hanging="2835"/>
        <w:jc w:val="both"/>
        <w:rPr>
          <w:rFonts w:ascii="Arial" w:hAnsi="Arial" w:cs="Arial"/>
        </w:rPr>
      </w:pPr>
      <w:r>
        <w:rPr>
          <w:rFonts w:ascii="Arial" w:hAnsi="Arial"/>
        </w:rPr>
        <w:t>UNE EN 1852-1:2018</w:t>
      </w:r>
      <w:r>
        <w:rPr>
          <w:rFonts w:ascii="Arial" w:hAnsi="Arial"/>
        </w:rPr>
        <w:tab/>
        <w:t>Plastics piping systems for non-pressure underground drainage and sewerage. Polypropylene (PP). Part 1: Specifications for pipes, fittings and the systems.</w:t>
      </w:r>
    </w:p>
    <w:p w:rsidR="004836CD" w:rsidRPr="00937C8B" w:rsidRDefault="004836CD" w:rsidP="00205EA2">
      <w:pPr>
        <w:spacing w:before="120" w:line="312" w:lineRule="auto"/>
        <w:ind w:left="3544" w:hanging="2835"/>
        <w:jc w:val="both"/>
        <w:rPr>
          <w:rFonts w:ascii="Arial" w:hAnsi="Arial" w:cs="Arial"/>
        </w:rPr>
      </w:pPr>
      <w:r>
        <w:rPr>
          <w:rFonts w:ascii="Arial" w:hAnsi="Arial"/>
        </w:rPr>
        <w:t>UNE EN 1916:2008</w:t>
      </w:r>
      <w:r>
        <w:rPr>
          <w:rFonts w:ascii="Arial" w:hAnsi="Arial"/>
        </w:rPr>
        <w:tab/>
        <w:t>Concrete pipes and fittings, unreinforced, steel fibre and reinforced.</w:t>
      </w:r>
    </w:p>
    <w:p w:rsidR="004836CD" w:rsidRPr="00937C8B" w:rsidRDefault="00205EA2" w:rsidP="00205EA2">
      <w:pPr>
        <w:spacing w:before="120" w:line="312" w:lineRule="auto"/>
        <w:ind w:left="3544" w:hanging="2835"/>
        <w:jc w:val="both"/>
        <w:rPr>
          <w:rFonts w:ascii="Arial" w:hAnsi="Arial" w:cs="Arial"/>
        </w:rPr>
      </w:pPr>
      <w:r>
        <w:rPr>
          <w:rFonts w:ascii="Arial" w:hAnsi="Arial"/>
        </w:rPr>
        <w:t xml:space="preserve">UNE EN ISO 1452-1:2010 Plastics piping systems for water supply and for buried and above-ground drainage and sewerage under pressure. Unplasticised poly(vinyl chloride) (PVC-U). Part 1: General. </w:t>
      </w:r>
    </w:p>
    <w:p w:rsidR="004836CD" w:rsidRPr="00937C8B" w:rsidRDefault="00205EA2" w:rsidP="00205EA2">
      <w:pPr>
        <w:spacing w:before="120" w:line="312" w:lineRule="auto"/>
        <w:ind w:left="3544" w:hanging="2835"/>
        <w:jc w:val="both"/>
        <w:rPr>
          <w:rFonts w:ascii="Arial" w:hAnsi="Arial" w:cs="Arial"/>
        </w:rPr>
      </w:pPr>
      <w:r>
        <w:rPr>
          <w:rFonts w:ascii="Arial" w:hAnsi="Arial"/>
        </w:rPr>
        <w:t>UNE EN ISO 1452-2:2010 Plastics piping systems for water supply and for buried and above-ground drainage and sewerage under pressure. Unplasticised poly(vinyl chloride) (PVC-U). Part 2: Pipes.’</w:t>
      </w:r>
    </w:p>
    <w:p w:rsidR="004836CD" w:rsidRPr="00937C8B" w:rsidRDefault="004836CD" w:rsidP="0058501F">
      <w:pPr>
        <w:spacing w:before="120" w:line="312" w:lineRule="auto"/>
        <w:jc w:val="both"/>
        <w:rPr>
          <w:rFonts w:ascii="Arial" w:hAnsi="Arial" w:cs="Arial"/>
        </w:rPr>
      </w:pPr>
      <w:r>
        <w:rPr>
          <w:rFonts w:ascii="Arial" w:hAnsi="Arial"/>
        </w:rPr>
        <w:t>First transitional provision. Buildings exempt from the provisions of this Royal Decree.</w:t>
      </w:r>
    </w:p>
    <w:p w:rsidR="004836CD" w:rsidRPr="00937C8B" w:rsidRDefault="004836CD" w:rsidP="0058501F">
      <w:pPr>
        <w:spacing w:before="120" w:line="312" w:lineRule="auto"/>
        <w:jc w:val="both"/>
        <w:rPr>
          <w:rFonts w:ascii="Arial" w:hAnsi="Arial" w:cs="Arial"/>
        </w:rPr>
      </w:pPr>
      <w:r>
        <w:rPr>
          <w:rFonts w:ascii="Arial" w:hAnsi="Arial"/>
        </w:rPr>
        <w:t xml:space="preserve">The amendments to the Technical Building Code (CTE) adopted by this Royal Decree shall not apply to new buildings or work on existing buildings which, in both cases, have already applied for a municipal works permit at the time when this Royal Decree comes into force. </w:t>
      </w:r>
    </w:p>
    <w:p w:rsidR="004836CD" w:rsidRPr="00937C8B" w:rsidRDefault="004836CD" w:rsidP="0058501F">
      <w:pPr>
        <w:spacing w:before="120" w:line="312" w:lineRule="auto"/>
        <w:jc w:val="both"/>
        <w:rPr>
          <w:rFonts w:ascii="Arial" w:hAnsi="Arial" w:cs="Arial"/>
        </w:rPr>
      </w:pPr>
      <w:r>
        <w:rPr>
          <w:rFonts w:ascii="Arial" w:hAnsi="Arial"/>
        </w:rPr>
        <w:t>Such works shall begin within the maximum period of efficiency of said permit, in accordance with its governing regulations or, failing that, within six months of said permit being granted. Otherwise, the projects shall adapt to the amendments of the CTE that are approved by this Royal Decree.</w:t>
      </w:r>
    </w:p>
    <w:p w:rsidR="004836CD" w:rsidRPr="00937C8B" w:rsidRDefault="004836CD" w:rsidP="0058501F">
      <w:pPr>
        <w:spacing w:before="120" w:line="312" w:lineRule="auto"/>
        <w:jc w:val="both"/>
        <w:rPr>
          <w:rFonts w:ascii="Arial" w:hAnsi="Arial" w:cs="Arial"/>
        </w:rPr>
      </w:pPr>
      <w:r>
        <w:rPr>
          <w:rFonts w:ascii="Arial" w:hAnsi="Arial"/>
        </w:rPr>
        <w:t>Second transitional provision. Buildings for which application of the provisions in this Royal Decree is voluntary.</w:t>
      </w:r>
    </w:p>
    <w:p w:rsidR="004836CD" w:rsidRPr="00937C8B" w:rsidRDefault="004836CD" w:rsidP="0058501F">
      <w:pPr>
        <w:spacing w:before="120" w:line="312" w:lineRule="auto"/>
        <w:jc w:val="both"/>
        <w:rPr>
          <w:rFonts w:ascii="Arial" w:hAnsi="Arial" w:cs="Arial"/>
        </w:rPr>
      </w:pPr>
      <w:r>
        <w:rPr>
          <w:rFonts w:ascii="Arial" w:hAnsi="Arial"/>
        </w:rPr>
        <w:t xml:space="preserve">The amendments of the Technical Building Code (CTE), which are adopted by this Royal Decree, shall be applied on a voluntary basis to new building works and works on existing buildings for which, in both cases, an application for a municipal works permit is submitted within six months of this Royal Decree entering into force. Such works shall begin within the maximum period of validity of said permit, in accordance with its governing regulations or, failing that, within six months of said permit being granted. </w:t>
      </w:r>
    </w:p>
    <w:p w:rsidR="004836CD" w:rsidRPr="00937C8B" w:rsidRDefault="004836CD" w:rsidP="0058501F">
      <w:pPr>
        <w:spacing w:before="120" w:line="312" w:lineRule="auto"/>
        <w:jc w:val="both"/>
        <w:rPr>
          <w:rFonts w:ascii="Arial" w:hAnsi="Arial" w:cs="Arial"/>
        </w:rPr>
      </w:pPr>
      <w:r>
        <w:rPr>
          <w:rFonts w:ascii="Arial" w:hAnsi="Arial"/>
        </w:rPr>
        <w:t>Otherwise, the projects shall adapt to the amendments of the CTE that are approved by this Royal Decree.</w:t>
      </w:r>
    </w:p>
    <w:p w:rsidR="004836CD" w:rsidRPr="00937C8B" w:rsidRDefault="004836CD" w:rsidP="0058501F">
      <w:pPr>
        <w:spacing w:before="120" w:line="312" w:lineRule="auto"/>
        <w:jc w:val="both"/>
        <w:rPr>
          <w:rFonts w:ascii="Arial" w:hAnsi="Arial" w:cs="Arial"/>
        </w:rPr>
      </w:pPr>
      <w:r>
        <w:rPr>
          <w:rFonts w:ascii="Arial" w:hAnsi="Arial"/>
        </w:rPr>
        <w:lastRenderedPageBreak/>
        <w:t>Third transitional provision.</w:t>
      </w:r>
      <w:r>
        <w:rPr>
          <w:rFonts w:ascii="Arial" w:hAnsi="Arial"/>
        </w:rPr>
        <w:tab/>
        <w:t xml:space="preserve"> Buildings for which application of the provisions in this Royal Decree is mandatory.</w:t>
      </w:r>
    </w:p>
    <w:p w:rsidR="004836CD" w:rsidRPr="00937C8B" w:rsidRDefault="004836CD" w:rsidP="0058501F">
      <w:pPr>
        <w:spacing w:before="120" w:line="312" w:lineRule="auto"/>
        <w:jc w:val="both"/>
        <w:rPr>
          <w:rFonts w:ascii="Arial" w:hAnsi="Arial" w:cs="Arial"/>
        </w:rPr>
      </w:pPr>
      <w:r>
        <w:rPr>
          <w:rFonts w:ascii="Arial" w:hAnsi="Arial"/>
        </w:rPr>
        <w:t>Application of the amendments to the Technical Building Code (CTE) adopted by this Royal Decree shall be mandatory for new buildings or work on existing buildings which, in both cases, apply for a municipal works permit more than six months after its entry into force.</w:t>
      </w:r>
    </w:p>
    <w:p w:rsidR="004836CD" w:rsidRPr="00937C8B" w:rsidRDefault="004836CD" w:rsidP="0058501F">
      <w:pPr>
        <w:spacing w:before="120" w:line="312" w:lineRule="auto"/>
        <w:jc w:val="both"/>
        <w:rPr>
          <w:rFonts w:ascii="Arial" w:hAnsi="Arial" w:cs="Arial"/>
        </w:rPr>
      </w:pPr>
      <w:r>
        <w:rPr>
          <w:rFonts w:ascii="Arial" w:hAnsi="Arial"/>
        </w:rPr>
        <w:t>First final provision. Transposition of European Union law.</w:t>
      </w:r>
    </w:p>
    <w:p w:rsidR="004836CD" w:rsidRPr="00937C8B" w:rsidRDefault="004836CD" w:rsidP="0058501F">
      <w:pPr>
        <w:spacing w:before="120" w:line="312" w:lineRule="auto"/>
        <w:jc w:val="both"/>
        <w:rPr>
          <w:rFonts w:ascii="Arial" w:hAnsi="Arial" w:cs="Arial"/>
        </w:rPr>
      </w:pPr>
      <w:r>
        <w:rPr>
          <w:rFonts w:ascii="Arial" w:hAnsi="Arial"/>
        </w:rPr>
        <w:t>This Royal Decree revises the minimum energy efficiency requirements of buildings pursuant to Articles 4(1)(6) of Directive 2010/31/EU of the European Parliament and of the Council of 19 May 2010 on the energy performance of buildings.</w:t>
      </w:r>
    </w:p>
    <w:p w:rsidR="004836CD" w:rsidRPr="00937C8B" w:rsidRDefault="004836CD" w:rsidP="0058501F">
      <w:pPr>
        <w:spacing w:before="120" w:line="312" w:lineRule="auto"/>
        <w:jc w:val="both"/>
        <w:rPr>
          <w:rFonts w:ascii="Arial" w:hAnsi="Arial" w:cs="Arial"/>
        </w:rPr>
      </w:pPr>
      <w:r>
        <w:rPr>
          <w:rFonts w:ascii="Arial" w:hAnsi="Arial"/>
        </w:rPr>
        <w:t>It also transposes to Spanish Law Articles 74 and 103(2) of Council Directive 2013/59/EURATOM of 5 December 2013 laying down basic safety standards for protection against the dangers arising from exposure to ionising radiation, and repealing Directives 89/618/Euratom, 90/641/Euratom, 96/29/Euratom, 97/43/Euratom and 2003/122/Euratom.</w:t>
      </w:r>
    </w:p>
    <w:p w:rsidR="004836CD" w:rsidRPr="00937C8B" w:rsidRDefault="004836CD" w:rsidP="0058501F">
      <w:pPr>
        <w:spacing w:before="120" w:line="312" w:lineRule="auto"/>
        <w:jc w:val="both"/>
        <w:rPr>
          <w:rFonts w:ascii="Arial" w:hAnsi="Arial" w:cs="Arial"/>
        </w:rPr>
      </w:pPr>
      <w:r>
        <w:rPr>
          <w:rFonts w:ascii="Arial" w:hAnsi="Arial"/>
        </w:rPr>
        <w:t>Second final provision. Entry into force</w:t>
      </w:r>
    </w:p>
    <w:p w:rsidR="00C96A65" w:rsidRPr="00937C8B" w:rsidRDefault="004836CD" w:rsidP="0058501F">
      <w:pPr>
        <w:spacing w:before="120" w:line="312" w:lineRule="auto"/>
        <w:ind w:firstLine="426"/>
        <w:jc w:val="both"/>
        <w:rPr>
          <w:rFonts w:ascii="Arial" w:hAnsi="Arial" w:cs="Arial"/>
        </w:rPr>
      </w:pPr>
      <w:r>
        <w:rPr>
          <w:rFonts w:ascii="Arial" w:hAnsi="Arial"/>
        </w:rPr>
        <w:t>This Royal Decree shall enter into force on the day after its publication in the Official State Gazette.</w:t>
      </w:r>
    </w:p>
    <w:p w:rsidR="00C96A65" w:rsidRPr="00937C8B" w:rsidRDefault="00C96A65" w:rsidP="0058501F">
      <w:pPr>
        <w:spacing w:before="120" w:line="312" w:lineRule="auto"/>
        <w:jc w:val="both"/>
        <w:rPr>
          <w:rFonts w:ascii="Arial" w:hAnsi="Arial" w:cs="Arial"/>
        </w:rPr>
      </w:pPr>
    </w:p>
    <w:p w:rsidR="00D739A5" w:rsidRPr="00937C8B" w:rsidRDefault="00D739A5" w:rsidP="0058501F">
      <w:pPr>
        <w:spacing w:before="120" w:line="312" w:lineRule="auto"/>
        <w:jc w:val="both"/>
        <w:rPr>
          <w:rFonts w:ascii="Arial" w:hAnsi="Arial" w:cs="Arial"/>
        </w:rPr>
      </w:pPr>
    </w:p>
    <w:p w:rsidR="00D739A5" w:rsidRPr="00937C8B" w:rsidRDefault="00D739A5" w:rsidP="0058501F">
      <w:pPr>
        <w:spacing w:before="120" w:line="312" w:lineRule="auto"/>
        <w:jc w:val="both"/>
        <w:rPr>
          <w:rFonts w:ascii="Arial" w:hAnsi="Arial" w:cs="Arial"/>
          <w:vanish/>
        </w:rPr>
      </w:pPr>
    </w:p>
    <w:p w:rsidR="00411CE8" w:rsidRPr="00937C8B" w:rsidRDefault="001964D3" w:rsidP="0058501F">
      <w:pPr>
        <w:spacing w:before="120" w:line="312" w:lineRule="auto"/>
        <w:jc w:val="center"/>
        <w:rPr>
          <w:rFonts w:ascii="Arial" w:hAnsi="Arial" w:cs="Arial"/>
          <w:color w:val="000000"/>
        </w:rPr>
      </w:pPr>
      <w:r>
        <w:rPr>
          <w:rFonts w:ascii="Arial" w:hAnsi="Arial"/>
          <w:color w:val="000000"/>
        </w:rPr>
        <w:t>TO BE SUBMITTED TO THE COUNCIL OF MINISTERS</w:t>
      </w:r>
    </w:p>
    <w:p w:rsidR="00205EA2" w:rsidRPr="00937C8B" w:rsidRDefault="00205EA2" w:rsidP="00205EA2">
      <w:pPr>
        <w:jc w:val="center"/>
        <w:rPr>
          <w:rFonts w:ascii="Arial" w:hAnsi="Arial" w:cs="Arial"/>
        </w:rPr>
      </w:pPr>
    </w:p>
    <w:p w:rsidR="00D739A5" w:rsidRPr="00937C8B" w:rsidRDefault="00D739A5" w:rsidP="00205EA2">
      <w:pPr>
        <w:jc w:val="center"/>
        <w:rPr>
          <w:rFonts w:ascii="Arial" w:hAnsi="Arial" w:cs="Arial"/>
        </w:rPr>
      </w:pPr>
      <w:r>
        <w:rPr>
          <w:rFonts w:ascii="Arial" w:hAnsi="Arial"/>
        </w:rPr>
        <w:t xml:space="preserve">Madrid, </w:t>
      </w:r>
    </w:p>
    <w:p w:rsidR="00D739A5" w:rsidRPr="00937C8B" w:rsidRDefault="00D739A5" w:rsidP="00205EA2">
      <w:pPr>
        <w:jc w:val="center"/>
        <w:rPr>
          <w:rFonts w:ascii="Arial" w:hAnsi="Arial" w:cs="Arial"/>
        </w:rPr>
      </w:pPr>
    </w:p>
    <w:p w:rsidR="00205EA2" w:rsidRPr="00937C8B" w:rsidRDefault="00205EA2" w:rsidP="00205EA2">
      <w:pPr>
        <w:jc w:val="center"/>
        <w:rPr>
          <w:rFonts w:ascii="Arial" w:hAnsi="Arial" w:cs="Arial"/>
        </w:rPr>
      </w:pPr>
      <w:r>
        <w:rPr>
          <w:rFonts w:ascii="Arial" w:hAnsi="Arial"/>
        </w:rPr>
        <w:t>THE MINISTER FOR PUBLIC WORKS</w:t>
      </w:r>
    </w:p>
    <w:p w:rsidR="00205EA2" w:rsidRPr="00937C8B" w:rsidRDefault="00205EA2" w:rsidP="00205EA2">
      <w:pPr>
        <w:jc w:val="center"/>
        <w:rPr>
          <w:rFonts w:ascii="Arial" w:hAnsi="Arial" w:cs="Arial"/>
        </w:rPr>
      </w:pPr>
    </w:p>
    <w:p w:rsidR="00205EA2" w:rsidRPr="00937C8B" w:rsidRDefault="00205EA2" w:rsidP="00205EA2">
      <w:pPr>
        <w:jc w:val="center"/>
        <w:rPr>
          <w:rFonts w:ascii="Arial" w:hAnsi="Arial" w:cs="Arial"/>
        </w:rPr>
      </w:pPr>
    </w:p>
    <w:p w:rsidR="00205EA2" w:rsidRPr="00937C8B" w:rsidRDefault="00205EA2" w:rsidP="00205EA2">
      <w:pPr>
        <w:jc w:val="center"/>
        <w:rPr>
          <w:rFonts w:ascii="Arial" w:hAnsi="Arial" w:cs="Arial"/>
        </w:rPr>
      </w:pPr>
    </w:p>
    <w:p w:rsidR="00205EA2" w:rsidRPr="00937C8B" w:rsidRDefault="00205EA2" w:rsidP="00205EA2">
      <w:pPr>
        <w:jc w:val="center"/>
        <w:rPr>
          <w:rFonts w:ascii="Arial" w:hAnsi="Arial" w:cs="Arial"/>
        </w:rPr>
      </w:pPr>
    </w:p>
    <w:p w:rsidR="00205EA2" w:rsidRPr="00937C8B" w:rsidRDefault="00205EA2" w:rsidP="00205EA2">
      <w:pPr>
        <w:jc w:val="center"/>
        <w:rPr>
          <w:rFonts w:ascii="Arial" w:hAnsi="Arial" w:cs="Arial"/>
        </w:rPr>
      </w:pPr>
    </w:p>
    <w:p w:rsidR="00205EA2" w:rsidRPr="00937C8B" w:rsidRDefault="00205EA2" w:rsidP="00205EA2">
      <w:pPr>
        <w:jc w:val="center"/>
        <w:rPr>
          <w:rFonts w:ascii="Arial" w:hAnsi="Arial" w:cs="Arial"/>
        </w:rPr>
      </w:pPr>
    </w:p>
    <w:p w:rsidR="00205EA2" w:rsidRPr="00937C8B" w:rsidRDefault="00205EA2" w:rsidP="00205EA2">
      <w:pPr>
        <w:jc w:val="center"/>
        <w:rPr>
          <w:rFonts w:ascii="Arial" w:hAnsi="Arial" w:cs="Arial"/>
        </w:rPr>
      </w:pPr>
      <w:r>
        <w:rPr>
          <w:rFonts w:ascii="Arial" w:hAnsi="Arial"/>
        </w:rPr>
        <w:t>José Luis Ábalos Meco</w:t>
      </w:r>
    </w:p>
    <w:p w:rsidR="0037696C" w:rsidRPr="00937C8B" w:rsidRDefault="0037696C" w:rsidP="00093F76">
      <w:pPr>
        <w:spacing w:line="360" w:lineRule="atLeast"/>
        <w:ind w:left="357" w:right="170"/>
        <w:jc w:val="both"/>
        <w:rPr>
          <w:rFonts w:ascii="Arial" w:hAnsi="Arial"/>
        </w:rPr>
        <w:sectPr w:rsidR="0037696C" w:rsidRPr="00937C8B" w:rsidSect="00C56654">
          <w:headerReference w:type="default" r:id="rId15"/>
          <w:footerReference w:type="even" r:id="rId16"/>
          <w:footerReference w:type="default" r:id="rId17"/>
          <w:headerReference w:type="first" r:id="rId18"/>
          <w:pgSz w:w="11906" w:h="16838" w:code="9"/>
          <w:pgMar w:top="1701" w:right="737" w:bottom="726" w:left="737" w:header="567" w:footer="720" w:gutter="0"/>
          <w:cols w:space="708"/>
          <w:titlePg/>
          <w:docGrid w:linePitch="360"/>
        </w:sectPr>
      </w:pPr>
    </w:p>
    <w:p w:rsidR="005228B5" w:rsidRPr="00937C8B" w:rsidRDefault="005228B5" w:rsidP="008D479C">
      <w:pPr>
        <w:spacing w:before="120" w:line="312" w:lineRule="auto"/>
        <w:ind w:firstLine="425"/>
        <w:jc w:val="both"/>
        <w:rPr>
          <w:rFonts w:ascii="Arial" w:hAnsi="Arial" w:cs="Arial"/>
        </w:rPr>
      </w:pPr>
    </w:p>
    <w:p w:rsidR="006C641F" w:rsidRPr="00937C8B" w:rsidRDefault="006C641F" w:rsidP="006C641F">
      <w:pPr>
        <w:pStyle w:val="Header"/>
        <w:tabs>
          <w:tab w:val="right" w:pos="8931"/>
        </w:tabs>
        <w:jc w:val="center"/>
        <w:rPr>
          <w:rFonts w:ascii="Arial" w:hAnsi="Arial" w:cs="Arial"/>
          <w:b/>
          <w:bCs/>
          <w:sz w:val="80"/>
          <w:szCs w:val="80"/>
        </w:rPr>
      </w:pPr>
      <w:r>
        <w:rPr>
          <w:rFonts w:ascii="Arial" w:hAnsi="Arial"/>
          <w:color w:val="000000"/>
          <w:sz w:val="40"/>
        </w:rPr>
        <w:t>ANNEX I</w:t>
      </w:r>
    </w:p>
    <w:p w:rsidR="006C641F" w:rsidRPr="00937C8B" w:rsidRDefault="006C641F" w:rsidP="006C641F">
      <w:pPr>
        <w:pStyle w:val="Header"/>
        <w:rPr>
          <w:b/>
          <w:bCs/>
          <w:sz w:val="80"/>
          <w:szCs w:val="80"/>
        </w:rPr>
      </w:pPr>
    </w:p>
    <w:p w:rsidR="006C641F" w:rsidRPr="00937C8B" w:rsidRDefault="006C641F" w:rsidP="006C641F">
      <w:pPr>
        <w:pStyle w:val="Header"/>
        <w:rPr>
          <w:b/>
          <w:bCs/>
          <w:sz w:val="80"/>
          <w:szCs w:val="80"/>
        </w:rPr>
      </w:pPr>
    </w:p>
    <w:p w:rsidR="006C641F" w:rsidRPr="00937C8B" w:rsidRDefault="006C641F" w:rsidP="006C641F">
      <w:pPr>
        <w:pStyle w:val="Header"/>
        <w:ind w:left="709" w:right="282"/>
        <w:rPr>
          <w:rFonts w:ascii="Arial" w:hAnsi="Arial" w:cs="Arial"/>
        </w:rPr>
      </w:pPr>
      <w:r>
        <w:rPr>
          <w:rFonts w:ascii="Arial" w:hAnsi="Arial"/>
          <w:b/>
          <w:color w:val="000000"/>
          <w:sz w:val="68"/>
        </w:rPr>
        <w:t>Basic Document</w:t>
      </w:r>
      <w:r>
        <w:rPr>
          <w:rFonts w:ascii="Arial" w:hAnsi="Arial"/>
          <w:sz w:val="80"/>
        </w:rPr>
        <w:t xml:space="preserve"> </w:t>
      </w:r>
      <w:r>
        <w:rPr>
          <w:rFonts w:ascii="Arial" w:hAnsi="Arial"/>
          <w:b/>
          <w:color w:val="000000"/>
          <w:sz w:val="135"/>
        </w:rPr>
        <w:t>HE</w:t>
      </w:r>
    </w:p>
    <w:tbl>
      <w:tblPr>
        <w:tblW w:w="8255" w:type="dxa"/>
        <w:tblInd w:w="699" w:type="dxa"/>
        <w:tblBorders>
          <w:top w:val="single" w:sz="8" w:space="0" w:color="000000"/>
        </w:tblBorders>
        <w:tblCellMar>
          <w:top w:w="28" w:type="dxa"/>
          <w:left w:w="0" w:type="dxa"/>
          <w:right w:w="0" w:type="dxa"/>
        </w:tblCellMar>
        <w:tblLook w:val="04A0" w:firstRow="1" w:lastRow="0" w:firstColumn="1" w:lastColumn="0" w:noHBand="0" w:noVBand="1"/>
      </w:tblPr>
      <w:tblGrid>
        <w:gridCol w:w="8255"/>
      </w:tblGrid>
      <w:tr w:rsidR="006C641F" w:rsidRPr="00937C8B" w:rsidTr="006C641F">
        <w:trPr>
          <w:trHeight w:val="165"/>
        </w:trPr>
        <w:tc>
          <w:tcPr>
            <w:tcW w:w="8255" w:type="dxa"/>
            <w:tcBorders>
              <w:top w:val="single" w:sz="8" w:space="0" w:color="000000"/>
            </w:tcBorders>
            <w:shd w:val="clear" w:color="auto" w:fill="auto"/>
          </w:tcPr>
          <w:p w:rsidR="006C641F" w:rsidRPr="00937C8B" w:rsidRDefault="006C641F" w:rsidP="006C641F">
            <w:pPr>
              <w:pStyle w:val="Textbody"/>
              <w:spacing w:after="0"/>
              <w:rPr>
                <w:rFonts w:cs="GBGEGH+Arial,Bold"/>
                <w:b/>
                <w:bCs/>
                <w:color w:val="000000"/>
                <w:sz w:val="47"/>
                <w:szCs w:val="47"/>
              </w:rPr>
            </w:pPr>
            <w:r>
              <w:rPr>
                <w:b/>
                <w:color w:val="000000"/>
                <w:sz w:val="47"/>
              </w:rPr>
              <w:t>Energy saving</w:t>
            </w:r>
          </w:p>
        </w:tc>
      </w:tr>
    </w:tbl>
    <w:p w:rsidR="006C641F" w:rsidRPr="00937C8B" w:rsidRDefault="006C641F" w:rsidP="006C641F">
      <w:pPr>
        <w:pStyle w:val="Textbody"/>
        <w:rPr>
          <w:b/>
          <w:bCs/>
          <w:sz w:val="16"/>
          <w:szCs w:val="16"/>
        </w:rPr>
      </w:pPr>
    </w:p>
    <w:p w:rsidR="006C641F" w:rsidRPr="00937C8B" w:rsidRDefault="00A03C86" w:rsidP="006C641F">
      <w:pPr>
        <w:pStyle w:val="Standard"/>
        <w:jc w:val="center"/>
        <w:rPr>
          <w:b/>
          <w:szCs w:val="20"/>
        </w:rPr>
      </w:pPr>
      <w:r>
        <w:rPr>
          <w:noProof/>
          <w:lang w:val="en-US" w:eastAsia="en-US" w:bidi="ar-SA"/>
        </w:rPr>
        <mc:AlternateContent>
          <mc:Choice Requires="wps">
            <w:drawing>
              <wp:anchor distT="0" distB="0" distL="89535" distR="89535" simplePos="0" relativeHeight="251655680" behindDoc="0" locked="0" layoutInCell="1" allowOverlap="1">
                <wp:simplePos x="0" y="0"/>
                <wp:positionH relativeFrom="column">
                  <wp:posOffset>450215</wp:posOffset>
                </wp:positionH>
                <wp:positionV relativeFrom="paragraph">
                  <wp:posOffset>635</wp:posOffset>
                </wp:positionV>
                <wp:extent cx="5210175" cy="2509520"/>
                <wp:effectExtent l="0" t="0" r="9525" b="5080"/>
                <wp:wrapSquare wrapText="bothSides"/>
                <wp:docPr id="7" name="Marco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10175" cy="2509520"/>
                        </a:xfrm>
                        <a:prstGeom prst="rect">
                          <a:avLst/>
                        </a:prstGeom>
                        <a:noFill/>
                        <a:ln>
                          <a:noFill/>
                        </a:ln>
                        <a:effectLst/>
                      </wps:spPr>
                      <wps:txbx>
                        <w:txbxContent>
                          <w:tbl>
                            <w:tblPr>
                              <w:tblW w:w="8204" w:type="dxa"/>
                              <w:tblBorders>
                                <w:top w:val="single" w:sz="8" w:space="0" w:color="000000"/>
                              </w:tblBorders>
                              <w:tblCellMar>
                                <w:top w:w="28" w:type="dxa"/>
                                <w:left w:w="0" w:type="dxa"/>
                                <w:right w:w="0" w:type="dxa"/>
                              </w:tblCellMar>
                              <w:tblLook w:val="04A0" w:firstRow="1" w:lastRow="0" w:firstColumn="1" w:lastColumn="0" w:noHBand="0" w:noVBand="1"/>
                            </w:tblPr>
                            <w:tblGrid>
                              <w:gridCol w:w="8204"/>
                            </w:tblGrid>
                            <w:tr w:rsidR="00511D25">
                              <w:trPr>
                                <w:trHeight w:val="3480"/>
                              </w:trPr>
                              <w:tc>
                                <w:tcPr>
                                  <w:tcW w:w="8204" w:type="dxa"/>
                                  <w:tcBorders>
                                    <w:top w:val="single" w:sz="8" w:space="0" w:color="000000"/>
                                  </w:tcBorders>
                                  <w:shd w:val="pct10" w:color="auto" w:fill="auto"/>
                                </w:tcPr>
                                <w:p w:rsidR="00511D25" w:rsidRDefault="00511D25" w:rsidP="00E47AFE">
                                  <w:pPr>
                                    <w:pStyle w:val="Contenidodelatabla"/>
                                    <w:spacing w:before="360" w:line="370" w:lineRule="atLeast"/>
                                    <w:ind w:left="990" w:hanging="990"/>
                                    <w:jc w:val="both"/>
                                  </w:pPr>
                                  <w:r>
                                    <w:rPr>
                                      <w:rFonts w:ascii="Arial, sans-serif" w:hAnsi="Arial, sans-serif"/>
                                      <w:sz w:val="32"/>
                                    </w:rPr>
                                    <w:t>HE 0</w:t>
                                  </w:r>
                                  <w:r>
                                    <w:rPr>
                                      <w:b/>
                                      <w:sz w:val="80"/>
                                    </w:rPr>
                                    <w:tab/>
                                  </w:r>
                                  <w:r>
                                    <w:rPr>
                                      <w:rFonts w:ascii="Arial, sans-serif" w:hAnsi="Arial, sans-serif"/>
                                      <w:sz w:val="32"/>
                                    </w:rPr>
                                    <w:t>Limiting energy consumption</w:t>
                                  </w:r>
                                </w:p>
                                <w:p w:rsidR="00511D25" w:rsidRDefault="00511D25" w:rsidP="00E47AFE">
                                  <w:pPr>
                                    <w:pStyle w:val="Contenidodelatabla"/>
                                    <w:spacing w:before="62" w:line="370" w:lineRule="atLeast"/>
                                    <w:ind w:left="990" w:hanging="990"/>
                                    <w:jc w:val="both"/>
                                  </w:pPr>
                                  <w:r>
                                    <w:rPr>
                                      <w:rFonts w:ascii="Arial, sans-serif" w:hAnsi="Arial, sans-serif"/>
                                      <w:sz w:val="32"/>
                                    </w:rPr>
                                    <w:t>HE 1</w:t>
                                  </w:r>
                                  <w:r>
                                    <w:rPr>
                                      <w:b/>
                                      <w:sz w:val="80"/>
                                    </w:rPr>
                                    <w:tab/>
                                  </w:r>
                                  <w:r>
                                    <w:rPr>
                                      <w:rFonts w:ascii="Arial, sans-serif" w:hAnsi="Arial, sans-serif"/>
                                      <w:sz w:val="32"/>
                                    </w:rPr>
                                    <w:t>Conditions for controlling energy demand</w:t>
                                  </w:r>
                                </w:p>
                                <w:p w:rsidR="00511D25" w:rsidRDefault="00511D25" w:rsidP="00E47AFE">
                                  <w:pPr>
                                    <w:pStyle w:val="Contenidodelatabla"/>
                                    <w:spacing w:before="57" w:line="370" w:lineRule="atLeast"/>
                                    <w:ind w:left="990" w:hanging="990"/>
                                    <w:jc w:val="both"/>
                                  </w:pPr>
                                  <w:r>
                                    <w:rPr>
                                      <w:rFonts w:ascii="Arial, sans-serif" w:hAnsi="Arial, sans-serif"/>
                                      <w:sz w:val="32"/>
                                    </w:rPr>
                                    <w:t>HE 2</w:t>
                                  </w:r>
                                  <w:r>
                                    <w:rPr>
                                      <w:b/>
                                      <w:sz w:val="80"/>
                                    </w:rPr>
                                    <w:tab/>
                                  </w:r>
                                  <w:r>
                                    <w:rPr>
                                      <w:rFonts w:ascii="Arial, sans-serif" w:hAnsi="Arial, sans-serif"/>
                                      <w:sz w:val="32"/>
                                    </w:rPr>
                                    <w:t>Conditions of heating installations</w:t>
                                  </w:r>
                                </w:p>
                                <w:p w:rsidR="00511D25" w:rsidRDefault="00511D25" w:rsidP="00E47AFE">
                                  <w:pPr>
                                    <w:pStyle w:val="Contenidodelatabla"/>
                                    <w:spacing w:before="57" w:line="370" w:lineRule="atLeast"/>
                                    <w:ind w:left="990" w:hanging="990"/>
                                    <w:jc w:val="both"/>
                                  </w:pPr>
                                  <w:r>
                                    <w:rPr>
                                      <w:rFonts w:ascii="Arial, sans-serif" w:hAnsi="Arial, sans-serif"/>
                                      <w:sz w:val="32"/>
                                    </w:rPr>
                                    <w:t>HE 3</w:t>
                                  </w:r>
                                  <w:r>
                                    <w:rPr>
                                      <w:b/>
                                      <w:sz w:val="80"/>
                                    </w:rPr>
                                    <w:tab/>
                                  </w:r>
                                  <w:r>
                                    <w:rPr>
                                      <w:rFonts w:ascii="Arial, sans-serif" w:hAnsi="Arial, sans-serif"/>
                                      <w:sz w:val="32"/>
                                    </w:rPr>
                                    <w:t>Conditions of lighting installations</w:t>
                                  </w:r>
                                </w:p>
                                <w:p w:rsidR="00511D25" w:rsidRDefault="00511D25" w:rsidP="00E47AFE">
                                  <w:pPr>
                                    <w:pStyle w:val="Contenidodelatabla"/>
                                    <w:spacing w:before="57" w:line="370" w:lineRule="atLeast"/>
                                    <w:ind w:left="990" w:hanging="990"/>
                                    <w:jc w:val="both"/>
                                  </w:pPr>
                                  <w:r>
                                    <w:rPr>
                                      <w:rFonts w:ascii="Arial, sans-serif" w:hAnsi="Arial, sans-serif"/>
                                      <w:sz w:val="32"/>
                                    </w:rPr>
                                    <w:t>HE 4</w:t>
                                  </w:r>
                                  <w:r>
                                    <w:rPr>
                                      <w:b/>
                                      <w:sz w:val="80"/>
                                    </w:rPr>
                                    <w:tab/>
                                  </w:r>
                                  <w:r>
                                    <w:rPr>
                                      <w:rFonts w:ascii="Arial, sans-serif" w:hAnsi="Arial, sans-serif"/>
                                      <w:sz w:val="32"/>
                                    </w:rPr>
                                    <w:t>Minimum contribution of renewable energy to cover domestic hot water demand</w:t>
                                  </w:r>
                                </w:p>
                                <w:p w:rsidR="00511D25" w:rsidRDefault="00511D25" w:rsidP="00E47AFE">
                                  <w:pPr>
                                    <w:pStyle w:val="Contenidodelatabla"/>
                                    <w:spacing w:before="57" w:line="370" w:lineRule="atLeast"/>
                                    <w:ind w:left="990" w:hanging="990"/>
                                    <w:jc w:val="both"/>
                                  </w:pPr>
                                  <w:r>
                                    <w:rPr>
                                      <w:rFonts w:ascii="Arial, sans-serif" w:hAnsi="Arial, sans-serif"/>
                                      <w:sz w:val="32"/>
                                    </w:rPr>
                                    <w:t>HE 5</w:t>
                                  </w:r>
                                  <w:r>
                                    <w:rPr>
                                      <w:b/>
                                      <w:sz w:val="80"/>
                                    </w:rPr>
                                    <w:tab/>
                                  </w:r>
                                  <w:r>
                                    <w:rPr>
                                      <w:rFonts w:ascii="Arial, sans-serif" w:hAnsi="Arial, sans-serif"/>
                                      <w:sz w:val="32"/>
                                    </w:rPr>
                                    <w:t>Minimum electricity generation</w:t>
                                  </w:r>
                                </w:p>
                              </w:tc>
                            </w:tr>
                          </w:tbl>
                          <w:p w:rsidR="00511D25" w:rsidRDefault="00511D25" w:rsidP="006C641F">
                            <w:pPr>
                              <w:pStyle w:val="Contenidodelmarco"/>
                            </w:pPr>
                          </w:p>
                        </w:txbxContent>
                      </wps:txbx>
                      <wps:bodyPr lIns="0" tIns="0" rIns="0" bIns="0">
                        <a:spAutoFit/>
                      </wps:bodyPr>
                    </wps:wsp>
                  </a:graphicData>
                </a:graphic>
                <wp14:sizeRelH relativeFrom="page">
                  <wp14:pctWidth>0</wp14:pctWidth>
                </wp14:sizeRelH>
                <wp14:sizeRelV relativeFrom="page">
                  <wp14:pctHeight>0</wp14:pctHeight>
                </wp14:sizeRelV>
              </wp:anchor>
            </w:drawing>
          </mc:Choice>
          <mc:Fallback>
            <w:pict>
              <v:rect id="Marco2" o:spid="_x0000_s1026" style="position:absolute;left:0;text-align:left;margin-left:35.45pt;margin-top:.05pt;width:410.25pt;height:197.6pt;z-index:25165568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" filled="f" stroked="f">
                <v:path arrowok="t"/>
                <v:textbox style="mso-fit-shape-to-text:t" inset="0,0,0,0">
                  <w:txbxContent>
                    <w:tbl>
                      <w:tblPr>
                        <w:tblW w:w="8204" w:type="dxa"/>
                        <w:tblBorders>
                          <w:top w:val="single" w:sz="8" w:space="0" w:color="000000"/>
                        </w:tblBorders>
                        <w:tblCellMar>
                          <w:top w:w="28" w:type="dxa"/>
                          <w:left w:w="0" w:type="dxa"/>
                          <w:right w:w="0" w:type="dxa"/>
                        </w:tblCellMar>
                        <w:tblLook w:val="04A0" w:firstRow="1" w:lastRow="0" w:firstColumn="1" w:lastColumn="0" w:noHBand="0" w:noVBand="1"/>
                      </w:tblPr>
                      <w:tblGrid>
                        <w:gridCol w:w="8204"/>
                      </w:tblGrid>
                      <w:tr w:rsidR="00511D25">
                        <w:trPr>
                          <w:trHeight w:val="3480"/>
                        </w:trPr>
                        <w:tc>
                          <w:tcPr>
                            <w:tcW w:w="8204" w:type="dxa"/>
                            <w:tcBorders>
                              <w:top w:val="single" w:sz="8" w:space="0" w:color="000000"/>
                            </w:tcBorders>
                            <w:shd w:val="pct10" w:color="auto" w:fill="auto"/>
                          </w:tcPr>
                          <w:p w:rsidR="00511D25" w:rsidRDefault="00511D25" w:rsidP="00E47AFE">
                            <w:pPr>
                              <w:pStyle w:val="Contenidodelatabla"/>
                              <w:spacing w:before="360" w:line="370" w:lineRule="atLeast"/>
                              <w:ind w:left="990" w:hanging="990"/>
                              <w:jc w:val="both"/>
                            </w:pPr>
                            <w:r>
                              <w:rPr>
                                <w:rFonts w:ascii="Arial, sans-serif" w:hAnsi="Arial, sans-serif"/>
                                <w:sz w:val="32"/>
                              </w:rPr>
                              <w:t>HE 0</w:t>
                            </w:r>
                            <w:r>
                              <w:rPr>
                                <w:b/>
                                <w:sz w:val="80"/>
                              </w:rPr>
                              <w:tab/>
                            </w:r>
                            <w:r>
                              <w:rPr>
                                <w:rFonts w:ascii="Arial, sans-serif" w:hAnsi="Arial, sans-serif"/>
                                <w:sz w:val="32"/>
                              </w:rPr>
                              <w:t>Limiting energy consumption</w:t>
                            </w:r>
                          </w:p>
                          <w:p w:rsidR="00511D25" w:rsidRDefault="00511D25" w:rsidP="00E47AFE">
                            <w:pPr>
                              <w:pStyle w:val="Contenidodelatabla"/>
                              <w:spacing w:before="62" w:line="370" w:lineRule="atLeast"/>
                              <w:ind w:left="990" w:hanging="990"/>
                              <w:jc w:val="both"/>
                            </w:pPr>
                            <w:r>
                              <w:rPr>
                                <w:rFonts w:ascii="Arial, sans-serif" w:hAnsi="Arial, sans-serif"/>
                                <w:sz w:val="32"/>
                              </w:rPr>
                              <w:t>HE 1</w:t>
                            </w:r>
                            <w:r>
                              <w:rPr>
                                <w:b/>
                                <w:sz w:val="80"/>
                              </w:rPr>
                              <w:tab/>
                            </w:r>
                            <w:r>
                              <w:rPr>
                                <w:rFonts w:ascii="Arial, sans-serif" w:hAnsi="Arial, sans-serif"/>
                                <w:sz w:val="32"/>
                              </w:rPr>
                              <w:t>Conditions for controlling energy demand</w:t>
                            </w:r>
                          </w:p>
                          <w:p w:rsidR="00511D25" w:rsidRDefault="00511D25" w:rsidP="00E47AFE">
                            <w:pPr>
                              <w:pStyle w:val="Contenidodelatabla"/>
                              <w:spacing w:before="57" w:line="370" w:lineRule="atLeast"/>
                              <w:ind w:left="990" w:hanging="990"/>
                              <w:jc w:val="both"/>
                            </w:pPr>
                            <w:r>
                              <w:rPr>
                                <w:rFonts w:ascii="Arial, sans-serif" w:hAnsi="Arial, sans-serif"/>
                                <w:sz w:val="32"/>
                              </w:rPr>
                              <w:t>HE 2</w:t>
                            </w:r>
                            <w:r>
                              <w:rPr>
                                <w:b/>
                                <w:sz w:val="80"/>
                              </w:rPr>
                              <w:tab/>
                            </w:r>
                            <w:r>
                              <w:rPr>
                                <w:rFonts w:ascii="Arial, sans-serif" w:hAnsi="Arial, sans-serif"/>
                                <w:sz w:val="32"/>
                              </w:rPr>
                              <w:t>Conditions of heating installations</w:t>
                            </w:r>
                          </w:p>
                          <w:p w:rsidR="00511D25" w:rsidRDefault="00511D25" w:rsidP="00E47AFE">
                            <w:pPr>
                              <w:pStyle w:val="Contenidodelatabla"/>
                              <w:spacing w:before="57" w:line="370" w:lineRule="atLeast"/>
                              <w:ind w:left="990" w:hanging="990"/>
                              <w:jc w:val="both"/>
                            </w:pPr>
                            <w:r>
                              <w:rPr>
                                <w:rFonts w:ascii="Arial, sans-serif" w:hAnsi="Arial, sans-serif"/>
                                <w:sz w:val="32"/>
                              </w:rPr>
                              <w:t>HE 3</w:t>
                            </w:r>
                            <w:r>
                              <w:rPr>
                                <w:b/>
                                <w:sz w:val="80"/>
                              </w:rPr>
                              <w:tab/>
                            </w:r>
                            <w:r>
                              <w:rPr>
                                <w:rFonts w:ascii="Arial, sans-serif" w:hAnsi="Arial, sans-serif"/>
                                <w:sz w:val="32"/>
                              </w:rPr>
                              <w:t>Conditions of lighting installations</w:t>
                            </w:r>
                          </w:p>
                          <w:p w:rsidR="00511D25" w:rsidRDefault="00511D25" w:rsidP="00E47AFE">
                            <w:pPr>
                              <w:pStyle w:val="Contenidodelatabla"/>
                              <w:spacing w:before="57" w:line="370" w:lineRule="atLeast"/>
                              <w:ind w:left="990" w:hanging="990"/>
                              <w:jc w:val="both"/>
                            </w:pPr>
                            <w:r>
                              <w:rPr>
                                <w:rFonts w:ascii="Arial, sans-serif" w:hAnsi="Arial, sans-serif"/>
                                <w:sz w:val="32"/>
                              </w:rPr>
                              <w:t>HE 4</w:t>
                            </w:r>
                            <w:r>
                              <w:rPr>
                                <w:b/>
                                <w:sz w:val="80"/>
                              </w:rPr>
                              <w:tab/>
                            </w:r>
                            <w:r>
                              <w:rPr>
                                <w:rFonts w:ascii="Arial, sans-serif" w:hAnsi="Arial, sans-serif"/>
                                <w:sz w:val="32"/>
                              </w:rPr>
                              <w:t>Minimum contribution of renewable energy to cover domestic hot water demand</w:t>
                            </w:r>
                          </w:p>
                          <w:p w:rsidR="00511D25" w:rsidRDefault="00511D25" w:rsidP="00E47AFE">
                            <w:pPr>
                              <w:pStyle w:val="Contenidodelatabla"/>
                              <w:spacing w:before="57" w:line="370" w:lineRule="atLeast"/>
                              <w:ind w:left="990" w:hanging="990"/>
                              <w:jc w:val="both"/>
                            </w:pPr>
                            <w:r>
                              <w:rPr>
                                <w:rFonts w:ascii="Arial, sans-serif" w:hAnsi="Arial, sans-serif"/>
                                <w:sz w:val="32"/>
                              </w:rPr>
                              <w:t>HE 5</w:t>
                            </w:r>
                            <w:r>
                              <w:rPr>
                                <w:b/>
                                <w:sz w:val="80"/>
                              </w:rPr>
                              <w:tab/>
                            </w:r>
                            <w:r>
                              <w:rPr>
                                <w:rFonts w:ascii="Arial, sans-serif" w:hAnsi="Arial, sans-serif"/>
                                <w:sz w:val="32"/>
                              </w:rPr>
                              <w:t>Minimum electricity generation</w:t>
                            </w:r>
                          </w:p>
                        </w:tc>
                      </w:tr>
                    </w:tbl>
                    <w:p w:rsidR="00511D25" w:rsidRDefault="00511D25" w:rsidP="006C641F">
                      <w:pPr>
                        <w:pStyle w:val="Contenidodelmarco"/>
                      </w:pPr>
                    </w:p>
                  </w:txbxContent>
                </v:textbox>
                <w10:wrap type="square"/>
              </v:rect>
            </w:pict>
          </mc:Fallback>
        </mc:AlternateContent>
      </w:r>
    </w:p>
    <w:p w:rsidR="006C641F" w:rsidRPr="00937C8B" w:rsidRDefault="006C641F" w:rsidP="006C641F">
      <w:pPr>
        <w:rPr>
          <w:rFonts w:ascii="Arial" w:eastAsia="Arial" w:hAnsi="Arial" w:cs="Arial"/>
          <w:b/>
          <w:szCs w:val="20"/>
        </w:rPr>
      </w:pPr>
      <w:r>
        <w:br w:type="page"/>
      </w:r>
    </w:p>
    <w:p w:rsidR="006C641F" w:rsidRPr="00937C8B" w:rsidRDefault="006C641F" w:rsidP="006C641F">
      <w:pPr>
        <w:pStyle w:val="Standard"/>
        <w:jc w:val="center"/>
        <w:rPr>
          <w:b/>
          <w:szCs w:val="20"/>
        </w:rPr>
      </w:pPr>
    </w:p>
    <w:p w:rsidR="006C641F" w:rsidRPr="00937C8B" w:rsidRDefault="006C641F" w:rsidP="006C641F">
      <w:pPr>
        <w:pStyle w:val="Standard"/>
        <w:jc w:val="center"/>
      </w:pPr>
    </w:p>
    <w:p w:rsidR="006C641F" w:rsidRPr="00937C8B" w:rsidRDefault="006C641F" w:rsidP="006C641F">
      <w:pPr>
        <w:pStyle w:val="Textbody"/>
        <w:rPr>
          <w:b/>
          <w:sz w:val="28"/>
          <w:szCs w:val="28"/>
        </w:rPr>
      </w:pPr>
      <w:r>
        <w:rPr>
          <w:b/>
          <w:sz w:val="28"/>
        </w:rPr>
        <w:t>Introduction</w:t>
      </w:r>
    </w:p>
    <w:p w:rsidR="006C641F" w:rsidRPr="00937C8B" w:rsidRDefault="006C641F" w:rsidP="006C641F">
      <w:pPr>
        <w:pStyle w:val="nota"/>
        <w:rPr>
          <w:bCs w:val="0"/>
        </w:rPr>
      </w:pPr>
    </w:p>
    <w:p w:rsidR="006C641F" w:rsidRPr="00937C8B" w:rsidRDefault="006C641F" w:rsidP="006C641F">
      <w:pPr>
        <w:pStyle w:val="Textbody"/>
        <w:rPr>
          <w:b/>
          <w:bCs/>
          <w:sz w:val="28"/>
          <w:szCs w:val="28"/>
        </w:rPr>
      </w:pPr>
      <w:bookmarkStart w:id="14" w:name="__RefHeading___Toc10072_1941668277"/>
      <w:bookmarkEnd w:id="14"/>
      <w:r>
        <w:rPr>
          <w:b/>
          <w:sz w:val="28"/>
        </w:rPr>
        <w:t>I.</w:t>
      </w:r>
      <w:r>
        <w:rPr>
          <w:b/>
          <w:sz w:val="28"/>
        </w:rPr>
        <w:tab/>
        <w:t>Purpose</w:t>
      </w:r>
    </w:p>
    <w:p w:rsidR="006C641F" w:rsidRPr="00937C8B" w:rsidRDefault="006C641F" w:rsidP="006C641F">
      <w:pPr>
        <w:pStyle w:val="Standard"/>
        <w:rPr>
          <w:b/>
          <w:bCs/>
          <w:sz w:val="28"/>
        </w:rPr>
      </w:pPr>
    </w:p>
    <w:p w:rsidR="006C641F" w:rsidRPr="00937C8B" w:rsidRDefault="006C641F" w:rsidP="006C641F">
      <w:pPr>
        <w:pStyle w:val="Standard"/>
        <w:jc w:val="both"/>
      </w:pPr>
      <w:r>
        <w:t>This Basic Document [DB] is intended to set out the rules and procedures enabling compliance with the basic energy-saving obligation. The sections of this DB correspond to basic requirements HE 0 to HE 5. Proper application of each section ensures compliance with the corresponding basic requirement.</w:t>
      </w:r>
    </w:p>
    <w:p w:rsidR="006C641F" w:rsidRPr="00937C8B" w:rsidRDefault="006C641F" w:rsidP="006C641F">
      <w:pPr>
        <w:pStyle w:val="Standard"/>
        <w:jc w:val="both"/>
      </w:pPr>
      <w:r>
        <w:t>Proper application of the entire DB ensures compliance with the basic ‘Energy saving’ obligation.</w:t>
      </w:r>
    </w:p>
    <w:p w:rsidR="006C641F" w:rsidRPr="00937C8B" w:rsidRDefault="006C641F" w:rsidP="006C641F">
      <w:pPr>
        <w:pStyle w:val="Standard"/>
        <w:jc w:val="both"/>
      </w:pPr>
    </w:p>
    <w:p w:rsidR="006C641F" w:rsidRPr="00937C8B" w:rsidRDefault="006C641F" w:rsidP="006C641F">
      <w:pPr>
        <w:pStyle w:val="Standard"/>
        <w:jc w:val="both"/>
      </w:pPr>
      <w:r>
        <w:t>Both the objective of the basic ‘Energy saving’ obligation and the basic requirements are set out in Article 15 of Part I of this CTE, and are as follows:</w:t>
      </w:r>
    </w:p>
    <w:p w:rsidR="006C641F" w:rsidRPr="00937C8B" w:rsidRDefault="006C641F" w:rsidP="006C641F">
      <w:pPr>
        <w:pStyle w:val="Standard"/>
      </w:pPr>
    </w:p>
    <w:p w:rsidR="006C641F" w:rsidRPr="00937C8B" w:rsidRDefault="006C641F" w:rsidP="00D739A5">
      <w:pPr>
        <w:pStyle w:val="artculo-tex"/>
        <w:pBdr>
          <w:bottom w:val="single" w:sz="4" w:space="0" w:color="00000A"/>
        </w:pBdr>
        <w:rPr>
          <w:b/>
          <w:bCs/>
        </w:rPr>
      </w:pPr>
    </w:p>
    <w:p w:rsidR="006C641F" w:rsidRPr="00937C8B" w:rsidRDefault="006C641F" w:rsidP="00D27646">
      <w:pPr>
        <w:pStyle w:val="artculo-tex"/>
        <w:keepNext/>
        <w:pBdr>
          <w:bottom w:val="single" w:sz="4" w:space="0" w:color="00000A"/>
        </w:pBdr>
        <w:jc w:val="both"/>
        <w:rPr>
          <w:b/>
          <w:bCs/>
        </w:rPr>
      </w:pPr>
      <w:r>
        <w:rPr>
          <w:b/>
        </w:rPr>
        <w:t>Article 15. Basic energy saving [HE] requirements</w:t>
      </w:r>
    </w:p>
    <w:p w:rsidR="006C641F" w:rsidRPr="00937C8B" w:rsidRDefault="006C641F" w:rsidP="00D739A5">
      <w:pPr>
        <w:pStyle w:val="artculo-tex"/>
        <w:numPr>
          <w:ilvl w:val="0"/>
          <w:numId w:val="4"/>
        </w:numPr>
        <w:pBdr>
          <w:bottom w:val="single" w:sz="4" w:space="0" w:color="00000A"/>
        </w:pBdr>
        <w:suppressAutoHyphens w:val="0"/>
        <w:autoSpaceDN/>
        <w:jc w:val="both"/>
        <w:textAlignment w:val="auto"/>
      </w:pPr>
      <w:r>
        <w:t>The objective of the basic ‘Energy saving’ obligation is to achieve rational use of the energy required for use of the</w:t>
      </w:r>
      <w:r>
        <w:rPr>
          <w:i/>
        </w:rPr>
        <w:t xml:space="preserve"> buildings</w:t>
      </w:r>
      <w:r>
        <w:t>, thus reducing consumption to sustainable limits and also ensuring that some of this energy comes from renewable sources, based on characteristics of its</w:t>
      </w:r>
      <w:r>
        <w:rPr>
          <w:i/>
        </w:rPr>
        <w:t xml:space="preserve"> design, construction, use </w:t>
      </w:r>
      <w:r>
        <w:t>and</w:t>
      </w:r>
      <w:r>
        <w:rPr>
          <w:i/>
        </w:rPr>
        <w:t xml:space="preserve"> maintenance</w:t>
      </w:r>
      <w:r>
        <w:t>.</w:t>
      </w:r>
    </w:p>
    <w:p w:rsidR="006C641F" w:rsidRPr="00937C8B" w:rsidRDefault="006C641F" w:rsidP="00D739A5">
      <w:pPr>
        <w:pStyle w:val="artculo-tex"/>
        <w:pBdr>
          <w:bottom w:val="single" w:sz="4" w:space="0" w:color="00000A"/>
        </w:pBdr>
        <w:jc w:val="both"/>
      </w:pPr>
      <w:r>
        <w:t>To achieve this objective, buildings shall be designed, built, used and maintained in a way that ensures compliance with the basic requirements set out in the sections below.</w:t>
      </w:r>
    </w:p>
    <w:p w:rsidR="006C641F" w:rsidRPr="00937C8B" w:rsidRDefault="006C641F" w:rsidP="00D739A5">
      <w:pPr>
        <w:pStyle w:val="artculo-tex"/>
        <w:pBdr>
          <w:bottom w:val="single" w:sz="4" w:space="0" w:color="00000A"/>
        </w:pBdr>
        <w:jc w:val="both"/>
      </w:pPr>
      <w:r>
        <w:t>The Basic Document ‘DB-HE Energy-Saving’ specifies objective parameters and procedures to be followed to ensure compliance with the basic requirements and attainment of the minimum quality levels related to the basic energy-saving regulations.</w:t>
      </w:r>
    </w:p>
    <w:p w:rsidR="006C641F" w:rsidRPr="00937C8B" w:rsidRDefault="006C641F" w:rsidP="00D739A5">
      <w:pPr>
        <w:pStyle w:val="artculo-tex"/>
        <w:pBdr>
          <w:bottom w:val="single" w:sz="4" w:space="0" w:color="00000A"/>
        </w:pBdr>
        <w:jc w:val="both"/>
      </w:pPr>
    </w:p>
    <w:p w:rsidR="006C641F" w:rsidRPr="00937C8B" w:rsidRDefault="006C641F" w:rsidP="00D27646">
      <w:pPr>
        <w:pStyle w:val="artculo-tex"/>
        <w:keepNext/>
        <w:pBdr>
          <w:bottom w:val="single" w:sz="4" w:space="0" w:color="00000A"/>
        </w:pBdr>
        <w:jc w:val="both"/>
        <w:rPr>
          <w:b/>
          <w:bCs/>
        </w:rPr>
      </w:pPr>
      <w:r>
        <w:rPr>
          <w:b/>
        </w:rPr>
        <w:t>15.1 Basic requirement HE 0: Limiting energy consumption</w:t>
      </w:r>
    </w:p>
    <w:p w:rsidR="006C641F" w:rsidRPr="00937C8B" w:rsidRDefault="006C641F" w:rsidP="00D739A5">
      <w:pPr>
        <w:pStyle w:val="artculo-tex"/>
        <w:pBdr>
          <w:bottom w:val="single" w:sz="4" w:space="0" w:color="00000A"/>
        </w:pBdr>
        <w:jc w:val="both"/>
      </w:pPr>
      <w:r>
        <w:t xml:space="preserve">The energy consumption of buildings shall be limited according to their </w:t>
      </w:r>
      <w:r>
        <w:rPr>
          <w:i/>
          <w:iCs/>
        </w:rPr>
        <w:t>climate zone</w:t>
      </w:r>
      <w:r>
        <w:t>, use and, for existing buildings, the scope of the works. Energy consumption shall largely be met using energy from renewable sources.</w:t>
      </w:r>
    </w:p>
    <w:p w:rsidR="006C641F" w:rsidRPr="00937C8B" w:rsidRDefault="006C641F" w:rsidP="00D739A5">
      <w:pPr>
        <w:pStyle w:val="artculo-tex"/>
        <w:pBdr>
          <w:bottom w:val="single" w:sz="4" w:space="0" w:color="00000A"/>
        </w:pBdr>
        <w:jc w:val="both"/>
      </w:pPr>
    </w:p>
    <w:p w:rsidR="006C641F" w:rsidRPr="00937C8B" w:rsidRDefault="006C641F" w:rsidP="00D27646">
      <w:pPr>
        <w:pStyle w:val="artculo-tex"/>
        <w:keepNext/>
        <w:pBdr>
          <w:bottom w:val="single" w:sz="4" w:space="0" w:color="00000A"/>
        </w:pBdr>
        <w:jc w:val="both"/>
        <w:rPr>
          <w:b/>
          <w:bCs/>
        </w:rPr>
      </w:pPr>
      <w:r>
        <w:rPr>
          <w:b/>
        </w:rPr>
        <w:t>15.2 Basic requirement HE 1: Conditions for controlling energy demand</w:t>
      </w:r>
    </w:p>
    <w:p w:rsidR="006C641F" w:rsidRPr="00937C8B" w:rsidRDefault="006C641F" w:rsidP="00D739A5">
      <w:pPr>
        <w:pStyle w:val="artculo-tex"/>
        <w:pBdr>
          <w:bottom w:val="single" w:sz="4" w:space="0" w:color="00000A"/>
        </w:pBdr>
        <w:jc w:val="both"/>
      </w:pPr>
      <w:r>
        <w:t xml:space="preserve">Buildings shall have a </w:t>
      </w:r>
      <w:r>
        <w:rPr>
          <w:i/>
          <w:iCs/>
        </w:rPr>
        <w:t>thermal envelope</w:t>
      </w:r>
      <w:r>
        <w:t xml:space="preserve"> with characteristics that limit the </w:t>
      </w:r>
      <w:r>
        <w:rPr>
          <w:i/>
          <w:iCs/>
        </w:rPr>
        <w:t>primary energy</w:t>
      </w:r>
      <w:r>
        <w:t xml:space="preserve"> needs to achieve </w:t>
      </w:r>
      <w:r>
        <w:rPr>
          <w:i/>
          <w:iCs/>
        </w:rPr>
        <w:t>thermal comfort</w:t>
      </w:r>
      <w:r>
        <w:t xml:space="preserve"> according to the </w:t>
      </w:r>
      <w:r>
        <w:rPr>
          <w:i/>
          <w:iCs/>
        </w:rPr>
        <w:t>climate zone</w:t>
      </w:r>
      <w:r>
        <w:t xml:space="preserve"> of the building, summer and winter patterns, the use of the building and, for existing buildings, the scope of the works.</w:t>
      </w:r>
    </w:p>
    <w:p w:rsidR="00D43716" w:rsidRPr="00937C8B" w:rsidRDefault="006C641F" w:rsidP="00D739A5">
      <w:pPr>
        <w:pStyle w:val="artculo-tex"/>
        <w:pBdr>
          <w:bottom w:val="single" w:sz="4" w:space="0" w:color="00000A"/>
        </w:pBdr>
        <w:jc w:val="both"/>
      </w:pPr>
      <w:r>
        <w:t xml:space="preserve">The elements of the </w:t>
      </w:r>
      <w:r>
        <w:rPr>
          <w:i/>
          <w:iCs/>
        </w:rPr>
        <w:t>thermal envelope</w:t>
      </w:r>
      <w:r>
        <w:t xml:space="preserve"> shall have characteristics, based on the climate zone, that prevent imbalances in the thermal quality of the different habitable spaces. Likewise, the characteristics of the interior partitions shall limit the heat transfer between units used for different purposes and between usage units and shared areas of the building.</w:t>
      </w:r>
    </w:p>
    <w:p w:rsidR="006C641F" w:rsidRDefault="006C641F" w:rsidP="006C641F">
      <w:pPr>
        <w:pStyle w:val="artculo-tex"/>
        <w:jc w:val="both"/>
      </w:pPr>
      <w:r>
        <w:t xml:space="preserve">Risks arising from processes that significantly reduce the thermal efficiency or service life of components of the </w:t>
      </w:r>
      <w:r>
        <w:rPr>
          <w:i/>
          <w:iCs/>
        </w:rPr>
        <w:t>thermal envelope</w:t>
      </w:r>
      <w:r>
        <w:t>, such as condensation, shall also be limited.</w:t>
      </w:r>
    </w:p>
    <w:p w:rsidR="00D27646" w:rsidRPr="00937C8B" w:rsidRDefault="00D27646" w:rsidP="006C641F">
      <w:pPr>
        <w:pStyle w:val="artculo-tex"/>
        <w:jc w:val="both"/>
      </w:pPr>
    </w:p>
    <w:p w:rsidR="006C641F" w:rsidRPr="00937C8B" w:rsidRDefault="006C641F" w:rsidP="00D27646">
      <w:pPr>
        <w:pStyle w:val="artculo-tex"/>
        <w:keepNext/>
        <w:jc w:val="both"/>
        <w:rPr>
          <w:b/>
          <w:bCs/>
        </w:rPr>
      </w:pPr>
      <w:r>
        <w:rPr>
          <w:b/>
        </w:rPr>
        <w:t>15.3 Basic requirement HE 2: Conditions of heating installations</w:t>
      </w:r>
    </w:p>
    <w:p w:rsidR="006C641F" w:rsidRPr="00937C8B" w:rsidRDefault="006C641F" w:rsidP="006C641F">
      <w:pPr>
        <w:pStyle w:val="artculo-tex"/>
        <w:jc w:val="both"/>
      </w:pPr>
      <w:r>
        <w:t>Heating installations in buildings shall be appropriate to ensure all occupants achieve thermal wellness. This requirement is currently provided for in the prevailing Regulations on Thermal Installations in Buildings (RITE), and application thereof shall be defined in the building design.</w:t>
      </w:r>
    </w:p>
    <w:p w:rsidR="006C641F" w:rsidRPr="00937C8B" w:rsidRDefault="006C641F" w:rsidP="006C641F">
      <w:pPr>
        <w:pStyle w:val="artculo-tex"/>
        <w:jc w:val="both"/>
      </w:pPr>
    </w:p>
    <w:p w:rsidR="006C641F" w:rsidRPr="00937C8B" w:rsidRDefault="006C641F" w:rsidP="00D27646">
      <w:pPr>
        <w:pStyle w:val="artculo-tex"/>
        <w:keepNext/>
        <w:jc w:val="both"/>
        <w:rPr>
          <w:b/>
          <w:bCs/>
        </w:rPr>
      </w:pPr>
      <w:r>
        <w:rPr>
          <w:b/>
        </w:rPr>
        <w:t>15.4 Basic requirement HE 3: Conditions of lighting installations</w:t>
      </w:r>
    </w:p>
    <w:p w:rsidR="006C641F" w:rsidRPr="00937C8B" w:rsidRDefault="006C641F" w:rsidP="006C641F">
      <w:pPr>
        <w:pStyle w:val="artculo-tex"/>
        <w:jc w:val="both"/>
      </w:pPr>
      <w:r>
        <w:t>Buildings shall have energy-efficient lighting installations suited to the needs of their users, control systems enabling lighting use to be adjusted in consideration of actual occupation of the area, and adjustment systems to optimise the use of natural light in areas that satisfy certain conditions.</w:t>
      </w:r>
    </w:p>
    <w:p w:rsidR="006C641F" w:rsidRPr="00937C8B" w:rsidRDefault="006C641F" w:rsidP="006C641F">
      <w:pPr>
        <w:pStyle w:val="artculo-tex"/>
        <w:jc w:val="both"/>
      </w:pPr>
    </w:p>
    <w:p w:rsidR="006C641F" w:rsidRPr="00937C8B" w:rsidRDefault="006C641F" w:rsidP="00D27646">
      <w:pPr>
        <w:pStyle w:val="artculo-tex"/>
        <w:keepNext/>
        <w:jc w:val="both"/>
        <w:rPr>
          <w:b/>
          <w:bCs/>
        </w:rPr>
      </w:pPr>
      <w:r>
        <w:rPr>
          <w:b/>
        </w:rPr>
        <w:t>15.5 Basic requirement HE 4: Minimum contribution of renewable energy to cover domestic hot water demand</w:t>
      </w:r>
    </w:p>
    <w:p w:rsidR="006C641F" w:rsidRPr="00937C8B" w:rsidRDefault="006C641F" w:rsidP="006C641F">
      <w:pPr>
        <w:pStyle w:val="artculo-tex"/>
        <w:jc w:val="both"/>
      </w:pPr>
      <w:r>
        <w:t xml:space="preserve">Buildings shall largely meet their DHW or indoor pool heating needs with energy from renewable sources or renewable cogeneration processes, or with energy generated in the building itself or from a connection to a </w:t>
      </w:r>
      <w:r>
        <w:rPr>
          <w:i/>
          <w:iCs/>
        </w:rPr>
        <w:t>district heating system</w:t>
      </w:r>
      <w:r>
        <w:t>.</w:t>
      </w:r>
    </w:p>
    <w:p w:rsidR="006C641F" w:rsidRPr="00937C8B" w:rsidRDefault="006C641F" w:rsidP="006C641F">
      <w:pPr>
        <w:pStyle w:val="artculo-tex"/>
        <w:jc w:val="both"/>
      </w:pPr>
    </w:p>
    <w:p w:rsidR="006C641F" w:rsidRPr="00937C8B" w:rsidRDefault="006C641F" w:rsidP="00D27646">
      <w:pPr>
        <w:pStyle w:val="artculo-tex"/>
        <w:keepNext/>
        <w:jc w:val="both"/>
        <w:rPr>
          <w:b/>
          <w:bCs/>
        </w:rPr>
      </w:pPr>
      <w:r>
        <w:rPr>
          <w:b/>
        </w:rPr>
        <w:t>15.6 Basic requirement HE 5: Minimum electricity generation</w:t>
      </w:r>
    </w:p>
    <w:p w:rsidR="006C641F" w:rsidRPr="00937C8B" w:rsidRDefault="006C641F" w:rsidP="006C641F">
      <w:pPr>
        <w:pStyle w:val="artculo-tex"/>
        <w:jc w:val="both"/>
      </w:pPr>
      <w:r>
        <w:t>Buildings with high electricity consumption shall incorporate systems for generating electricity from renewable sources for internal use or for supplying to the grid.</w:t>
      </w:r>
    </w:p>
    <w:p w:rsidR="006C641F" w:rsidRPr="00937C8B" w:rsidRDefault="006C641F" w:rsidP="006C641F">
      <w:pPr>
        <w:pStyle w:val="artculo-tex"/>
        <w:jc w:val="both"/>
      </w:pPr>
    </w:p>
    <w:p w:rsidR="006C641F" w:rsidRPr="00937C8B" w:rsidRDefault="006C641F" w:rsidP="006C641F">
      <w:pPr>
        <w:pStyle w:val="NumeracinCTE"/>
        <w:spacing w:before="60"/>
        <w:rPr>
          <w:bCs/>
        </w:rPr>
      </w:pPr>
    </w:p>
    <w:p w:rsidR="006C641F" w:rsidRPr="00937C8B" w:rsidRDefault="006C641F" w:rsidP="00D27646">
      <w:pPr>
        <w:pStyle w:val="Textbody"/>
        <w:keepNext/>
        <w:spacing w:before="240"/>
        <w:rPr>
          <w:b/>
          <w:bCs/>
          <w:sz w:val="28"/>
          <w:szCs w:val="28"/>
        </w:rPr>
      </w:pPr>
      <w:bookmarkStart w:id="15" w:name="__RefHeading___Toc10074_1941668277"/>
      <w:bookmarkEnd w:id="15"/>
      <w:r>
        <w:rPr>
          <w:b/>
          <w:sz w:val="28"/>
        </w:rPr>
        <w:t>II.</w:t>
      </w:r>
      <w:r>
        <w:rPr>
          <w:b/>
          <w:sz w:val="28"/>
        </w:rPr>
        <w:tab/>
        <w:t>Scope</w:t>
      </w:r>
    </w:p>
    <w:p w:rsidR="006C641F" w:rsidRPr="00937C8B" w:rsidRDefault="006C641F" w:rsidP="006C641F">
      <w:pPr>
        <w:pStyle w:val="CTENormal"/>
        <w:jc w:val="both"/>
      </w:pPr>
      <w:r>
        <w:t>Each section of this DB indicates the scope of its respective subsections.</w:t>
      </w:r>
    </w:p>
    <w:p w:rsidR="006C641F" w:rsidRPr="00937C8B" w:rsidRDefault="006C641F" w:rsidP="006C641F">
      <w:pPr>
        <w:pStyle w:val="CTENormal"/>
        <w:jc w:val="both"/>
      </w:pPr>
      <w:r>
        <w:t>The contents of this DB refer exclusively to the basic ‘Energy saving’ obligation. The basic requirements for the other basic obligations must also be met, which can be accomplished by applying the corresponding DBs.</w:t>
      </w:r>
    </w:p>
    <w:p w:rsidR="006C641F" w:rsidRPr="00937C8B" w:rsidRDefault="006C641F" w:rsidP="006C641F">
      <w:pPr>
        <w:pStyle w:val="CTENormal"/>
        <w:jc w:val="both"/>
      </w:pPr>
      <w:r>
        <w:t>A nearly zero-energy building is defined as any new or existing building that meets the regulatory requirements set out in this Basic Document ‘DB-HE Energy saving’ with regard to reducing energy consumption for newly constructed buildings.</w:t>
      </w:r>
    </w:p>
    <w:p w:rsidR="006C641F" w:rsidRPr="00937C8B" w:rsidRDefault="006C641F" w:rsidP="00D27646">
      <w:pPr>
        <w:pStyle w:val="Textbody"/>
        <w:keepNext/>
        <w:spacing w:before="240"/>
        <w:rPr>
          <w:b/>
          <w:bCs/>
          <w:sz w:val="28"/>
          <w:szCs w:val="28"/>
        </w:rPr>
      </w:pPr>
      <w:bookmarkStart w:id="16" w:name="__RefHeading___Toc10076_1941668277"/>
      <w:bookmarkEnd w:id="16"/>
      <w:r>
        <w:rPr>
          <w:b/>
          <w:sz w:val="28"/>
        </w:rPr>
        <w:t>III. General application criteria</w:t>
      </w:r>
    </w:p>
    <w:p w:rsidR="00D43716" w:rsidRPr="00937C8B" w:rsidRDefault="006C641F" w:rsidP="006C641F">
      <w:pPr>
        <w:pStyle w:val="Standard"/>
        <w:jc w:val="both"/>
      </w:pPr>
      <w:r>
        <w:t>Solutions other than those given in this DB may be used, in which case the procedure described in Article 5 of Part I of the CTE shall be followed and the design shall demonstrate compliance with the basic obligation and basic requirements.</w:t>
      </w:r>
    </w:p>
    <w:p w:rsidR="006C641F" w:rsidRPr="00937C8B" w:rsidRDefault="006C641F" w:rsidP="006C641F">
      <w:pPr>
        <w:pStyle w:val="Standard"/>
        <w:jc w:val="both"/>
        <w:rPr>
          <w:bCs/>
        </w:rPr>
      </w:pPr>
      <w:r>
        <w:t>The CTE Construction Element Catalogue [Catálogo de Elementos Constructivos del CTE] provides values for certain technical characteristics required in this DB. The values that the Catalogue assigns to construction solutions that are not manufactured industrially but rather produced onsite offer a legal guarantee covering their use in designs, while for construction products manufactured industrially, these values merely serve as general guidelines.</w:t>
      </w:r>
    </w:p>
    <w:p w:rsidR="006C641F" w:rsidRPr="00937C8B" w:rsidRDefault="006C641F" w:rsidP="00AF174F">
      <w:pPr>
        <w:pStyle w:val="Standard"/>
        <w:jc w:val="both"/>
        <w:rPr>
          <w:szCs w:val="20"/>
        </w:rPr>
      </w:pPr>
    </w:p>
    <w:p w:rsidR="00AF174F" w:rsidRPr="00937C8B" w:rsidRDefault="00AF174F" w:rsidP="00AF174F">
      <w:pPr>
        <w:pStyle w:val="Standard"/>
        <w:jc w:val="both"/>
      </w:pPr>
      <w:r>
        <w:t>Where this DB cites a regulatory provision, this refers to the version in force at the time of application. When a UNE, UNE-EN or UNE-EN ISO standard is cited, reference is to be made to the version indicated, even if a subsequent version exists, except in cases of harmonised UNE EN standards that transpose EN standards whose references were published in the Official Journal of the European Union within the framework of application of Regulation (EU) No 305/2011 of the European Parliament and of the Council of 9 March 2011 laying down harmonised conditions for the marketing of construction products and repealing Council Directive 89/106/EEC, in which case the citation shall be for the last Commission Communication that includes said reference. In cases of standards on test methods referenced in the harmonised standards, the version included in the harmonised UNE EN standards listed above shall apply.</w:t>
      </w:r>
    </w:p>
    <w:p w:rsidR="006C641F" w:rsidRPr="00937C8B" w:rsidRDefault="006C641F" w:rsidP="006C641F">
      <w:pPr>
        <w:pStyle w:val="Standard"/>
        <w:jc w:val="both"/>
      </w:pPr>
    </w:p>
    <w:p w:rsidR="006C641F" w:rsidRPr="00937C8B" w:rsidRDefault="006C641F" w:rsidP="006C641F">
      <w:pPr>
        <w:pStyle w:val="Standard"/>
        <w:jc w:val="both"/>
      </w:pPr>
      <w:r>
        <w:t>The standards specified in this DB may be replaced with others used by any EU Member State or party to the Agreement on the European Economic Area or any country party to a customs Association Agreement with the European Union, as long as they are demonstrated to have equivalent technical specifications.</w:t>
      </w:r>
    </w:p>
    <w:p w:rsidR="006C641F" w:rsidRPr="00937C8B" w:rsidRDefault="006C641F" w:rsidP="006C641F">
      <w:pPr>
        <w:pStyle w:val="Standard"/>
        <w:jc w:val="both"/>
      </w:pPr>
    </w:p>
    <w:p w:rsidR="006C641F" w:rsidRPr="00937C8B" w:rsidRDefault="006C641F" w:rsidP="006C641F">
      <w:pPr>
        <w:pStyle w:val="Standard"/>
      </w:pPr>
    </w:p>
    <w:p w:rsidR="006C641F" w:rsidRPr="00937C8B" w:rsidRDefault="006C641F" w:rsidP="00D27646">
      <w:pPr>
        <w:pStyle w:val="Textbody"/>
        <w:keepNext/>
        <w:ind w:left="720" w:hanging="720"/>
        <w:rPr>
          <w:b/>
          <w:bCs/>
          <w:sz w:val="28"/>
          <w:szCs w:val="28"/>
        </w:rPr>
      </w:pPr>
      <w:bookmarkStart w:id="17" w:name="__RefHeading___Toc10078_1941668277"/>
      <w:bookmarkEnd w:id="17"/>
      <w:r>
        <w:rPr>
          <w:b/>
          <w:sz w:val="28"/>
        </w:rPr>
        <w:t>IV.</w:t>
      </w:r>
      <w:r>
        <w:rPr>
          <w:b/>
          <w:sz w:val="28"/>
        </w:rPr>
        <w:tab/>
        <w:t>Criteria for application in existing buildings</w:t>
      </w:r>
    </w:p>
    <w:p w:rsidR="006C641F" w:rsidRPr="00937C8B" w:rsidRDefault="006C641F" w:rsidP="00D27646">
      <w:pPr>
        <w:pStyle w:val="CTENumeracion1linea0"/>
        <w:keepNext/>
        <w:jc w:val="both"/>
        <w:rPr>
          <w:rFonts w:cs="Arial"/>
          <w:b/>
          <w:szCs w:val="22"/>
        </w:rPr>
      </w:pPr>
      <w:r>
        <w:rPr>
          <w:b/>
        </w:rPr>
        <w:t>Criterion 1: no decrease in quality</w:t>
      </w:r>
    </w:p>
    <w:p w:rsidR="006C641F" w:rsidRPr="00A77C79" w:rsidRDefault="006C641F" w:rsidP="006C641F">
      <w:pPr>
        <w:pStyle w:val="CTENumeracion1linea0"/>
        <w:jc w:val="both"/>
        <w:rPr>
          <w:rFonts w:cs="Arial"/>
          <w:kern w:val="3"/>
        </w:rPr>
      </w:pPr>
      <w:r>
        <w:t>Unless a DB provides different criteria, it shall not be permitted to reduce pre-existing conditions that are less stringent than those set out in a DB, and it shall only be permitted to reduce more stringent conditions to the level specified in the relevant DB.</w:t>
      </w:r>
    </w:p>
    <w:p w:rsidR="006C641F" w:rsidRPr="00937C8B" w:rsidRDefault="006C641F" w:rsidP="00D27646">
      <w:pPr>
        <w:pStyle w:val="CTENumeracion1linea0"/>
        <w:keepNext/>
        <w:spacing w:before="120"/>
        <w:jc w:val="both"/>
        <w:rPr>
          <w:rFonts w:cs="Arial"/>
          <w:b/>
          <w:szCs w:val="22"/>
        </w:rPr>
      </w:pPr>
      <w:r>
        <w:rPr>
          <w:b/>
        </w:rPr>
        <w:t>Criterion 2: flexibility</w:t>
      </w:r>
    </w:p>
    <w:p w:rsidR="006C641F" w:rsidRPr="00937C8B" w:rsidRDefault="006C641F" w:rsidP="00D27646">
      <w:pPr>
        <w:pStyle w:val="CTENumeracion1linea0"/>
        <w:keepNext/>
        <w:jc w:val="both"/>
        <w:rPr>
          <w:rFonts w:cs="Arial"/>
          <w:szCs w:val="22"/>
        </w:rPr>
      </w:pPr>
      <w:bookmarkStart w:id="18" w:name="__DdeLink__1263_477829188"/>
      <w:bookmarkEnd w:id="18"/>
      <w:r>
        <w:t>Where it is not possible to achieve the general performance level specified in this DB, solutions enabling maximum suitability may be determined and adopted in any of the following cases:</w:t>
      </w:r>
    </w:p>
    <w:p w:rsidR="006C641F" w:rsidRPr="00937C8B" w:rsidRDefault="006C641F" w:rsidP="006C641F">
      <w:pPr>
        <w:pStyle w:val="CTENumeracionIzquierda063cmSangrafrancesa068"/>
        <w:ind w:left="993"/>
        <w:jc w:val="both"/>
        <w:rPr>
          <w:szCs w:val="22"/>
        </w:rPr>
      </w:pPr>
      <w:r>
        <w:t>a)</w:t>
      </w:r>
      <w:r>
        <w:tab/>
        <w:t>in buildings with recognised historical or architectural value, where other solutions could unacceptably alter their nature or appearance; or</w:t>
      </w:r>
    </w:p>
    <w:p w:rsidR="006C641F" w:rsidRPr="00937C8B" w:rsidRDefault="006C641F" w:rsidP="006C641F">
      <w:pPr>
        <w:pStyle w:val="CTENumeracionIzquierda063cmSangrafrancesa068"/>
        <w:ind w:left="993"/>
        <w:jc w:val="both"/>
        <w:rPr>
          <w:szCs w:val="22"/>
        </w:rPr>
      </w:pPr>
      <w:r>
        <w:t>b)</w:t>
      </w:r>
      <w:r>
        <w:tab/>
        <w:t>application of other solutions would not actually improve performance in terms of the basic ‘Energy saving’ obligation; or</w:t>
      </w:r>
    </w:p>
    <w:p w:rsidR="006C641F" w:rsidRPr="00937C8B" w:rsidRDefault="006C641F" w:rsidP="006C641F">
      <w:pPr>
        <w:pStyle w:val="CTENumeracionIzquierda063cmSangrafrancesa068"/>
        <w:ind w:left="993"/>
        <w:jc w:val="both"/>
        <w:rPr>
          <w:szCs w:val="22"/>
        </w:rPr>
      </w:pPr>
      <w:r>
        <w:t>c)</w:t>
      </w:r>
      <w:r>
        <w:tab/>
        <w:t>other solutions are not technically or economically viable; or</w:t>
      </w:r>
    </w:p>
    <w:p w:rsidR="006C641F" w:rsidRPr="00937C8B" w:rsidRDefault="006C641F" w:rsidP="006C641F">
      <w:pPr>
        <w:pStyle w:val="CTENumeracionIzquierda063cmSangrafrancesa068"/>
        <w:ind w:left="993"/>
        <w:jc w:val="both"/>
        <w:rPr>
          <w:szCs w:val="22"/>
        </w:rPr>
      </w:pPr>
      <w:r>
        <w:t>d)</w:t>
      </w:r>
      <w:r>
        <w:tab/>
        <w:t xml:space="preserve">other solutions entail substantial changes to elements of the </w:t>
      </w:r>
      <w:r>
        <w:rPr>
          <w:i/>
        </w:rPr>
        <w:t>thermal envelope</w:t>
      </w:r>
      <w:r>
        <w:t xml:space="preserve"> or to heat production installations that the solution was not originally intended to affect.</w:t>
      </w:r>
    </w:p>
    <w:p w:rsidR="00D43716" w:rsidRPr="00937C8B" w:rsidRDefault="006C641F" w:rsidP="006C641F">
      <w:pPr>
        <w:pStyle w:val="CTENumeracion1linea0"/>
        <w:jc w:val="both"/>
        <w:rPr>
          <w:rFonts w:cs="Arial"/>
          <w:szCs w:val="22"/>
        </w:rPr>
      </w:pPr>
      <w:r>
        <w:t>The design must demonstrate the grounds for applying this flexibility criterion. The final project documentation must state the performance level achieved and any factors affecting use and maintenance.</w:t>
      </w:r>
    </w:p>
    <w:p w:rsidR="0084739B" w:rsidRPr="00937C8B" w:rsidRDefault="0084739B" w:rsidP="00D43716">
      <w:pPr>
        <w:pStyle w:val="CTENumeracion1linea0"/>
        <w:jc w:val="both"/>
        <w:rPr>
          <w:rFonts w:cs="Arial"/>
          <w:b/>
          <w:szCs w:val="22"/>
        </w:rPr>
      </w:pPr>
    </w:p>
    <w:p w:rsidR="006C641F" w:rsidRPr="00937C8B" w:rsidRDefault="006C641F" w:rsidP="00D27646">
      <w:pPr>
        <w:pStyle w:val="CTENumeracion1linea0"/>
        <w:keepNext/>
        <w:jc w:val="both"/>
        <w:rPr>
          <w:rFonts w:cs="Arial"/>
          <w:b/>
          <w:szCs w:val="22"/>
        </w:rPr>
      </w:pPr>
      <w:r>
        <w:rPr>
          <w:b/>
        </w:rPr>
        <w:t>Criterion 3: repair of damage</w:t>
      </w:r>
    </w:p>
    <w:p w:rsidR="006C641F" w:rsidRPr="00937C8B" w:rsidRDefault="006C641F" w:rsidP="006C641F">
      <w:pPr>
        <w:pStyle w:val="CTENumeracion1linea0"/>
        <w:jc w:val="both"/>
        <w:rPr>
          <w:rFonts w:cs="Arial"/>
          <w:szCs w:val="22"/>
        </w:rPr>
      </w:pPr>
      <w:r>
        <w:t>Elements of the existing part that are not affected by any of the conditions set out in this DB may be retained in their existing condition, provided that before the work, they do not exhibit any damage that has significantly affected their original performance. If the building exhibits damage relevant to the basic ‘Energy saving’ obligation, the work must include specific measures to repair it.</w:t>
      </w:r>
    </w:p>
    <w:p w:rsidR="006C641F" w:rsidRPr="00937C8B" w:rsidRDefault="006C641F" w:rsidP="006C641F">
      <w:pPr>
        <w:pStyle w:val="Standard"/>
        <w:rPr>
          <w:b/>
          <w:bCs/>
          <w:sz w:val="28"/>
        </w:rPr>
      </w:pPr>
    </w:p>
    <w:p w:rsidR="006C641F" w:rsidRPr="00937C8B" w:rsidRDefault="006C641F" w:rsidP="00D27646">
      <w:pPr>
        <w:pStyle w:val="Textbody"/>
        <w:keepNext/>
        <w:spacing w:before="240"/>
        <w:rPr>
          <w:b/>
          <w:bCs/>
          <w:sz w:val="28"/>
          <w:szCs w:val="28"/>
        </w:rPr>
      </w:pPr>
      <w:bookmarkStart w:id="19" w:name="__RefHeading___Toc10080_1941668277"/>
      <w:bookmarkEnd w:id="19"/>
      <w:r>
        <w:rPr>
          <w:b/>
          <w:sz w:val="28"/>
        </w:rPr>
        <w:t xml:space="preserve">V. </w:t>
      </w:r>
      <w:r>
        <w:rPr>
          <w:b/>
          <w:sz w:val="28"/>
        </w:rPr>
        <w:tab/>
        <w:t>Specific conditions for compliance with DB-HE</w:t>
      </w:r>
    </w:p>
    <w:p w:rsidR="006C641F" w:rsidRPr="00937C8B" w:rsidRDefault="006C641F" w:rsidP="006C641F">
      <w:pPr>
        <w:pStyle w:val="Standard"/>
        <w:jc w:val="both"/>
      </w:pPr>
      <w:r>
        <w:t>The procedures described in this DB shall be applied in accordance with the specific conditions it contains and with the general conditions for compliance with the CTE, the design conditions, the works execution conditions and the building conditions given in Articles 5, 6, 7 and 8, respectively, in Part I of the CTE.</w:t>
      </w:r>
    </w:p>
    <w:p w:rsidR="006C641F" w:rsidRPr="00937C8B" w:rsidRDefault="006C641F" w:rsidP="006C641F">
      <w:pPr>
        <w:pStyle w:val="Standard"/>
        <w:jc w:val="both"/>
      </w:pPr>
    </w:p>
    <w:p w:rsidR="006C641F" w:rsidRPr="00937C8B" w:rsidRDefault="006C641F" w:rsidP="006C641F">
      <w:pPr>
        <w:pStyle w:val="Standard"/>
        <w:jc w:val="both"/>
      </w:pPr>
      <w:r>
        <w:t>Manufacturers of products with harmonised standards shall submit a copy of the declaration of performance and the CE marking for the product, where the former document shall include the performance figures for the intended use(s) of the product indicated in the Z Annex(es) of its harmonised standard, as per the applicable Regulation (EU) No 305/2011 of the European Parliament and of the Council of 9 March 2011 laying down harmonised conditions for the marketing of construction products.</w:t>
      </w:r>
    </w:p>
    <w:p w:rsidR="006C641F" w:rsidRPr="00937C8B" w:rsidRDefault="006C641F" w:rsidP="006C641F">
      <w:pPr>
        <w:pStyle w:val="Standard"/>
        <w:jc w:val="both"/>
        <w:rPr>
          <w:b/>
          <w:bCs/>
          <w:sz w:val="28"/>
        </w:rPr>
      </w:pPr>
    </w:p>
    <w:p w:rsidR="006C641F" w:rsidRPr="00937C8B" w:rsidRDefault="006C641F" w:rsidP="00D27646">
      <w:pPr>
        <w:pStyle w:val="Textbody"/>
        <w:keepNext/>
        <w:spacing w:before="240"/>
        <w:rPr>
          <w:b/>
          <w:bCs/>
          <w:sz w:val="28"/>
          <w:szCs w:val="28"/>
        </w:rPr>
      </w:pPr>
      <w:bookmarkStart w:id="20" w:name="__RefHeading___Toc10082_1941668277"/>
      <w:bookmarkEnd w:id="20"/>
      <w:r>
        <w:rPr>
          <w:b/>
          <w:sz w:val="28"/>
        </w:rPr>
        <w:lastRenderedPageBreak/>
        <w:t>VI.</w:t>
      </w:r>
      <w:r>
        <w:rPr>
          <w:b/>
          <w:sz w:val="28"/>
        </w:rPr>
        <w:tab/>
        <w:t>Terms and definitions</w:t>
      </w:r>
    </w:p>
    <w:p w:rsidR="006C641F" w:rsidRPr="00937C8B" w:rsidRDefault="006C641F" w:rsidP="006C641F">
      <w:pPr>
        <w:pStyle w:val="Standard"/>
        <w:spacing w:after="60"/>
      </w:pPr>
      <w:r>
        <w:t>For application of this DB, the terms in italics must be used in accordance with the meanings and the conditions indicated for each term, either in the terminology annex of this DB or in Annex III of Part I of this CTE, where said terms appear frequently throughout the Code.</w:t>
      </w:r>
    </w:p>
    <w:p w:rsidR="006C641F" w:rsidRPr="00937C8B" w:rsidRDefault="006C641F" w:rsidP="0084739B">
      <w:pPr>
        <w:pStyle w:val="ContentsHeading"/>
        <w:pageBreakBefore/>
        <w:spacing w:before="120" w:after="240"/>
        <w:jc w:val="center"/>
        <w:rPr>
          <w:rFonts w:ascii="Arial" w:hAnsi="Arial" w:cs="Arial"/>
          <w:b/>
          <w:sz w:val="32"/>
        </w:rPr>
      </w:pPr>
      <w:r>
        <w:rPr>
          <w:rFonts w:ascii="Arial" w:hAnsi="Arial"/>
          <w:b/>
          <w:sz w:val="32"/>
        </w:rPr>
        <w:lastRenderedPageBreak/>
        <w:t>Contents</w:t>
      </w:r>
    </w:p>
    <w:p w:rsidR="003974EC" w:rsidRDefault="00786EBA">
      <w:pPr>
        <w:pStyle w:val="TOC1"/>
        <w:tabs>
          <w:tab w:val="right" w:pos="10422"/>
        </w:tabs>
        <w:rPr>
          <w:rFonts w:asciiTheme="minorHAnsi" w:eastAsiaTheme="minorEastAsia" w:hAnsiTheme="minorHAnsi" w:cstheme="minorBidi"/>
          <w:b w:val="0"/>
          <w:noProof/>
          <w:kern w:val="0"/>
          <w:sz w:val="22"/>
          <w:szCs w:val="22"/>
          <w:lang w:val="en-US" w:eastAsia="en-US" w:bidi="ar-SA"/>
        </w:rPr>
      </w:pPr>
      <w:r>
        <w:rPr>
          <w:b w:val="0"/>
          <w:sz w:val="28"/>
        </w:rPr>
        <w:fldChar w:fldCharType="begin"/>
      </w:r>
      <w:r>
        <w:rPr>
          <w:b w:val="0"/>
          <w:sz w:val="28"/>
        </w:rPr>
        <w:instrText xml:space="preserve"> TOC \b s1 \n \p " " \h \z \t "CteTítulo3,3,CteAnejo-TituloSeccion,1,CteTítuloSeccion,1,CteTítulo1,1,CteTítulo2,2,CteInt-TituloSeccion,1,CteInt-Titulo1,1,CteAnejo-Titulo3,3,CteAnejo-Titulo1,1,CteAnejo-Titulo2,2,TítuloSeccionCTE,1" </w:instrText>
      </w:r>
      <w:r>
        <w:rPr>
          <w:b w:val="0"/>
          <w:sz w:val="28"/>
        </w:rPr>
        <w:fldChar w:fldCharType="separate"/>
      </w:r>
      <w:hyperlink w:anchor="_Toc44876226" w:history="1">
        <w:r w:rsidR="003974EC" w:rsidRPr="002C4202">
          <w:rPr>
            <w:rStyle w:val="Hyperlink"/>
            <w:noProof/>
          </w:rPr>
          <w:t>Section HE 0 Limiting energy consumption</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27" w:history="1">
        <w:r w:rsidRPr="002C4202">
          <w:rPr>
            <w:rStyle w:val="Hyperlink"/>
            <w:noProof/>
          </w:rPr>
          <w:t>1.</w:t>
        </w:r>
        <w:r>
          <w:rPr>
            <w:rFonts w:asciiTheme="minorHAnsi" w:eastAsiaTheme="minorEastAsia" w:hAnsiTheme="minorHAnsi" w:cstheme="minorBidi"/>
            <w:b w:val="0"/>
            <w:noProof/>
            <w:kern w:val="0"/>
            <w:szCs w:val="22"/>
            <w:lang w:val="en-US" w:eastAsia="en-US" w:bidi="ar-SA"/>
          </w:rPr>
          <w:tab/>
        </w:r>
        <w:r w:rsidRPr="002C4202">
          <w:rPr>
            <w:rStyle w:val="Hyperlink"/>
            <w:noProof/>
          </w:rPr>
          <w:t>Scope</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28" w:history="1">
        <w:r w:rsidRPr="002C4202">
          <w:rPr>
            <w:rStyle w:val="Hyperlink"/>
            <w:noProof/>
          </w:rPr>
          <w:t>2.</w:t>
        </w:r>
        <w:r>
          <w:rPr>
            <w:rFonts w:asciiTheme="minorHAnsi" w:eastAsiaTheme="minorEastAsia" w:hAnsiTheme="minorHAnsi" w:cstheme="minorBidi"/>
            <w:b w:val="0"/>
            <w:noProof/>
            <w:kern w:val="0"/>
            <w:szCs w:val="22"/>
            <w:lang w:val="en-US" w:eastAsia="en-US" w:bidi="ar-SA"/>
          </w:rPr>
          <w:tab/>
        </w:r>
        <w:r w:rsidRPr="002C4202">
          <w:rPr>
            <w:rStyle w:val="Hyperlink"/>
            <w:noProof/>
          </w:rPr>
          <w:t>Determination of the requirement</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29" w:history="1">
        <w:r w:rsidRPr="002C4202">
          <w:rPr>
            <w:rStyle w:val="Hyperlink"/>
            <w:noProof/>
          </w:rPr>
          <w:t>3.</w:t>
        </w:r>
        <w:r>
          <w:rPr>
            <w:rFonts w:asciiTheme="minorHAnsi" w:eastAsiaTheme="minorEastAsia" w:hAnsiTheme="minorHAnsi" w:cstheme="minorBidi"/>
            <w:b w:val="0"/>
            <w:noProof/>
            <w:kern w:val="0"/>
            <w:szCs w:val="22"/>
            <w:lang w:val="en-US" w:eastAsia="en-US" w:bidi="ar-SA"/>
          </w:rPr>
          <w:tab/>
        </w:r>
        <w:r w:rsidRPr="002C4202">
          <w:rPr>
            <w:rStyle w:val="Hyperlink"/>
            <w:noProof/>
          </w:rPr>
          <w:t>Quantification of the requirement</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30" w:history="1">
        <w:r w:rsidRPr="002C4202">
          <w:rPr>
            <w:rStyle w:val="Hyperlink"/>
            <w:noProof/>
          </w:rPr>
          <w:t>3.1</w:t>
        </w:r>
        <w:r>
          <w:rPr>
            <w:rFonts w:asciiTheme="minorHAnsi" w:eastAsiaTheme="minorEastAsia" w:hAnsiTheme="minorHAnsi" w:cstheme="minorBidi"/>
            <w:noProof/>
            <w:kern w:val="0"/>
            <w:szCs w:val="22"/>
            <w:lang w:val="en-US" w:eastAsia="en-US" w:bidi="ar-SA"/>
          </w:rPr>
          <w:tab/>
        </w:r>
        <w:r w:rsidRPr="002C4202">
          <w:rPr>
            <w:rStyle w:val="Hyperlink"/>
            <w:noProof/>
          </w:rPr>
          <w:t>Non-renewable primary energy consumption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31" w:history="1">
        <w:r w:rsidRPr="002C4202">
          <w:rPr>
            <w:rStyle w:val="Hyperlink"/>
            <w:noProof/>
          </w:rPr>
          <w:t>3.2</w:t>
        </w:r>
        <w:r>
          <w:rPr>
            <w:rFonts w:asciiTheme="minorHAnsi" w:eastAsiaTheme="minorEastAsia" w:hAnsiTheme="minorHAnsi" w:cstheme="minorBidi"/>
            <w:noProof/>
            <w:kern w:val="0"/>
            <w:szCs w:val="22"/>
            <w:lang w:val="en-US" w:eastAsia="en-US" w:bidi="ar-SA"/>
          </w:rPr>
          <w:tab/>
        </w:r>
        <w:r w:rsidRPr="002C4202">
          <w:rPr>
            <w:rStyle w:val="Hyperlink"/>
            <w:noProof/>
          </w:rPr>
          <w:t>Total primary energy consumption</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32" w:history="1">
        <w:r w:rsidRPr="002C4202">
          <w:rPr>
            <w:rStyle w:val="Hyperlink"/>
            <w:noProof/>
          </w:rPr>
          <w:t>4.</w:t>
        </w:r>
        <w:r>
          <w:rPr>
            <w:rFonts w:asciiTheme="minorHAnsi" w:eastAsiaTheme="minorEastAsia" w:hAnsiTheme="minorHAnsi" w:cstheme="minorBidi"/>
            <w:b w:val="0"/>
            <w:noProof/>
            <w:kern w:val="0"/>
            <w:szCs w:val="22"/>
            <w:lang w:val="en-US" w:eastAsia="en-US" w:bidi="ar-SA"/>
          </w:rPr>
          <w:tab/>
        </w:r>
        <w:r w:rsidRPr="002C4202">
          <w:rPr>
            <w:rStyle w:val="Hyperlink"/>
            <w:noProof/>
          </w:rPr>
          <w:t>Procedure and information for determining energy consumption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33" w:history="1">
        <w:r w:rsidRPr="002C4202">
          <w:rPr>
            <w:rStyle w:val="Hyperlink"/>
            <w:noProof/>
          </w:rPr>
          <w:t>4.1</w:t>
        </w:r>
        <w:r>
          <w:rPr>
            <w:rFonts w:asciiTheme="minorHAnsi" w:eastAsiaTheme="minorEastAsia" w:hAnsiTheme="minorHAnsi" w:cstheme="minorBidi"/>
            <w:noProof/>
            <w:kern w:val="0"/>
            <w:szCs w:val="22"/>
            <w:lang w:val="en-US" w:eastAsia="en-US" w:bidi="ar-SA"/>
          </w:rPr>
          <w:tab/>
        </w:r>
        <w:r w:rsidRPr="002C4202">
          <w:rPr>
            <w:rStyle w:val="Hyperlink"/>
            <w:noProof/>
          </w:rPr>
          <w:t>Calculation procedure</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34" w:history="1">
        <w:r w:rsidRPr="002C4202">
          <w:rPr>
            <w:rStyle w:val="Hyperlink"/>
            <w:noProof/>
          </w:rPr>
          <w:t>4.2</w:t>
        </w:r>
        <w:r>
          <w:rPr>
            <w:rFonts w:asciiTheme="minorHAnsi" w:eastAsiaTheme="minorEastAsia" w:hAnsiTheme="minorHAnsi" w:cstheme="minorBidi"/>
            <w:noProof/>
            <w:kern w:val="0"/>
            <w:szCs w:val="22"/>
            <w:lang w:val="en-US" w:eastAsia="en-US" w:bidi="ar-SA"/>
          </w:rPr>
          <w:tab/>
        </w:r>
        <w:r w:rsidRPr="002C4202">
          <w:rPr>
            <w:rStyle w:val="Hyperlink"/>
            <w:noProof/>
          </w:rPr>
          <w:t>External factors</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35" w:history="1">
        <w:r w:rsidRPr="002C4202">
          <w:rPr>
            <w:rStyle w:val="Hyperlink"/>
            <w:noProof/>
          </w:rPr>
          <w:t>4.3</w:t>
        </w:r>
        <w:r>
          <w:rPr>
            <w:rFonts w:asciiTheme="minorHAnsi" w:eastAsiaTheme="minorEastAsia" w:hAnsiTheme="minorHAnsi" w:cstheme="minorBidi"/>
            <w:noProof/>
            <w:kern w:val="0"/>
            <w:szCs w:val="22"/>
            <w:lang w:val="en-US" w:eastAsia="en-US" w:bidi="ar-SA"/>
          </w:rPr>
          <w:tab/>
        </w:r>
        <w:r w:rsidRPr="002C4202">
          <w:rPr>
            <w:rStyle w:val="Hyperlink"/>
            <w:noProof/>
          </w:rPr>
          <w:t>Internal factors and operating conditions</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36" w:history="1">
        <w:r w:rsidRPr="002C4202">
          <w:rPr>
            <w:rStyle w:val="Hyperlink"/>
            <w:noProof/>
          </w:rPr>
          <w:t>4.4</w:t>
        </w:r>
        <w:r>
          <w:rPr>
            <w:rFonts w:asciiTheme="minorHAnsi" w:eastAsiaTheme="minorEastAsia" w:hAnsiTheme="minorHAnsi" w:cstheme="minorBidi"/>
            <w:noProof/>
            <w:kern w:val="0"/>
            <w:szCs w:val="22"/>
            <w:lang w:val="en-US" w:eastAsia="en-US" w:bidi="ar-SA"/>
          </w:rPr>
          <w:tab/>
        </w:r>
        <w:r w:rsidRPr="002C4202">
          <w:rPr>
            <w:rStyle w:val="Hyperlink"/>
            <w:noProof/>
          </w:rPr>
          <w:t xml:space="preserve">Thermal model: </w:t>
        </w:r>
        <w:r w:rsidRPr="002C4202">
          <w:rPr>
            <w:rStyle w:val="Hyperlink"/>
            <w:i/>
            <w:noProof/>
          </w:rPr>
          <w:t>Thermal envelope</w:t>
        </w:r>
        <w:r w:rsidRPr="002C4202">
          <w:rPr>
            <w:rStyle w:val="Hyperlink"/>
            <w:noProof/>
          </w:rPr>
          <w:t xml:space="preserve"> and zoning</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37" w:history="1">
        <w:r w:rsidRPr="002C4202">
          <w:rPr>
            <w:rStyle w:val="Hyperlink"/>
            <w:noProof/>
          </w:rPr>
          <w:t>4.5</w:t>
        </w:r>
        <w:r>
          <w:rPr>
            <w:rFonts w:asciiTheme="minorHAnsi" w:eastAsiaTheme="minorEastAsia" w:hAnsiTheme="minorHAnsi" w:cstheme="minorBidi"/>
            <w:noProof/>
            <w:kern w:val="0"/>
            <w:szCs w:val="22"/>
            <w:lang w:val="en-US" w:eastAsia="en-US" w:bidi="ar-SA"/>
          </w:rPr>
          <w:tab/>
        </w:r>
        <w:r w:rsidRPr="002C4202">
          <w:rPr>
            <w:rStyle w:val="Hyperlink"/>
            <w:noProof/>
          </w:rPr>
          <w:t>Reference systems in private residential use</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38" w:history="1">
        <w:r w:rsidRPr="002C4202">
          <w:rPr>
            <w:rStyle w:val="Hyperlink"/>
            <w:noProof/>
          </w:rPr>
          <w:t>4.6</w:t>
        </w:r>
        <w:r>
          <w:rPr>
            <w:rFonts w:asciiTheme="minorHAnsi" w:eastAsiaTheme="minorEastAsia" w:hAnsiTheme="minorHAnsi" w:cstheme="minorBidi"/>
            <w:noProof/>
            <w:kern w:val="0"/>
            <w:szCs w:val="22"/>
            <w:lang w:val="en-US" w:eastAsia="en-US" w:bidi="ar-SA"/>
          </w:rPr>
          <w:tab/>
        </w:r>
        <w:r w:rsidRPr="002C4202">
          <w:rPr>
            <w:rStyle w:val="Hyperlink"/>
            <w:noProof/>
          </w:rPr>
          <w:t>Area for calculation of consumption indicators</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39" w:history="1">
        <w:r w:rsidRPr="002C4202">
          <w:rPr>
            <w:rStyle w:val="Hyperlink"/>
            <w:noProof/>
          </w:rPr>
          <w:t>5.</w:t>
        </w:r>
        <w:r>
          <w:rPr>
            <w:rFonts w:asciiTheme="minorHAnsi" w:eastAsiaTheme="minorEastAsia" w:hAnsiTheme="minorHAnsi" w:cstheme="minorBidi"/>
            <w:b w:val="0"/>
            <w:noProof/>
            <w:kern w:val="0"/>
            <w:szCs w:val="22"/>
            <w:lang w:val="en-US" w:eastAsia="en-US" w:bidi="ar-SA"/>
          </w:rPr>
          <w:tab/>
        </w:r>
        <w:r w:rsidRPr="002C4202">
          <w:rPr>
            <w:rStyle w:val="Hyperlink"/>
            <w:noProof/>
          </w:rPr>
          <w:t>Demonstration of compliance</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40" w:history="1">
        <w:r w:rsidRPr="002C4202">
          <w:rPr>
            <w:rStyle w:val="Hyperlink"/>
            <w:noProof/>
          </w:rPr>
          <w:t>6.</w:t>
        </w:r>
        <w:r>
          <w:rPr>
            <w:rFonts w:asciiTheme="minorHAnsi" w:eastAsiaTheme="minorEastAsia" w:hAnsiTheme="minorHAnsi" w:cstheme="minorBidi"/>
            <w:b w:val="0"/>
            <w:noProof/>
            <w:kern w:val="0"/>
            <w:szCs w:val="22"/>
            <w:lang w:val="en-US" w:eastAsia="en-US" w:bidi="ar-SA"/>
          </w:rPr>
          <w:tab/>
        </w:r>
        <w:r w:rsidRPr="002C4202">
          <w:rPr>
            <w:rStyle w:val="Hyperlink"/>
            <w:noProof/>
          </w:rPr>
          <w:t>Construction, maintenance and preservation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41" w:history="1">
        <w:r w:rsidRPr="002C4202">
          <w:rPr>
            <w:rStyle w:val="Hyperlink"/>
            <w:noProof/>
          </w:rPr>
          <w:t>6.1</w:t>
        </w:r>
        <w:r>
          <w:rPr>
            <w:rFonts w:asciiTheme="minorHAnsi" w:eastAsiaTheme="minorEastAsia" w:hAnsiTheme="minorHAnsi" w:cstheme="minorBidi"/>
            <w:noProof/>
            <w:kern w:val="0"/>
            <w:szCs w:val="22"/>
            <w:lang w:val="en-US" w:eastAsia="en-US" w:bidi="ar-SA"/>
          </w:rPr>
          <w:tab/>
        </w:r>
        <w:r w:rsidRPr="002C4202">
          <w:rPr>
            <w:rStyle w:val="Hyperlink"/>
            <w:noProof/>
          </w:rPr>
          <w:t>Execution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42" w:history="1">
        <w:r w:rsidRPr="002C4202">
          <w:rPr>
            <w:rStyle w:val="Hyperlink"/>
            <w:noProof/>
          </w:rPr>
          <w:t>6.2</w:t>
        </w:r>
        <w:r>
          <w:rPr>
            <w:rFonts w:asciiTheme="minorHAnsi" w:eastAsiaTheme="minorEastAsia" w:hAnsiTheme="minorHAnsi" w:cstheme="minorBidi"/>
            <w:noProof/>
            <w:kern w:val="0"/>
            <w:szCs w:val="22"/>
            <w:lang w:val="en-US" w:eastAsia="en-US" w:bidi="ar-SA"/>
          </w:rPr>
          <w:tab/>
        </w:r>
        <w:r w:rsidRPr="002C4202">
          <w:rPr>
            <w:rStyle w:val="Hyperlink"/>
            <w:noProof/>
          </w:rPr>
          <w:t>Work execution verification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43" w:history="1">
        <w:r w:rsidRPr="002C4202">
          <w:rPr>
            <w:rStyle w:val="Hyperlink"/>
            <w:noProof/>
          </w:rPr>
          <w:t>6.3</w:t>
        </w:r>
        <w:r>
          <w:rPr>
            <w:rFonts w:asciiTheme="minorHAnsi" w:eastAsiaTheme="minorEastAsia" w:hAnsiTheme="minorHAnsi" w:cstheme="minorBidi"/>
            <w:noProof/>
            <w:kern w:val="0"/>
            <w:szCs w:val="22"/>
            <w:lang w:val="en-US" w:eastAsia="en-US" w:bidi="ar-SA"/>
          </w:rPr>
          <w:tab/>
        </w:r>
        <w:r w:rsidRPr="002C4202">
          <w:rPr>
            <w:rStyle w:val="Hyperlink"/>
            <w:noProof/>
          </w:rPr>
          <w:t>As-built verification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44" w:history="1">
        <w:r w:rsidRPr="002C4202">
          <w:rPr>
            <w:rStyle w:val="Hyperlink"/>
            <w:noProof/>
          </w:rPr>
          <w:t>6.4</w:t>
        </w:r>
        <w:r>
          <w:rPr>
            <w:rFonts w:asciiTheme="minorHAnsi" w:eastAsiaTheme="minorEastAsia" w:hAnsiTheme="minorHAnsi" w:cstheme="minorBidi"/>
            <w:noProof/>
            <w:kern w:val="0"/>
            <w:szCs w:val="22"/>
            <w:lang w:val="en-US" w:eastAsia="en-US" w:bidi="ar-SA"/>
          </w:rPr>
          <w:tab/>
        </w:r>
        <w:r w:rsidRPr="002C4202">
          <w:rPr>
            <w:rStyle w:val="Hyperlink"/>
            <w:noProof/>
          </w:rPr>
          <w:t>Building maintenance and preservation</w:t>
        </w:r>
      </w:hyperlink>
    </w:p>
    <w:p w:rsidR="003974EC" w:rsidRDefault="003974EC">
      <w:pPr>
        <w:pStyle w:val="TOC1"/>
        <w:tabs>
          <w:tab w:val="right" w:pos="10422"/>
        </w:tabs>
        <w:rPr>
          <w:rFonts w:asciiTheme="minorHAnsi" w:eastAsiaTheme="minorEastAsia" w:hAnsiTheme="minorHAnsi" w:cstheme="minorBidi"/>
          <w:b w:val="0"/>
          <w:noProof/>
          <w:kern w:val="0"/>
          <w:sz w:val="22"/>
          <w:szCs w:val="22"/>
          <w:lang w:val="en-US" w:eastAsia="en-US" w:bidi="ar-SA"/>
        </w:rPr>
      </w:pPr>
      <w:hyperlink w:anchor="_Toc44876245" w:history="1">
        <w:r w:rsidRPr="002C4202">
          <w:rPr>
            <w:rStyle w:val="Hyperlink"/>
            <w:noProof/>
          </w:rPr>
          <w:t>Section HE 1 Conditions for controlling energy demand</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46" w:history="1">
        <w:r w:rsidRPr="002C4202">
          <w:rPr>
            <w:rStyle w:val="Hyperlink"/>
            <w:noProof/>
          </w:rPr>
          <w:t>1.</w:t>
        </w:r>
        <w:r>
          <w:rPr>
            <w:rFonts w:asciiTheme="minorHAnsi" w:eastAsiaTheme="minorEastAsia" w:hAnsiTheme="minorHAnsi" w:cstheme="minorBidi"/>
            <w:b w:val="0"/>
            <w:noProof/>
            <w:kern w:val="0"/>
            <w:szCs w:val="22"/>
            <w:lang w:val="en-US" w:eastAsia="en-US" w:bidi="ar-SA"/>
          </w:rPr>
          <w:tab/>
        </w:r>
        <w:r w:rsidRPr="002C4202">
          <w:rPr>
            <w:rStyle w:val="Hyperlink"/>
            <w:noProof/>
          </w:rPr>
          <w:t>Scope</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47" w:history="1">
        <w:r w:rsidRPr="002C4202">
          <w:rPr>
            <w:rStyle w:val="Hyperlink"/>
            <w:noProof/>
          </w:rPr>
          <w:t>2.</w:t>
        </w:r>
        <w:r>
          <w:rPr>
            <w:rFonts w:asciiTheme="minorHAnsi" w:eastAsiaTheme="minorEastAsia" w:hAnsiTheme="minorHAnsi" w:cstheme="minorBidi"/>
            <w:b w:val="0"/>
            <w:noProof/>
            <w:kern w:val="0"/>
            <w:szCs w:val="22"/>
            <w:lang w:val="en-US" w:eastAsia="en-US" w:bidi="ar-SA"/>
          </w:rPr>
          <w:tab/>
        </w:r>
        <w:r w:rsidRPr="002C4202">
          <w:rPr>
            <w:rStyle w:val="Hyperlink"/>
            <w:noProof/>
          </w:rPr>
          <w:t>Determination of the requirement</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48" w:history="1">
        <w:r w:rsidRPr="002C4202">
          <w:rPr>
            <w:rStyle w:val="Hyperlink"/>
            <w:noProof/>
          </w:rPr>
          <w:t>3.</w:t>
        </w:r>
        <w:r>
          <w:rPr>
            <w:rFonts w:asciiTheme="minorHAnsi" w:eastAsiaTheme="minorEastAsia" w:hAnsiTheme="minorHAnsi" w:cstheme="minorBidi"/>
            <w:b w:val="0"/>
            <w:noProof/>
            <w:kern w:val="0"/>
            <w:szCs w:val="22"/>
            <w:lang w:val="en-US" w:eastAsia="en-US" w:bidi="ar-SA"/>
          </w:rPr>
          <w:tab/>
        </w:r>
        <w:r w:rsidRPr="002C4202">
          <w:rPr>
            <w:rStyle w:val="Hyperlink"/>
            <w:noProof/>
          </w:rPr>
          <w:t>Quantification of the requirement</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49" w:history="1">
        <w:r w:rsidRPr="002C4202">
          <w:rPr>
            <w:rStyle w:val="Hyperlink"/>
            <w:noProof/>
          </w:rPr>
          <w:t>3.1</w:t>
        </w:r>
        <w:r>
          <w:rPr>
            <w:rFonts w:asciiTheme="minorHAnsi" w:eastAsiaTheme="minorEastAsia" w:hAnsiTheme="minorHAnsi" w:cstheme="minorBidi"/>
            <w:noProof/>
            <w:kern w:val="0"/>
            <w:szCs w:val="22"/>
            <w:lang w:val="en-US" w:eastAsia="en-US" w:bidi="ar-SA"/>
          </w:rPr>
          <w:tab/>
        </w:r>
        <w:r w:rsidRPr="002C4202">
          <w:rPr>
            <w:rStyle w:val="Hyperlink"/>
            <w:noProof/>
          </w:rPr>
          <w:t xml:space="preserve">Conditions on the </w:t>
        </w:r>
        <w:r w:rsidRPr="002C4202">
          <w:rPr>
            <w:rStyle w:val="Hyperlink"/>
            <w:i/>
            <w:noProof/>
          </w:rPr>
          <w:t>thermal envelope</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50" w:history="1">
        <w:r w:rsidRPr="002C4202">
          <w:rPr>
            <w:rStyle w:val="Hyperlink"/>
            <w:noProof/>
          </w:rPr>
          <w:t>3.2</w:t>
        </w:r>
        <w:r>
          <w:rPr>
            <w:rFonts w:asciiTheme="minorHAnsi" w:eastAsiaTheme="minorEastAsia" w:hAnsiTheme="minorHAnsi" w:cstheme="minorBidi"/>
            <w:noProof/>
            <w:kern w:val="0"/>
            <w:szCs w:val="22"/>
            <w:lang w:val="en-US" w:eastAsia="en-US" w:bidi="ar-SA"/>
          </w:rPr>
          <w:tab/>
        </w:r>
        <w:r w:rsidRPr="002C4202">
          <w:rPr>
            <w:rStyle w:val="Hyperlink"/>
            <w:noProof/>
          </w:rPr>
          <w:t>Limiting imbalances</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51" w:history="1">
        <w:r w:rsidRPr="002C4202">
          <w:rPr>
            <w:rStyle w:val="Hyperlink"/>
            <w:noProof/>
          </w:rPr>
          <w:t>3.3</w:t>
        </w:r>
        <w:r>
          <w:rPr>
            <w:rFonts w:asciiTheme="minorHAnsi" w:eastAsiaTheme="minorEastAsia" w:hAnsiTheme="minorHAnsi" w:cstheme="minorBidi"/>
            <w:noProof/>
            <w:kern w:val="0"/>
            <w:szCs w:val="22"/>
            <w:lang w:val="en-US" w:eastAsia="en-US" w:bidi="ar-SA"/>
          </w:rPr>
          <w:tab/>
        </w:r>
        <w:r w:rsidRPr="002C4202">
          <w:rPr>
            <w:rStyle w:val="Hyperlink"/>
            <w:noProof/>
          </w:rPr>
          <w:t xml:space="preserve">Limiting condensation in the </w:t>
        </w:r>
        <w:r w:rsidRPr="002C4202">
          <w:rPr>
            <w:rStyle w:val="Hyperlink"/>
            <w:i/>
            <w:noProof/>
          </w:rPr>
          <w:t>thermal envelope</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52" w:history="1">
        <w:r w:rsidRPr="002C4202">
          <w:rPr>
            <w:rStyle w:val="Hyperlink"/>
            <w:noProof/>
          </w:rPr>
          <w:t>4.</w:t>
        </w:r>
        <w:r>
          <w:rPr>
            <w:rFonts w:asciiTheme="minorHAnsi" w:eastAsiaTheme="minorEastAsia" w:hAnsiTheme="minorHAnsi" w:cstheme="minorBidi"/>
            <w:b w:val="0"/>
            <w:noProof/>
            <w:kern w:val="0"/>
            <w:szCs w:val="22"/>
            <w:lang w:val="en-US" w:eastAsia="en-US" w:bidi="ar-SA"/>
          </w:rPr>
          <w:tab/>
        </w:r>
        <w:r w:rsidRPr="002C4202">
          <w:rPr>
            <w:rStyle w:val="Hyperlink"/>
            <w:noProof/>
          </w:rPr>
          <w:t>Demonstration of compliance</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53" w:history="1">
        <w:r w:rsidRPr="002C4202">
          <w:rPr>
            <w:rStyle w:val="Hyperlink"/>
            <w:noProof/>
          </w:rPr>
          <w:t>5.</w:t>
        </w:r>
        <w:r>
          <w:rPr>
            <w:rFonts w:asciiTheme="minorHAnsi" w:eastAsiaTheme="minorEastAsia" w:hAnsiTheme="minorHAnsi" w:cstheme="minorBidi"/>
            <w:b w:val="0"/>
            <w:noProof/>
            <w:kern w:val="0"/>
            <w:szCs w:val="22"/>
            <w:lang w:val="en-US" w:eastAsia="en-US" w:bidi="ar-SA"/>
          </w:rPr>
          <w:tab/>
        </w:r>
        <w:r w:rsidRPr="002C4202">
          <w:rPr>
            <w:rStyle w:val="Hyperlink"/>
            <w:noProof/>
          </w:rPr>
          <w:t>Construction, maintenance and preservation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54" w:history="1">
        <w:r w:rsidRPr="002C4202">
          <w:rPr>
            <w:rStyle w:val="Hyperlink"/>
            <w:noProof/>
          </w:rPr>
          <w:t>5.1</w:t>
        </w:r>
        <w:r>
          <w:rPr>
            <w:rFonts w:asciiTheme="minorHAnsi" w:eastAsiaTheme="minorEastAsia" w:hAnsiTheme="minorHAnsi" w:cstheme="minorBidi"/>
            <w:noProof/>
            <w:kern w:val="0"/>
            <w:szCs w:val="22"/>
            <w:lang w:val="en-US" w:eastAsia="en-US" w:bidi="ar-SA"/>
          </w:rPr>
          <w:tab/>
        </w:r>
        <w:r w:rsidRPr="002C4202">
          <w:rPr>
            <w:rStyle w:val="Hyperlink"/>
            <w:noProof/>
          </w:rPr>
          <w:t xml:space="preserve">Mandatory </w:t>
        </w:r>
        <w:r w:rsidRPr="002C4202">
          <w:rPr>
            <w:rStyle w:val="Hyperlink"/>
            <w:i/>
            <w:iCs/>
            <w:noProof/>
          </w:rPr>
          <w:t>product</w:t>
        </w:r>
        <w:r w:rsidRPr="002C4202">
          <w:rPr>
            <w:rStyle w:val="Hyperlink"/>
            <w:noProof/>
          </w:rPr>
          <w:t xml:space="preserve"> characteristics</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55" w:history="1">
        <w:r w:rsidRPr="002C4202">
          <w:rPr>
            <w:rStyle w:val="Hyperlink"/>
            <w:noProof/>
          </w:rPr>
          <w:t>5.2</w:t>
        </w:r>
        <w:r>
          <w:rPr>
            <w:rFonts w:asciiTheme="minorHAnsi" w:eastAsiaTheme="minorEastAsia" w:hAnsiTheme="minorHAnsi" w:cstheme="minorBidi"/>
            <w:noProof/>
            <w:kern w:val="0"/>
            <w:szCs w:val="22"/>
            <w:lang w:val="en-US" w:eastAsia="en-US" w:bidi="ar-SA"/>
          </w:rPr>
          <w:tab/>
        </w:r>
        <w:r w:rsidRPr="002C4202">
          <w:rPr>
            <w:rStyle w:val="Hyperlink"/>
            <w:noProof/>
          </w:rPr>
          <w:t xml:space="preserve">Mandatory characteristics for components of the </w:t>
        </w:r>
        <w:r w:rsidRPr="002C4202">
          <w:rPr>
            <w:rStyle w:val="Hyperlink"/>
            <w:i/>
            <w:noProof/>
          </w:rPr>
          <w:t>thermal envelope</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56" w:history="1">
        <w:r w:rsidRPr="002C4202">
          <w:rPr>
            <w:rStyle w:val="Hyperlink"/>
            <w:noProof/>
          </w:rPr>
          <w:t>5.3</w:t>
        </w:r>
        <w:r>
          <w:rPr>
            <w:rFonts w:asciiTheme="minorHAnsi" w:eastAsiaTheme="minorEastAsia" w:hAnsiTheme="minorHAnsi" w:cstheme="minorBidi"/>
            <w:noProof/>
            <w:kern w:val="0"/>
            <w:szCs w:val="22"/>
            <w:lang w:val="en-US" w:eastAsia="en-US" w:bidi="ar-SA"/>
          </w:rPr>
          <w:tab/>
        </w:r>
        <w:r w:rsidRPr="002C4202">
          <w:rPr>
            <w:rStyle w:val="Hyperlink"/>
            <w:noProof/>
          </w:rPr>
          <w:t>Execution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57" w:history="1">
        <w:r w:rsidRPr="002C4202">
          <w:rPr>
            <w:rStyle w:val="Hyperlink"/>
            <w:noProof/>
          </w:rPr>
          <w:t>5.4</w:t>
        </w:r>
        <w:r>
          <w:rPr>
            <w:rFonts w:asciiTheme="minorHAnsi" w:eastAsiaTheme="minorEastAsia" w:hAnsiTheme="minorHAnsi" w:cstheme="minorBidi"/>
            <w:noProof/>
            <w:kern w:val="0"/>
            <w:szCs w:val="22"/>
            <w:lang w:val="en-US" w:eastAsia="en-US" w:bidi="ar-SA"/>
          </w:rPr>
          <w:tab/>
        </w:r>
        <w:r w:rsidRPr="002C4202">
          <w:rPr>
            <w:rStyle w:val="Hyperlink"/>
            <w:noProof/>
          </w:rPr>
          <w:t>Onsite product acceptance inspection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58" w:history="1">
        <w:r w:rsidRPr="002C4202">
          <w:rPr>
            <w:rStyle w:val="Hyperlink"/>
            <w:noProof/>
          </w:rPr>
          <w:t>5.5</w:t>
        </w:r>
        <w:r>
          <w:rPr>
            <w:rFonts w:asciiTheme="minorHAnsi" w:eastAsiaTheme="minorEastAsia" w:hAnsiTheme="minorHAnsi" w:cstheme="minorBidi"/>
            <w:noProof/>
            <w:kern w:val="0"/>
            <w:szCs w:val="22"/>
            <w:lang w:val="en-US" w:eastAsia="en-US" w:bidi="ar-SA"/>
          </w:rPr>
          <w:tab/>
        </w:r>
        <w:r w:rsidRPr="002C4202">
          <w:rPr>
            <w:rStyle w:val="Hyperlink"/>
            <w:noProof/>
          </w:rPr>
          <w:t>Work execution verification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59" w:history="1">
        <w:r w:rsidRPr="002C4202">
          <w:rPr>
            <w:rStyle w:val="Hyperlink"/>
            <w:noProof/>
          </w:rPr>
          <w:t>5.6</w:t>
        </w:r>
        <w:r>
          <w:rPr>
            <w:rFonts w:asciiTheme="minorHAnsi" w:eastAsiaTheme="minorEastAsia" w:hAnsiTheme="minorHAnsi" w:cstheme="minorBidi"/>
            <w:noProof/>
            <w:kern w:val="0"/>
            <w:szCs w:val="22"/>
            <w:lang w:val="en-US" w:eastAsia="en-US" w:bidi="ar-SA"/>
          </w:rPr>
          <w:tab/>
        </w:r>
        <w:r w:rsidRPr="002C4202">
          <w:rPr>
            <w:rStyle w:val="Hyperlink"/>
            <w:noProof/>
          </w:rPr>
          <w:t>As-built verification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60" w:history="1">
        <w:r w:rsidRPr="002C4202">
          <w:rPr>
            <w:rStyle w:val="Hyperlink"/>
            <w:noProof/>
          </w:rPr>
          <w:t>5.7</w:t>
        </w:r>
        <w:r>
          <w:rPr>
            <w:rFonts w:asciiTheme="minorHAnsi" w:eastAsiaTheme="minorEastAsia" w:hAnsiTheme="minorHAnsi" w:cstheme="minorBidi"/>
            <w:noProof/>
            <w:kern w:val="0"/>
            <w:szCs w:val="22"/>
            <w:lang w:val="en-US" w:eastAsia="en-US" w:bidi="ar-SA"/>
          </w:rPr>
          <w:tab/>
        </w:r>
        <w:r w:rsidRPr="002C4202">
          <w:rPr>
            <w:rStyle w:val="Hyperlink"/>
            <w:noProof/>
          </w:rPr>
          <w:t>Building maintenance and preservation</w:t>
        </w:r>
      </w:hyperlink>
    </w:p>
    <w:p w:rsidR="003974EC" w:rsidRDefault="003974EC">
      <w:pPr>
        <w:pStyle w:val="TOC1"/>
        <w:tabs>
          <w:tab w:val="right" w:pos="10422"/>
        </w:tabs>
        <w:rPr>
          <w:rFonts w:asciiTheme="minorHAnsi" w:eastAsiaTheme="minorEastAsia" w:hAnsiTheme="minorHAnsi" w:cstheme="minorBidi"/>
          <w:b w:val="0"/>
          <w:noProof/>
          <w:kern w:val="0"/>
          <w:sz w:val="22"/>
          <w:szCs w:val="22"/>
          <w:lang w:val="en-US" w:eastAsia="en-US" w:bidi="ar-SA"/>
        </w:rPr>
      </w:pPr>
      <w:hyperlink w:anchor="_Toc44876261" w:history="1">
        <w:r w:rsidRPr="002C4202">
          <w:rPr>
            <w:rStyle w:val="Hyperlink"/>
            <w:noProof/>
          </w:rPr>
          <w:t>Section HE 2 Conditions of heating installations</w:t>
        </w:r>
      </w:hyperlink>
    </w:p>
    <w:p w:rsidR="003974EC" w:rsidRDefault="003974EC">
      <w:pPr>
        <w:pStyle w:val="TOC1"/>
        <w:tabs>
          <w:tab w:val="right" w:pos="10422"/>
        </w:tabs>
        <w:rPr>
          <w:rFonts w:asciiTheme="minorHAnsi" w:eastAsiaTheme="minorEastAsia" w:hAnsiTheme="minorHAnsi" w:cstheme="minorBidi"/>
          <w:b w:val="0"/>
          <w:noProof/>
          <w:kern w:val="0"/>
          <w:sz w:val="22"/>
          <w:szCs w:val="22"/>
          <w:lang w:val="en-US" w:eastAsia="en-US" w:bidi="ar-SA"/>
        </w:rPr>
      </w:pPr>
      <w:hyperlink w:anchor="_Toc44876262" w:history="1">
        <w:r w:rsidRPr="002C4202">
          <w:rPr>
            <w:rStyle w:val="Hyperlink"/>
            <w:noProof/>
          </w:rPr>
          <w:t>Section HE 3 Conditions of lighting installations</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63" w:history="1">
        <w:r w:rsidRPr="002C4202">
          <w:rPr>
            <w:rStyle w:val="Hyperlink"/>
            <w:noProof/>
          </w:rPr>
          <w:t>1.</w:t>
        </w:r>
        <w:r>
          <w:rPr>
            <w:rFonts w:asciiTheme="minorHAnsi" w:eastAsiaTheme="minorEastAsia" w:hAnsiTheme="minorHAnsi" w:cstheme="minorBidi"/>
            <w:b w:val="0"/>
            <w:noProof/>
            <w:kern w:val="0"/>
            <w:szCs w:val="22"/>
            <w:lang w:val="en-US" w:eastAsia="en-US" w:bidi="ar-SA"/>
          </w:rPr>
          <w:tab/>
        </w:r>
        <w:r w:rsidRPr="002C4202">
          <w:rPr>
            <w:rStyle w:val="Hyperlink"/>
            <w:noProof/>
          </w:rPr>
          <w:t>Scope</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64" w:history="1">
        <w:r w:rsidRPr="002C4202">
          <w:rPr>
            <w:rStyle w:val="Hyperlink"/>
            <w:noProof/>
          </w:rPr>
          <w:t>2.</w:t>
        </w:r>
        <w:r>
          <w:rPr>
            <w:rFonts w:asciiTheme="minorHAnsi" w:eastAsiaTheme="minorEastAsia" w:hAnsiTheme="minorHAnsi" w:cstheme="minorBidi"/>
            <w:b w:val="0"/>
            <w:noProof/>
            <w:kern w:val="0"/>
            <w:szCs w:val="22"/>
            <w:lang w:val="en-US" w:eastAsia="en-US" w:bidi="ar-SA"/>
          </w:rPr>
          <w:tab/>
        </w:r>
        <w:r w:rsidRPr="002C4202">
          <w:rPr>
            <w:rStyle w:val="Hyperlink"/>
            <w:noProof/>
          </w:rPr>
          <w:t>Determination of the requirement</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65" w:history="1">
        <w:r w:rsidRPr="002C4202">
          <w:rPr>
            <w:rStyle w:val="Hyperlink"/>
            <w:noProof/>
          </w:rPr>
          <w:t>3.</w:t>
        </w:r>
        <w:r>
          <w:rPr>
            <w:rFonts w:asciiTheme="minorHAnsi" w:eastAsiaTheme="minorEastAsia" w:hAnsiTheme="minorHAnsi" w:cstheme="minorBidi"/>
            <w:b w:val="0"/>
            <w:noProof/>
            <w:kern w:val="0"/>
            <w:szCs w:val="22"/>
            <w:lang w:val="en-US" w:eastAsia="en-US" w:bidi="ar-SA"/>
          </w:rPr>
          <w:tab/>
        </w:r>
        <w:r w:rsidRPr="002C4202">
          <w:rPr>
            <w:rStyle w:val="Hyperlink"/>
            <w:noProof/>
          </w:rPr>
          <w:t>Quantification of the requirement</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66" w:history="1">
        <w:r w:rsidRPr="002C4202">
          <w:rPr>
            <w:rStyle w:val="Hyperlink"/>
            <w:noProof/>
          </w:rPr>
          <w:t>3.1</w:t>
        </w:r>
        <w:r>
          <w:rPr>
            <w:rFonts w:asciiTheme="minorHAnsi" w:eastAsiaTheme="minorEastAsia" w:hAnsiTheme="minorHAnsi" w:cstheme="minorBidi"/>
            <w:noProof/>
            <w:kern w:val="0"/>
            <w:szCs w:val="22"/>
            <w:lang w:val="en-US" w:eastAsia="en-US" w:bidi="ar-SA"/>
          </w:rPr>
          <w:tab/>
        </w:r>
        <w:r w:rsidRPr="002C4202">
          <w:rPr>
            <w:rStyle w:val="Hyperlink"/>
            <w:noProof/>
          </w:rPr>
          <w:t>Energy performance of lighting installations</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67" w:history="1">
        <w:r w:rsidRPr="002C4202">
          <w:rPr>
            <w:rStyle w:val="Hyperlink"/>
            <w:noProof/>
          </w:rPr>
          <w:t>3.2</w:t>
        </w:r>
        <w:r>
          <w:rPr>
            <w:rFonts w:asciiTheme="minorHAnsi" w:eastAsiaTheme="minorEastAsia" w:hAnsiTheme="minorHAnsi" w:cstheme="minorBidi"/>
            <w:noProof/>
            <w:kern w:val="0"/>
            <w:szCs w:val="22"/>
            <w:lang w:val="en-US" w:eastAsia="en-US" w:bidi="ar-SA"/>
          </w:rPr>
          <w:tab/>
        </w:r>
        <w:r w:rsidRPr="002C4202">
          <w:rPr>
            <w:rStyle w:val="Hyperlink"/>
            <w:noProof/>
          </w:rPr>
          <w:t>Installed power</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68" w:history="1">
        <w:r w:rsidRPr="002C4202">
          <w:rPr>
            <w:rStyle w:val="Hyperlink"/>
            <w:noProof/>
          </w:rPr>
          <w:t>3.3</w:t>
        </w:r>
        <w:r>
          <w:rPr>
            <w:rFonts w:asciiTheme="minorHAnsi" w:eastAsiaTheme="minorEastAsia" w:hAnsiTheme="minorHAnsi" w:cstheme="minorBidi"/>
            <w:noProof/>
            <w:kern w:val="0"/>
            <w:szCs w:val="22"/>
            <w:lang w:val="en-US" w:eastAsia="en-US" w:bidi="ar-SA"/>
          </w:rPr>
          <w:tab/>
        </w:r>
        <w:r w:rsidRPr="002C4202">
          <w:rPr>
            <w:rStyle w:val="Hyperlink"/>
            <w:noProof/>
          </w:rPr>
          <w:t>Control and regulation systems</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69" w:history="1">
        <w:r w:rsidRPr="002C4202">
          <w:rPr>
            <w:rStyle w:val="Hyperlink"/>
            <w:noProof/>
          </w:rPr>
          <w:t>3.4</w:t>
        </w:r>
        <w:r>
          <w:rPr>
            <w:rFonts w:asciiTheme="minorHAnsi" w:eastAsiaTheme="minorEastAsia" w:hAnsiTheme="minorHAnsi" w:cstheme="minorBidi"/>
            <w:noProof/>
            <w:kern w:val="0"/>
            <w:szCs w:val="22"/>
            <w:lang w:val="en-US" w:eastAsia="en-US" w:bidi="ar-SA"/>
          </w:rPr>
          <w:tab/>
        </w:r>
        <w:r w:rsidRPr="002C4202">
          <w:rPr>
            <w:rStyle w:val="Hyperlink"/>
            <w:noProof/>
          </w:rPr>
          <w:t>Natural lighting systems</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70" w:history="1">
        <w:r w:rsidRPr="002C4202">
          <w:rPr>
            <w:rStyle w:val="Hyperlink"/>
            <w:noProof/>
          </w:rPr>
          <w:t>4.</w:t>
        </w:r>
        <w:r>
          <w:rPr>
            <w:rFonts w:asciiTheme="minorHAnsi" w:eastAsiaTheme="minorEastAsia" w:hAnsiTheme="minorHAnsi" w:cstheme="minorBidi"/>
            <w:b w:val="0"/>
            <w:noProof/>
            <w:kern w:val="0"/>
            <w:szCs w:val="22"/>
            <w:lang w:val="en-US" w:eastAsia="en-US" w:bidi="ar-SA"/>
          </w:rPr>
          <w:tab/>
        </w:r>
        <w:r w:rsidRPr="002C4202">
          <w:rPr>
            <w:rStyle w:val="Hyperlink"/>
            <w:noProof/>
          </w:rPr>
          <w:t>Demonstration of compliance</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71" w:history="1">
        <w:r w:rsidRPr="002C4202">
          <w:rPr>
            <w:rStyle w:val="Hyperlink"/>
            <w:noProof/>
          </w:rPr>
          <w:t>5.</w:t>
        </w:r>
        <w:r>
          <w:rPr>
            <w:rFonts w:asciiTheme="minorHAnsi" w:eastAsiaTheme="minorEastAsia" w:hAnsiTheme="minorHAnsi" w:cstheme="minorBidi"/>
            <w:b w:val="0"/>
            <w:noProof/>
            <w:kern w:val="0"/>
            <w:szCs w:val="22"/>
            <w:lang w:val="en-US" w:eastAsia="en-US" w:bidi="ar-SA"/>
          </w:rPr>
          <w:tab/>
        </w:r>
        <w:r w:rsidRPr="002C4202">
          <w:rPr>
            <w:rStyle w:val="Hyperlink"/>
            <w:noProof/>
          </w:rPr>
          <w:t>Construction, maintenance and preservation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72" w:history="1">
        <w:r w:rsidRPr="002C4202">
          <w:rPr>
            <w:rStyle w:val="Hyperlink"/>
            <w:noProof/>
          </w:rPr>
          <w:t>5.1</w:t>
        </w:r>
        <w:r>
          <w:rPr>
            <w:rFonts w:asciiTheme="minorHAnsi" w:eastAsiaTheme="minorEastAsia" w:hAnsiTheme="minorHAnsi" w:cstheme="minorBidi"/>
            <w:noProof/>
            <w:kern w:val="0"/>
            <w:szCs w:val="22"/>
            <w:lang w:val="en-US" w:eastAsia="en-US" w:bidi="ar-SA"/>
          </w:rPr>
          <w:tab/>
        </w:r>
        <w:r w:rsidRPr="002C4202">
          <w:rPr>
            <w:rStyle w:val="Hyperlink"/>
            <w:noProof/>
          </w:rPr>
          <w:t>Execution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73" w:history="1">
        <w:r w:rsidRPr="002C4202">
          <w:rPr>
            <w:rStyle w:val="Hyperlink"/>
            <w:noProof/>
          </w:rPr>
          <w:t>5.2</w:t>
        </w:r>
        <w:r>
          <w:rPr>
            <w:rFonts w:asciiTheme="minorHAnsi" w:eastAsiaTheme="minorEastAsia" w:hAnsiTheme="minorHAnsi" w:cstheme="minorBidi"/>
            <w:noProof/>
            <w:kern w:val="0"/>
            <w:szCs w:val="22"/>
            <w:lang w:val="en-US" w:eastAsia="en-US" w:bidi="ar-SA"/>
          </w:rPr>
          <w:tab/>
        </w:r>
        <w:r w:rsidRPr="002C4202">
          <w:rPr>
            <w:rStyle w:val="Hyperlink"/>
            <w:noProof/>
          </w:rPr>
          <w:t>Work execution verification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74" w:history="1">
        <w:r w:rsidRPr="002C4202">
          <w:rPr>
            <w:rStyle w:val="Hyperlink"/>
            <w:noProof/>
          </w:rPr>
          <w:t>5.3</w:t>
        </w:r>
        <w:r>
          <w:rPr>
            <w:rFonts w:asciiTheme="minorHAnsi" w:eastAsiaTheme="minorEastAsia" w:hAnsiTheme="minorHAnsi" w:cstheme="minorBidi"/>
            <w:noProof/>
            <w:kern w:val="0"/>
            <w:szCs w:val="22"/>
            <w:lang w:val="en-US" w:eastAsia="en-US" w:bidi="ar-SA"/>
          </w:rPr>
          <w:tab/>
        </w:r>
        <w:r w:rsidRPr="002C4202">
          <w:rPr>
            <w:rStyle w:val="Hyperlink"/>
            <w:noProof/>
          </w:rPr>
          <w:t>As-built verification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75" w:history="1">
        <w:r w:rsidRPr="002C4202">
          <w:rPr>
            <w:rStyle w:val="Hyperlink"/>
            <w:noProof/>
          </w:rPr>
          <w:t>5.4</w:t>
        </w:r>
        <w:r>
          <w:rPr>
            <w:rFonts w:asciiTheme="minorHAnsi" w:eastAsiaTheme="minorEastAsia" w:hAnsiTheme="minorHAnsi" w:cstheme="minorBidi"/>
            <w:noProof/>
            <w:kern w:val="0"/>
            <w:szCs w:val="22"/>
            <w:lang w:val="en-US" w:eastAsia="en-US" w:bidi="ar-SA"/>
          </w:rPr>
          <w:tab/>
        </w:r>
        <w:r w:rsidRPr="002C4202">
          <w:rPr>
            <w:rStyle w:val="Hyperlink"/>
            <w:noProof/>
          </w:rPr>
          <w:t>Building maintenance and preservation</w:t>
        </w:r>
      </w:hyperlink>
    </w:p>
    <w:p w:rsidR="003974EC" w:rsidRDefault="003974EC">
      <w:pPr>
        <w:pStyle w:val="TOC1"/>
        <w:tabs>
          <w:tab w:val="right" w:pos="10422"/>
        </w:tabs>
        <w:rPr>
          <w:rFonts w:asciiTheme="minorHAnsi" w:eastAsiaTheme="minorEastAsia" w:hAnsiTheme="minorHAnsi" w:cstheme="minorBidi"/>
          <w:b w:val="0"/>
          <w:noProof/>
          <w:kern w:val="0"/>
          <w:sz w:val="22"/>
          <w:szCs w:val="22"/>
          <w:lang w:val="en-US" w:eastAsia="en-US" w:bidi="ar-SA"/>
        </w:rPr>
      </w:pPr>
      <w:hyperlink w:anchor="_Toc44876276" w:history="1">
        <w:r w:rsidRPr="002C4202">
          <w:rPr>
            <w:rStyle w:val="Hyperlink"/>
            <w:noProof/>
          </w:rPr>
          <w:t>Minimum contribution of renewable energy to cover domestic hot water demand</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77" w:history="1">
        <w:r w:rsidRPr="002C4202">
          <w:rPr>
            <w:rStyle w:val="Hyperlink"/>
            <w:noProof/>
          </w:rPr>
          <w:t>1.</w:t>
        </w:r>
        <w:r>
          <w:rPr>
            <w:rFonts w:asciiTheme="minorHAnsi" w:eastAsiaTheme="minorEastAsia" w:hAnsiTheme="minorHAnsi" w:cstheme="minorBidi"/>
            <w:b w:val="0"/>
            <w:noProof/>
            <w:kern w:val="0"/>
            <w:szCs w:val="22"/>
            <w:lang w:val="en-US" w:eastAsia="en-US" w:bidi="ar-SA"/>
          </w:rPr>
          <w:tab/>
        </w:r>
        <w:r w:rsidRPr="002C4202">
          <w:rPr>
            <w:rStyle w:val="Hyperlink"/>
            <w:noProof/>
          </w:rPr>
          <w:t>Scope</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78" w:history="1">
        <w:r w:rsidRPr="002C4202">
          <w:rPr>
            <w:rStyle w:val="Hyperlink"/>
            <w:noProof/>
          </w:rPr>
          <w:t>2.</w:t>
        </w:r>
        <w:r>
          <w:rPr>
            <w:rFonts w:asciiTheme="minorHAnsi" w:eastAsiaTheme="minorEastAsia" w:hAnsiTheme="minorHAnsi" w:cstheme="minorBidi"/>
            <w:b w:val="0"/>
            <w:noProof/>
            <w:kern w:val="0"/>
            <w:szCs w:val="22"/>
            <w:lang w:val="en-US" w:eastAsia="en-US" w:bidi="ar-SA"/>
          </w:rPr>
          <w:tab/>
        </w:r>
        <w:r w:rsidRPr="002C4202">
          <w:rPr>
            <w:rStyle w:val="Hyperlink"/>
            <w:noProof/>
          </w:rPr>
          <w:t>Determination of the requirement</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79" w:history="1">
        <w:r w:rsidRPr="002C4202">
          <w:rPr>
            <w:rStyle w:val="Hyperlink"/>
            <w:noProof/>
          </w:rPr>
          <w:t>3.</w:t>
        </w:r>
        <w:r>
          <w:rPr>
            <w:rFonts w:asciiTheme="minorHAnsi" w:eastAsiaTheme="minorEastAsia" w:hAnsiTheme="minorHAnsi" w:cstheme="minorBidi"/>
            <w:b w:val="0"/>
            <w:noProof/>
            <w:kern w:val="0"/>
            <w:szCs w:val="22"/>
            <w:lang w:val="en-US" w:eastAsia="en-US" w:bidi="ar-SA"/>
          </w:rPr>
          <w:tab/>
        </w:r>
        <w:r w:rsidRPr="002C4202">
          <w:rPr>
            <w:rStyle w:val="Hyperlink"/>
            <w:noProof/>
          </w:rPr>
          <w:t>Quantification of the requirement</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80" w:history="1">
        <w:r w:rsidRPr="002C4202">
          <w:rPr>
            <w:rStyle w:val="Hyperlink"/>
            <w:noProof/>
          </w:rPr>
          <w:t>3.1</w:t>
        </w:r>
        <w:r>
          <w:rPr>
            <w:rFonts w:asciiTheme="minorHAnsi" w:eastAsiaTheme="minorEastAsia" w:hAnsiTheme="minorHAnsi" w:cstheme="minorBidi"/>
            <w:noProof/>
            <w:kern w:val="0"/>
            <w:szCs w:val="22"/>
            <w:lang w:val="en-US" w:eastAsia="en-US" w:bidi="ar-SA"/>
          </w:rPr>
          <w:tab/>
        </w:r>
        <w:r w:rsidRPr="002C4202">
          <w:rPr>
            <w:rStyle w:val="Hyperlink"/>
            <w:noProof/>
          </w:rPr>
          <w:t>Minimum share of renewables for DHW and/or swimming pool heating</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81" w:history="1">
        <w:r w:rsidRPr="002C4202">
          <w:rPr>
            <w:rStyle w:val="Hyperlink"/>
            <w:noProof/>
          </w:rPr>
          <w:t>3.2</w:t>
        </w:r>
        <w:r>
          <w:rPr>
            <w:rFonts w:asciiTheme="minorHAnsi" w:eastAsiaTheme="minorEastAsia" w:hAnsiTheme="minorHAnsi" w:cstheme="minorBidi"/>
            <w:noProof/>
            <w:kern w:val="0"/>
            <w:szCs w:val="22"/>
            <w:lang w:val="en-US" w:eastAsia="en-US" w:bidi="ar-SA"/>
          </w:rPr>
          <w:tab/>
        </w:r>
        <w:r w:rsidRPr="002C4202">
          <w:rPr>
            <w:rStyle w:val="Hyperlink"/>
            <w:noProof/>
          </w:rPr>
          <w:t>Energy supply metering systems</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82" w:history="1">
        <w:r w:rsidRPr="002C4202">
          <w:rPr>
            <w:rStyle w:val="Hyperlink"/>
            <w:noProof/>
          </w:rPr>
          <w:t>4.</w:t>
        </w:r>
        <w:r>
          <w:rPr>
            <w:rFonts w:asciiTheme="minorHAnsi" w:eastAsiaTheme="minorEastAsia" w:hAnsiTheme="minorHAnsi" w:cstheme="minorBidi"/>
            <w:b w:val="0"/>
            <w:noProof/>
            <w:kern w:val="0"/>
            <w:szCs w:val="22"/>
            <w:lang w:val="en-US" w:eastAsia="en-US" w:bidi="ar-SA"/>
          </w:rPr>
          <w:tab/>
        </w:r>
        <w:r w:rsidRPr="002C4202">
          <w:rPr>
            <w:rStyle w:val="Hyperlink"/>
            <w:noProof/>
          </w:rPr>
          <w:t>Demonstration of compliance</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83" w:history="1">
        <w:r w:rsidRPr="002C4202">
          <w:rPr>
            <w:rStyle w:val="Hyperlink"/>
            <w:noProof/>
          </w:rPr>
          <w:t>5.1</w:t>
        </w:r>
        <w:r>
          <w:rPr>
            <w:rFonts w:asciiTheme="minorHAnsi" w:eastAsiaTheme="minorEastAsia" w:hAnsiTheme="minorHAnsi" w:cstheme="minorBidi"/>
            <w:noProof/>
            <w:kern w:val="0"/>
            <w:szCs w:val="22"/>
            <w:lang w:val="en-US" w:eastAsia="en-US" w:bidi="ar-SA"/>
          </w:rPr>
          <w:tab/>
        </w:r>
        <w:r w:rsidRPr="002C4202">
          <w:rPr>
            <w:rStyle w:val="Hyperlink"/>
            <w:noProof/>
          </w:rPr>
          <w:t>Execution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84" w:history="1">
        <w:r w:rsidRPr="002C4202">
          <w:rPr>
            <w:rStyle w:val="Hyperlink"/>
            <w:noProof/>
          </w:rPr>
          <w:t>5.2</w:t>
        </w:r>
        <w:r>
          <w:rPr>
            <w:rFonts w:asciiTheme="minorHAnsi" w:eastAsiaTheme="minorEastAsia" w:hAnsiTheme="minorHAnsi" w:cstheme="minorBidi"/>
            <w:noProof/>
            <w:kern w:val="0"/>
            <w:szCs w:val="22"/>
            <w:lang w:val="en-US" w:eastAsia="en-US" w:bidi="ar-SA"/>
          </w:rPr>
          <w:tab/>
        </w:r>
        <w:r w:rsidRPr="002C4202">
          <w:rPr>
            <w:rStyle w:val="Hyperlink"/>
            <w:noProof/>
          </w:rPr>
          <w:t>Work execution verification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85" w:history="1">
        <w:r w:rsidRPr="002C4202">
          <w:rPr>
            <w:rStyle w:val="Hyperlink"/>
            <w:noProof/>
          </w:rPr>
          <w:t>5.3</w:t>
        </w:r>
        <w:r>
          <w:rPr>
            <w:rFonts w:asciiTheme="minorHAnsi" w:eastAsiaTheme="minorEastAsia" w:hAnsiTheme="minorHAnsi" w:cstheme="minorBidi"/>
            <w:noProof/>
            <w:kern w:val="0"/>
            <w:szCs w:val="22"/>
            <w:lang w:val="en-US" w:eastAsia="en-US" w:bidi="ar-SA"/>
          </w:rPr>
          <w:tab/>
        </w:r>
        <w:r w:rsidRPr="002C4202">
          <w:rPr>
            <w:rStyle w:val="Hyperlink"/>
            <w:noProof/>
          </w:rPr>
          <w:t>As-built verification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86" w:history="1">
        <w:r w:rsidRPr="002C4202">
          <w:rPr>
            <w:rStyle w:val="Hyperlink"/>
            <w:noProof/>
          </w:rPr>
          <w:t>5.4</w:t>
        </w:r>
        <w:r>
          <w:rPr>
            <w:rFonts w:asciiTheme="minorHAnsi" w:eastAsiaTheme="minorEastAsia" w:hAnsiTheme="minorHAnsi" w:cstheme="minorBidi"/>
            <w:noProof/>
            <w:kern w:val="0"/>
            <w:szCs w:val="22"/>
            <w:lang w:val="en-US" w:eastAsia="en-US" w:bidi="ar-SA"/>
          </w:rPr>
          <w:tab/>
        </w:r>
        <w:r w:rsidRPr="002C4202">
          <w:rPr>
            <w:rStyle w:val="Hyperlink"/>
            <w:noProof/>
          </w:rPr>
          <w:t>Building maintenance and preservation</w:t>
        </w:r>
      </w:hyperlink>
    </w:p>
    <w:p w:rsidR="003974EC" w:rsidRDefault="003974EC">
      <w:pPr>
        <w:pStyle w:val="TOC1"/>
        <w:tabs>
          <w:tab w:val="right" w:pos="10422"/>
        </w:tabs>
        <w:rPr>
          <w:rFonts w:asciiTheme="minorHAnsi" w:eastAsiaTheme="minorEastAsia" w:hAnsiTheme="minorHAnsi" w:cstheme="minorBidi"/>
          <w:b w:val="0"/>
          <w:noProof/>
          <w:kern w:val="0"/>
          <w:sz w:val="22"/>
          <w:szCs w:val="22"/>
          <w:lang w:val="en-US" w:eastAsia="en-US" w:bidi="ar-SA"/>
        </w:rPr>
      </w:pPr>
      <w:hyperlink w:anchor="_Toc44876287" w:history="1">
        <w:r w:rsidRPr="002C4202">
          <w:rPr>
            <w:rStyle w:val="Hyperlink"/>
            <w:noProof/>
          </w:rPr>
          <w:t>Minimum electricity generation</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88" w:history="1">
        <w:r w:rsidRPr="002C4202">
          <w:rPr>
            <w:rStyle w:val="Hyperlink"/>
            <w:noProof/>
          </w:rPr>
          <w:t>1.</w:t>
        </w:r>
        <w:r>
          <w:rPr>
            <w:rFonts w:asciiTheme="minorHAnsi" w:eastAsiaTheme="minorEastAsia" w:hAnsiTheme="minorHAnsi" w:cstheme="minorBidi"/>
            <w:b w:val="0"/>
            <w:noProof/>
            <w:kern w:val="0"/>
            <w:szCs w:val="22"/>
            <w:lang w:val="en-US" w:eastAsia="en-US" w:bidi="ar-SA"/>
          </w:rPr>
          <w:tab/>
        </w:r>
        <w:r w:rsidRPr="002C4202">
          <w:rPr>
            <w:rStyle w:val="Hyperlink"/>
            <w:noProof/>
          </w:rPr>
          <w:t>Scope</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89" w:history="1">
        <w:r w:rsidRPr="002C4202">
          <w:rPr>
            <w:rStyle w:val="Hyperlink"/>
            <w:noProof/>
          </w:rPr>
          <w:t>2.</w:t>
        </w:r>
        <w:r>
          <w:rPr>
            <w:rFonts w:asciiTheme="minorHAnsi" w:eastAsiaTheme="minorEastAsia" w:hAnsiTheme="minorHAnsi" w:cstheme="minorBidi"/>
            <w:b w:val="0"/>
            <w:noProof/>
            <w:kern w:val="0"/>
            <w:szCs w:val="22"/>
            <w:lang w:val="en-US" w:eastAsia="en-US" w:bidi="ar-SA"/>
          </w:rPr>
          <w:tab/>
        </w:r>
        <w:r w:rsidRPr="002C4202">
          <w:rPr>
            <w:rStyle w:val="Hyperlink"/>
            <w:noProof/>
          </w:rPr>
          <w:t>Determination of the requirement</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90" w:history="1">
        <w:r w:rsidRPr="002C4202">
          <w:rPr>
            <w:rStyle w:val="Hyperlink"/>
            <w:noProof/>
          </w:rPr>
          <w:t>3.</w:t>
        </w:r>
        <w:r>
          <w:rPr>
            <w:rFonts w:asciiTheme="minorHAnsi" w:eastAsiaTheme="minorEastAsia" w:hAnsiTheme="minorHAnsi" w:cstheme="minorBidi"/>
            <w:b w:val="0"/>
            <w:noProof/>
            <w:kern w:val="0"/>
            <w:szCs w:val="22"/>
            <w:lang w:val="en-US" w:eastAsia="en-US" w:bidi="ar-SA"/>
          </w:rPr>
          <w:tab/>
        </w:r>
        <w:r w:rsidRPr="002C4202">
          <w:rPr>
            <w:rStyle w:val="Hyperlink"/>
            <w:noProof/>
          </w:rPr>
          <w:t>Quantification of the requirement</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91" w:history="1">
        <w:r w:rsidRPr="002C4202">
          <w:rPr>
            <w:rStyle w:val="Hyperlink"/>
            <w:noProof/>
          </w:rPr>
          <w:t>4.</w:t>
        </w:r>
        <w:r>
          <w:rPr>
            <w:rFonts w:asciiTheme="minorHAnsi" w:eastAsiaTheme="minorEastAsia" w:hAnsiTheme="minorHAnsi" w:cstheme="minorBidi"/>
            <w:b w:val="0"/>
            <w:noProof/>
            <w:kern w:val="0"/>
            <w:szCs w:val="22"/>
            <w:lang w:val="en-US" w:eastAsia="en-US" w:bidi="ar-SA"/>
          </w:rPr>
          <w:tab/>
        </w:r>
        <w:r w:rsidRPr="002C4202">
          <w:rPr>
            <w:rStyle w:val="Hyperlink"/>
            <w:noProof/>
          </w:rPr>
          <w:t>Demonstration of compliance</w:t>
        </w:r>
      </w:hyperlink>
    </w:p>
    <w:p w:rsidR="003974EC" w:rsidRDefault="003974EC">
      <w:pPr>
        <w:pStyle w:val="TOC2"/>
        <w:tabs>
          <w:tab w:val="left" w:pos="680"/>
          <w:tab w:val="right" w:pos="10422"/>
        </w:tabs>
        <w:rPr>
          <w:rFonts w:asciiTheme="minorHAnsi" w:eastAsiaTheme="minorEastAsia" w:hAnsiTheme="minorHAnsi" w:cstheme="minorBidi"/>
          <w:b w:val="0"/>
          <w:noProof/>
          <w:kern w:val="0"/>
          <w:szCs w:val="22"/>
          <w:lang w:val="en-US" w:eastAsia="en-US" w:bidi="ar-SA"/>
        </w:rPr>
      </w:pPr>
      <w:hyperlink w:anchor="_Toc44876292" w:history="1">
        <w:r w:rsidRPr="002C4202">
          <w:rPr>
            <w:rStyle w:val="Hyperlink"/>
            <w:noProof/>
          </w:rPr>
          <w:t>5.</w:t>
        </w:r>
        <w:r>
          <w:rPr>
            <w:rFonts w:asciiTheme="minorHAnsi" w:eastAsiaTheme="minorEastAsia" w:hAnsiTheme="minorHAnsi" w:cstheme="minorBidi"/>
            <w:b w:val="0"/>
            <w:noProof/>
            <w:kern w:val="0"/>
            <w:szCs w:val="22"/>
            <w:lang w:val="en-US" w:eastAsia="en-US" w:bidi="ar-SA"/>
          </w:rPr>
          <w:tab/>
        </w:r>
        <w:r w:rsidRPr="002C4202">
          <w:rPr>
            <w:rStyle w:val="Hyperlink"/>
            <w:noProof/>
          </w:rPr>
          <w:t>Construction, maintenance and preservation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93" w:history="1">
        <w:r w:rsidRPr="002C4202">
          <w:rPr>
            <w:rStyle w:val="Hyperlink"/>
            <w:noProof/>
          </w:rPr>
          <w:t>5.1</w:t>
        </w:r>
        <w:r>
          <w:rPr>
            <w:rFonts w:asciiTheme="minorHAnsi" w:eastAsiaTheme="minorEastAsia" w:hAnsiTheme="minorHAnsi" w:cstheme="minorBidi"/>
            <w:noProof/>
            <w:kern w:val="0"/>
            <w:szCs w:val="22"/>
            <w:lang w:val="en-US" w:eastAsia="en-US" w:bidi="ar-SA"/>
          </w:rPr>
          <w:tab/>
        </w:r>
        <w:r w:rsidRPr="002C4202">
          <w:rPr>
            <w:rStyle w:val="Hyperlink"/>
            <w:noProof/>
          </w:rPr>
          <w:t>Execution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94" w:history="1">
        <w:r w:rsidRPr="002C4202">
          <w:rPr>
            <w:rStyle w:val="Hyperlink"/>
            <w:noProof/>
          </w:rPr>
          <w:t>5.2</w:t>
        </w:r>
        <w:r>
          <w:rPr>
            <w:rFonts w:asciiTheme="minorHAnsi" w:eastAsiaTheme="minorEastAsia" w:hAnsiTheme="minorHAnsi" w:cstheme="minorBidi"/>
            <w:noProof/>
            <w:kern w:val="0"/>
            <w:szCs w:val="22"/>
            <w:lang w:val="en-US" w:eastAsia="en-US" w:bidi="ar-SA"/>
          </w:rPr>
          <w:tab/>
        </w:r>
        <w:r w:rsidRPr="002C4202">
          <w:rPr>
            <w:rStyle w:val="Hyperlink"/>
            <w:noProof/>
          </w:rPr>
          <w:t>Work execution verification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95" w:history="1">
        <w:r w:rsidRPr="002C4202">
          <w:rPr>
            <w:rStyle w:val="Hyperlink"/>
            <w:noProof/>
          </w:rPr>
          <w:t>5.3</w:t>
        </w:r>
        <w:r>
          <w:rPr>
            <w:rFonts w:asciiTheme="minorHAnsi" w:eastAsiaTheme="minorEastAsia" w:hAnsiTheme="minorHAnsi" w:cstheme="minorBidi"/>
            <w:noProof/>
            <w:kern w:val="0"/>
            <w:szCs w:val="22"/>
            <w:lang w:val="en-US" w:eastAsia="en-US" w:bidi="ar-SA"/>
          </w:rPr>
          <w:tab/>
        </w:r>
        <w:r w:rsidRPr="002C4202">
          <w:rPr>
            <w:rStyle w:val="Hyperlink"/>
            <w:noProof/>
          </w:rPr>
          <w:t>As-built verification</w:t>
        </w:r>
      </w:hyperlink>
    </w:p>
    <w:p w:rsidR="003974EC" w:rsidRDefault="003974EC">
      <w:pPr>
        <w:pStyle w:val="TOC3"/>
        <w:tabs>
          <w:tab w:val="left" w:pos="1320"/>
          <w:tab w:val="right" w:pos="10422"/>
        </w:tabs>
        <w:rPr>
          <w:rFonts w:asciiTheme="minorHAnsi" w:eastAsiaTheme="minorEastAsia" w:hAnsiTheme="minorHAnsi" w:cstheme="minorBidi"/>
          <w:noProof/>
          <w:kern w:val="0"/>
          <w:szCs w:val="22"/>
          <w:lang w:val="en-US" w:eastAsia="en-US" w:bidi="ar-SA"/>
        </w:rPr>
      </w:pPr>
      <w:hyperlink w:anchor="_Toc44876296" w:history="1">
        <w:r w:rsidRPr="002C4202">
          <w:rPr>
            <w:rStyle w:val="Hyperlink"/>
            <w:noProof/>
          </w:rPr>
          <w:t>5.4</w:t>
        </w:r>
        <w:r>
          <w:rPr>
            <w:rFonts w:asciiTheme="minorHAnsi" w:eastAsiaTheme="minorEastAsia" w:hAnsiTheme="minorHAnsi" w:cstheme="minorBidi"/>
            <w:noProof/>
            <w:kern w:val="0"/>
            <w:szCs w:val="22"/>
            <w:lang w:val="en-US" w:eastAsia="en-US" w:bidi="ar-SA"/>
          </w:rPr>
          <w:tab/>
        </w:r>
        <w:r w:rsidRPr="002C4202">
          <w:rPr>
            <w:rStyle w:val="Hyperlink"/>
            <w:noProof/>
          </w:rPr>
          <w:t>Building maintenance and preservation</w:t>
        </w:r>
      </w:hyperlink>
    </w:p>
    <w:p w:rsidR="003974EC" w:rsidRDefault="003974EC">
      <w:pPr>
        <w:pStyle w:val="TOC1"/>
        <w:tabs>
          <w:tab w:val="left" w:pos="1320"/>
          <w:tab w:val="right" w:pos="10422"/>
        </w:tabs>
        <w:rPr>
          <w:rFonts w:asciiTheme="minorHAnsi" w:eastAsiaTheme="minorEastAsia" w:hAnsiTheme="minorHAnsi" w:cstheme="minorBidi"/>
          <w:b w:val="0"/>
          <w:noProof/>
          <w:kern w:val="0"/>
          <w:sz w:val="22"/>
          <w:szCs w:val="22"/>
          <w:lang w:val="en-US" w:eastAsia="en-US" w:bidi="ar-SA"/>
        </w:rPr>
      </w:pPr>
      <w:hyperlink w:anchor="_Toc44876297" w:history="1">
        <w:r w:rsidRPr="002C4202">
          <w:rPr>
            <w:rStyle w:val="Hyperlink"/>
            <w:noProof/>
          </w:rPr>
          <w:t>Annex A.</w:t>
        </w:r>
        <w:r>
          <w:rPr>
            <w:rFonts w:asciiTheme="minorHAnsi" w:eastAsiaTheme="minorEastAsia" w:hAnsiTheme="minorHAnsi" w:cstheme="minorBidi"/>
            <w:b w:val="0"/>
            <w:noProof/>
            <w:kern w:val="0"/>
            <w:sz w:val="22"/>
            <w:szCs w:val="22"/>
            <w:lang w:val="en-US" w:eastAsia="en-US" w:bidi="ar-SA"/>
          </w:rPr>
          <w:tab/>
        </w:r>
        <w:r w:rsidRPr="002C4202">
          <w:rPr>
            <w:rStyle w:val="Hyperlink"/>
            <w:noProof/>
          </w:rPr>
          <w:t>Terminology</w:t>
        </w:r>
      </w:hyperlink>
    </w:p>
    <w:p w:rsidR="003974EC" w:rsidRDefault="003974EC">
      <w:pPr>
        <w:pStyle w:val="TOC1"/>
        <w:tabs>
          <w:tab w:val="left" w:pos="1320"/>
          <w:tab w:val="right" w:pos="10422"/>
        </w:tabs>
        <w:rPr>
          <w:rFonts w:asciiTheme="minorHAnsi" w:eastAsiaTheme="minorEastAsia" w:hAnsiTheme="minorHAnsi" w:cstheme="minorBidi"/>
          <w:b w:val="0"/>
          <w:noProof/>
          <w:kern w:val="0"/>
          <w:sz w:val="22"/>
          <w:szCs w:val="22"/>
          <w:lang w:val="en-US" w:eastAsia="en-US" w:bidi="ar-SA"/>
        </w:rPr>
      </w:pPr>
      <w:hyperlink w:anchor="_Toc44876298" w:history="1">
        <w:r w:rsidRPr="002C4202">
          <w:rPr>
            <w:rStyle w:val="Hyperlink"/>
            <w:noProof/>
          </w:rPr>
          <w:t>Annex B.</w:t>
        </w:r>
        <w:r>
          <w:rPr>
            <w:rFonts w:asciiTheme="minorHAnsi" w:eastAsiaTheme="minorEastAsia" w:hAnsiTheme="minorHAnsi" w:cstheme="minorBidi"/>
            <w:b w:val="0"/>
            <w:noProof/>
            <w:kern w:val="0"/>
            <w:sz w:val="22"/>
            <w:szCs w:val="22"/>
            <w:lang w:val="en-US" w:eastAsia="en-US" w:bidi="ar-SA"/>
          </w:rPr>
          <w:tab/>
        </w:r>
        <w:r w:rsidRPr="002C4202">
          <w:rPr>
            <w:rStyle w:val="Hyperlink"/>
            <w:noProof/>
          </w:rPr>
          <w:t>Climate zones</w:t>
        </w:r>
      </w:hyperlink>
    </w:p>
    <w:p w:rsidR="003974EC" w:rsidRDefault="003974EC">
      <w:pPr>
        <w:pStyle w:val="TOC1"/>
        <w:tabs>
          <w:tab w:val="left" w:pos="1320"/>
          <w:tab w:val="right" w:pos="10422"/>
        </w:tabs>
        <w:rPr>
          <w:rFonts w:asciiTheme="minorHAnsi" w:eastAsiaTheme="minorEastAsia" w:hAnsiTheme="minorHAnsi" w:cstheme="minorBidi"/>
          <w:b w:val="0"/>
          <w:noProof/>
          <w:kern w:val="0"/>
          <w:sz w:val="22"/>
          <w:szCs w:val="22"/>
          <w:lang w:val="en-US" w:eastAsia="en-US" w:bidi="ar-SA"/>
        </w:rPr>
      </w:pPr>
      <w:hyperlink w:anchor="_Toc44876299" w:history="1">
        <w:r w:rsidRPr="002C4202">
          <w:rPr>
            <w:rStyle w:val="Hyperlink"/>
            <w:noProof/>
          </w:rPr>
          <w:t>Annex C.</w:t>
        </w:r>
        <w:r>
          <w:rPr>
            <w:rFonts w:asciiTheme="minorHAnsi" w:eastAsiaTheme="minorEastAsia" w:hAnsiTheme="minorHAnsi" w:cstheme="minorBidi"/>
            <w:b w:val="0"/>
            <w:noProof/>
            <w:kern w:val="0"/>
            <w:sz w:val="22"/>
            <w:szCs w:val="22"/>
            <w:lang w:val="en-US" w:eastAsia="en-US" w:bidi="ar-SA"/>
          </w:rPr>
          <w:tab/>
        </w:r>
        <w:r w:rsidRPr="002C4202">
          <w:rPr>
            <w:rStyle w:val="Hyperlink"/>
            <w:noProof/>
          </w:rPr>
          <w:t xml:space="preserve">Factors in defining the </w:t>
        </w:r>
        <w:r w:rsidRPr="002C4202">
          <w:rPr>
            <w:rStyle w:val="Hyperlink"/>
            <w:i/>
            <w:noProof/>
          </w:rPr>
          <w:t>thermal envelope</w:t>
        </w:r>
      </w:hyperlink>
    </w:p>
    <w:p w:rsidR="003974EC" w:rsidRDefault="003974EC">
      <w:pPr>
        <w:pStyle w:val="TOC1"/>
        <w:tabs>
          <w:tab w:val="left" w:pos="1320"/>
          <w:tab w:val="right" w:pos="10422"/>
        </w:tabs>
        <w:rPr>
          <w:rFonts w:asciiTheme="minorHAnsi" w:eastAsiaTheme="minorEastAsia" w:hAnsiTheme="minorHAnsi" w:cstheme="minorBidi"/>
          <w:b w:val="0"/>
          <w:noProof/>
          <w:kern w:val="0"/>
          <w:sz w:val="22"/>
          <w:szCs w:val="22"/>
          <w:lang w:val="en-US" w:eastAsia="en-US" w:bidi="ar-SA"/>
        </w:rPr>
      </w:pPr>
      <w:hyperlink w:anchor="_Toc44876300" w:history="1">
        <w:r w:rsidRPr="002C4202">
          <w:rPr>
            <w:rStyle w:val="Hyperlink"/>
            <w:noProof/>
          </w:rPr>
          <w:t>Annex D.</w:t>
        </w:r>
        <w:r>
          <w:rPr>
            <w:rFonts w:asciiTheme="minorHAnsi" w:eastAsiaTheme="minorEastAsia" w:hAnsiTheme="minorHAnsi" w:cstheme="minorBidi"/>
            <w:b w:val="0"/>
            <w:noProof/>
            <w:kern w:val="0"/>
            <w:sz w:val="22"/>
            <w:szCs w:val="22"/>
            <w:lang w:val="en-US" w:eastAsia="en-US" w:bidi="ar-SA"/>
          </w:rPr>
          <w:tab/>
        </w:r>
        <w:r w:rsidRPr="002C4202">
          <w:rPr>
            <w:rStyle w:val="Hyperlink"/>
            <w:noProof/>
          </w:rPr>
          <w:t>Operating conditions and usage profiles</w:t>
        </w:r>
      </w:hyperlink>
    </w:p>
    <w:p w:rsidR="003974EC" w:rsidRDefault="003974EC">
      <w:pPr>
        <w:pStyle w:val="TOC1"/>
        <w:tabs>
          <w:tab w:val="left" w:pos="1320"/>
          <w:tab w:val="right" w:pos="10422"/>
        </w:tabs>
        <w:rPr>
          <w:rFonts w:asciiTheme="minorHAnsi" w:eastAsiaTheme="minorEastAsia" w:hAnsiTheme="minorHAnsi" w:cstheme="minorBidi"/>
          <w:b w:val="0"/>
          <w:noProof/>
          <w:kern w:val="0"/>
          <w:sz w:val="22"/>
          <w:szCs w:val="22"/>
          <w:lang w:val="en-US" w:eastAsia="en-US" w:bidi="ar-SA"/>
        </w:rPr>
      </w:pPr>
      <w:hyperlink w:anchor="_Toc44876301" w:history="1">
        <w:r w:rsidRPr="002C4202">
          <w:rPr>
            <w:rStyle w:val="Hyperlink"/>
            <w:noProof/>
          </w:rPr>
          <w:t>Annex E.</w:t>
        </w:r>
        <w:r>
          <w:rPr>
            <w:rFonts w:asciiTheme="minorHAnsi" w:eastAsiaTheme="minorEastAsia" w:hAnsiTheme="minorHAnsi" w:cstheme="minorBidi"/>
            <w:b w:val="0"/>
            <w:noProof/>
            <w:kern w:val="0"/>
            <w:sz w:val="22"/>
            <w:szCs w:val="22"/>
            <w:lang w:val="en-US" w:eastAsia="en-US" w:bidi="ar-SA"/>
          </w:rPr>
          <w:tab/>
        </w:r>
        <w:r w:rsidRPr="002C4202">
          <w:rPr>
            <w:rStyle w:val="Hyperlink"/>
            <w:noProof/>
          </w:rPr>
          <w:t>Guideline values for transmittance</w:t>
        </w:r>
      </w:hyperlink>
    </w:p>
    <w:p w:rsidR="003974EC" w:rsidRDefault="003974EC">
      <w:pPr>
        <w:pStyle w:val="TOC1"/>
        <w:tabs>
          <w:tab w:val="left" w:pos="1320"/>
          <w:tab w:val="right" w:pos="10422"/>
        </w:tabs>
        <w:rPr>
          <w:rFonts w:asciiTheme="minorHAnsi" w:eastAsiaTheme="minorEastAsia" w:hAnsiTheme="minorHAnsi" w:cstheme="minorBidi"/>
          <w:b w:val="0"/>
          <w:noProof/>
          <w:kern w:val="0"/>
          <w:sz w:val="22"/>
          <w:szCs w:val="22"/>
          <w:lang w:val="en-US" w:eastAsia="en-US" w:bidi="ar-SA"/>
        </w:rPr>
      </w:pPr>
      <w:hyperlink w:anchor="_Toc44876302" w:history="1">
        <w:r w:rsidRPr="002C4202">
          <w:rPr>
            <w:rStyle w:val="Hyperlink"/>
            <w:noProof/>
          </w:rPr>
          <w:t>Annex F.</w:t>
        </w:r>
        <w:r>
          <w:rPr>
            <w:rFonts w:asciiTheme="minorHAnsi" w:eastAsiaTheme="minorEastAsia" w:hAnsiTheme="minorHAnsi" w:cstheme="minorBidi"/>
            <w:b w:val="0"/>
            <w:noProof/>
            <w:kern w:val="0"/>
            <w:sz w:val="22"/>
            <w:szCs w:val="22"/>
            <w:lang w:val="en-US" w:eastAsia="en-US" w:bidi="ar-SA"/>
          </w:rPr>
          <w:tab/>
        </w:r>
        <w:r w:rsidRPr="002C4202">
          <w:rPr>
            <w:rStyle w:val="Hyperlink"/>
            <w:noProof/>
          </w:rPr>
          <w:t>Reference DHW demand</w:t>
        </w:r>
      </w:hyperlink>
    </w:p>
    <w:p w:rsidR="003974EC" w:rsidRDefault="003974EC">
      <w:pPr>
        <w:pStyle w:val="TOC1"/>
        <w:tabs>
          <w:tab w:val="left" w:pos="1320"/>
          <w:tab w:val="right" w:pos="10422"/>
        </w:tabs>
        <w:rPr>
          <w:rFonts w:asciiTheme="minorHAnsi" w:eastAsiaTheme="minorEastAsia" w:hAnsiTheme="minorHAnsi" w:cstheme="minorBidi"/>
          <w:b w:val="0"/>
          <w:noProof/>
          <w:kern w:val="0"/>
          <w:sz w:val="22"/>
          <w:szCs w:val="22"/>
          <w:lang w:val="en-US" w:eastAsia="en-US" w:bidi="ar-SA"/>
        </w:rPr>
      </w:pPr>
      <w:hyperlink w:anchor="_Toc44876303" w:history="1">
        <w:r w:rsidRPr="002C4202">
          <w:rPr>
            <w:rStyle w:val="Hyperlink"/>
            <w:noProof/>
          </w:rPr>
          <w:t>Annex G.</w:t>
        </w:r>
        <w:r>
          <w:rPr>
            <w:rFonts w:asciiTheme="minorHAnsi" w:eastAsiaTheme="minorEastAsia" w:hAnsiTheme="minorHAnsi" w:cstheme="minorBidi"/>
            <w:b w:val="0"/>
            <w:noProof/>
            <w:kern w:val="0"/>
            <w:sz w:val="22"/>
            <w:szCs w:val="22"/>
            <w:lang w:val="en-US" w:eastAsia="en-US" w:bidi="ar-SA"/>
          </w:rPr>
          <w:tab/>
        </w:r>
        <w:r w:rsidRPr="002C4202">
          <w:rPr>
            <w:rStyle w:val="Hyperlink"/>
            <w:noProof/>
          </w:rPr>
          <w:t>Mains water temperature</w:t>
        </w:r>
      </w:hyperlink>
    </w:p>
    <w:p w:rsidR="003974EC" w:rsidRDefault="003974EC">
      <w:pPr>
        <w:pStyle w:val="TOC1"/>
        <w:tabs>
          <w:tab w:val="left" w:pos="1320"/>
          <w:tab w:val="right" w:pos="10422"/>
        </w:tabs>
        <w:rPr>
          <w:rFonts w:asciiTheme="minorHAnsi" w:eastAsiaTheme="minorEastAsia" w:hAnsiTheme="minorHAnsi" w:cstheme="minorBidi"/>
          <w:b w:val="0"/>
          <w:noProof/>
          <w:kern w:val="0"/>
          <w:sz w:val="22"/>
          <w:szCs w:val="22"/>
          <w:lang w:val="en-US" w:eastAsia="en-US" w:bidi="ar-SA"/>
        </w:rPr>
      </w:pPr>
      <w:hyperlink w:anchor="_Toc44876304" w:history="1">
        <w:r w:rsidRPr="002C4202">
          <w:rPr>
            <w:rStyle w:val="Hyperlink"/>
            <w:noProof/>
          </w:rPr>
          <w:t>Annex H.</w:t>
        </w:r>
        <w:r>
          <w:rPr>
            <w:rFonts w:asciiTheme="minorHAnsi" w:eastAsiaTheme="minorEastAsia" w:hAnsiTheme="minorHAnsi" w:cstheme="minorBidi"/>
            <w:b w:val="0"/>
            <w:noProof/>
            <w:kern w:val="0"/>
            <w:sz w:val="22"/>
            <w:szCs w:val="22"/>
            <w:lang w:val="en-US" w:eastAsia="en-US" w:bidi="ar-SA"/>
          </w:rPr>
          <w:tab/>
        </w:r>
        <w:r w:rsidRPr="002C4202">
          <w:rPr>
            <w:rStyle w:val="Hyperlink"/>
            <w:noProof/>
          </w:rPr>
          <w:t>Determination of the air permeability of buildings</w:t>
        </w:r>
      </w:hyperlink>
    </w:p>
    <w:p w:rsidR="00786EBA" w:rsidRDefault="00786EBA" w:rsidP="00B44AA1">
      <w:pPr>
        <w:pStyle w:val="CteTtuloSeccion"/>
        <w:rPr>
          <w:rFonts w:eastAsia="Noto Sans CJK SC Regular"/>
          <w:b w:val="0"/>
          <w:sz w:val="28"/>
        </w:rPr>
      </w:pPr>
      <w:r>
        <w:rPr>
          <w:rFonts w:eastAsia="Noto Sans CJK SC Regular"/>
          <w:b w:val="0"/>
          <w:sz w:val="28"/>
        </w:rPr>
        <w:fldChar w:fldCharType="end"/>
      </w:r>
    </w:p>
    <w:p w:rsidR="00B44AA1" w:rsidRPr="00937C8B" w:rsidRDefault="006C641F" w:rsidP="00B44AA1">
      <w:pPr>
        <w:pStyle w:val="CteTtuloSeccion"/>
        <w:rPr>
          <w:rFonts w:cs="Arial"/>
        </w:rPr>
      </w:pPr>
      <w:r>
        <w:br w:type="page"/>
      </w:r>
      <w:bookmarkStart w:id="21" w:name="_Toc39157900"/>
      <w:bookmarkStart w:id="22" w:name="_Toc39158109"/>
      <w:bookmarkStart w:id="23" w:name="s1"/>
      <w:bookmarkStart w:id="24" w:name="_Toc44876226"/>
      <w:r>
        <w:lastRenderedPageBreak/>
        <w:t>Section HE 0</w:t>
      </w:r>
      <w:r>
        <w:br/>
        <w:t>Limiting energy consumption</w:t>
      </w:r>
      <w:bookmarkEnd w:id="21"/>
      <w:bookmarkEnd w:id="22"/>
      <w:bookmarkEnd w:id="24"/>
    </w:p>
    <w:p w:rsidR="006C641F" w:rsidRPr="00937C8B" w:rsidRDefault="006C641F" w:rsidP="006C641F">
      <w:pPr>
        <w:pStyle w:val="CteTtulo2"/>
        <w:rPr>
          <w:rFonts w:cs="Arial"/>
        </w:rPr>
      </w:pPr>
      <w:bookmarkStart w:id="25" w:name="_Toc530395230"/>
      <w:bookmarkStart w:id="26" w:name="_Toc530396109"/>
      <w:bookmarkStart w:id="27" w:name="_Toc39157901"/>
      <w:bookmarkStart w:id="28" w:name="_Toc39158110"/>
      <w:bookmarkStart w:id="29" w:name="_Toc44876227"/>
      <w:r>
        <w:t>1.</w:t>
      </w:r>
      <w:r>
        <w:tab/>
        <w:t>Scope</w:t>
      </w:r>
      <w:bookmarkEnd w:id="25"/>
      <w:bookmarkEnd w:id="26"/>
      <w:bookmarkEnd w:id="27"/>
      <w:bookmarkEnd w:id="28"/>
      <w:bookmarkEnd w:id="29"/>
    </w:p>
    <w:p w:rsidR="006C641F" w:rsidRPr="00937C8B" w:rsidRDefault="006C641F" w:rsidP="006C641F">
      <w:pPr>
        <w:pStyle w:val="CTENumeracion"/>
        <w:rPr>
          <w:rFonts w:cs="Arial"/>
          <w:sz w:val="22"/>
          <w:szCs w:val="22"/>
        </w:rPr>
      </w:pPr>
      <w:r>
        <w:rPr>
          <w:sz w:val="22"/>
        </w:rPr>
        <w:t>1.</w:t>
      </w:r>
      <w:r>
        <w:rPr>
          <w:sz w:val="22"/>
        </w:rPr>
        <w:tab/>
        <w:t>This Section shall apply to:</w:t>
      </w:r>
    </w:p>
    <w:p w:rsidR="006C641F" w:rsidRPr="00937C8B" w:rsidRDefault="006C641F" w:rsidP="006C641F">
      <w:pPr>
        <w:pStyle w:val="CTENumeracion"/>
        <w:ind w:firstLine="0"/>
        <w:rPr>
          <w:rFonts w:cs="Arial"/>
          <w:sz w:val="22"/>
          <w:szCs w:val="22"/>
        </w:rPr>
      </w:pPr>
      <w:r>
        <w:rPr>
          <w:sz w:val="22"/>
        </w:rPr>
        <w:t>a)</w:t>
      </w:r>
      <w:r>
        <w:rPr>
          <w:sz w:val="22"/>
        </w:rPr>
        <w:tab/>
        <w:t>newly constructed buildings;</w:t>
      </w:r>
    </w:p>
    <w:p w:rsidR="006C641F" w:rsidRPr="00937C8B" w:rsidRDefault="006C641F" w:rsidP="006C641F">
      <w:pPr>
        <w:pStyle w:val="CTENumeracion"/>
        <w:ind w:firstLine="0"/>
        <w:rPr>
          <w:rFonts w:cs="Arial"/>
          <w:sz w:val="22"/>
          <w:szCs w:val="22"/>
        </w:rPr>
      </w:pPr>
      <w:r>
        <w:rPr>
          <w:sz w:val="22"/>
        </w:rPr>
        <w:t>b)</w:t>
      </w:r>
      <w:r>
        <w:rPr>
          <w:sz w:val="22"/>
        </w:rPr>
        <w:tab/>
        <w:t>work on existing buildings, in the following cases:</w:t>
      </w:r>
    </w:p>
    <w:p w:rsidR="006C641F" w:rsidRPr="00937C8B" w:rsidRDefault="006C641F" w:rsidP="00425ADA">
      <w:pPr>
        <w:pStyle w:val="CTENumeracion"/>
        <w:numPr>
          <w:ilvl w:val="0"/>
          <w:numId w:val="5"/>
        </w:numPr>
        <w:rPr>
          <w:rFonts w:cs="Arial"/>
          <w:sz w:val="22"/>
          <w:szCs w:val="22"/>
        </w:rPr>
      </w:pPr>
      <w:r>
        <w:rPr>
          <w:sz w:val="22"/>
        </w:rPr>
        <w:t xml:space="preserve">extensions that increase the floor area or built volume of the affected </w:t>
      </w:r>
      <w:r>
        <w:rPr>
          <w:i/>
          <w:iCs/>
          <w:sz w:val="22"/>
        </w:rPr>
        <w:t>usage unit(s)</w:t>
      </w:r>
      <w:r>
        <w:rPr>
          <w:sz w:val="22"/>
        </w:rPr>
        <w:t xml:space="preserve"> by over 10%, if the total usable floor area of the extension exceeds 50 m</w:t>
      </w:r>
      <w:r>
        <w:rPr>
          <w:sz w:val="22"/>
          <w:vertAlign w:val="superscript"/>
        </w:rPr>
        <w:t>2</w:t>
      </w:r>
      <w:r>
        <w:rPr>
          <w:sz w:val="22"/>
        </w:rPr>
        <w:t>;</w:t>
      </w:r>
    </w:p>
    <w:p w:rsidR="006C641F" w:rsidRPr="00937C8B" w:rsidRDefault="006C641F" w:rsidP="00425ADA">
      <w:pPr>
        <w:pStyle w:val="CTENumeracion"/>
        <w:numPr>
          <w:ilvl w:val="0"/>
          <w:numId w:val="5"/>
        </w:numPr>
        <w:rPr>
          <w:rFonts w:cs="Arial"/>
          <w:sz w:val="22"/>
          <w:szCs w:val="22"/>
        </w:rPr>
      </w:pPr>
      <w:r>
        <w:rPr>
          <w:sz w:val="22"/>
        </w:rPr>
        <w:t>changes in use, if the total usable floor area exceeds 50 m</w:t>
      </w:r>
      <w:r>
        <w:rPr>
          <w:sz w:val="22"/>
          <w:vertAlign w:val="superscript"/>
        </w:rPr>
        <w:t>2</w:t>
      </w:r>
      <w:r>
        <w:rPr>
          <w:sz w:val="22"/>
        </w:rPr>
        <w:t>;</w:t>
      </w:r>
    </w:p>
    <w:p w:rsidR="006C641F" w:rsidRPr="00937C8B" w:rsidRDefault="006C641F" w:rsidP="00425ADA">
      <w:pPr>
        <w:pStyle w:val="CTENumeracion"/>
        <w:numPr>
          <w:ilvl w:val="0"/>
          <w:numId w:val="5"/>
        </w:numPr>
        <w:rPr>
          <w:rFonts w:cs="Arial"/>
          <w:sz w:val="22"/>
          <w:szCs w:val="22"/>
        </w:rPr>
      </w:pPr>
      <w:r>
        <w:t xml:space="preserve">joint </w:t>
      </w:r>
      <w:r>
        <w:rPr>
          <w:sz w:val="22"/>
        </w:rPr>
        <w:t>renovations on the heat production installations and over 25% of the total surface area of the final</w:t>
      </w:r>
      <w:r>
        <w:t xml:space="preserve"> </w:t>
      </w:r>
      <w:r>
        <w:rPr>
          <w:rStyle w:val="CteAnejo-DefinicionCar"/>
          <w:b w:val="0"/>
          <w:sz w:val="22"/>
        </w:rPr>
        <w:t>thermal envelope</w:t>
      </w:r>
      <w:r>
        <w:rPr>
          <w:rStyle w:val="CteAnejo-DefinicionCar"/>
          <w:b w:val="0"/>
          <w:i w:val="0"/>
          <w:sz w:val="22"/>
        </w:rPr>
        <w:t xml:space="preserve"> of the building</w:t>
      </w:r>
      <w:r>
        <w:rPr>
          <w:sz w:val="22"/>
        </w:rPr>
        <w:t>.</w:t>
      </w:r>
    </w:p>
    <w:p w:rsidR="006C641F" w:rsidRPr="00937C8B" w:rsidRDefault="006C641F" w:rsidP="006C641F">
      <w:pPr>
        <w:pStyle w:val="CTENumeracion"/>
        <w:ind w:firstLine="0"/>
        <w:rPr>
          <w:rFonts w:cs="Arial"/>
          <w:sz w:val="22"/>
          <w:szCs w:val="22"/>
        </w:rPr>
      </w:pPr>
      <w:r>
        <w:rPr>
          <w:sz w:val="22"/>
        </w:rPr>
        <w:t xml:space="preserve">The requirements due to extensions and changes in use shall apply to the extension and repurposed usage unit(s), respectively, whereas for renovations as referred to in this subparagraph, they shall apply to the entire building. </w:t>
      </w:r>
    </w:p>
    <w:p w:rsidR="006C641F" w:rsidRPr="00937C8B" w:rsidRDefault="006C641F" w:rsidP="006C641F">
      <w:pPr>
        <w:pStyle w:val="CTENumeracion"/>
        <w:rPr>
          <w:rFonts w:cs="Arial"/>
          <w:sz w:val="22"/>
          <w:szCs w:val="22"/>
        </w:rPr>
      </w:pPr>
      <w:r>
        <w:rPr>
          <w:sz w:val="22"/>
        </w:rPr>
        <w:t>2.</w:t>
      </w:r>
      <w:r>
        <w:rPr>
          <w:sz w:val="22"/>
        </w:rPr>
        <w:tab/>
        <w:t>The scope does not cover:</w:t>
      </w:r>
    </w:p>
    <w:p w:rsidR="006C641F" w:rsidRPr="00937C8B" w:rsidRDefault="006C641F" w:rsidP="006C641F">
      <w:pPr>
        <w:pStyle w:val="CTENumeracion"/>
        <w:ind w:left="702" w:hanging="345"/>
        <w:rPr>
          <w:rFonts w:cs="Arial"/>
          <w:sz w:val="22"/>
          <w:szCs w:val="22"/>
        </w:rPr>
      </w:pPr>
      <w:r>
        <w:rPr>
          <w:sz w:val="22"/>
        </w:rPr>
        <w:t>a)</w:t>
      </w:r>
      <w:r>
        <w:rPr>
          <w:sz w:val="22"/>
        </w:rPr>
        <w:tab/>
        <w:t>buildings officially protected as part of a designated environment or because of their special architectural or historic value, where compliance with certain basic energy efficiency requirements could unacceptably alter their nature or appearance, and where the authority that granted the official protection shall determine the inalterable elements;</w:t>
      </w:r>
    </w:p>
    <w:p w:rsidR="006C641F" w:rsidRPr="00937C8B" w:rsidRDefault="006C641F" w:rsidP="006C641F">
      <w:pPr>
        <w:pStyle w:val="CTENumeracion"/>
        <w:ind w:left="702" w:hanging="345"/>
        <w:rPr>
          <w:rFonts w:cs="Arial"/>
          <w:sz w:val="22"/>
          <w:szCs w:val="22"/>
        </w:rPr>
      </w:pPr>
      <w:r>
        <w:rPr>
          <w:sz w:val="22"/>
        </w:rPr>
        <w:t>b)</w:t>
      </w:r>
      <w:r>
        <w:rPr>
          <w:sz w:val="22"/>
        </w:rPr>
        <w:tab/>
        <w:t>temporary structures with a planned time of use of two years or less;</w:t>
      </w:r>
    </w:p>
    <w:p w:rsidR="006C641F" w:rsidRPr="00937C8B" w:rsidRDefault="006C641F" w:rsidP="006C641F">
      <w:pPr>
        <w:pStyle w:val="CTENumeracion"/>
        <w:ind w:left="702" w:hanging="345"/>
        <w:rPr>
          <w:rFonts w:cs="Arial"/>
          <w:sz w:val="22"/>
          <w:szCs w:val="22"/>
        </w:rPr>
      </w:pPr>
      <w:r>
        <w:rPr>
          <w:sz w:val="22"/>
        </w:rPr>
        <w:t>c)</w:t>
      </w:r>
      <w:r>
        <w:rPr>
          <w:sz w:val="22"/>
        </w:rPr>
        <w:tab/>
        <w:t>industrial, defence and non-residential agricultural buildings, or parts thereof, with a low energy demand. Areas that do not require a guarantee of thermal comfort conditions, such as those used for workshops and industrial processes, shall be considered to be of low energy demand;</w:t>
      </w:r>
    </w:p>
    <w:p w:rsidR="006C641F" w:rsidRPr="00937C8B" w:rsidRDefault="006C641F" w:rsidP="006C641F">
      <w:pPr>
        <w:pStyle w:val="CTENumeracion"/>
        <w:ind w:left="702" w:hanging="345"/>
        <w:rPr>
          <w:rFonts w:cs="Arial"/>
          <w:sz w:val="22"/>
          <w:szCs w:val="22"/>
        </w:rPr>
      </w:pPr>
      <w:r>
        <w:rPr>
          <w:sz w:val="22"/>
        </w:rPr>
        <w:t>d)</w:t>
      </w:r>
      <w:r>
        <w:rPr>
          <w:sz w:val="22"/>
        </w:rPr>
        <w:tab/>
        <w:t>independent buildings with a total usable floor area of less than 50 m</w:t>
      </w:r>
      <w:r>
        <w:rPr>
          <w:sz w:val="22"/>
          <w:vertAlign w:val="superscript"/>
        </w:rPr>
        <w:t>2</w:t>
      </w:r>
      <w:r>
        <w:rPr>
          <w:sz w:val="22"/>
        </w:rPr>
        <w:t>.</w:t>
      </w:r>
    </w:p>
    <w:p w:rsidR="006C641F" w:rsidRPr="00937C8B" w:rsidRDefault="006C641F" w:rsidP="006C641F">
      <w:pPr>
        <w:pStyle w:val="CteTtulo2"/>
        <w:rPr>
          <w:rFonts w:cs="Arial"/>
        </w:rPr>
      </w:pPr>
      <w:bookmarkStart w:id="30" w:name="_Toc530395231"/>
      <w:bookmarkStart w:id="31" w:name="_Toc530396110"/>
      <w:bookmarkStart w:id="32" w:name="_Toc39157902"/>
      <w:bookmarkStart w:id="33" w:name="_Toc39158111"/>
      <w:bookmarkStart w:id="34" w:name="_Toc44876228"/>
      <w:r>
        <w:t>2.</w:t>
      </w:r>
      <w:r>
        <w:tab/>
        <w:t>Determination of the requirement</w:t>
      </w:r>
      <w:bookmarkEnd w:id="30"/>
      <w:bookmarkEnd w:id="31"/>
      <w:bookmarkEnd w:id="32"/>
      <w:bookmarkEnd w:id="33"/>
      <w:bookmarkEnd w:id="34"/>
    </w:p>
    <w:p w:rsidR="006C641F" w:rsidRPr="00937C8B" w:rsidRDefault="006C641F" w:rsidP="006C641F">
      <w:pPr>
        <w:pStyle w:val="CTENumeracion"/>
        <w:rPr>
          <w:rFonts w:cs="Arial"/>
          <w:sz w:val="22"/>
          <w:szCs w:val="22"/>
        </w:rPr>
      </w:pPr>
      <w:r>
        <w:rPr>
          <w:sz w:val="22"/>
        </w:rPr>
        <w:t>1.</w:t>
      </w:r>
      <w:r>
        <w:rPr>
          <w:sz w:val="22"/>
        </w:rPr>
        <w:tab/>
        <w:t xml:space="preserve">The </w:t>
      </w:r>
      <w:r>
        <w:rPr>
          <w:i/>
          <w:iCs/>
          <w:sz w:val="22"/>
        </w:rPr>
        <w:t>energy consumption</w:t>
      </w:r>
      <w:r>
        <w:rPr>
          <w:sz w:val="22"/>
        </w:rPr>
        <w:t xml:space="preserve"> of buildings shall be limited according to their winter climate zone, their use and, for existing buildings, the scope of the works.</w:t>
      </w:r>
    </w:p>
    <w:p w:rsidR="006C641F" w:rsidRPr="00937C8B" w:rsidRDefault="006C641F" w:rsidP="006C641F">
      <w:pPr>
        <w:pStyle w:val="CteTtulo2"/>
        <w:rPr>
          <w:rFonts w:cs="Arial"/>
        </w:rPr>
      </w:pPr>
      <w:bookmarkStart w:id="35" w:name="Sección_HE0_Cuantificacion"/>
      <w:bookmarkStart w:id="36" w:name="_Toc530395232"/>
      <w:bookmarkStart w:id="37" w:name="_Toc39157903"/>
      <w:bookmarkStart w:id="38" w:name="_Toc39158112"/>
      <w:bookmarkStart w:id="39" w:name="_Toc44876229"/>
      <w:bookmarkEnd w:id="35"/>
      <w:r>
        <w:t>3.</w:t>
      </w:r>
      <w:r>
        <w:tab/>
        <w:t>Quantification of the requirement</w:t>
      </w:r>
      <w:bookmarkEnd w:id="36"/>
      <w:bookmarkEnd w:id="37"/>
      <w:bookmarkEnd w:id="38"/>
      <w:bookmarkEnd w:id="39"/>
    </w:p>
    <w:p w:rsidR="006C641F" w:rsidRPr="00937C8B" w:rsidRDefault="006C641F" w:rsidP="009467D5">
      <w:pPr>
        <w:pStyle w:val="CteTtulo3"/>
      </w:pPr>
      <w:bookmarkStart w:id="40" w:name="_Toc530395233"/>
      <w:bookmarkStart w:id="41" w:name="_Toc530396112"/>
      <w:bookmarkStart w:id="42" w:name="_Toc39157904"/>
      <w:bookmarkStart w:id="43" w:name="_Toc44876230"/>
      <w:r>
        <w:t>3.1</w:t>
      </w:r>
      <w:r>
        <w:tab/>
        <w:t>Non-renewable primary energy consumption</w:t>
      </w:r>
      <w:bookmarkEnd w:id="40"/>
      <w:bookmarkEnd w:id="41"/>
      <w:bookmarkEnd w:id="42"/>
      <w:bookmarkEnd w:id="43"/>
    </w:p>
    <w:p w:rsidR="006C641F" w:rsidRPr="00937C8B" w:rsidRDefault="006C641F" w:rsidP="00D27646">
      <w:pPr>
        <w:pStyle w:val="CTENumeracion"/>
        <w:keepNext/>
        <w:rPr>
          <w:rFonts w:cs="Arial"/>
          <w:sz w:val="22"/>
          <w:szCs w:val="22"/>
        </w:rPr>
      </w:pPr>
      <w:r>
        <w:rPr>
          <w:sz w:val="22"/>
        </w:rPr>
        <w:t>1.</w:t>
      </w:r>
      <w:r>
        <w:rPr>
          <w:sz w:val="22"/>
        </w:rPr>
        <w:tab/>
        <w:t>The</w:t>
      </w:r>
      <w:r>
        <w:rPr>
          <w:i/>
          <w:sz w:val="22"/>
        </w:rPr>
        <w:t xml:space="preserve"> non-renewable primary energy consumption</w:t>
      </w:r>
      <w:r>
        <w:rPr>
          <w:sz w:val="22"/>
        </w:rPr>
        <w:t xml:space="preserve"> (C</w:t>
      </w:r>
      <w:r>
        <w:rPr>
          <w:sz w:val="22"/>
          <w:vertAlign w:val="subscript"/>
        </w:rPr>
        <w:t>ep</w:t>
      </w:r>
      <w:r>
        <w:rPr>
          <w:sz w:val="22"/>
        </w:rPr>
        <w:t>,</w:t>
      </w:r>
      <w:r>
        <w:rPr>
          <w:sz w:val="22"/>
          <w:vertAlign w:val="subscript"/>
        </w:rPr>
        <w:t>nren</w:t>
      </w:r>
      <w:r>
        <w:rPr>
          <w:sz w:val="22"/>
        </w:rPr>
        <w:t xml:space="preserve">) of the spaces inside the </w:t>
      </w:r>
      <w:r>
        <w:rPr>
          <w:i/>
          <w:sz w:val="22"/>
        </w:rPr>
        <w:t>thermal envelope</w:t>
      </w:r>
      <w:r>
        <w:rPr>
          <w:sz w:val="22"/>
        </w:rPr>
        <w:t xml:space="preserve"> of the building or relevant part thereof shall not exceed the limit value (</w:t>
      </w:r>
      <w:r>
        <w:rPr>
          <w:i/>
          <w:sz w:val="22"/>
        </w:rPr>
        <w:t>C</w:t>
      </w:r>
      <w:r>
        <w:rPr>
          <w:i/>
          <w:sz w:val="22"/>
          <w:vertAlign w:val="subscript"/>
        </w:rPr>
        <w:t>ep</w:t>
      </w:r>
      <w:r>
        <w:rPr>
          <w:i/>
          <w:sz w:val="22"/>
        </w:rPr>
        <w:t>,</w:t>
      </w:r>
      <w:r>
        <w:rPr>
          <w:i/>
          <w:sz w:val="22"/>
          <w:vertAlign w:val="subscript"/>
        </w:rPr>
        <w:t>nren,lim</w:t>
      </w:r>
      <w:r>
        <w:rPr>
          <w:sz w:val="22"/>
        </w:rPr>
        <w:t>) given in Table 3.1.a-HE0 or 3.1.b-HE0:</w:t>
      </w:r>
    </w:p>
    <w:p w:rsidR="006C641F" w:rsidRPr="00937C8B" w:rsidRDefault="006C641F" w:rsidP="00D27646">
      <w:pPr>
        <w:pStyle w:val="CTENumeracion"/>
        <w:keepNext/>
        <w:rPr>
          <w:rFonts w:cs="Arial"/>
        </w:rPr>
      </w:pPr>
    </w:p>
    <w:p w:rsidR="006C641F" w:rsidRPr="00937C8B" w:rsidRDefault="006C641F" w:rsidP="00D27646">
      <w:pPr>
        <w:pStyle w:val="CTENumeracion"/>
        <w:keepNext/>
        <w:ind w:left="0" w:firstLine="0"/>
        <w:jc w:val="center"/>
        <w:rPr>
          <w:rFonts w:cs="Arial"/>
          <w:b/>
          <w:sz w:val="18"/>
        </w:rPr>
      </w:pPr>
      <w:r>
        <w:rPr>
          <w:b/>
          <w:sz w:val="18"/>
        </w:rPr>
        <w:t>Table 3.1.a - HE0</w:t>
      </w:r>
    </w:p>
    <w:p w:rsidR="006C641F" w:rsidRPr="00937C8B" w:rsidRDefault="006C641F" w:rsidP="00D27646">
      <w:pPr>
        <w:pStyle w:val="CTENumeracion"/>
        <w:keepNext/>
        <w:ind w:left="0" w:firstLine="0"/>
        <w:jc w:val="center"/>
        <w:rPr>
          <w:rFonts w:cs="Arial"/>
          <w:b/>
          <w:sz w:val="18"/>
        </w:rPr>
      </w:pPr>
      <w:r>
        <w:rPr>
          <w:b/>
          <w:sz w:val="18"/>
        </w:rPr>
        <w:t xml:space="preserve">Limit value </w:t>
      </w:r>
      <w:r>
        <w:rPr>
          <w:b/>
          <w:i/>
          <w:sz w:val="18"/>
        </w:rPr>
        <w:t>C</w:t>
      </w:r>
      <w:r>
        <w:rPr>
          <w:b/>
          <w:i/>
          <w:sz w:val="18"/>
          <w:vertAlign w:val="subscript"/>
        </w:rPr>
        <w:t xml:space="preserve">ep,nren,lim </w:t>
      </w:r>
      <w:r>
        <w:rPr>
          <w:b/>
          <w:sz w:val="18"/>
        </w:rPr>
        <w:t>[kW·h/m</w:t>
      </w:r>
      <w:r>
        <w:rPr>
          <w:b/>
          <w:sz w:val="18"/>
          <w:vertAlign w:val="superscript"/>
        </w:rPr>
        <w:t>2</w:t>
      </w:r>
      <w:r>
        <w:rPr>
          <w:b/>
          <w:sz w:val="18"/>
        </w:rPr>
        <w:t>·year] for private residential use</w:t>
      </w:r>
    </w:p>
    <w:tbl>
      <w:tblPr>
        <w:tblW w:w="7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3" w:type="dxa"/>
        </w:tblCellMar>
        <w:tblLook w:val="04A0" w:firstRow="1" w:lastRow="0" w:firstColumn="1" w:lastColumn="0" w:noHBand="0" w:noVBand="1"/>
      </w:tblPr>
      <w:tblGrid>
        <w:gridCol w:w="3346"/>
        <w:gridCol w:w="623"/>
        <w:gridCol w:w="624"/>
        <w:gridCol w:w="624"/>
        <w:gridCol w:w="624"/>
        <w:gridCol w:w="623"/>
        <w:gridCol w:w="626"/>
      </w:tblGrid>
      <w:tr w:rsidR="006C641F" w:rsidRPr="00937C8B" w:rsidTr="00E47AFE">
        <w:trPr>
          <w:jc w:val="center"/>
        </w:trPr>
        <w:tc>
          <w:tcPr>
            <w:tcW w:w="3345" w:type="dxa"/>
            <w:tcBorders>
              <w:top w:val="nil"/>
              <w:left w:val="nil"/>
              <w:bottom w:val="nil"/>
            </w:tcBorders>
            <w:shd w:val="clear" w:color="auto" w:fill="auto"/>
          </w:tcPr>
          <w:p w:rsidR="006C641F" w:rsidRPr="00937C8B" w:rsidRDefault="006C641F" w:rsidP="00D27646">
            <w:pPr>
              <w:pStyle w:val="CTENumeracion"/>
              <w:keepNext/>
              <w:ind w:left="0" w:firstLine="0"/>
              <w:jc w:val="center"/>
              <w:rPr>
                <w:rFonts w:cs="Arial"/>
                <w:b/>
                <w:sz w:val="18"/>
              </w:rPr>
            </w:pPr>
          </w:p>
        </w:tc>
        <w:tc>
          <w:tcPr>
            <w:tcW w:w="3744" w:type="dxa"/>
            <w:gridSpan w:val="6"/>
            <w:tcBorders>
              <w:top w:val="nil"/>
              <w:bottom w:val="nil"/>
              <w:right w:val="nil"/>
            </w:tcBorders>
            <w:shd w:val="clear" w:color="auto" w:fill="auto"/>
          </w:tcPr>
          <w:p w:rsidR="006C641F" w:rsidRPr="00937C8B" w:rsidRDefault="006C641F" w:rsidP="00D27646">
            <w:pPr>
              <w:pStyle w:val="CTENumeracion"/>
              <w:keepNext/>
              <w:ind w:left="0" w:firstLine="0"/>
              <w:jc w:val="center"/>
              <w:rPr>
                <w:rFonts w:cs="Arial"/>
                <w:b/>
                <w:sz w:val="18"/>
              </w:rPr>
            </w:pPr>
            <w:r>
              <w:rPr>
                <w:b/>
                <w:sz w:val="18"/>
              </w:rPr>
              <w:t>Winter climate zone</w:t>
            </w:r>
          </w:p>
        </w:tc>
      </w:tr>
      <w:tr w:rsidR="006C641F" w:rsidRPr="00937C8B" w:rsidTr="00E47AFE">
        <w:trPr>
          <w:jc w:val="center"/>
        </w:trPr>
        <w:tc>
          <w:tcPr>
            <w:tcW w:w="3345" w:type="dxa"/>
            <w:tcBorders>
              <w:top w:val="nil"/>
              <w:left w:val="nil"/>
              <w:bottom w:val="single" w:sz="4" w:space="0" w:color="auto"/>
            </w:tcBorders>
            <w:shd w:val="clear" w:color="auto" w:fill="auto"/>
          </w:tcPr>
          <w:p w:rsidR="006C641F" w:rsidRPr="00937C8B" w:rsidRDefault="006C641F" w:rsidP="00D27646">
            <w:pPr>
              <w:pStyle w:val="CTENumeracion"/>
              <w:keepNext/>
              <w:ind w:left="0" w:firstLine="0"/>
              <w:jc w:val="center"/>
              <w:rPr>
                <w:rFonts w:cs="Arial"/>
                <w:b/>
                <w:sz w:val="18"/>
              </w:rPr>
            </w:pPr>
          </w:p>
        </w:tc>
        <w:tc>
          <w:tcPr>
            <w:tcW w:w="623" w:type="dxa"/>
            <w:tcBorders>
              <w:top w:val="nil"/>
              <w:bottom w:val="single" w:sz="4" w:space="0" w:color="auto"/>
              <w:right w:val="nil"/>
            </w:tcBorders>
            <w:shd w:val="clear" w:color="auto" w:fill="auto"/>
          </w:tcPr>
          <w:p w:rsidR="006C641F" w:rsidRPr="00937C8B" w:rsidRDefault="006C641F" w:rsidP="00D27646">
            <w:pPr>
              <w:pStyle w:val="CTENumeracion"/>
              <w:keepNext/>
              <w:ind w:left="0" w:firstLine="0"/>
              <w:jc w:val="center"/>
              <w:rPr>
                <w:rFonts w:cs="Arial"/>
                <w:b/>
                <w:sz w:val="18"/>
              </w:rPr>
            </w:pPr>
            <w:r>
              <w:rPr>
                <w:b/>
                <w:sz w:val="18"/>
              </w:rPr>
              <w:t>α</w:t>
            </w:r>
          </w:p>
        </w:tc>
        <w:tc>
          <w:tcPr>
            <w:tcW w:w="624" w:type="dxa"/>
            <w:tcBorders>
              <w:top w:val="nil"/>
              <w:left w:val="nil"/>
              <w:bottom w:val="single" w:sz="4" w:space="0" w:color="auto"/>
              <w:right w:val="nil"/>
            </w:tcBorders>
            <w:shd w:val="clear" w:color="auto" w:fill="auto"/>
          </w:tcPr>
          <w:p w:rsidR="006C641F" w:rsidRPr="00937C8B" w:rsidRDefault="006C641F" w:rsidP="00D27646">
            <w:pPr>
              <w:pStyle w:val="CTENumeracion"/>
              <w:keepNext/>
              <w:ind w:left="0" w:firstLine="0"/>
              <w:jc w:val="center"/>
              <w:rPr>
                <w:rFonts w:cs="Arial"/>
                <w:b/>
                <w:sz w:val="18"/>
              </w:rPr>
            </w:pPr>
            <w:r>
              <w:rPr>
                <w:b/>
                <w:sz w:val="18"/>
              </w:rPr>
              <w:t>A</w:t>
            </w:r>
          </w:p>
        </w:tc>
        <w:tc>
          <w:tcPr>
            <w:tcW w:w="624" w:type="dxa"/>
            <w:tcBorders>
              <w:top w:val="nil"/>
              <w:left w:val="nil"/>
              <w:bottom w:val="single" w:sz="4" w:space="0" w:color="auto"/>
              <w:right w:val="nil"/>
            </w:tcBorders>
            <w:shd w:val="clear" w:color="auto" w:fill="auto"/>
          </w:tcPr>
          <w:p w:rsidR="006C641F" w:rsidRPr="00937C8B" w:rsidRDefault="006C641F" w:rsidP="00D27646">
            <w:pPr>
              <w:pStyle w:val="CTENumeracion"/>
              <w:keepNext/>
              <w:ind w:left="0" w:firstLine="0"/>
              <w:jc w:val="center"/>
              <w:rPr>
                <w:rFonts w:cs="Arial"/>
                <w:b/>
                <w:sz w:val="18"/>
              </w:rPr>
            </w:pPr>
            <w:r>
              <w:rPr>
                <w:b/>
                <w:sz w:val="18"/>
              </w:rPr>
              <w:t>B</w:t>
            </w:r>
          </w:p>
        </w:tc>
        <w:tc>
          <w:tcPr>
            <w:tcW w:w="624" w:type="dxa"/>
            <w:tcBorders>
              <w:top w:val="nil"/>
              <w:left w:val="nil"/>
              <w:bottom w:val="single" w:sz="4" w:space="0" w:color="auto"/>
              <w:right w:val="nil"/>
            </w:tcBorders>
            <w:shd w:val="clear" w:color="auto" w:fill="auto"/>
          </w:tcPr>
          <w:p w:rsidR="006C641F" w:rsidRPr="00937C8B" w:rsidRDefault="006C641F" w:rsidP="00D27646">
            <w:pPr>
              <w:pStyle w:val="CTENumeracion"/>
              <w:keepNext/>
              <w:ind w:left="0" w:firstLine="0"/>
              <w:jc w:val="center"/>
              <w:rPr>
                <w:rFonts w:cs="Arial"/>
                <w:b/>
                <w:sz w:val="18"/>
              </w:rPr>
            </w:pPr>
            <w:r>
              <w:rPr>
                <w:b/>
                <w:sz w:val="18"/>
              </w:rPr>
              <w:t>C</w:t>
            </w:r>
          </w:p>
        </w:tc>
        <w:tc>
          <w:tcPr>
            <w:tcW w:w="623" w:type="dxa"/>
            <w:tcBorders>
              <w:top w:val="nil"/>
              <w:left w:val="nil"/>
              <w:bottom w:val="single" w:sz="4" w:space="0" w:color="auto"/>
              <w:right w:val="nil"/>
            </w:tcBorders>
            <w:shd w:val="clear" w:color="auto" w:fill="auto"/>
          </w:tcPr>
          <w:p w:rsidR="006C641F" w:rsidRPr="00937C8B" w:rsidRDefault="006C641F" w:rsidP="00D27646">
            <w:pPr>
              <w:pStyle w:val="CTENumeracion"/>
              <w:keepNext/>
              <w:ind w:left="0" w:firstLine="0"/>
              <w:jc w:val="center"/>
              <w:rPr>
                <w:rFonts w:cs="Arial"/>
                <w:b/>
                <w:sz w:val="18"/>
              </w:rPr>
            </w:pPr>
            <w:r>
              <w:rPr>
                <w:b/>
                <w:sz w:val="18"/>
              </w:rPr>
              <w:t>D</w:t>
            </w:r>
          </w:p>
        </w:tc>
        <w:tc>
          <w:tcPr>
            <w:tcW w:w="626" w:type="dxa"/>
            <w:tcBorders>
              <w:top w:val="nil"/>
              <w:left w:val="nil"/>
              <w:bottom w:val="single" w:sz="4" w:space="0" w:color="auto"/>
              <w:right w:val="nil"/>
            </w:tcBorders>
            <w:shd w:val="clear" w:color="auto" w:fill="auto"/>
          </w:tcPr>
          <w:p w:rsidR="006C641F" w:rsidRPr="00937C8B" w:rsidRDefault="006C641F" w:rsidP="00D27646">
            <w:pPr>
              <w:pStyle w:val="CTENumeracion"/>
              <w:keepNext/>
              <w:ind w:left="0" w:firstLine="0"/>
              <w:jc w:val="center"/>
              <w:rPr>
                <w:rFonts w:cs="Arial"/>
                <w:b/>
                <w:sz w:val="18"/>
              </w:rPr>
            </w:pPr>
            <w:r>
              <w:rPr>
                <w:b/>
                <w:sz w:val="18"/>
              </w:rPr>
              <w:t>E</w:t>
            </w:r>
          </w:p>
        </w:tc>
      </w:tr>
      <w:tr w:rsidR="006C641F" w:rsidRPr="00937C8B" w:rsidTr="00E47AFE">
        <w:trPr>
          <w:jc w:val="center"/>
        </w:trPr>
        <w:tc>
          <w:tcPr>
            <w:tcW w:w="3345" w:type="dxa"/>
            <w:tcBorders>
              <w:left w:val="nil"/>
              <w:bottom w:val="nil"/>
            </w:tcBorders>
            <w:shd w:val="clear" w:color="auto" w:fill="auto"/>
            <w:vAlign w:val="center"/>
          </w:tcPr>
          <w:p w:rsidR="006C641F" w:rsidRPr="00937C8B" w:rsidRDefault="006C641F" w:rsidP="00425ADA">
            <w:pPr>
              <w:pStyle w:val="CTENumeracion"/>
              <w:ind w:left="0" w:firstLine="0"/>
              <w:rPr>
                <w:rFonts w:cs="Arial"/>
                <w:b/>
                <w:sz w:val="18"/>
              </w:rPr>
            </w:pPr>
            <w:r>
              <w:rPr>
                <w:b/>
                <w:sz w:val="18"/>
              </w:rPr>
              <w:t>New buildings and extensions</w:t>
            </w:r>
          </w:p>
        </w:tc>
        <w:tc>
          <w:tcPr>
            <w:tcW w:w="623" w:type="dxa"/>
            <w:tcBorders>
              <w:bottom w:val="nil"/>
              <w:right w:val="nil"/>
            </w:tcBorders>
            <w:shd w:val="clear" w:color="auto" w:fill="auto"/>
            <w:vAlign w:val="center"/>
          </w:tcPr>
          <w:p w:rsidR="006C641F" w:rsidRPr="00937C8B" w:rsidRDefault="006C641F" w:rsidP="00425ADA">
            <w:pPr>
              <w:pStyle w:val="CTENumeracion"/>
              <w:ind w:left="0" w:firstLine="0"/>
              <w:jc w:val="center"/>
              <w:rPr>
                <w:rFonts w:cs="Arial"/>
                <w:sz w:val="18"/>
              </w:rPr>
            </w:pPr>
            <w:r>
              <w:rPr>
                <w:sz w:val="18"/>
              </w:rPr>
              <w:t>20</w:t>
            </w:r>
          </w:p>
        </w:tc>
        <w:tc>
          <w:tcPr>
            <w:tcW w:w="624"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sz w:val="18"/>
              </w:rPr>
            </w:pPr>
            <w:r>
              <w:rPr>
                <w:sz w:val="18"/>
              </w:rPr>
              <w:t>25</w:t>
            </w:r>
          </w:p>
        </w:tc>
        <w:tc>
          <w:tcPr>
            <w:tcW w:w="624"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sz w:val="18"/>
              </w:rPr>
            </w:pPr>
            <w:r>
              <w:rPr>
                <w:sz w:val="18"/>
              </w:rPr>
              <w:t>28</w:t>
            </w:r>
          </w:p>
        </w:tc>
        <w:tc>
          <w:tcPr>
            <w:tcW w:w="624"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sz w:val="18"/>
              </w:rPr>
            </w:pPr>
            <w:r>
              <w:rPr>
                <w:sz w:val="18"/>
              </w:rPr>
              <w:t>32</w:t>
            </w:r>
          </w:p>
        </w:tc>
        <w:tc>
          <w:tcPr>
            <w:tcW w:w="623"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sz w:val="18"/>
              </w:rPr>
            </w:pPr>
            <w:r>
              <w:rPr>
                <w:sz w:val="18"/>
              </w:rPr>
              <w:t>38</w:t>
            </w:r>
          </w:p>
        </w:tc>
        <w:tc>
          <w:tcPr>
            <w:tcW w:w="626"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sz w:val="18"/>
              </w:rPr>
            </w:pPr>
            <w:r>
              <w:rPr>
                <w:sz w:val="18"/>
              </w:rPr>
              <w:t>43</w:t>
            </w:r>
          </w:p>
        </w:tc>
      </w:tr>
      <w:tr w:rsidR="006C641F" w:rsidRPr="00937C8B" w:rsidTr="00E47AFE">
        <w:trPr>
          <w:jc w:val="center"/>
        </w:trPr>
        <w:tc>
          <w:tcPr>
            <w:tcW w:w="3345" w:type="dxa"/>
            <w:tcBorders>
              <w:top w:val="nil"/>
              <w:left w:val="nil"/>
              <w:bottom w:val="nil"/>
            </w:tcBorders>
            <w:shd w:val="clear" w:color="auto" w:fill="auto"/>
            <w:vAlign w:val="center"/>
          </w:tcPr>
          <w:p w:rsidR="006C641F" w:rsidRPr="00937C8B" w:rsidRDefault="006C641F" w:rsidP="00425ADA">
            <w:pPr>
              <w:pStyle w:val="CTENumeracion"/>
              <w:ind w:left="0" w:firstLine="0"/>
              <w:rPr>
                <w:rFonts w:cs="Arial"/>
                <w:b/>
                <w:sz w:val="18"/>
              </w:rPr>
            </w:pPr>
            <w:r>
              <w:rPr>
                <w:b/>
                <w:sz w:val="18"/>
              </w:rPr>
              <w:t>Changes in use to private residential and renovations</w:t>
            </w:r>
          </w:p>
        </w:tc>
        <w:tc>
          <w:tcPr>
            <w:tcW w:w="623" w:type="dxa"/>
            <w:tcBorders>
              <w:top w:val="nil"/>
              <w:bottom w:val="nil"/>
              <w:right w:val="nil"/>
            </w:tcBorders>
            <w:shd w:val="clear" w:color="auto" w:fill="auto"/>
            <w:vAlign w:val="center"/>
          </w:tcPr>
          <w:p w:rsidR="006C641F" w:rsidRPr="00937C8B" w:rsidRDefault="006C641F" w:rsidP="00425ADA">
            <w:pPr>
              <w:pStyle w:val="CTENumeracion"/>
              <w:ind w:left="0" w:firstLine="0"/>
              <w:jc w:val="center"/>
              <w:rPr>
                <w:rFonts w:cs="Arial"/>
                <w:sz w:val="18"/>
              </w:rPr>
            </w:pPr>
            <w:r>
              <w:rPr>
                <w:sz w:val="18"/>
              </w:rPr>
              <w:t>40</w:t>
            </w:r>
          </w:p>
        </w:tc>
        <w:tc>
          <w:tcPr>
            <w:tcW w:w="624" w:type="dxa"/>
            <w:tcBorders>
              <w:top w:val="nil"/>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sz w:val="18"/>
              </w:rPr>
            </w:pPr>
            <w:r>
              <w:rPr>
                <w:sz w:val="18"/>
              </w:rPr>
              <w:t>50</w:t>
            </w:r>
          </w:p>
        </w:tc>
        <w:tc>
          <w:tcPr>
            <w:tcW w:w="624" w:type="dxa"/>
            <w:tcBorders>
              <w:top w:val="nil"/>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sz w:val="18"/>
              </w:rPr>
            </w:pPr>
            <w:r>
              <w:rPr>
                <w:sz w:val="18"/>
              </w:rPr>
              <w:t>55</w:t>
            </w:r>
          </w:p>
        </w:tc>
        <w:tc>
          <w:tcPr>
            <w:tcW w:w="624" w:type="dxa"/>
            <w:tcBorders>
              <w:top w:val="nil"/>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sz w:val="18"/>
              </w:rPr>
            </w:pPr>
            <w:r>
              <w:rPr>
                <w:sz w:val="18"/>
              </w:rPr>
              <w:t>65</w:t>
            </w:r>
          </w:p>
        </w:tc>
        <w:tc>
          <w:tcPr>
            <w:tcW w:w="623" w:type="dxa"/>
            <w:tcBorders>
              <w:top w:val="nil"/>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sz w:val="18"/>
              </w:rPr>
            </w:pPr>
            <w:r>
              <w:rPr>
                <w:sz w:val="18"/>
              </w:rPr>
              <w:t>70</w:t>
            </w:r>
          </w:p>
        </w:tc>
        <w:tc>
          <w:tcPr>
            <w:tcW w:w="626" w:type="dxa"/>
            <w:tcBorders>
              <w:top w:val="nil"/>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sz w:val="18"/>
              </w:rPr>
            </w:pPr>
            <w:r>
              <w:rPr>
                <w:sz w:val="18"/>
              </w:rPr>
              <w:t>80</w:t>
            </w:r>
          </w:p>
        </w:tc>
      </w:tr>
      <w:tr w:rsidR="006C641F" w:rsidRPr="00937C8B" w:rsidTr="00E47AFE">
        <w:trPr>
          <w:jc w:val="center"/>
        </w:trPr>
        <w:tc>
          <w:tcPr>
            <w:tcW w:w="7089" w:type="dxa"/>
            <w:gridSpan w:val="7"/>
            <w:tcBorders>
              <w:top w:val="nil"/>
              <w:left w:val="nil"/>
              <w:bottom w:val="nil"/>
              <w:right w:val="nil"/>
            </w:tcBorders>
            <w:shd w:val="clear" w:color="auto" w:fill="auto"/>
          </w:tcPr>
          <w:p w:rsidR="006C641F" w:rsidRPr="00937C8B" w:rsidRDefault="006C641F" w:rsidP="00425ADA">
            <w:pPr>
              <w:pStyle w:val="CTETabla-nota"/>
              <w:ind w:left="0" w:firstLine="0"/>
            </w:pPr>
            <w:r>
              <w:t>For non-mainland Spain (Balearic Islands, Canary Islands, Ceuta and Melilla), the values in the table shall be multiplied by 1.25.</w:t>
            </w:r>
          </w:p>
        </w:tc>
      </w:tr>
    </w:tbl>
    <w:p w:rsidR="006C641F" w:rsidRPr="00937C8B" w:rsidRDefault="006C641F" w:rsidP="006C641F">
      <w:pPr>
        <w:pStyle w:val="CTENumeracion"/>
        <w:ind w:left="851" w:firstLine="0"/>
        <w:rPr>
          <w:rFonts w:cs="Arial"/>
          <w:b/>
          <w:sz w:val="18"/>
        </w:rPr>
      </w:pPr>
    </w:p>
    <w:p w:rsidR="006C641F" w:rsidRPr="00937C8B" w:rsidRDefault="006C641F" w:rsidP="00D27646">
      <w:pPr>
        <w:pStyle w:val="CTENumeracion"/>
        <w:keepNext/>
        <w:ind w:left="0" w:firstLine="0"/>
        <w:jc w:val="center"/>
        <w:rPr>
          <w:rFonts w:cs="Arial"/>
        </w:rPr>
      </w:pPr>
      <w:r>
        <w:rPr>
          <w:b/>
          <w:sz w:val="18"/>
        </w:rPr>
        <w:t>Table 3.1.b - HE0</w:t>
      </w:r>
    </w:p>
    <w:p w:rsidR="006C641F" w:rsidRPr="00937C8B" w:rsidRDefault="006C641F" w:rsidP="00D27646">
      <w:pPr>
        <w:pStyle w:val="CTENumeracion"/>
        <w:keepNext/>
        <w:ind w:left="0" w:firstLine="0"/>
        <w:jc w:val="center"/>
        <w:rPr>
          <w:rFonts w:cs="Arial"/>
        </w:rPr>
      </w:pPr>
      <w:r>
        <w:rPr>
          <w:b/>
          <w:sz w:val="18"/>
        </w:rPr>
        <w:t xml:space="preserve">Limit value </w:t>
      </w:r>
      <w:r>
        <w:rPr>
          <w:b/>
          <w:i/>
          <w:sz w:val="18"/>
        </w:rPr>
        <w:t>C</w:t>
      </w:r>
      <w:r>
        <w:rPr>
          <w:b/>
          <w:i/>
          <w:sz w:val="18"/>
          <w:vertAlign w:val="subscript"/>
        </w:rPr>
        <w:t xml:space="preserve">ep,nren,lim </w:t>
      </w:r>
      <w:r>
        <w:rPr>
          <w:b/>
          <w:sz w:val="18"/>
        </w:rPr>
        <w:t>[kW·h/m</w:t>
      </w:r>
      <w:r>
        <w:rPr>
          <w:b/>
          <w:sz w:val="18"/>
          <w:vertAlign w:val="superscript"/>
        </w:rPr>
        <w:t>2</w:t>
      </w:r>
      <w:r>
        <w:rPr>
          <w:b/>
          <w:sz w:val="18"/>
        </w:rPr>
        <w:t>·year] for uses other than private residential</w:t>
      </w:r>
    </w:p>
    <w:tbl>
      <w:tblPr>
        <w:tblW w:w="7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1181"/>
        <w:gridCol w:w="1181"/>
        <w:gridCol w:w="1181"/>
        <w:gridCol w:w="1181"/>
      </w:tblGrid>
      <w:tr w:rsidR="006C641F" w:rsidRPr="00937C8B" w:rsidTr="00E47AFE">
        <w:trPr>
          <w:jc w:val="center"/>
        </w:trPr>
        <w:tc>
          <w:tcPr>
            <w:tcW w:w="7086" w:type="dxa"/>
            <w:gridSpan w:val="6"/>
            <w:tcBorders>
              <w:top w:val="nil"/>
              <w:left w:val="nil"/>
              <w:bottom w:val="nil"/>
              <w:right w:val="nil"/>
            </w:tcBorders>
            <w:shd w:val="clear" w:color="auto" w:fill="auto"/>
          </w:tcPr>
          <w:p w:rsidR="006C641F" w:rsidRPr="00937C8B" w:rsidRDefault="006C641F" w:rsidP="00D27646">
            <w:pPr>
              <w:pStyle w:val="CTENumeracion"/>
              <w:keepNext/>
              <w:ind w:left="0" w:firstLine="0"/>
              <w:jc w:val="center"/>
              <w:rPr>
                <w:rFonts w:cs="Arial"/>
              </w:rPr>
            </w:pPr>
            <w:r>
              <w:rPr>
                <w:b/>
                <w:sz w:val="18"/>
              </w:rPr>
              <w:t>Winter climate zone</w:t>
            </w:r>
          </w:p>
        </w:tc>
      </w:tr>
      <w:tr w:rsidR="006C641F" w:rsidRPr="00937C8B" w:rsidTr="00E47AFE">
        <w:trPr>
          <w:jc w:val="center"/>
        </w:trPr>
        <w:tc>
          <w:tcPr>
            <w:tcW w:w="1181" w:type="dxa"/>
            <w:tcBorders>
              <w:top w:val="nil"/>
              <w:left w:val="nil"/>
              <w:bottom w:val="single" w:sz="4" w:space="0" w:color="auto"/>
              <w:right w:val="nil"/>
            </w:tcBorders>
            <w:shd w:val="clear" w:color="auto" w:fill="auto"/>
          </w:tcPr>
          <w:p w:rsidR="006C641F" w:rsidRPr="00937C8B" w:rsidRDefault="006C641F" w:rsidP="00425ADA">
            <w:pPr>
              <w:pStyle w:val="CTENumeracion"/>
              <w:ind w:left="0" w:firstLine="0"/>
              <w:jc w:val="center"/>
              <w:rPr>
                <w:rFonts w:cs="Arial"/>
              </w:rPr>
            </w:pPr>
            <w:r>
              <w:rPr>
                <w:b/>
                <w:sz w:val="18"/>
              </w:rPr>
              <w:t>α</w:t>
            </w:r>
          </w:p>
        </w:tc>
        <w:tc>
          <w:tcPr>
            <w:tcW w:w="1181" w:type="dxa"/>
            <w:tcBorders>
              <w:top w:val="nil"/>
              <w:left w:val="nil"/>
              <w:bottom w:val="single" w:sz="4" w:space="0" w:color="auto"/>
              <w:right w:val="nil"/>
            </w:tcBorders>
            <w:shd w:val="clear" w:color="auto" w:fill="auto"/>
          </w:tcPr>
          <w:p w:rsidR="006C641F" w:rsidRPr="00937C8B" w:rsidRDefault="006C641F" w:rsidP="00425ADA">
            <w:pPr>
              <w:pStyle w:val="CTENumeracion"/>
              <w:ind w:left="0" w:firstLine="0"/>
              <w:jc w:val="center"/>
              <w:rPr>
                <w:rFonts w:cs="Arial"/>
              </w:rPr>
            </w:pPr>
            <w:r>
              <w:rPr>
                <w:b/>
                <w:sz w:val="18"/>
              </w:rPr>
              <w:t>A</w:t>
            </w:r>
          </w:p>
        </w:tc>
        <w:tc>
          <w:tcPr>
            <w:tcW w:w="1181" w:type="dxa"/>
            <w:tcBorders>
              <w:top w:val="nil"/>
              <w:left w:val="nil"/>
              <w:bottom w:val="single" w:sz="4" w:space="0" w:color="auto"/>
              <w:right w:val="nil"/>
            </w:tcBorders>
            <w:shd w:val="clear" w:color="auto" w:fill="auto"/>
          </w:tcPr>
          <w:p w:rsidR="006C641F" w:rsidRPr="00937C8B" w:rsidRDefault="006C641F" w:rsidP="00425ADA">
            <w:pPr>
              <w:pStyle w:val="CTENumeracion"/>
              <w:ind w:left="0" w:firstLine="0"/>
              <w:jc w:val="center"/>
              <w:rPr>
                <w:rFonts w:cs="Arial"/>
              </w:rPr>
            </w:pPr>
            <w:r>
              <w:rPr>
                <w:b/>
                <w:sz w:val="18"/>
              </w:rPr>
              <w:t>B</w:t>
            </w:r>
          </w:p>
        </w:tc>
        <w:tc>
          <w:tcPr>
            <w:tcW w:w="1181" w:type="dxa"/>
            <w:tcBorders>
              <w:top w:val="nil"/>
              <w:left w:val="nil"/>
              <w:bottom w:val="single" w:sz="4" w:space="0" w:color="auto"/>
              <w:right w:val="nil"/>
            </w:tcBorders>
            <w:shd w:val="clear" w:color="auto" w:fill="auto"/>
          </w:tcPr>
          <w:p w:rsidR="006C641F" w:rsidRPr="00937C8B" w:rsidRDefault="006C641F" w:rsidP="00425ADA">
            <w:pPr>
              <w:pStyle w:val="CTENumeracion"/>
              <w:ind w:left="0" w:firstLine="0"/>
              <w:jc w:val="center"/>
              <w:rPr>
                <w:rFonts w:cs="Arial"/>
              </w:rPr>
            </w:pPr>
            <w:r>
              <w:rPr>
                <w:b/>
                <w:sz w:val="18"/>
              </w:rPr>
              <w:t>C</w:t>
            </w:r>
          </w:p>
        </w:tc>
        <w:tc>
          <w:tcPr>
            <w:tcW w:w="1181" w:type="dxa"/>
            <w:tcBorders>
              <w:top w:val="nil"/>
              <w:left w:val="nil"/>
              <w:bottom w:val="single" w:sz="4" w:space="0" w:color="auto"/>
              <w:right w:val="nil"/>
            </w:tcBorders>
            <w:shd w:val="clear" w:color="auto" w:fill="auto"/>
          </w:tcPr>
          <w:p w:rsidR="006C641F" w:rsidRPr="00937C8B" w:rsidRDefault="006C641F" w:rsidP="00425ADA">
            <w:pPr>
              <w:pStyle w:val="CTENumeracion"/>
              <w:ind w:left="0" w:firstLine="0"/>
              <w:jc w:val="center"/>
              <w:rPr>
                <w:rFonts w:cs="Arial"/>
              </w:rPr>
            </w:pPr>
            <w:r>
              <w:rPr>
                <w:b/>
                <w:sz w:val="18"/>
              </w:rPr>
              <w:t>D</w:t>
            </w:r>
          </w:p>
        </w:tc>
        <w:tc>
          <w:tcPr>
            <w:tcW w:w="1181" w:type="dxa"/>
            <w:tcBorders>
              <w:top w:val="nil"/>
              <w:left w:val="nil"/>
              <w:bottom w:val="single" w:sz="4" w:space="0" w:color="auto"/>
              <w:right w:val="nil"/>
            </w:tcBorders>
            <w:shd w:val="clear" w:color="auto" w:fill="auto"/>
          </w:tcPr>
          <w:p w:rsidR="006C641F" w:rsidRPr="00937C8B" w:rsidRDefault="006C641F" w:rsidP="00425ADA">
            <w:pPr>
              <w:pStyle w:val="CTENumeracion"/>
              <w:ind w:left="0" w:firstLine="0"/>
              <w:jc w:val="center"/>
              <w:rPr>
                <w:rFonts w:cs="Arial"/>
              </w:rPr>
            </w:pPr>
            <w:r>
              <w:rPr>
                <w:b/>
                <w:sz w:val="18"/>
              </w:rPr>
              <w:t>E</w:t>
            </w:r>
          </w:p>
        </w:tc>
      </w:tr>
      <w:tr w:rsidR="006C641F" w:rsidRPr="00937C8B" w:rsidTr="00E47AFE">
        <w:trPr>
          <w:jc w:val="center"/>
        </w:trPr>
        <w:tc>
          <w:tcPr>
            <w:tcW w:w="1181"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rPr>
            </w:pPr>
            <w:r>
              <w:rPr>
                <w:sz w:val="18"/>
              </w:rPr>
              <w:t>70 + 8 · C</w:t>
            </w:r>
            <w:r>
              <w:rPr>
                <w:sz w:val="18"/>
                <w:vertAlign w:val="subscript"/>
              </w:rPr>
              <w:t>FI</w:t>
            </w:r>
          </w:p>
        </w:tc>
        <w:tc>
          <w:tcPr>
            <w:tcW w:w="1181"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rPr>
            </w:pPr>
            <w:r>
              <w:rPr>
                <w:sz w:val="18"/>
              </w:rPr>
              <w:t>55 + 8 · C</w:t>
            </w:r>
            <w:r>
              <w:rPr>
                <w:sz w:val="18"/>
                <w:vertAlign w:val="subscript"/>
              </w:rPr>
              <w:t>FI</w:t>
            </w:r>
          </w:p>
        </w:tc>
        <w:tc>
          <w:tcPr>
            <w:tcW w:w="1181"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rPr>
            </w:pPr>
            <w:r>
              <w:rPr>
                <w:sz w:val="18"/>
              </w:rPr>
              <w:t>50 + 8 · C</w:t>
            </w:r>
            <w:r>
              <w:rPr>
                <w:sz w:val="18"/>
                <w:vertAlign w:val="subscript"/>
              </w:rPr>
              <w:t>FI</w:t>
            </w:r>
          </w:p>
        </w:tc>
        <w:tc>
          <w:tcPr>
            <w:tcW w:w="1181"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rPr>
            </w:pPr>
            <w:r>
              <w:rPr>
                <w:sz w:val="18"/>
              </w:rPr>
              <w:t>35 + 8 · C</w:t>
            </w:r>
            <w:r>
              <w:rPr>
                <w:sz w:val="18"/>
                <w:vertAlign w:val="subscript"/>
              </w:rPr>
              <w:t>FI</w:t>
            </w:r>
          </w:p>
        </w:tc>
        <w:tc>
          <w:tcPr>
            <w:tcW w:w="1181"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rPr>
            </w:pPr>
            <w:r>
              <w:rPr>
                <w:sz w:val="18"/>
              </w:rPr>
              <w:t>20 + 8 · C</w:t>
            </w:r>
            <w:r>
              <w:rPr>
                <w:sz w:val="18"/>
                <w:vertAlign w:val="subscript"/>
              </w:rPr>
              <w:t>FI</w:t>
            </w:r>
          </w:p>
        </w:tc>
        <w:tc>
          <w:tcPr>
            <w:tcW w:w="1181"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rPr>
            </w:pPr>
            <w:r>
              <w:rPr>
                <w:sz w:val="18"/>
              </w:rPr>
              <w:t>10 + 8 · C</w:t>
            </w:r>
            <w:r>
              <w:rPr>
                <w:sz w:val="18"/>
                <w:vertAlign w:val="subscript"/>
              </w:rPr>
              <w:t>FI</w:t>
            </w:r>
          </w:p>
        </w:tc>
      </w:tr>
      <w:tr w:rsidR="006C641F" w:rsidRPr="00937C8B" w:rsidTr="00E47AFE">
        <w:trPr>
          <w:jc w:val="center"/>
        </w:trPr>
        <w:tc>
          <w:tcPr>
            <w:tcW w:w="7086" w:type="dxa"/>
            <w:gridSpan w:val="6"/>
            <w:tcBorders>
              <w:top w:val="nil"/>
              <w:left w:val="nil"/>
              <w:bottom w:val="nil"/>
              <w:right w:val="nil"/>
            </w:tcBorders>
            <w:shd w:val="clear" w:color="auto" w:fill="auto"/>
          </w:tcPr>
          <w:p w:rsidR="006C641F" w:rsidRPr="00937C8B" w:rsidRDefault="006C641F" w:rsidP="00425ADA">
            <w:pPr>
              <w:pStyle w:val="CTETabla-nota"/>
              <w:ind w:left="0" w:firstLine="0"/>
            </w:pPr>
            <w:r>
              <w:t>C</w:t>
            </w:r>
            <w:r>
              <w:rPr>
                <w:vertAlign w:val="subscript"/>
              </w:rPr>
              <w:t>FI</w:t>
            </w:r>
            <w:r>
              <w:t xml:space="preserve">: </w:t>
            </w:r>
            <w:r>
              <w:rPr>
                <w:i/>
              </w:rPr>
              <w:t xml:space="preserve">Average internal load </w:t>
            </w:r>
            <w:r>
              <w:t>[W/m</w:t>
            </w:r>
            <w:r>
              <w:rPr>
                <w:vertAlign w:val="superscript"/>
              </w:rPr>
              <w:t>2</w:t>
            </w:r>
            <w:r>
              <w:t>]</w:t>
            </w:r>
          </w:p>
          <w:p w:rsidR="006C641F" w:rsidRPr="00937C8B" w:rsidRDefault="006C641F" w:rsidP="00E47AFE">
            <w:pPr>
              <w:pStyle w:val="CTETabla-nota"/>
              <w:ind w:left="0" w:firstLine="0"/>
            </w:pPr>
            <w:r>
              <w:t>For non-mainland Spain (Balearic Islands, Canary Islands, Ceuta and Melilla), the values obtained shall be multiplied by 1.40.</w:t>
            </w:r>
          </w:p>
        </w:tc>
      </w:tr>
    </w:tbl>
    <w:p w:rsidR="00E47AFE" w:rsidRDefault="00E47AFE" w:rsidP="006C641F">
      <w:pPr>
        <w:pStyle w:val="CTENumeracion"/>
        <w:rPr>
          <w:rFonts w:cs="Arial"/>
          <w:sz w:val="22"/>
          <w:szCs w:val="22"/>
        </w:rPr>
      </w:pPr>
    </w:p>
    <w:p w:rsidR="006C641F" w:rsidRPr="00937C8B" w:rsidRDefault="006C641F" w:rsidP="006C641F">
      <w:pPr>
        <w:pStyle w:val="CTENumeracion"/>
        <w:rPr>
          <w:rFonts w:cs="Arial"/>
          <w:sz w:val="22"/>
          <w:szCs w:val="22"/>
        </w:rPr>
      </w:pPr>
      <w:r>
        <w:rPr>
          <w:sz w:val="22"/>
        </w:rPr>
        <w:t>2.</w:t>
      </w:r>
      <w:r>
        <w:rPr>
          <w:sz w:val="22"/>
        </w:rPr>
        <w:tab/>
        <w:t xml:space="preserve">For buildings featuring private residential usage units combined with other usage units, the </w:t>
      </w:r>
      <w:r>
        <w:rPr>
          <w:i/>
          <w:sz w:val="22"/>
        </w:rPr>
        <w:t>non-renewable primary energy consumption</w:t>
      </w:r>
      <w:r>
        <w:rPr>
          <w:sz w:val="22"/>
        </w:rPr>
        <w:t xml:space="preserve"> limit value (C</w:t>
      </w:r>
      <w:r>
        <w:rPr>
          <w:sz w:val="22"/>
          <w:vertAlign w:val="subscript"/>
        </w:rPr>
        <w:t>ep</w:t>
      </w:r>
      <w:r>
        <w:rPr>
          <w:sz w:val="22"/>
        </w:rPr>
        <w:t>,</w:t>
      </w:r>
      <w:r>
        <w:rPr>
          <w:sz w:val="22"/>
          <w:vertAlign w:val="subscript"/>
        </w:rPr>
        <w:t>nren,lim</w:t>
      </w:r>
      <w:r>
        <w:rPr>
          <w:sz w:val="22"/>
        </w:rPr>
        <w:t>) shall be applied separately to each building part with a different use.</w:t>
      </w:r>
    </w:p>
    <w:p w:rsidR="006C641F" w:rsidRPr="00937C8B" w:rsidRDefault="006C641F" w:rsidP="009467D5">
      <w:pPr>
        <w:pStyle w:val="CteTtulo3"/>
      </w:pPr>
      <w:bookmarkStart w:id="44" w:name="Sección_HE0_Cuantificacion_CEPT"/>
      <w:bookmarkStart w:id="45" w:name="_Toc530395234"/>
      <w:bookmarkStart w:id="46" w:name="_Toc39157905"/>
      <w:bookmarkStart w:id="47" w:name="_Toc44876231"/>
      <w:bookmarkEnd w:id="44"/>
      <w:r>
        <w:t>3.2</w:t>
      </w:r>
      <w:r>
        <w:tab/>
        <w:t>Total primary energy consumption</w:t>
      </w:r>
      <w:bookmarkEnd w:id="45"/>
      <w:bookmarkEnd w:id="46"/>
      <w:bookmarkEnd w:id="47"/>
    </w:p>
    <w:p w:rsidR="0022053B" w:rsidRPr="00937C8B" w:rsidRDefault="006C641F" w:rsidP="00D27646">
      <w:pPr>
        <w:pStyle w:val="CTENumeracion"/>
        <w:keepNext/>
        <w:rPr>
          <w:rFonts w:cs="Arial"/>
          <w:sz w:val="22"/>
          <w:szCs w:val="22"/>
        </w:rPr>
      </w:pPr>
      <w:r>
        <w:rPr>
          <w:sz w:val="22"/>
        </w:rPr>
        <w:t>1.</w:t>
      </w:r>
      <w:r>
        <w:rPr>
          <w:sz w:val="22"/>
        </w:rPr>
        <w:tab/>
        <w:t xml:space="preserve">The </w:t>
      </w:r>
      <w:r>
        <w:rPr>
          <w:i/>
          <w:iCs/>
          <w:sz w:val="22"/>
        </w:rPr>
        <w:t>total primary energy consumption</w:t>
      </w:r>
      <w:r>
        <w:rPr>
          <w:sz w:val="22"/>
        </w:rPr>
        <w:t xml:space="preserve"> (C</w:t>
      </w:r>
      <w:r>
        <w:rPr>
          <w:sz w:val="22"/>
          <w:vertAlign w:val="subscript"/>
        </w:rPr>
        <w:t>ep</w:t>
      </w:r>
      <w:r>
        <w:rPr>
          <w:sz w:val="22"/>
        </w:rPr>
        <w:t>,</w:t>
      </w:r>
      <w:r>
        <w:rPr>
          <w:sz w:val="22"/>
          <w:vertAlign w:val="subscript"/>
        </w:rPr>
        <w:t>tot</w:t>
      </w:r>
      <w:r>
        <w:rPr>
          <w:sz w:val="22"/>
        </w:rPr>
        <w:t xml:space="preserve">) of the spaces inside the </w:t>
      </w:r>
      <w:r>
        <w:rPr>
          <w:i/>
          <w:sz w:val="22"/>
        </w:rPr>
        <w:t>thermal envelope</w:t>
      </w:r>
      <w:r>
        <w:rPr>
          <w:sz w:val="22"/>
        </w:rPr>
        <w:t xml:space="preserve"> of the building or relevant part thereof shall not exceed the limit value (</w:t>
      </w:r>
      <w:r>
        <w:rPr>
          <w:i/>
          <w:sz w:val="22"/>
        </w:rPr>
        <w:t>C</w:t>
      </w:r>
      <w:r>
        <w:rPr>
          <w:i/>
          <w:sz w:val="22"/>
          <w:vertAlign w:val="subscript"/>
        </w:rPr>
        <w:t>ep,tot,lim</w:t>
      </w:r>
      <w:r>
        <w:rPr>
          <w:sz w:val="22"/>
        </w:rPr>
        <w:t>) given in Table 3.2.a-HE0 or 3.2.b-HE0:</w:t>
      </w:r>
    </w:p>
    <w:p w:rsidR="0084739B" w:rsidRPr="00937C8B" w:rsidRDefault="0084739B" w:rsidP="00D27646">
      <w:pPr>
        <w:pStyle w:val="CTENumeracion"/>
        <w:keepNext/>
        <w:jc w:val="center"/>
        <w:rPr>
          <w:rFonts w:cs="Arial"/>
          <w:b/>
          <w:sz w:val="18"/>
        </w:rPr>
      </w:pPr>
    </w:p>
    <w:p w:rsidR="006C641F" w:rsidRPr="00937C8B" w:rsidRDefault="006C641F" w:rsidP="00D27646">
      <w:pPr>
        <w:pStyle w:val="CTENumeracion"/>
        <w:keepNext/>
        <w:jc w:val="center"/>
        <w:rPr>
          <w:rFonts w:cs="Arial"/>
          <w:b/>
          <w:sz w:val="18"/>
        </w:rPr>
      </w:pPr>
      <w:r>
        <w:rPr>
          <w:b/>
          <w:sz w:val="18"/>
        </w:rPr>
        <w:t>Table 3.2.a - HE0</w:t>
      </w:r>
    </w:p>
    <w:p w:rsidR="006C641F" w:rsidRPr="00937C8B" w:rsidRDefault="006C641F" w:rsidP="00D27646">
      <w:pPr>
        <w:pStyle w:val="CTENumeracion"/>
        <w:keepNext/>
        <w:spacing w:after="120"/>
        <w:ind w:left="425" w:firstLine="0"/>
        <w:jc w:val="center"/>
        <w:rPr>
          <w:rFonts w:cs="Arial"/>
          <w:b/>
          <w:sz w:val="18"/>
        </w:rPr>
      </w:pPr>
      <w:r>
        <w:rPr>
          <w:b/>
          <w:sz w:val="18"/>
        </w:rPr>
        <w:t xml:space="preserve">Limit value </w:t>
      </w:r>
      <w:r>
        <w:rPr>
          <w:b/>
          <w:i/>
          <w:sz w:val="18"/>
        </w:rPr>
        <w:t>C</w:t>
      </w:r>
      <w:r>
        <w:rPr>
          <w:b/>
          <w:i/>
          <w:sz w:val="18"/>
          <w:vertAlign w:val="subscript"/>
        </w:rPr>
        <w:t xml:space="preserve">ep,tot,lim </w:t>
      </w:r>
      <w:r>
        <w:rPr>
          <w:b/>
          <w:sz w:val="18"/>
        </w:rPr>
        <w:t>[kW·h/m</w:t>
      </w:r>
      <w:r>
        <w:rPr>
          <w:b/>
          <w:sz w:val="18"/>
          <w:vertAlign w:val="superscript"/>
        </w:rPr>
        <w:t>2</w:t>
      </w:r>
      <w:r>
        <w:rPr>
          <w:b/>
          <w:sz w:val="18"/>
        </w:rPr>
        <w:t>·year] for private residential use</w:t>
      </w:r>
    </w:p>
    <w:tbl>
      <w:tblPr>
        <w:tblW w:w="6938" w:type="dxa"/>
        <w:jc w:val="center"/>
        <w:tblBorders>
          <w:bottom w:val="single" w:sz="2" w:space="0" w:color="000001"/>
          <w:right w:val="single" w:sz="2" w:space="0" w:color="000001"/>
          <w:insideH w:val="single" w:sz="2" w:space="0" w:color="000001"/>
          <w:insideV w:val="single" w:sz="2" w:space="0" w:color="000001"/>
        </w:tblBorders>
        <w:tblCellMar>
          <w:left w:w="0" w:type="dxa"/>
          <w:right w:w="0" w:type="dxa"/>
        </w:tblCellMar>
        <w:tblLook w:val="04A0" w:firstRow="1" w:lastRow="0" w:firstColumn="1" w:lastColumn="0" w:noHBand="0" w:noVBand="1"/>
      </w:tblPr>
      <w:tblGrid>
        <w:gridCol w:w="3547"/>
        <w:gridCol w:w="566"/>
        <w:gridCol w:w="566"/>
        <w:gridCol w:w="567"/>
        <w:gridCol w:w="567"/>
        <w:gridCol w:w="567"/>
        <w:gridCol w:w="558"/>
      </w:tblGrid>
      <w:tr w:rsidR="006C641F" w:rsidRPr="00937C8B" w:rsidTr="00E47AFE">
        <w:trPr>
          <w:cantSplit/>
          <w:jc w:val="center"/>
        </w:trPr>
        <w:tc>
          <w:tcPr>
            <w:tcW w:w="3546" w:type="dxa"/>
            <w:vMerge w:val="restart"/>
            <w:tcBorders>
              <w:bottom w:val="single" w:sz="2" w:space="0" w:color="000001"/>
              <w:right w:val="single" w:sz="2" w:space="0" w:color="000001"/>
            </w:tcBorders>
            <w:shd w:val="clear" w:color="auto" w:fill="FFFFFF"/>
            <w:vAlign w:val="center"/>
          </w:tcPr>
          <w:p w:rsidR="006C641F" w:rsidRPr="00937C8B" w:rsidRDefault="006C641F" w:rsidP="00D27646">
            <w:pPr>
              <w:pStyle w:val="CTEtabla-texto"/>
              <w:keepNext/>
              <w:spacing w:line="252" w:lineRule="auto"/>
              <w:rPr>
                <w:rFonts w:cs="Arial"/>
                <w:b/>
                <w:bCs/>
              </w:rPr>
            </w:pPr>
          </w:p>
        </w:tc>
        <w:tc>
          <w:tcPr>
            <w:tcW w:w="3391" w:type="dxa"/>
            <w:gridSpan w:val="6"/>
            <w:tcBorders>
              <w:top w:val="nil"/>
              <w:left w:val="single" w:sz="2" w:space="0" w:color="000001"/>
              <w:bottom w:val="nil"/>
              <w:right w:val="nil"/>
            </w:tcBorders>
            <w:shd w:val="clear" w:color="auto" w:fill="FFFFFF"/>
          </w:tcPr>
          <w:p w:rsidR="006C641F" w:rsidRPr="00937C8B" w:rsidRDefault="006C641F" w:rsidP="00D27646">
            <w:pPr>
              <w:pStyle w:val="CTEtabla-texto"/>
              <w:keepNext/>
              <w:spacing w:line="252" w:lineRule="auto"/>
              <w:rPr>
                <w:rFonts w:cs="Arial"/>
                <w:b/>
              </w:rPr>
            </w:pPr>
            <w:r>
              <w:rPr>
                <w:b/>
              </w:rPr>
              <w:t>Winter climate zone</w:t>
            </w:r>
          </w:p>
        </w:tc>
      </w:tr>
      <w:tr w:rsidR="006C641F" w:rsidRPr="00937C8B" w:rsidTr="00E47AFE">
        <w:trPr>
          <w:cantSplit/>
          <w:jc w:val="center"/>
        </w:trPr>
        <w:tc>
          <w:tcPr>
            <w:tcW w:w="3546" w:type="dxa"/>
            <w:vMerge/>
            <w:tcBorders>
              <w:top w:val="single" w:sz="2" w:space="0" w:color="000001"/>
              <w:bottom w:val="single" w:sz="2" w:space="0" w:color="000001"/>
              <w:right w:val="single" w:sz="2" w:space="0" w:color="000001"/>
            </w:tcBorders>
            <w:shd w:val="clear" w:color="auto" w:fill="auto"/>
            <w:tcMar>
              <w:left w:w="12" w:type="dxa"/>
              <w:right w:w="10" w:type="dxa"/>
            </w:tcMar>
            <w:vAlign w:val="center"/>
          </w:tcPr>
          <w:p w:rsidR="006C641F" w:rsidRPr="00937C8B" w:rsidRDefault="006C641F" w:rsidP="00D27646">
            <w:pPr>
              <w:keepNext/>
              <w:spacing w:line="252" w:lineRule="auto"/>
              <w:rPr>
                <w:rFonts w:ascii="Arial" w:eastAsia="Arial" w:hAnsi="Arial" w:cs="Arial"/>
                <w:b/>
                <w:bCs/>
                <w:sz w:val="18"/>
                <w:lang w:eastAsia="ar-SA"/>
              </w:rPr>
            </w:pPr>
          </w:p>
        </w:tc>
        <w:tc>
          <w:tcPr>
            <w:tcW w:w="566" w:type="dxa"/>
            <w:tcBorders>
              <w:top w:val="nil"/>
              <w:left w:val="single" w:sz="2" w:space="0" w:color="000001"/>
              <w:bottom w:val="single" w:sz="2" w:space="0" w:color="000001"/>
              <w:right w:val="nil"/>
            </w:tcBorders>
            <w:shd w:val="clear" w:color="auto" w:fill="FFFFFF"/>
          </w:tcPr>
          <w:p w:rsidR="006C641F" w:rsidRPr="00937C8B" w:rsidRDefault="006C641F" w:rsidP="00D27646">
            <w:pPr>
              <w:pStyle w:val="CTEtabla-texto"/>
              <w:keepNext/>
              <w:spacing w:line="252" w:lineRule="auto"/>
              <w:rPr>
                <w:rFonts w:cs="Arial"/>
                <w:b/>
              </w:rPr>
            </w:pPr>
            <w:r>
              <w:rPr>
                <w:b/>
              </w:rPr>
              <w:t>α</w:t>
            </w:r>
          </w:p>
        </w:tc>
        <w:tc>
          <w:tcPr>
            <w:tcW w:w="566" w:type="dxa"/>
            <w:tcBorders>
              <w:top w:val="nil"/>
              <w:left w:val="nil"/>
              <w:bottom w:val="single" w:sz="2" w:space="0" w:color="000001"/>
              <w:right w:val="nil"/>
            </w:tcBorders>
            <w:shd w:val="clear" w:color="auto" w:fill="FFFFFF"/>
          </w:tcPr>
          <w:p w:rsidR="006C641F" w:rsidRPr="00937C8B" w:rsidRDefault="006C641F" w:rsidP="00D27646">
            <w:pPr>
              <w:pStyle w:val="CTEtabla-texto"/>
              <w:keepNext/>
              <w:spacing w:line="252" w:lineRule="auto"/>
              <w:rPr>
                <w:rFonts w:cs="Arial"/>
                <w:b/>
              </w:rPr>
            </w:pPr>
            <w:r>
              <w:rPr>
                <w:b/>
              </w:rPr>
              <w:t>A</w:t>
            </w:r>
          </w:p>
        </w:tc>
        <w:tc>
          <w:tcPr>
            <w:tcW w:w="567" w:type="dxa"/>
            <w:tcBorders>
              <w:top w:val="nil"/>
              <w:left w:val="nil"/>
              <w:bottom w:val="single" w:sz="2" w:space="0" w:color="000001"/>
              <w:right w:val="nil"/>
            </w:tcBorders>
            <w:shd w:val="clear" w:color="auto" w:fill="FFFFFF"/>
          </w:tcPr>
          <w:p w:rsidR="006C641F" w:rsidRPr="00937C8B" w:rsidRDefault="006C641F" w:rsidP="00D27646">
            <w:pPr>
              <w:pStyle w:val="CTEtabla-texto"/>
              <w:keepNext/>
              <w:spacing w:line="252" w:lineRule="auto"/>
              <w:rPr>
                <w:rFonts w:cs="Arial"/>
                <w:b/>
              </w:rPr>
            </w:pPr>
            <w:r>
              <w:rPr>
                <w:b/>
              </w:rPr>
              <w:t>B</w:t>
            </w:r>
          </w:p>
        </w:tc>
        <w:tc>
          <w:tcPr>
            <w:tcW w:w="567" w:type="dxa"/>
            <w:tcBorders>
              <w:top w:val="nil"/>
              <w:left w:val="nil"/>
              <w:bottom w:val="single" w:sz="2" w:space="0" w:color="000001"/>
              <w:right w:val="nil"/>
            </w:tcBorders>
            <w:shd w:val="clear" w:color="auto" w:fill="FFFFFF"/>
          </w:tcPr>
          <w:p w:rsidR="006C641F" w:rsidRPr="00937C8B" w:rsidRDefault="006C641F" w:rsidP="00D27646">
            <w:pPr>
              <w:pStyle w:val="CTEtabla-texto"/>
              <w:keepNext/>
              <w:spacing w:line="252" w:lineRule="auto"/>
              <w:rPr>
                <w:rFonts w:cs="Arial"/>
                <w:b/>
              </w:rPr>
            </w:pPr>
            <w:r>
              <w:rPr>
                <w:b/>
              </w:rPr>
              <w:t>C</w:t>
            </w:r>
          </w:p>
        </w:tc>
        <w:tc>
          <w:tcPr>
            <w:tcW w:w="567" w:type="dxa"/>
            <w:tcBorders>
              <w:top w:val="nil"/>
              <w:left w:val="nil"/>
              <w:bottom w:val="single" w:sz="2" w:space="0" w:color="000001"/>
              <w:right w:val="nil"/>
            </w:tcBorders>
            <w:shd w:val="clear" w:color="auto" w:fill="FFFFFF"/>
          </w:tcPr>
          <w:p w:rsidR="006C641F" w:rsidRPr="00937C8B" w:rsidRDefault="006C641F" w:rsidP="00D27646">
            <w:pPr>
              <w:pStyle w:val="CTEtabla-texto"/>
              <w:keepNext/>
              <w:spacing w:line="252" w:lineRule="auto"/>
              <w:rPr>
                <w:rFonts w:cs="Arial"/>
                <w:b/>
              </w:rPr>
            </w:pPr>
            <w:r>
              <w:rPr>
                <w:b/>
              </w:rPr>
              <w:t>D</w:t>
            </w:r>
          </w:p>
        </w:tc>
        <w:tc>
          <w:tcPr>
            <w:tcW w:w="558" w:type="dxa"/>
            <w:tcBorders>
              <w:top w:val="nil"/>
              <w:left w:val="nil"/>
              <w:bottom w:val="single" w:sz="2" w:space="0" w:color="000001"/>
              <w:right w:val="nil"/>
            </w:tcBorders>
            <w:shd w:val="clear" w:color="auto" w:fill="FFFFFF"/>
          </w:tcPr>
          <w:p w:rsidR="006C641F" w:rsidRPr="00937C8B" w:rsidRDefault="006C641F" w:rsidP="00D27646">
            <w:pPr>
              <w:pStyle w:val="CTEtabla-texto"/>
              <w:keepNext/>
              <w:spacing w:line="252" w:lineRule="auto"/>
              <w:rPr>
                <w:rFonts w:cs="Arial"/>
                <w:b/>
              </w:rPr>
            </w:pPr>
            <w:r>
              <w:rPr>
                <w:b/>
              </w:rPr>
              <w:t>E</w:t>
            </w:r>
          </w:p>
        </w:tc>
      </w:tr>
      <w:tr w:rsidR="006C641F" w:rsidRPr="00937C8B" w:rsidTr="00E47AFE">
        <w:trPr>
          <w:cantSplit/>
          <w:jc w:val="center"/>
        </w:trPr>
        <w:tc>
          <w:tcPr>
            <w:tcW w:w="3546" w:type="dxa"/>
            <w:tcBorders>
              <w:top w:val="single" w:sz="2" w:space="0" w:color="000001"/>
              <w:left w:val="nil"/>
              <w:bottom w:val="nil"/>
              <w:right w:val="single" w:sz="2" w:space="0" w:color="000001"/>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jc w:val="left"/>
              <w:rPr>
                <w:rFonts w:cs="Arial"/>
                <w:b/>
              </w:rPr>
            </w:pPr>
            <w:r>
              <w:rPr>
                <w:b/>
              </w:rPr>
              <w:t>New buildings and extensions</w:t>
            </w:r>
          </w:p>
        </w:tc>
        <w:tc>
          <w:tcPr>
            <w:tcW w:w="566" w:type="dxa"/>
            <w:tcBorders>
              <w:top w:val="single" w:sz="2" w:space="0" w:color="000001"/>
              <w:left w:val="single" w:sz="2" w:space="0" w:color="000001"/>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rPr>
                <w:rFonts w:cs="Arial"/>
              </w:rPr>
            </w:pPr>
            <w:r>
              <w:t>40</w:t>
            </w:r>
          </w:p>
        </w:tc>
        <w:tc>
          <w:tcPr>
            <w:tcW w:w="566"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rPr>
                <w:rFonts w:cs="Arial"/>
              </w:rPr>
            </w:pPr>
            <w:r>
              <w:t>50</w:t>
            </w:r>
          </w:p>
        </w:tc>
        <w:tc>
          <w:tcPr>
            <w:tcW w:w="567"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rPr>
                <w:rFonts w:cs="Arial"/>
              </w:rPr>
            </w:pPr>
            <w:r>
              <w:t>56</w:t>
            </w:r>
          </w:p>
        </w:tc>
        <w:tc>
          <w:tcPr>
            <w:tcW w:w="567"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rPr>
                <w:rFonts w:cs="Arial"/>
              </w:rPr>
            </w:pPr>
            <w:r>
              <w:t>64</w:t>
            </w:r>
          </w:p>
        </w:tc>
        <w:tc>
          <w:tcPr>
            <w:tcW w:w="567"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rPr>
                <w:rFonts w:cs="Arial"/>
              </w:rPr>
            </w:pPr>
            <w:r>
              <w:t>76</w:t>
            </w:r>
          </w:p>
        </w:tc>
        <w:tc>
          <w:tcPr>
            <w:tcW w:w="558" w:type="dxa"/>
            <w:tcBorders>
              <w:top w:val="single" w:sz="2" w:space="0" w:color="000001"/>
              <w:left w:val="nil"/>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rPr>
                <w:rFonts w:cs="Arial"/>
              </w:rPr>
            </w:pPr>
            <w:r>
              <w:t>86</w:t>
            </w:r>
          </w:p>
        </w:tc>
      </w:tr>
      <w:tr w:rsidR="006C641F" w:rsidRPr="00937C8B" w:rsidTr="00E47AFE">
        <w:trPr>
          <w:cantSplit/>
          <w:jc w:val="center"/>
        </w:trPr>
        <w:tc>
          <w:tcPr>
            <w:tcW w:w="3546" w:type="dxa"/>
            <w:tcBorders>
              <w:top w:val="nil"/>
              <w:left w:val="nil"/>
              <w:bottom w:val="nil"/>
              <w:right w:val="single" w:sz="2" w:space="0" w:color="000001"/>
            </w:tcBorders>
            <w:shd w:val="clear" w:color="auto" w:fill="FFFFFF"/>
            <w:tcMar>
              <w:top w:w="55" w:type="dxa"/>
              <w:left w:w="46" w:type="dxa"/>
              <w:bottom w:w="55" w:type="dxa"/>
              <w:right w:w="55" w:type="dxa"/>
            </w:tcMar>
            <w:vAlign w:val="center"/>
          </w:tcPr>
          <w:p w:rsidR="006C641F" w:rsidRPr="00937C8B" w:rsidRDefault="006C641F" w:rsidP="00E47AFE">
            <w:pPr>
              <w:pStyle w:val="CTEtabla-texto"/>
              <w:keepNext/>
              <w:spacing w:line="252" w:lineRule="auto"/>
              <w:jc w:val="left"/>
              <w:rPr>
                <w:rFonts w:cs="Arial"/>
                <w:b/>
                <w:szCs w:val="18"/>
              </w:rPr>
            </w:pPr>
            <w:r>
              <w:rPr>
                <w:b/>
              </w:rPr>
              <w:t>Changes in use to private residential and renovations</w:t>
            </w:r>
          </w:p>
        </w:tc>
        <w:tc>
          <w:tcPr>
            <w:tcW w:w="566" w:type="dxa"/>
            <w:tcBorders>
              <w:top w:val="nil"/>
              <w:left w:val="single" w:sz="2" w:space="0" w:color="000001"/>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rPr>
                <w:rFonts w:cs="Arial"/>
              </w:rPr>
            </w:pPr>
            <w:r>
              <w:t>55</w:t>
            </w:r>
          </w:p>
        </w:tc>
        <w:tc>
          <w:tcPr>
            <w:tcW w:w="566" w:type="dxa"/>
            <w:tcBorders>
              <w:top w:val="nil"/>
              <w:left w:val="nil"/>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rPr>
                <w:rFonts w:cs="Arial"/>
              </w:rPr>
            </w:pPr>
            <w:r>
              <w:t>75</w:t>
            </w:r>
          </w:p>
        </w:tc>
        <w:tc>
          <w:tcPr>
            <w:tcW w:w="567" w:type="dxa"/>
            <w:tcBorders>
              <w:top w:val="nil"/>
              <w:left w:val="nil"/>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rPr>
                <w:rFonts w:cs="Arial"/>
              </w:rPr>
            </w:pPr>
            <w:r>
              <w:t>80</w:t>
            </w:r>
          </w:p>
        </w:tc>
        <w:tc>
          <w:tcPr>
            <w:tcW w:w="567" w:type="dxa"/>
            <w:tcBorders>
              <w:top w:val="nil"/>
              <w:left w:val="nil"/>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rPr>
                <w:rFonts w:cs="Arial"/>
              </w:rPr>
            </w:pPr>
            <w:r>
              <w:t>90</w:t>
            </w:r>
          </w:p>
        </w:tc>
        <w:tc>
          <w:tcPr>
            <w:tcW w:w="567" w:type="dxa"/>
            <w:tcBorders>
              <w:top w:val="nil"/>
              <w:left w:val="nil"/>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rPr>
                <w:rFonts w:cs="Arial"/>
              </w:rPr>
            </w:pPr>
            <w:r>
              <w:t>105</w:t>
            </w:r>
          </w:p>
        </w:tc>
        <w:tc>
          <w:tcPr>
            <w:tcW w:w="558" w:type="dxa"/>
            <w:tcBorders>
              <w:top w:val="nil"/>
              <w:left w:val="nil"/>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texto"/>
              <w:keepNext/>
              <w:spacing w:line="252" w:lineRule="auto"/>
              <w:rPr>
                <w:rFonts w:cs="Arial"/>
              </w:rPr>
            </w:pPr>
            <w:r>
              <w:t>115</w:t>
            </w:r>
          </w:p>
        </w:tc>
      </w:tr>
      <w:tr w:rsidR="006C641F" w:rsidRPr="00937C8B" w:rsidTr="00E47AFE">
        <w:trPr>
          <w:cantSplit/>
          <w:jc w:val="center"/>
        </w:trPr>
        <w:tc>
          <w:tcPr>
            <w:tcW w:w="6937" w:type="dxa"/>
            <w:gridSpan w:val="7"/>
            <w:tcBorders>
              <w:top w:val="nil"/>
              <w:left w:val="nil"/>
              <w:bottom w:val="nil"/>
              <w:right w:val="nil"/>
            </w:tcBorders>
            <w:shd w:val="clear" w:color="auto" w:fill="FFFFFF"/>
            <w:tcMar>
              <w:top w:w="55" w:type="dxa"/>
              <w:left w:w="46" w:type="dxa"/>
              <w:bottom w:w="55" w:type="dxa"/>
              <w:right w:w="55" w:type="dxa"/>
            </w:tcMar>
            <w:vAlign w:val="center"/>
          </w:tcPr>
          <w:p w:rsidR="006C641F" w:rsidRPr="00937C8B" w:rsidRDefault="006C641F" w:rsidP="006C641F">
            <w:pPr>
              <w:pStyle w:val="CTETabla-nota"/>
              <w:ind w:left="22" w:firstLine="0"/>
            </w:pPr>
            <w:r>
              <w:t>For non-mainland Spain (Balearic Islands, Canary Islands, Ceuta and Melilla), the values in the table shall be multiplied by 1.15.</w:t>
            </w:r>
          </w:p>
        </w:tc>
      </w:tr>
    </w:tbl>
    <w:p w:rsidR="006C641F" w:rsidRPr="00937C8B" w:rsidRDefault="006C641F" w:rsidP="006C641F">
      <w:pPr>
        <w:rPr>
          <w:rFonts w:ascii="Arial" w:hAnsi="Arial" w:cs="Arial"/>
          <w:b/>
          <w:sz w:val="18"/>
        </w:rPr>
      </w:pPr>
    </w:p>
    <w:p w:rsidR="006C641F" w:rsidRPr="00937C8B" w:rsidRDefault="006C641F" w:rsidP="00D27646">
      <w:pPr>
        <w:pStyle w:val="CTENumeracion"/>
        <w:keepNext/>
        <w:ind w:left="426" w:firstLine="0"/>
        <w:jc w:val="center"/>
        <w:rPr>
          <w:rFonts w:cs="Arial"/>
          <w:b/>
          <w:sz w:val="18"/>
        </w:rPr>
      </w:pPr>
      <w:r>
        <w:rPr>
          <w:b/>
          <w:sz w:val="18"/>
        </w:rPr>
        <w:t>Table 3.2.b - HE0</w:t>
      </w:r>
    </w:p>
    <w:p w:rsidR="006C641F" w:rsidRPr="00937C8B" w:rsidRDefault="006C641F" w:rsidP="00D27646">
      <w:pPr>
        <w:pStyle w:val="CTENumeracion"/>
        <w:keepNext/>
        <w:spacing w:after="120"/>
        <w:ind w:left="425" w:firstLine="0"/>
        <w:jc w:val="center"/>
        <w:rPr>
          <w:rFonts w:cs="Arial"/>
        </w:rPr>
      </w:pPr>
      <w:r>
        <w:rPr>
          <w:b/>
          <w:sz w:val="18"/>
        </w:rPr>
        <w:t xml:space="preserve">Limit value </w:t>
      </w:r>
      <w:r>
        <w:rPr>
          <w:b/>
          <w:i/>
          <w:sz w:val="18"/>
        </w:rPr>
        <w:t>C</w:t>
      </w:r>
      <w:r>
        <w:rPr>
          <w:b/>
          <w:i/>
          <w:sz w:val="18"/>
          <w:vertAlign w:val="subscript"/>
        </w:rPr>
        <w:t xml:space="preserve">ep,tot,lim </w:t>
      </w:r>
      <w:r>
        <w:rPr>
          <w:b/>
          <w:sz w:val="18"/>
        </w:rPr>
        <w:t>[kW·h/m</w:t>
      </w:r>
      <w:r>
        <w:rPr>
          <w:b/>
          <w:sz w:val="18"/>
          <w:vertAlign w:val="superscript"/>
        </w:rPr>
        <w:t>2</w:t>
      </w:r>
      <w:r>
        <w:rPr>
          <w:b/>
          <w:sz w:val="18"/>
        </w:rPr>
        <w:t>·year] for uses other than private residential</w:t>
      </w:r>
    </w:p>
    <w:tbl>
      <w:tblPr>
        <w:tblW w:w="7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1229"/>
        <w:gridCol w:w="1229"/>
        <w:gridCol w:w="1228"/>
        <w:gridCol w:w="1228"/>
        <w:gridCol w:w="1228"/>
      </w:tblGrid>
      <w:tr w:rsidR="006C641F" w:rsidRPr="00937C8B" w:rsidTr="00E47AFE">
        <w:trPr>
          <w:jc w:val="center"/>
        </w:trPr>
        <w:tc>
          <w:tcPr>
            <w:tcW w:w="9258" w:type="dxa"/>
            <w:gridSpan w:val="6"/>
            <w:tcBorders>
              <w:top w:val="nil"/>
              <w:left w:val="nil"/>
              <w:bottom w:val="nil"/>
              <w:right w:val="nil"/>
            </w:tcBorders>
            <w:shd w:val="clear" w:color="auto" w:fill="auto"/>
          </w:tcPr>
          <w:p w:rsidR="006C641F" w:rsidRPr="00937C8B" w:rsidRDefault="006C641F" w:rsidP="00D27646">
            <w:pPr>
              <w:pStyle w:val="CTENumeracion"/>
              <w:keepNext/>
              <w:ind w:left="0" w:firstLine="0"/>
              <w:jc w:val="center"/>
              <w:rPr>
                <w:rFonts w:cs="Arial"/>
              </w:rPr>
            </w:pPr>
            <w:r>
              <w:rPr>
                <w:b/>
                <w:sz w:val="18"/>
              </w:rPr>
              <w:t>Winter climate zone</w:t>
            </w:r>
          </w:p>
        </w:tc>
      </w:tr>
      <w:tr w:rsidR="006C641F" w:rsidRPr="00937C8B" w:rsidTr="00E47AFE">
        <w:trPr>
          <w:jc w:val="center"/>
        </w:trPr>
        <w:tc>
          <w:tcPr>
            <w:tcW w:w="1543" w:type="dxa"/>
            <w:tcBorders>
              <w:top w:val="nil"/>
              <w:left w:val="nil"/>
              <w:bottom w:val="single" w:sz="4" w:space="0" w:color="auto"/>
              <w:right w:val="nil"/>
            </w:tcBorders>
            <w:shd w:val="clear" w:color="auto" w:fill="auto"/>
          </w:tcPr>
          <w:p w:rsidR="006C641F" w:rsidRPr="00937C8B" w:rsidRDefault="006C641F" w:rsidP="00D27646">
            <w:pPr>
              <w:pStyle w:val="CTENumeracion"/>
              <w:keepNext/>
              <w:ind w:left="0" w:firstLine="0"/>
              <w:jc w:val="center"/>
              <w:rPr>
                <w:rFonts w:cs="Arial"/>
              </w:rPr>
            </w:pPr>
            <w:r>
              <w:rPr>
                <w:b/>
                <w:sz w:val="18"/>
              </w:rPr>
              <w:t>α</w:t>
            </w:r>
          </w:p>
        </w:tc>
        <w:tc>
          <w:tcPr>
            <w:tcW w:w="1543" w:type="dxa"/>
            <w:tcBorders>
              <w:top w:val="nil"/>
              <w:left w:val="nil"/>
              <w:bottom w:val="single" w:sz="4" w:space="0" w:color="auto"/>
              <w:right w:val="nil"/>
            </w:tcBorders>
            <w:shd w:val="clear" w:color="auto" w:fill="auto"/>
          </w:tcPr>
          <w:p w:rsidR="006C641F" w:rsidRPr="00937C8B" w:rsidRDefault="006C641F" w:rsidP="00D27646">
            <w:pPr>
              <w:pStyle w:val="CTENumeracion"/>
              <w:keepNext/>
              <w:ind w:left="0" w:firstLine="0"/>
              <w:jc w:val="center"/>
              <w:rPr>
                <w:rFonts w:cs="Arial"/>
              </w:rPr>
            </w:pPr>
            <w:r>
              <w:rPr>
                <w:b/>
                <w:sz w:val="18"/>
              </w:rPr>
              <w:t>A</w:t>
            </w:r>
          </w:p>
        </w:tc>
        <w:tc>
          <w:tcPr>
            <w:tcW w:w="1543" w:type="dxa"/>
            <w:tcBorders>
              <w:top w:val="nil"/>
              <w:left w:val="nil"/>
              <w:bottom w:val="single" w:sz="4" w:space="0" w:color="auto"/>
              <w:right w:val="nil"/>
            </w:tcBorders>
            <w:shd w:val="clear" w:color="auto" w:fill="auto"/>
          </w:tcPr>
          <w:p w:rsidR="006C641F" w:rsidRPr="00937C8B" w:rsidRDefault="006C641F" w:rsidP="00D27646">
            <w:pPr>
              <w:pStyle w:val="CTENumeracion"/>
              <w:keepNext/>
              <w:ind w:left="0" w:firstLine="0"/>
              <w:jc w:val="center"/>
              <w:rPr>
                <w:rFonts w:cs="Arial"/>
              </w:rPr>
            </w:pPr>
            <w:r>
              <w:rPr>
                <w:b/>
                <w:sz w:val="18"/>
              </w:rPr>
              <w:t>B</w:t>
            </w:r>
          </w:p>
        </w:tc>
        <w:tc>
          <w:tcPr>
            <w:tcW w:w="1543" w:type="dxa"/>
            <w:tcBorders>
              <w:top w:val="nil"/>
              <w:left w:val="nil"/>
              <w:bottom w:val="single" w:sz="4" w:space="0" w:color="auto"/>
              <w:right w:val="nil"/>
            </w:tcBorders>
            <w:shd w:val="clear" w:color="auto" w:fill="auto"/>
          </w:tcPr>
          <w:p w:rsidR="006C641F" w:rsidRPr="00937C8B" w:rsidRDefault="006C641F" w:rsidP="00D27646">
            <w:pPr>
              <w:pStyle w:val="CTENumeracion"/>
              <w:keepNext/>
              <w:ind w:left="0" w:firstLine="0"/>
              <w:jc w:val="center"/>
              <w:rPr>
                <w:rFonts w:cs="Arial"/>
              </w:rPr>
            </w:pPr>
            <w:r>
              <w:rPr>
                <w:b/>
                <w:sz w:val="18"/>
              </w:rPr>
              <w:t>C</w:t>
            </w:r>
          </w:p>
        </w:tc>
        <w:tc>
          <w:tcPr>
            <w:tcW w:w="1543" w:type="dxa"/>
            <w:tcBorders>
              <w:top w:val="nil"/>
              <w:left w:val="nil"/>
              <w:bottom w:val="single" w:sz="4" w:space="0" w:color="auto"/>
              <w:right w:val="nil"/>
            </w:tcBorders>
            <w:shd w:val="clear" w:color="auto" w:fill="auto"/>
          </w:tcPr>
          <w:p w:rsidR="006C641F" w:rsidRPr="00937C8B" w:rsidRDefault="006C641F" w:rsidP="00D27646">
            <w:pPr>
              <w:pStyle w:val="CTENumeracion"/>
              <w:keepNext/>
              <w:ind w:left="0" w:firstLine="0"/>
              <w:jc w:val="center"/>
              <w:rPr>
                <w:rFonts w:cs="Arial"/>
              </w:rPr>
            </w:pPr>
            <w:r>
              <w:rPr>
                <w:b/>
                <w:sz w:val="18"/>
              </w:rPr>
              <w:t>D</w:t>
            </w:r>
          </w:p>
        </w:tc>
        <w:tc>
          <w:tcPr>
            <w:tcW w:w="1543" w:type="dxa"/>
            <w:tcBorders>
              <w:top w:val="nil"/>
              <w:left w:val="nil"/>
              <w:bottom w:val="single" w:sz="4" w:space="0" w:color="auto"/>
              <w:right w:val="nil"/>
            </w:tcBorders>
            <w:shd w:val="clear" w:color="auto" w:fill="auto"/>
          </w:tcPr>
          <w:p w:rsidR="006C641F" w:rsidRPr="00937C8B" w:rsidRDefault="006C641F" w:rsidP="00D27646">
            <w:pPr>
              <w:pStyle w:val="CTENumeracion"/>
              <w:keepNext/>
              <w:ind w:left="0" w:firstLine="0"/>
              <w:jc w:val="center"/>
              <w:rPr>
                <w:rFonts w:cs="Arial"/>
              </w:rPr>
            </w:pPr>
            <w:r>
              <w:rPr>
                <w:b/>
                <w:sz w:val="18"/>
              </w:rPr>
              <w:t>E</w:t>
            </w:r>
          </w:p>
        </w:tc>
      </w:tr>
      <w:tr w:rsidR="006C641F" w:rsidRPr="00937C8B" w:rsidTr="00E47AFE">
        <w:trPr>
          <w:jc w:val="center"/>
        </w:trPr>
        <w:tc>
          <w:tcPr>
            <w:tcW w:w="1543"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rPr>
            </w:pPr>
            <w:r>
              <w:rPr>
                <w:sz w:val="18"/>
              </w:rPr>
              <w:t>165 + 9 · C</w:t>
            </w:r>
            <w:r>
              <w:rPr>
                <w:sz w:val="18"/>
                <w:vertAlign w:val="subscript"/>
              </w:rPr>
              <w:t>FI</w:t>
            </w:r>
          </w:p>
        </w:tc>
        <w:tc>
          <w:tcPr>
            <w:tcW w:w="1543"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rPr>
            </w:pPr>
            <w:r>
              <w:rPr>
                <w:sz w:val="18"/>
              </w:rPr>
              <w:t>155 + 9 · C</w:t>
            </w:r>
            <w:r>
              <w:rPr>
                <w:sz w:val="18"/>
                <w:vertAlign w:val="subscript"/>
              </w:rPr>
              <w:t>FI</w:t>
            </w:r>
          </w:p>
        </w:tc>
        <w:tc>
          <w:tcPr>
            <w:tcW w:w="1543"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rPr>
            </w:pPr>
            <w:r>
              <w:rPr>
                <w:sz w:val="18"/>
              </w:rPr>
              <w:t>150 + 9 · C</w:t>
            </w:r>
            <w:r>
              <w:rPr>
                <w:sz w:val="18"/>
                <w:vertAlign w:val="subscript"/>
              </w:rPr>
              <w:t>FI</w:t>
            </w:r>
          </w:p>
        </w:tc>
        <w:tc>
          <w:tcPr>
            <w:tcW w:w="1543"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rPr>
            </w:pPr>
            <w:r>
              <w:rPr>
                <w:sz w:val="18"/>
              </w:rPr>
              <w:t>140 + 9 · C</w:t>
            </w:r>
            <w:r>
              <w:rPr>
                <w:sz w:val="18"/>
                <w:vertAlign w:val="subscript"/>
              </w:rPr>
              <w:t>FI</w:t>
            </w:r>
          </w:p>
        </w:tc>
        <w:tc>
          <w:tcPr>
            <w:tcW w:w="1543"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rPr>
            </w:pPr>
            <w:r>
              <w:rPr>
                <w:sz w:val="18"/>
              </w:rPr>
              <w:t>130 + 9 · C</w:t>
            </w:r>
            <w:r>
              <w:rPr>
                <w:sz w:val="18"/>
                <w:vertAlign w:val="subscript"/>
              </w:rPr>
              <w:t>FI</w:t>
            </w:r>
          </w:p>
        </w:tc>
        <w:tc>
          <w:tcPr>
            <w:tcW w:w="1543" w:type="dxa"/>
            <w:tcBorders>
              <w:left w:val="nil"/>
              <w:bottom w:val="nil"/>
              <w:right w:val="nil"/>
            </w:tcBorders>
            <w:shd w:val="clear" w:color="auto" w:fill="auto"/>
            <w:vAlign w:val="center"/>
          </w:tcPr>
          <w:p w:rsidR="006C641F" w:rsidRPr="00937C8B" w:rsidRDefault="006C641F" w:rsidP="00425ADA">
            <w:pPr>
              <w:pStyle w:val="CTENumeracion"/>
              <w:ind w:left="0" w:firstLine="0"/>
              <w:jc w:val="center"/>
              <w:rPr>
                <w:rFonts w:cs="Arial"/>
              </w:rPr>
            </w:pPr>
            <w:r>
              <w:rPr>
                <w:sz w:val="18"/>
              </w:rPr>
              <w:t>120 + 9 · C</w:t>
            </w:r>
            <w:r>
              <w:rPr>
                <w:sz w:val="18"/>
                <w:vertAlign w:val="subscript"/>
              </w:rPr>
              <w:t>FI</w:t>
            </w:r>
          </w:p>
        </w:tc>
      </w:tr>
      <w:tr w:rsidR="006C641F" w:rsidRPr="00937C8B" w:rsidTr="00E47AFE">
        <w:trPr>
          <w:jc w:val="center"/>
        </w:trPr>
        <w:tc>
          <w:tcPr>
            <w:tcW w:w="9258" w:type="dxa"/>
            <w:gridSpan w:val="6"/>
            <w:tcBorders>
              <w:top w:val="nil"/>
              <w:left w:val="nil"/>
              <w:bottom w:val="nil"/>
              <w:right w:val="nil"/>
            </w:tcBorders>
            <w:shd w:val="clear" w:color="auto" w:fill="auto"/>
          </w:tcPr>
          <w:p w:rsidR="006C641F" w:rsidRPr="00937C8B" w:rsidRDefault="006C641F" w:rsidP="00425ADA">
            <w:pPr>
              <w:pStyle w:val="CTETabla-nota"/>
              <w:ind w:left="35" w:hanging="17"/>
            </w:pPr>
            <w:r>
              <w:t>C</w:t>
            </w:r>
            <w:r>
              <w:rPr>
                <w:vertAlign w:val="subscript"/>
              </w:rPr>
              <w:t>FI</w:t>
            </w:r>
            <w:r>
              <w:t xml:space="preserve">: </w:t>
            </w:r>
            <w:r>
              <w:rPr>
                <w:i/>
              </w:rPr>
              <w:t xml:space="preserve">Average internal load </w:t>
            </w:r>
            <w:r>
              <w:t>[W/m</w:t>
            </w:r>
            <w:r>
              <w:rPr>
                <w:vertAlign w:val="superscript"/>
              </w:rPr>
              <w:t>2</w:t>
            </w:r>
            <w:r>
              <w:t>]</w:t>
            </w:r>
          </w:p>
          <w:p w:rsidR="006C641F" w:rsidRPr="00937C8B" w:rsidRDefault="006C641F" w:rsidP="00E47AFE">
            <w:pPr>
              <w:pStyle w:val="CTETabla-nota"/>
              <w:ind w:left="35" w:hanging="17"/>
            </w:pPr>
            <w:r>
              <w:t>For non-mainland Spain (Balearic Islands, Canary Islands, Ceuta and Melilla), the values obtained shall be multiplied by 1.40.</w:t>
            </w:r>
          </w:p>
        </w:tc>
      </w:tr>
    </w:tbl>
    <w:p w:rsidR="00E47AFE" w:rsidRDefault="00E47AFE" w:rsidP="006C641F">
      <w:pPr>
        <w:pStyle w:val="CTENumeracion"/>
        <w:rPr>
          <w:rFonts w:cs="Arial"/>
          <w:sz w:val="22"/>
          <w:szCs w:val="22"/>
        </w:rPr>
      </w:pPr>
    </w:p>
    <w:p w:rsidR="006C641F" w:rsidRPr="00937C8B" w:rsidRDefault="006C641F" w:rsidP="006C641F">
      <w:pPr>
        <w:pStyle w:val="CTENumeracion"/>
        <w:rPr>
          <w:rFonts w:cs="Arial"/>
          <w:sz w:val="22"/>
          <w:szCs w:val="22"/>
        </w:rPr>
      </w:pPr>
      <w:r>
        <w:rPr>
          <w:sz w:val="22"/>
        </w:rPr>
        <w:t>2.</w:t>
      </w:r>
      <w:r>
        <w:rPr>
          <w:sz w:val="22"/>
        </w:rPr>
        <w:tab/>
        <w:t>For buildings featuring private residential usage units combined with other usage units, the total</w:t>
      </w:r>
      <w:r>
        <w:rPr>
          <w:i/>
          <w:sz w:val="22"/>
        </w:rPr>
        <w:t xml:space="preserve"> primary energy </w:t>
      </w:r>
      <w:r>
        <w:rPr>
          <w:sz w:val="22"/>
        </w:rPr>
        <w:t>consumption limit value (Cep,tot,lim) shall be applied separately to each building part with a different use.</w:t>
      </w:r>
    </w:p>
    <w:p w:rsidR="006C641F" w:rsidRPr="00937C8B" w:rsidRDefault="006C641F" w:rsidP="006C641F">
      <w:pPr>
        <w:pStyle w:val="CteTtulo2"/>
        <w:rPr>
          <w:rFonts w:cs="Arial"/>
        </w:rPr>
      </w:pPr>
      <w:bookmarkStart w:id="48" w:name="_Toc530395235"/>
      <w:bookmarkStart w:id="49" w:name="_Toc530396114"/>
      <w:bookmarkStart w:id="50" w:name="_Toc39157906"/>
      <w:bookmarkStart w:id="51" w:name="_Toc39158113"/>
      <w:bookmarkStart w:id="52" w:name="_Toc44876232"/>
      <w:r>
        <w:t>4.</w:t>
      </w:r>
      <w:r>
        <w:tab/>
        <w:t>Procedure and information for determining energy consumption</w:t>
      </w:r>
      <w:bookmarkEnd w:id="48"/>
      <w:bookmarkEnd w:id="49"/>
      <w:bookmarkEnd w:id="50"/>
      <w:bookmarkEnd w:id="51"/>
      <w:bookmarkEnd w:id="52"/>
    </w:p>
    <w:p w:rsidR="006C641F" w:rsidRPr="00937C8B" w:rsidRDefault="006C641F" w:rsidP="009467D5">
      <w:pPr>
        <w:pStyle w:val="CteTtulo3"/>
      </w:pPr>
      <w:bookmarkStart w:id="53" w:name="_Toc530395236"/>
      <w:bookmarkStart w:id="54" w:name="_Toc39157907"/>
      <w:bookmarkStart w:id="55" w:name="_Toc44876233"/>
      <w:r>
        <w:t>4.1</w:t>
      </w:r>
      <w:r>
        <w:tab/>
        <w:t>Calculation procedure</w:t>
      </w:r>
      <w:bookmarkEnd w:id="53"/>
      <w:bookmarkEnd w:id="54"/>
      <w:bookmarkEnd w:id="55"/>
    </w:p>
    <w:p w:rsidR="006C641F" w:rsidRPr="00937C8B" w:rsidRDefault="006C641F" w:rsidP="006C641F">
      <w:pPr>
        <w:pStyle w:val="CTENumeracion"/>
        <w:rPr>
          <w:rFonts w:cs="Arial"/>
          <w:sz w:val="22"/>
          <w:szCs w:val="22"/>
        </w:rPr>
      </w:pPr>
      <w:r>
        <w:rPr>
          <w:sz w:val="22"/>
        </w:rPr>
        <w:t>1.</w:t>
      </w:r>
      <w:r>
        <w:rPr>
          <w:sz w:val="22"/>
        </w:rPr>
        <w:tab/>
        <w:t>The energy consumption requirements for the building or part thereof set out in this basic document shall be verified with a calculation procedure according to the characteristics specified in this subsection.</w:t>
      </w:r>
    </w:p>
    <w:p w:rsidR="006C641F" w:rsidRPr="00937C8B" w:rsidRDefault="006C641F" w:rsidP="006C641F">
      <w:pPr>
        <w:pStyle w:val="CTENumeracion"/>
        <w:spacing w:before="120"/>
        <w:rPr>
          <w:rFonts w:cs="Arial"/>
          <w:sz w:val="22"/>
          <w:szCs w:val="22"/>
        </w:rPr>
      </w:pPr>
      <w:r>
        <w:rPr>
          <w:sz w:val="22"/>
        </w:rPr>
        <w:lastRenderedPageBreak/>
        <w:t>2.</w:t>
      </w:r>
      <w:r>
        <w:rPr>
          <w:sz w:val="22"/>
        </w:rPr>
        <w:tab/>
        <w:t xml:space="preserve">The calculation procedure must enable determination of the energy performance, as </w:t>
      </w:r>
      <w:r>
        <w:rPr>
          <w:i/>
          <w:sz w:val="22"/>
        </w:rPr>
        <w:t xml:space="preserve">non-renewable primary energy </w:t>
      </w:r>
      <w:r>
        <w:rPr>
          <w:sz w:val="22"/>
        </w:rPr>
        <w:t>(C</w:t>
      </w:r>
      <w:r>
        <w:rPr>
          <w:sz w:val="22"/>
          <w:vertAlign w:val="subscript"/>
        </w:rPr>
        <w:t>ep,nren</w:t>
      </w:r>
      <w:r>
        <w:rPr>
          <w:sz w:val="22"/>
        </w:rPr>
        <w:t xml:space="preserve">), and </w:t>
      </w:r>
      <w:r>
        <w:rPr>
          <w:i/>
          <w:sz w:val="22"/>
        </w:rPr>
        <w:t>total primary energy consumption</w:t>
      </w:r>
      <w:r>
        <w:rPr>
          <w:sz w:val="22"/>
        </w:rPr>
        <w:t xml:space="preserve"> (C</w:t>
      </w:r>
      <w:r>
        <w:rPr>
          <w:sz w:val="22"/>
          <w:vertAlign w:val="subscript"/>
        </w:rPr>
        <w:t>ep,tot</w:t>
      </w:r>
      <w:r>
        <w:rPr>
          <w:sz w:val="22"/>
        </w:rPr>
        <w:t xml:space="preserve">), that is needed to maintain the </w:t>
      </w:r>
      <w:r>
        <w:rPr>
          <w:i/>
          <w:iCs/>
          <w:sz w:val="22"/>
        </w:rPr>
        <w:t>operating conditions</w:t>
      </w:r>
      <w:r>
        <w:rPr>
          <w:sz w:val="22"/>
        </w:rPr>
        <w:t xml:space="preserve"> of the building or part thereof for a period of one year under the influence of the </w:t>
      </w:r>
      <w:r>
        <w:rPr>
          <w:i/>
          <w:sz w:val="22"/>
        </w:rPr>
        <w:t>internal factors</w:t>
      </w:r>
      <w:r>
        <w:rPr>
          <w:sz w:val="22"/>
        </w:rPr>
        <w:t xml:space="preserve"> and </w:t>
      </w:r>
      <w:r>
        <w:rPr>
          <w:i/>
          <w:sz w:val="22"/>
        </w:rPr>
        <w:t>external factors</w:t>
      </w:r>
      <w:r>
        <w:rPr>
          <w:sz w:val="22"/>
        </w:rPr>
        <w:t xml:space="preserve"> defined in the regulations.</w:t>
      </w:r>
    </w:p>
    <w:p w:rsidR="004410BF" w:rsidRPr="00937C8B" w:rsidRDefault="006C641F" w:rsidP="00D27646">
      <w:pPr>
        <w:pStyle w:val="CTENumeracion"/>
        <w:keepNext/>
        <w:spacing w:before="120"/>
        <w:rPr>
          <w:rFonts w:cs="Arial"/>
          <w:sz w:val="22"/>
          <w:szCs w:val="22"/>
        </w:rPr>
      </w:pPr>
      <w:r>
        <w:rPr>
          <w:sz w:val="22"/>
        </w:rPr>
        <w:t>3.</w:t>
      </w:r>
      <w:r>
        <w:rPr>
          <w:sz w:val="22"/>
        </w:rPr>
        <w:tab/>
        <w:t xml:space="preserve">The calculation procedure must enable a breakdown of the </w:t>
      </w:r>
      <w:r>
        <w:rPr>
          <w:i/>
          <w:sz w:val="22"/>
        </w:rPr>
        <w:t>final energy consumption</w:t>
      </w:r>
      <w:r>
        <w:rPr>
          <w:sz w:val="22"/>
        </w:rPr>
        <w:t xml:space="preserve"> by energy vector used (fuel type or electricity) to meet the energy needs for each technical service (heating, cooling, domestic hot water (DHW), ventilation, humidity control and any lighting). For this, it shall be permitted to use a simulation by means of a thermal model of the building or equivalent simplified methods, with detailed or simplified consideration of the following aspects:</w:t>
      </w:r>
    </w:p>
    <w:p w:rsidR="006C641F" w:rsidRPr="00937C8B" w:rsidRDefault="004410BF" w:rsidP="004410BF">
      <w:pPr>
        <w:pStyle w:val="CTENumeracion"/>
        <w:ind w:left="709" w:hanging="312"/>
        <w:rPr>
          <w:rFonts w:cs="Arial"/>
          <w:sz w:val="22"/>
          <w:szCs w:val="22"/>
        </w:rPr>
      </w:pPr>
      <w:r>
        <w:rPr>
          <w:sz w:val="22"/>
        </w:rPr>
        <w:t>a)</w:t>
      </w:r>
      <w:r>
        <w:rPr>
          <w:sz w:val="22"/>
        </w:rPr>
        <w:tab/>
        <w:t>building design, location and orientation;</w:t>
      </w:r>
    </w:p>
    <w:p w:rsidR="004410BF" w:rsidRPr="00937C8B" w:rsidRDefault="004410BF" w:rsidP="006C641F">
      <w:pPr>
        <w:pStyle w:val="CTENumeracion"/>
        <w:ind w:left="709" w:hanging="312"/>
        <w:rPr>
          <w:rFonts w:cs="Arial"/>
          <w:sz w:val="22"/>
          <w:szCs w:val="22"/>
        </w:rPr>
      </w:pPr>
      <w:r>
        <w:rPr>
          <w:sz w:val="22"/>
        </w:rPr>
        <w:t>b)</w:t>
      </w:r>
      <w:r>
        <w:rPr>
          <w:sz w:val="22"/>
        </w:rPr>
        <w:tab/>
        <w:t>hour-by-hour account of thermal processes in transient state;</w:t>
      </w:r>
    </w:p>
    <w:p w:rsidR="006C641F" w:rsidRPr="00937C8B" w:rsidRDefault="006C641F" w:rsidP="006C641F">
      <w:pPr>
        <w:pStyle w:val="CTENumeracion"/>
        <w:ind w:left="709" w:hanging="312"/>
        <w:rPr>
          <w:rFonts w:cs="Arial"/>
          <w:sz w:val="22"/>
          <w:szCs w:val="22"/>
        </w:rPr>
      </w:pPr>
      <w:r>
        <w:rPr>
          <w:sz w:val="22"/>
        </w:rPr>
        <w:t>c)</w:t>
      </w:r>
      <w:r>
        <w:rPr>
          <w:sz w:val="22"/>
        </w:rPr>
        <w:tab/>
        <w:t>thermal coupling between adjacent zones of the building at different temperatures;</w:t>
      </w:r>
    </w:p>
    <w:p w:rsidR="006C641F" w:rsidRPr="00937C8B" w:rsidRDefault="006C641F" w:rsidP="006C641F">
      <w:pPr>
        <w:pStyle w:val="CTENumeracion"/>
        <w:ind w:left="709" w:hanging="312"/>
        <w:rPr>
          <w:rFonts w:cs="Arial"/>
          <w:sz w:val="22"/>
          <w:szCs w:val="22"/>
        </w:rPr>
      </w:pPr>
      <w:r>
        <w:rPr>
          <w:sz w:val="22"/>
        </w:rPr>
        <w:t>d)</w:t>
      </w:r>
      <w:r>
        <w:rPr>
          <w:sz w:val="22"/>
        </w:rPr>
        <w:tab/>
        <w:t xml:space="preserve">the </w:t>
      </w:r>
      <w:r>
        <w:rPr>
          <w:i/>
          <w:sz w:val="22"/>
        </w:rPr>
        <w:t>external factors,</w:t>
      </w:r>
      <w:r>
        <w:rPr>
          <w:sz w:val="22"/>
        </w:rPr>
        <w:t xml:space="preserve"> </w:t>
      </w:r>
      <w:r>
        <w:rPr>
          <w:i/>
          <w:sz w:val="22"/>
        </w:rPr>
        <w:t>internal factors</w:t>
      </w:r>
      <w:r>
        <w:rPr>
          <w:sz w:val="22"/>
        </w:rPr>
        <w:t xml:space="preserve"> and </w:t>
      </w:r>
      <w:r>
        <w:rPr>
          <w:i/>
          <w:sz w:val="22"/>
        </w:rPr>
        <w:t>operating conditions</w:t>
      </w:r>
      <w:r>
        <w:rPr>
          <w:sz w:val="22"/>
        </w:rPr>
        <w:t>, taking into account the possibility of spaces in free oscillation;</w:t>
      </w:r>
    </w:p>
    <w:p w:rsidR="006C641F" w:rsidRPr="00937C8B" w:rsidRDefault="006C641F" w:rsidP="006C641F">
      <w:pPr>
        <w:pStyle w:val="CTENumeracion"/>
        <w:ind w:left="709" w:hanging="312"/>
        <w:rPr>
          <w:rFonts w:cs="Arial"/>
          <w:sz w:val="22"/>
          <w:szCs w:val="22"/>
        </w:rPr>
      </w:pPr>
      <w:r>
        <w:rPr>
          <w:sz w:val="22"/>
        </w:rPr>
        <w:t>e)</w:t>
      </w:r>
      <w:r>
        <w:rPr>
          <w:sz w:val="22"/>
        </w:rPr>
        <w:tab/>
        <w:t>energy gains and losses by conduction through the</w:t>
      </w:r>
      <w:r>
        <w:rPr>
          <w:i/>
          <w:sz w:val="22"/>
        </w:rPr>
        <w:t xml:space="preserve"> thermal envelope</w:t>
      </w:r>
      <w:r>
        <w:rPr>
          <w:sz w:val="22"/>
        </w:rPr>
        <w:t>, comprising opaque</w:t>
      </w:r>
      <w:r>
        <w:rPr>
          <w:i/>
          <w:sz w:val="22"/>
        </w:rPr>
        <w:t xml:space="preserve"> enclosures, openings</w:t>
      </w:r>
      <w:r>
        <w:rPr>
          <w:sz w:val="22"/>
        </w:rPr>
        <w:t xml:space="preserve"> and</w:t>
      </w:r>
      <w:r>
        <w:rPr>
          <w:i/>
          <w:sz w:val="22"/>
        </w:rPr>
        <w:t xml:space="preserve"> heat bridges,</w:t>
      </w:r>
      <w:r>
        <w:rPr>
          <w:sz w:val="22"/>
        </w:rPr>
        <w:t xml:space="preserve"> with consideration of the </w:t>
      </w:r>
      <w:r>
        <w:rPr>
          <w:i/>
          <w:iCs/>
          <w:sz w:val="22"/>
        </w:rPr>
        <w:t>thermal inertia</w:t>
      </w:r>
      <w:r>
        <w:rPr>
          <w:sz w:val="22"/>
        </w:rPr>
        <w:t xml:space="preserve"> of the </w:t>
      </w:r>
      <w:r>
        <w:rPr>
          <w:i/>
          <w:iCs/>
          <w:sz w:val="22"/>
        </w:rPr>
        <w:t>materials</w:t>
      </w:r>
      <w:r>
        <w:rPr>
          <w:sz w:val="22"/>
        </w:rPr>
        <w:t>;</w:t>
      </w:r>
    </w:p>
    <w:p w:rsidR="006C641F" w:rsidRPr="00937C8B" w:rsidRDefault="006C641F" w:rsidP="006C641F">
      <w:pPr>
        <w:pStyle w:val="CTENumeracion"/>
        <w:ind w:left="709" w:hanging="312"/>
        <w:rPr>
          <w:rFonts w:cs="Arial"/>
          <w:sz w:val="22"/>
          <w:szCs w:val="22"/>
        </w:rPr>
      </w:pPr>
      <w:r>
        <w:rPr>
          <w:sz w:val="22"/>
        </w:rPr>
        <w:t>f)</w:t>
      </w:r>
      <w:r>
        <w:rPr>
          <w:sz w:val="22"/>
        </w:rPr>
        <w:tab/>
        <w:t>gains and losses caused by solar radiation passing through transparent or semi-transparent elements, and gains and losses related to the heating of opaque elements in the</w:t>
      </w:r>
      <w:r>
        <w:rPr>
          <w:i/>
          <w:sz w:val="22"/>
        </w:rPr>
        <w:t xml:space="preserve"> thermal envelope</w:t>
      </w:r>
      <w:r>
        <w:rPr>
          <w:sz w:val="22"/>
        </w:rPr>
        <w:t>, with consideration of the properties of the elements, their orientation and inclination, and the shadows cast by the building or other obstacles that could block said radiation;</w:t>
      </w:r>
    </w:p>
    <w:p w:rsidR="006C641F" w:rsidRPr="00937C8B" w:rsidRDefault="006C641F" w:rsidP="006C641F">
      <w:pPr>
        <w:pStyle w:val="CTENumeracion"/>
        <w:ind w:left="709" w:hanging="312"/>
        <w:rPr>
          <w:rFonts w:cs="Arial"/>
          <w:sz w:val="22"/>
          <w:szCs w:val="22"/>
        </w:rPr>
      </w:pPr>
      <w:r>
        <w:rPr>
          <w:sz w:val="22"/>
        </w:rPr>
        <w:t>g)</w:t>
      </w:r>
      <w:r>
        <w:rPr>
          <w:sz w:val="22"/>
        </w:rPr>
        <w:tab/>
        <w:t>energy gains and losses caused by the exchange of air with the outside due to ventilation and infiltration, taking into account the air quality requirements of the different spaces and the control strategies used;</w:t>
      </w:r>
    </w:p>
    <w:p w:rsidR="006C641F" w:rsidRPr="00937C8B" w:rsidRDefault="006C641F" w:rsidP="006C641F">
      <w:pPr>
        <w:pStyle w:val="CTENumeracion"/>
        <w:ind w:left="709" w:hanging="312"/>
        <w:rPr>
          <w:rFonts w:cs="Arial"/>
          <w:sz w:val="22"/>
          <w:szCs w:val="22"/>
        </w:rPr>
      </w:pPr>
      <w:r>
        <w:rPr>
          <w:sz w:val="22"/>
        </w:rPr>
        <w:t>h)</w:t>
      </w:r>
      <w:r>
        <w:rPr>
          <w:sz w:val="22"/>
        </w:rPr>
        <w:tab/>
        <w:t>the needs for heating, cooling, DWH and ventilation, humidity control and, in uses other than private residential, lighting;</w:t>
      </w:r>
    </w:p>
    <w:p w:rsidR="006C641F" w:rsidRPr="00937C8B" w:rsidRDefault="006C641F" w:rsidP="006C641F">
      <w:pPr>
        <w:pStyle w:val="CTENumeracion"/>
        <w:ind w:left="709" w:hanging="312"/>
        <w:rPr>
          <w:rFonts w:cs="Arial"/>
          <w:sz w:val="22"/>
          <w:szCs w:val="22"/>
        </w:rPr>
      </w:pPr>
      <w:r>
        <w:rPr>
          <w:sz w:val="22"/>
        </w:rPr>
        <w:t xml:space="preserve">i) </w:t>
      </w:r>
      <w:r>
        <w:rPr>
          <w:sz w:val="22"/>
        </w:rPr>
        <w:tab/>
        <w:t>dimensioning and performance of equipment and systems for cooling and heating, DHW, ventilation, humidity control and lighting;</w:t>
      </w:r>
    </w:p>
    <w:p w:rsidR="006C641F" w:rsidRPr="00937C8B" w:rsidRDefault="006C641F" w:rsidP="006C641F">
      <w:pPr>
        <w:pStyle w:val="CTENumeracion"/>
        <w:ind w:left="709" w:hanging="312"/>
        <w:rPr>
          <w:rFonts w:cs="Arial"/>
          <w:sz w:val="22"/>
          <w:szCs w:val="22"/>
        </w:rPr>
      </w:pPr>
      <w:r>
        <w:rPr>
          <w:sz w:val="22"/>
        </w:rPr>
        <w:t>j)</w:t>
      </w:r>
      <w:r>
        <w:rPr>
          <w:sz w:val="22"/>
        </w:rPr>
        <w:tab/>
        <w:t>the use of different energy sources, whether generated onsite or remotely or from solid biomass, biogas or renewable gases;</w:t>
      </w:r>
    </w:p>
    <w:p w:rsidR="006C641F" w:rsidRPr="00937C8B" w:rsidRDefault="006C641F" w:rsidP="006C641F">
      <w:pPr>
        <w:pStyle w:val="CTENumeracion"/>
        <w:ind w:left="709" w:hanging="312"/>
        <w:rPr>
          <w:rFonts w:cs="Arial"/>
          <w:sz w:val="22"/>
          <w:szCs w:val="22"/>
        </w:rPr>
      </w:pPr>
      <w:r>
        <w:rPr>
          <w:sz w:val="22"/>
        </w:rPr>
        <w:t>k)</w:t>
      </w:r>
      <w:r>
        <w:rPr>
          <w:sz w:val="22"/>
        </w:rPr>
        <w:tab/>
        <w:t xml:space="preserve">conversion factors for </w:t>
      </w:r>
      <w:r>
        <w:rPr>
          <w:i/>
          <w:iCs/>
          <w:sz w:val="22"/>
        </w:rPr>
        <w:t>final energy</w:t>
      </w:r>
      <w:r>
        <w:rPr>
          <w:sz w:val="22"/>
        </w:rPr>
        <w:t xml:space="preserve"> to </w:t>
      </w:r>
      <w:r>
        <w:rPr>
          <w:i/>
          <w:iCs/>
          <w:sz w:val="22"/>
        </w:rPr>
        <w:t>primary energy</w:t>
      </w:r>
      <w:r>
        <w:rPr>
          <w:sz w:val="22"/>
        </w:rPr>
        <w:t xml:space="preserve"> from renewable or non-renewable sources;</w:t>
      </w:r>
    </w:p>
    <w:p w:rsidR="006C641F" w:rsidRPr="00937C8B" w:rsidRDefault="006C641F" w:rsidP="006C641F">
      <w:pPr>
        <w:pStyle w:val="CTENumeracion"/>
        <w:ind w:left="709" w:hanging="312"/>
        <w:rPr>
          <w:rFonts w:cs="Arial"/>
          <w:sz w:val="22"/>
          <w:szCs w:val="22"/>
        </w:rPr>
      </w:pPr>
      <w:r>
        <w:rPr>
          <w:sz w:val="22"/>
        </w:rPr>
        <w:t>l)</w:t>
      </w:r>
      <w:r>
        <w:rPr>
          <w:sz w:val="22"/>
        </w:rPr>
        <w:tab/>
        <w:t>the contribution from renewable energy generated onsite or in the vicinity of the parcel or from solid biomass, biogas or renewable gases.</w:t>
      </w:r>
    </w:p>
    <w:p w:rsidR="006C641F" w:rsidRPr="00937C8B" w:rsidRDefault="006C641F" w:rsidP="006C641F">
      <w:pPr>
        <w:pStyle w:val="CTENumeracion"/>
        <w:spacing w:before="120"/>
        <w:rPr>
          <w:rFonts w:cs="Arial"/>
          <w:sz w:val="22"/>
          <w:szCs w:val="22"/>
        </w:rPr>
      </w:pPr>
      <w:r>
        <w:rPr>
          <w:sz w:val="22"/>
        </w:rPr>
        <w:t>4.</w:t>
      </w:r>
      <w:r>
        <w:rPr>
          <w:sz w:val="22"/>
        </w:rPr>
        <w:tab/>
        <w:t>Indicators for energy performance, production and consumption shall be calculated on a monthly basis.</w:t>
      </w:r>
    </w:p>
    <w:p w:rsidR="006C641F" w:rsidRPr="00937C8B" w:rsidRDefault="006C641F" w:rsidP="006C641F">
      <w:pPr>
        <w:pStyle w:val="CTENumeracion"/>
        <w:spacing w:before="120"/>
        <w:rPr>
          <w:rFonts w:cs="Arial"/>
          <w:sz w:val="22"/>
          <w:szCs w:val="22"/>
        </w:rPr>
      </w:pPr>
      <w:r>
        <w:rPr>
          <w:sz w:val="22"/>
        </w:rPr>
        <w:t>5.</w:t>
      </w:r>
      <w:r>
        <w:rPr>
          <w:sz w:val="22"/>
        </w:rPr>
        <w:tab/>
        <w:t>The conversion factors used to convert</w:t>
      </w:r>
      <w:r>
        <w:rPr>
          <w:i/>
          <w:sz w:val="22"/>
        </w:rPr>
        <w:t xml:space="preserve"> final energy</w:t>
      </w:r>
      <w:r>
        <w:rPr>
          <w:sz w:val="22"/>
        </w:rPr>
        <w:t xml:space="preserve"> into </w:t>
      </w:r>
      <w:r>
        <w:rPr>
          <w:i/>
          <w:sz w:val="22"/>
        </w:rPr>
        <w:t>primary energy</w:t>
      </w:r>
      <w:r>
        <w:rPr>
          <w:sz w:val="22"/>
        </w:rPr>
        <w:t xml:space="preserve"> (whether total, from renewable sources or from non-renewable sources) shall be officially published.</w:t>
      </w:r>
    </w:p>
    <w:p w:rsidR="006C641F" w:rsidRPr="00937C8B" w:rsidRDefault="006C641F" w:rsidP="006C641F">
      <w:pPr>
        <w:pStyle w:val="CTENumeracion"/>
        <w:spacing w:before="120"/>
        <w:rPr>
          <w:rFonts w:cs="Arial"/>
          <w:sz w:val="22"/>
          <w:szCs w:val="22"/>
        </w:rPr>
      </w:pPr>
      <w:r>
        <w:rPr>
          <w:sz w:val="22"/>
        </w:rPr>
        <w:t>6.</w:t>
      </w:r>
      <w:r>
        <w:rPr>
          <w:sz w:val="22"/>
        </w:rPr>
        <w:tab/>
        <w:t xml:space="preserve">The total </w:t>
      </w:r>
      <w:r>
        <w:rPr>
          <w:i/>
          <w:sz w:val="22"/>
        </w:rPr>
        <w:t>hours out of range</w:t>
      </w:r>
      <w:r>
        <w:rPr>
          <w:sz w:val="22"/>
        </w:rPr>
        <w:t xml:space="preserve"> shall not exceed 4% of the total occupancy time.</w:t>
      </w:r>
    </w:p>
    <w:p w:rsidR="006C641F" w:rsidRPr="00937C8B" w:rsidRDefault="006C641F" w:rsidP="006C641F">
      <w:pPr>
        <w:pStyle w:val="CTENumeracion"/>
        <w:spacing w:before="120"/>
        <w:rPr>
          <w:rFonts w:cs="Arial"/>
          <w:sz w:val="22"/>
          <w:szCs w:val="22"/>
        </w:rPr>
      </w:pPr>
      <w:r>
        <w:rPr>
          <w:sz w:val="22"/>
        </w:rPr>
        <w:t>7.</w:t>
      </w:r>
      <w:r>
        <w:rPr>
          <w:sz w:val="22"/>
        </w:rPr>
        <w:tab/>
        <w:t xml:space="preserve">The spaces in the model shall have </w:t>
      </w:r>
      <w:r>
        <w:rPr>
          <w:i/>
          <w:sz w:val="22"/>
        </w:rPr>
        <w:t>operating conditions</w:t>
      </w:r>
      <w:r>
        <w:rPr>
          <w:sz w:val="22"/>
        </w:rPr>
        <w:t xml:space="preserve"> and </w:t>
      </w:r>
      <w:r>
        <w:rPr>
          <w:i/>
          <w:sz w:val="22"/>
        </w:rPr>
        <w:t>usage profiles</w:t>
      </w:r>
      <w:r>
        <w:rPr>
          <w:sz w:val="22"/>
        </w:rPr>
        <w:t xml:space="preserve"> in accordance with Annex D.</w:t>
      </w:r>
    </w:p>
    <w:p w:rsidR="006C641F" w:rsidRPr="00937C8B" w:rsidRDefault="006C641F" w:rsidP="006C641F">
      <w:pPr>
        <w:pStyle w:val="CTENumeracion"/>
        <w:spacing w:before="120"/>
        <w:rPr>
          <w:rFonts w:cs="Arial"/>
          <w:sz w:val="22"/>
          <w:szCs w:val="22"/>
        </w:rPr>
      </w:pPr>
      <w:r>
        <w:rPr>
          <w:sz w:val="22"/>
        </w:rPr>
        <w:t>8.</w:t>
      </w:r>
      <w:r>
        <w:rPr>
          <w:sz w:val="22"/>
        </w:rPr>
        <w:tab/>
        <w:t>The reference demand values for DWH shall be determined according to Annex F. Annex G includes mains water temperature values for the DHW consumption calculation.</w:t>
      </w:r>
    </w:p>
    <w:p w:rsidR="006C641F" w:rsidRPr="00937C8B" w:rsidRDefault="006C641F" w:rsidP="006C641F">
      <w:pPr>
        <w:pStyle w:val="CTENumeracion"/>
        <w:spacing w:before="120"/>
        <w:rPr>
          <w:rFonts w:cs="Arial"/>
        </w:rPr>
      </w:pPr>
      <w:r>
        <w:rPr>
          <w:sz w:val="22"/>
        </w:rPr>
        <w:t>9.</w:t>
      </w:r>
      <w:r>
        <w:rPr>
          <w:sz w:val="22"/>
        </w:rPr>
        <w:tab/>
        <w:t xml:space="preserve">For the aspects not defined in </w:t>
      </w:r>
      <w:r>
        <w:rPr>
          <w:sz w:val="22"/>
          <w:shd w:val="clear" w:color="auto" w:fill="FFFFFF"/>
        </w:rPr>
        <w:t>this DB</w:t>
      </w:r>
      <w:r>
        <w:rPr>
          <w:sz w:val="22"/>
        </w:rPr>
        <w:t xml:space="preserve">, calculation of the energy needs, consumption and indicators shall be in accordance with the recognised document: </w:t>
      </w:r>
      <w:r>
        <w:rPr>
          <w:i/>
          <w:iCs/>
          <w:sz w:val="22"/>
        </w:rPr>
        <w:t>Technical conditions for procedures to assess building energy performance</w:t>
      </w:r>
      <w:r>
        <w:rPr>
          <w:sz w:val="22"/>
        </w:rPr>
        <w:t xml:space="preserve"> [</w:t>
      </w:r>
      <w:r>
        <w:rPr>
          <w:i/>
          <w:sz w:val="22"/>
        </w:rPr>
        <w:t>Condiciones técnicas de los procedimientos para la evaluación de la eficiencia energética de los edificios</w:t>
      </w:r>
      <w:r>
        <w:rPr>
          <w:sz w:val="22"/>
        </w:rPr>
        <w:t>].</w:t>
      </w:r>
    </w:p>
    <w:p w:rsidR="006C641F" w:rsidRPr="00937C8B" w:rsidRDefault="006C641F" w:rsidP="009467D5">
      <w:pPr>
        <w:pStyle w:val="CteTtulo3"/>
      </w:pPr>
      <w:bookmarkStart w:id="56" w:name="_Toc530395237"/>
      <w:bookmarkStart w:id="57" w:name="_Toc530396116"/>
      <w:bookmarkStart w:id="58" w:name="_Toc39157908"/>
      <w:bookmarkStart w:id="59" w:name="_Toc44876234"/>
      <w:r>
        <w:lastRenderedPageBreak/>
        <w:t>4.2</w:t>
      </w:r>
      <w:r>
        <w:tab/>
        <w:t>External factors</w:t>
      </w:r>
      <w:bookmarkEnd w:id="56"/>
      <w:bookmarkEnd w:id="57"/>
      <w:bookmarkEnd w:id="58"/>
      <w:bookmarkEnd w:id="59"/>
    </w:p>
    <w:p w:rsidR="006C641F" w:rsidRPr="00937C8B" w:rsidRDefault="006C641F" w:rsidP="006C641F">
      <w:pPr>
        <w:pStyle w:val="CTENumeracion"/>
        <w:spacing w:before="120"/>
        <w:rPr>
          <w:rFonts w:cs="Arial"/>
          <w:iCs/>
          <w:sz w:val="22"/>
          <w:szCs w:val="22"/>
        </w:rPr>
      </w:pPr>
      <w:r>
        <w:rPr>
          <w:sz w:val="22"/>
        </w:rPr>
        <w:t>1.</w:t>
      </w:r>
      <w:r>
        <w:rPr>
          <w:sz w:val="22"/>
        </w:rPr>
        <w:tab/>
        <w:t>External factors are the effects of the elements on the building that influence its thermal behaviour.</w:t>
      </w:r>
    </w:p>
    <w:p w:rsidR="006C641F" w:rsidRPr="00937C8B" w:rsidRDefault="006C641F" w:rsidP="006C641F">
      <w:pPr>
        <w:pStyle w:val="CTENumeracion"/>
        <w:spacing w:before="120"/>
        <w:rPr>
          <w:rFonts w:cs="Arial"/>
          <w:iCs/>
          <w:sz w:val="22"/>
          <w:szCs w:val="22"/>
        </w:rPr>
      </w:pPr>
      <w:r>
        <w:rPr>
          <w:sz w:val="22"/>
        </w:rPr>
        <w:t>2.</w:t>
      </w:r>
      <w:r>
        <w:rPr>
          <w:sz w:val="22"/>
        </w:rPr>
        <w:tab/>
        <w:t>For calculation purposes, a set of climate zones are defined, each with a reference climate that provides the external factors for temperature and solar radiation.</w:t>
      </w:r>
    </w:p>
    <w:p w:rsidR="006C641F" w:rsidRPr="00937C8B" w:rsidRDefault="0022053B" w:rsidP="006C641F">
      <w:pPr>
        <w:pStyle w:val="CTENumeracion"/>
        <w:spacing w:before="120"/>
        <w:rPr>
          <w:rFonts w:cs="Arial"/>
          <w:iCs/>
          <w:sz w:val="22"/>
          <w:szCs w:val="22"/>
        </w:rPr>
      </w:pPr>
      <w:r>
        <w:rPr>
          <w:sz w:val="22"/>
        </w:rPr>
        <w:t>3.</w:t>
      </w:r>
      <w:r>
        <w:rPr>
          <w:sz w:val="22"/>
        </w:rPr>
        <w:tab/>
        <w:t>The climate zone of each location, as well as its reference climate, is determined using the table values in Annex B or from recognised documents drawn up by the Autonomous Communities.</w:t>
      </w:r>
    </w:p>
    <w:p w:rsidR="006C641F" w:rsidRPr="00937C8B" w:rsidRDefault="006C641F" w:rsidP="009467D5">
      <w:pPr>
        <w:pStyle w:val="CteTtulo3"/>
      </w:pPr>
      <w:bookmarkStart w:id="60" w:name="Sección_HE0_SolicitacionesInteriores"/>
      <w:bookmarkStart w:id="61" w:name="_Toc530395238"/>
      <w:bookmarkStart w:id="62" w:name="_Toc39157909"/>
      <w:bookmarkStart w:id="63" w:name="_Toc44876235"/>
      <w:bookmarkEnd w:id="60"/>
      <w:r>
        <w:t>4.3</w:t>
      </w:r>
      <w:r>
        <w:tab/>
        <w:t>Internal factors and operating conditions</w:t>
      </w:r>
      <w:bookmarkEnd w:id="61"/>
      <w:bookmarkEnd w:id="62"/>
      <w:bookmarkEnd w:id="63"/>
    </w:p>
    <w:p w:rsidR="006C641F" w:rsidRPr="00937C8B" w:rsidRDefault="006C641F" w:rsidP="006C641F">
      <w:pPr>
        <w:pStyle w:val="CTENumeracion"/>
        <w:spacing w:before="120"/>
        <w:rPr>
          <w:rFonts w:cs="Arial"/>
          <w:iCs/>
          <w:sz w:val="22"/>
          <w:szCs w:val="22"/>
        </w:rPr>
      </w:pPr>
      <w:r>
        <w:rPr>
          <w:sz w:val="22"/>
        </w:rPr>
        <w:t>1.</w:t>
      </w:r>
      <w:r>
        <w:rPr>
          <w:sz w:val="22"/>
        </w:rPr>
        <w:tab/>
      </w:r>
      <w:r>
        <w:rPr>
          <w:i/>
          <w:sz w:val="22"/>
        </w:rPr>
        <w:t>Internal factors</w:t>
      </w:r>
      <w:r>
        <w:rPr>
          <w:sz w:val="22"/>
        </w:rPr>
        <w:t xml:space="preserve"> are the thermal loads generated inside the building due to the energy from occupants, equipment and lighting. Internal factors are described with a </w:t>
      </w:r>
      <w:r>
        <w:rPr>
          <w:i/>
          <w:sz w:val="22"/>
        </w:rPr>
        <w:t>usage profile</w:t>
      </w:r>
      <w:r>
        <w:rPr>
          <w:sz w:val="22"/>
        </w:rPr>
        <w:t xml:space="preserve"> that provides the </w:t>
      </w:r>
      <w:r>
        <w:rPr>
          <w:i/>
          <w:sz w:val="22"/>
        </w:rPr>
        <w:t>internal loads</w:t>
      </w:r>
      <w:r>
        <w:rPr>
          <w:sz w:val="22"/>
        </w:rPr>
        <w:t xml:space="preserve"> for each type of space. The spaces in the thermal model shall have a usage profile according to Annex D.</w:t>
      </w:r>
    </w:p>
    <w:p w:rsidR="006C641F" w:rsidRPr="00937C8B" w:rsidRDefault="006C641F" w:rsidP="00D27646">
      <w:pPr>
        <w:pStyle w:val="CTENumeracion"/>
        <w:keepNext/>
        <w:spacing w:before="120"/>
        <w:rPr>
          <w:rFonts w:cs="Arial"/>
          <w:sz w:val="22"/>
          <w:szCs w:val="22"/>
        </w:rPr>
      </w:pPr>
      <w:r>
        <w:rPr>
          <w:sz w:val="22"/>
        </w:rPr>
        <w:t>2.</w:t>
      </w:r>
      <w:r>
        <w:rPr>
          <w:sz w:val="22"/>
        </w:rPr>
        <w:tab/>
        <w:t xml:space="preserve">The operating conditions for spaces in private residential use are defined using the following parameters, given in the usage profiles in Annex D: </w:t>
      </w:r>
    </w:p>
    <w:p w:rsidR="006C641F" w:rsidRPr="00937C8B" w:rsidRDefault="006C641F" w:rsidP="006C641F">
      <w:pPr>
        <w:pStyle w:val="CTENumeracion"/>
        <w:ind w:left="737" w:hanging="28"/>
        <w:rPr>
          <w:rFonts w:cs="Arial"/>
          <w:sz w:val="22"/>
          <w:szCs w:val="22"/>
        </w:rPr>
      </w:pPr>
      <w:r>
        <w:rPr>
          <w:sz w:val="22"/>
        </w:rPr>
        <w:t xml:space="preserve">a) high setpoint temperatures; </w:t>
      </w:r>
    </w:p>
    <w:p w:rsidR="006C641F" w:rsidRPr="00937C8B" w:rsidRDefault="006C641F" w:rsidP="006C641F">
      <w:pPr>
        <w:pStyle w:val="CTENumeracion"/>
        <w:ind w:left="737" w:hanging="28"/>
        <w:rPr>
          <w:rFonts w:cs="Arial"/>
          <w:sz w:val="22"/>
          <w:szCs w:val="22"/>
        </w:rPr>
      </w:pPr>
      <w:r>
        <w:rPr>
          <w:sz w:val="22"/>
        </w:rPr>
        <w:t>b) low setpoint temperatures;</w:t>
      </w:r>
    </w:p>
    <w:p w:rsidR="006C641F" w:rsidRPr="00937C8B" w:rsidRDefault="006C641F" w:rsidP="006C641F">
      <w:pPr>
        <w:pStyle w:val="CTENumeracion"/>
        <w:ind w:left="737" w:hanging="28"/>
        <w:rPr>
          <w:rFonts w:cs="Arial"/>
          <w:sz w:val="22"/>
          <w:szCs w:val="22"/>
        </w:rPr>
      </w:pPr>
      <w:r>
        <w:rPr>
          <w:sz w:val="22"/>
        </w:rPr>
        <w:t>c) hourly distribution of DWH consumption.</w:t>
      </w:r>
    </w:p>
    <w:p w:rsidR="006C641F" w:rsidRPr="00937C8B" w:rsidRDefault="006C641F" w:rsidP="009467D5">
      <w:pPr>
        <w:pStyle w:val="CteTtulo3"/>
      </w:pPr>
      <w:bookmarkStart w:id="64" w:name="_Toc530395239"/>
      <w:bookmarkStart w:id="65" w:name="_Toc530396118"/>
      <w:bookmarkStart w:id="66" w:name="_Toc39157910"/>
      <w:bookmarkStart w:id="67" w:name="_Toc44876236"/>
      <w:r>
        <w:t>4.4</w:t>
      </w:r>
      <w:r>
        <w:tab/>
        <w:t xml:space="preserve">Thermal model: </w:t>
      </w:r>
      <w:r>
        <w:rPr>
          <w:i/>
        </w:rPr>
        <w:t>Thermal envelope</w:t>
      </w:r>
      <w:r>
        <w:t xml:space="preserve"> and zoning</w:t>
      </w:r>
      <w:bookmarkEnd w:id="64"/>
      <w:bookmarkEnd w:id="65"/>
      <w:bookmarkEnd w:id="66"/>
      <w:bookmarkEnd w:id="67"/>
    </w:p>
    <w:p w:rsidR="006C641F" w:rsidRPr="00937C8B" w:rsidRDefault="006C641F" w:rsidP="006C641F">
      <w:pPr>
        <w:pStyle w:val="CTENumeracion"/>
        <w:spacing w:before="120"/>
        <w:rPr>
          <w:rFonts w:cs="Arial"/>
          <w:sz w:val="22"/>
          <w:szCs w:val="22"/>
        </w:rPr>
      </w:pPr>
      <w:r>
        <w:rPr>
          <w:sz w:val="22"/>
        </w:rPr>
        <w:t>1.</w:t>
      </w:r>
      <w:r>
        <w:rPr>
          <w:sz w:val="22"/>
        </w:rPr>
        <w:tab/>
        <w:t xml:space="preserve">The thermal model of the building shall be made up of a series of spaces connected with each other and with the outside of the building by the </w:t>
      </w:r>
      <w:r>
        <w:rPr>
          <w:i/>
          <w:sz w:val="22"/>
        </w:rPr>
        <w:t>thermal building envelope,</w:t>
      </w:r>
      <w:r>
        <w:rPr>
          <w:sz w:val="22"/>
        </w:rPr>
        <w:t xml:space="preserve"> defined based on the criteria of Annex C.</w:t>
      </w:r>
    </w:p>
    <w:p w:rsidR="006C641F" w:rsidRPr="00937C8B" w:rsidRDefault="006C641F" w:rsidP="006C641F">
      <w:pPr>
        <w:pStyle w:val="CTENumeracion"/>
        <w:spacing w:before="120"/>
        <w:rPr>
          <w:rFonts w:cs="Arial"/>
          <w:sz w:val="22"/>
          <w:szCs w:val="22"/>
        </w:rPr>
      </w:pPr>
      <w:r>
        <w:rPr>
          <w:sz w:val="22"/>
        </w:rPr>
        <w:t>2.</w:t>
      </w:r>
      <w:r>
        <w:rPr>
          <w:sz w:val="22"/>
        </w:rPr>
        <w:tab/>
        <w:t xml:space="preserve">The </w:t>
      </w:r>
      <w:r>
        <w:rPr>
          <w:i/>
          <w:iCs/>
          <w:sz w:val="22"/>
        </w:rPr>
        <w:t>thermal zones</w:t>
      </w:r>
      <w:r>
        <w:rPr>
          <w:sz w:val="22"/>
        </w:rPr>
        <w:t xml:space="preserve"> defined may differ from the actual zoning provided that they adequately reflect the thermal behaviour of the building. In particular, a </w:t>
      </w:r>
      <w:r>
        <w:rPr>
          <w:i/>
          <w:iCs/>
          <w:sz w:val="22"/>
        </w:rPr>
        <w:t>thermal zone</w:t>
      </w:r>
      <w:r>
        <w:rPr>
          <w:sz w:val="22"/>
        </w:rPr>
        <w:t xml:space="preserve"> may be integrated into a larger adjacent one if it does not exceed 10% of its usable floor area.</w:t>
      </w:r>
    </w:p>
    <w:p w:rsidR="006C641F" w:rsidRPr="00937C8B" w:rsidRDefault="006C641F" w:rsidP="006C641F">
      <w:pPr>
        <w:pStyle w:val="CTENumeracion"/>
        <w:spacing w:before="120"/>
        <w:rPr>
          <w:rFonts w:cs="Arial"/>
          <w:sz w:val="22"/>
          <w:szCs w:val="22"/>
        </w:rPr>
      </w:pPr>
      <w:r>
        <w:rPr>
          <w:sz w:val="22"/>
        </w:rPr>
        <w:t>3.</w:t>
      </w:r>
      <w:r>
        <w:rPr>
          <w:sz w:val="22"/>
        </w:rPr>
        <w:tab/>
        <w:t>The spaces in the thermal model shall be classified as</w:t>
      </w:r>
      <w:r>
        <w:rPr>
          <w:i/>
          <w:sz w:val="22"/>
        </w:rPr>
        <w:t xml:space="preserve"> habitable spaces</w:t>
      </w:r>
      <w:r>
        <w:rPr>
          <w:sz w:val="22"/>
        </w:rPr>
        <w:t xml:space="preserve"> or</w:t>
      </w:r>
      <w:r>
        <w:rPr>
          <w:i/>
          <w:sz w:val="22"/>
        </w:rPr>
        <w:t xml:space="preserve"> non-habitable spaces.</w:t>
      </w:r>
      <w:r>
        <w:rPr>
          <w:sz w:val="22"/>
        </w:rPr>
        <w:t xml:space="preserve"> The former shall also be classified according to their </w:t>
      </w:r>
      <w:r>
        <w:rPr>
          <w:i/>
          <w:sz w:val="22"/>
        </w:rPr>
        <w:t>internal load</w:t>
      </w:r>
      <w:r>
        <w:rPr>
          <w:sz w:val="22"/>
        </w:rPr>
        <w:t xml:space="preserve"> (low, medium, high or very high) where applicable, and by the need to maintain certain temperature conditions for the thermal comfort of their occupants (</w:t>
      </w:r>
      <w:r>
        <w:rPr>
          <w:i/>
          <w:iCs/>
          <w:sz w:val="22"/>
        </w:rPr>
        <w:t>conditioned spaces</w:t>
      </w:r>
      <w:r>
        <w:rPr>
          <w:sz w:val="22"/>
        </w:rPr>
        <w:t xml:space="preserve"> or </w:t>
      </w:r>
      <w:r>
        <w:rPr>
          <w:i/>
          <w:iCs/>
          <w:sz w:val="22"/>
        </w:rPr>
        <w:t>non-conditioned spaces</w:t>
      </w:r>
      <w:r>
        <w:rPr>
          <w:sz w:val="22"/>
        </w:rPr>
        <w:t>).</w:t>
      </w:r>
    </w:p>
    <w:p w:rsidR="006C641F" w:rsidRPr="00937C8B" w:rsidRDefault="006C641F" w:rsidP="009467D5">
      <w:pPr>
        <w:pStyle w:val="CteTtulo3"/>
      </w:pPr>
      <w:bookmarkStart w:id="68" w:name="Sección_HE0_SistemasReferencia"/>
      <w:bookmarkStart w:id="69" w:name="_Toc530395240"/>
      <w:bookmarkStart w:id="70" w:name="_Toc39157911"/>
      <w:bookmarkStart w:id="71" w:name="_Toc44876237"/>
      <w:bookmarkEnd w:id="68"/>
      <w:r>
        <w:t>4.5</w:t>
      </w:r>
      <w:r>
        <w:tab/>
        <w:t>Reference systems in private residential use</w:t>
      </w:r>
      <w:bookmarkEnd w:id="69"/>
      <w:bookmarkEnd w:id="70"/>
      <w:bookmarkEnd w:id="71"/>
    </w:p>
    <w:p w:rsidR="004410BF" w:rsidRPr="00937C8B" w:rsidRDefault="006C641F" w:rsidP="006C641F">
      <w:pPr>
        <w:pStyle w:val="CTENumeracion"/>
        <w:spacing w:before="120"/>
        <w:rPr>
          <w:rFonts w:cs="Arial"/>
          <w:sz w:val="22"/>
          <w:szCs w:val="22"/>
        </w:rPr>
      </w:pPr>
      <w:r>
        <w:rPr>
          <w:sz w:val="22"/>
        </w:rPr>
        <w:t>1.</w:t>
      </w:r>
      <w:r>
        <w:rPr>
          <w:sz w:val="22"/>
        </w:rPr>
        <w:tab/>
        <w:t>In cases of buildings for private residential use, if the design does not define systems for the heating, cooling or hot water services, the calculation shall be based on a system with the characteristics specified in Table 4.5-HE0:</w:t>
      </w:r>
    </w:p>
    <w:p w:rsidR="0084739B" w:rsidRPr="00937C8B" w:rsidRDefault="0084739B" w:rsidP="004410BF">
      <w:pPr>
        <w:pStyle w:val="CTENumeracion"/>
        <w:spacing w:before="120"/>
        <w:jc w:val="center"/>
        <w:rPr>
          <w:b/>
        </w:rPr>
      </w:pPr>
    </w:p>
    <w:p w:rsidR="006C641F" w:rsidRPr="00937C8B" w:rsidRDefault="006C641F" w:rsidP="00D27646">
      <w:pPr>
        <w:pStyle w:val="CTENumeracion"/>
        <w:keepNext/>
        <w:spacing w:before="120"/>
        <w:jc w:val="center"/>
        <w:rPr>
          <w:rFonts w:cs="Arial"/>
          <w:b/>
          <w:sz w:val="22"/>
          <w:szCs w:val="22"/>
        </w:rPr>
      </w:pPr>
      <w:r>
        <w:rPr>
          <w:b/>
        </w:rPr>
        <w:t>Table 4.5-HE0</w:t>
      </w:r>
      <w:r>
        <w:rPr>
          <w:b/>
        </w:rPr>
        <w:tab/>
        <w:t>Reference systems</w:t>
      </w:r>
    </w:p>
    <w:tbl>
      <w:tblPr>
        <w:tblW w:w="5734" w:type="dxa"/>
        <w:jc w:val="center"/>
        <w:tblBorders>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2301"/>
        <w:gridCol w:w="1275"/>
        <w:gridCol w:w="2158"/>
      </w:tblGrid>
      <w:tr w:rsidR="006C641F" w:rsidRPr="00937C8B" w:rsidTr="00E47AFE">
        <w:trPr>
          <w:cantSplit/>
          <w:jc w:val="center"/>
        </w:trPr>
        <w:tc>
          <w:tcPr>
            <w:tcW w:w="2301" w:type="dxa"/>
            <w:tcBorders>
              <w:bottom w:val="single" w:sz="4" w:space="0" w:color="000000"/>
            </w:tcBorders>
            <w:shd w:val="clear" w:color="auto" w:fill="FFFFFF"/>
            <w:vAlign w:val="center"/>
          </w:tcPr>
          <w:p w:rsidR="006C641F" w:rsidRPr="00937C8B" w:rsidRDefault="006C641F" w:rsidP="00D27646">
            <w:pPr>
              <w:pStyle w:val="CTEtabla-texto"/>
              <w:keepNext/>
              <w:snapToGrid w:val="0"/>
              <w:jc w:val="left"/>
              <w:rPr>
                <w:rFonts w:cs="Arial"/>
                <w:b/>
              </w:rPr>
            </w:pPr>
            <w:r>
              <w:rPr>
                <w:b/>
              </w:rPr>
              <w:t>Technology</w:t>
            </w:r>
          </w:p>
        </w:tc>
        <w:tc>
          <w:tcPr>
            <w:tcW w:w="1275" w:type="dxa"/>
            <w:tcBorders>
              <w:top w:val="nil"/>
              <w:bottom w:val="single" w:sz="4" w:space="0" w:color="000000"/>
              <w:right w:val="nil"/>
            </w:tcBorders>
            <w:shd w:val="clear" w:color="auto" w:fill="auto"/>
          </w:tcPr>
          <w:p w:rsidR="006C641F" w:rsidRPr="00937C8B" w:rsidRDefault="006C641F" w:rsidP="00D27646">
            <w:pPr>
              <w:pStyle w:val="CTEtabla-texto"/>
              <w:keepNext/>
              <w:snapToGrid w:val="0"/>
              <w:rPr>
                <w:rFonts w:cs="Arial"/>
                <w:b/>
              </w:rPr>
            </w:pPr>
            <w:r>
              <w:rPr>
                <w:b/>
              </w:rPr>
              <w:t>Energy vector</w:t>
            </w:r>
          </w:p>
        </w:tc>
        <w:tc>
          <w:tcPr>
            <w:tcW w:w="2158" w:type="dxa"/>
            <w:tcBorders>
              <w:top w:val="nil"/>
              <w:left w:val="nil"/>
              <w:bottom w:val="single" w:sz="4" w:space="0" w:color="000000"/>
            </w:tcBorders>
            <w:shd w:val="clear" w:color="auto" w:fill="auto"/>
          </w:tcPr>
          <w:p w:rsidR="006C641F" w:rsidRPr="00937C8B" w:rsidRDefault="006C641F" w:rsidP="00D27646">
            <w:pPr>
              <w:pStyle w:val="CTEtabla-texto"/>
              <w:keepNext/>
              <w:snapToGrid w:val="0"/>
              <w:ind w:left="234" w:right="260"/>
              <w:rPr>
                <w:rFonts w:cs="Arial"/>
                <w:b/>
              </w:rPr>
            </w:pPr>
            <w:r>
              <w:rPr>
                <w:b/>
              </w:rPr>
              <w:t>Rated output</w:t>
            </w:r>
          </w:p>
        </w:tc>
      </w:tr>
      <w:tr w:rsidR="006C641F" w:rsidRPr="00937C8B" w:rsidTr="00E47AFE">
        <w:trPr>
          <w:cantSplit/>
          <w:jc w:val="center"/>
        </w:trPr>
        <w:tc>
          <w:tcPr>
            <w:tcW w:w="2301" w:type="dxa"/>
            <w:tcBorders>
              <w:top w:val="single" w:sz="4" w:space="0" w:color="000000"/>
              <w:bottom w:val="nil"/>
              <w:right w:val="single" w:sz="4" w:space="0" w:color="000000"/>
            </w:tcBorders>
            <w:shd w:val="clear" w:color="auto" w:fill="FFFFFF"/>
            <w:vAlign w:val="center"/>
          </w:tcPr>
          <w:p w:rsidR="006C641F" w:rsidRPr="00937C8B" w:rsidRDefault="006C641F" w:rsidP="006C641F">
            <w:pPr>
              <w:pStyle w:val="CTEtabla-texto"/>
              <w:snapToGrid w:val="0"/>
              <w:jc w:val="left"/>
              <w:rPr>
                <w:rFonts w:cs="Arial"/>
              </w:rPr>
            </w:pPr>
            <w:r>
              <w:t>Heating and DWH</w:t>
            </w:r>
          </w:p>
        </w:tc>
        <w:tc>
          <w:tcPr>
            <w:tcW w:w="1275" w:type="dxa"/>
            <w:tcBorders>
              <w:top w:val="single" w:sz="4" w:space="0" w:color="000000"/>
              <w:left w:val="single" w:sz="4" w:space="0" w:color="000000"/>
              <w:bottom w:val="nil"/>
              <w:right w:val="nil"/>
            </w:tcBorders>
            <w:shd w:val="clear" w:color="auto" w:fill="auto"/>
          </w:tcPr>
          <w:p w:rsidR="006C641F" w:rsidRPr="00937C8B" w:rsidRDefault="006C641F" w:rsidP="006C641F">
            <w:pPr>
              <w:pStyle w:val="CTEtabla-texto"/>
              <w:snapToGrid w:val="0"/>
              <w:rPr>
                <w:rFonts w:cs="Arial"/>
              </w:rPr>
            </w:pPr>
            <w:r>
              <w:t>Natural gas</w:t>
            </w:r>
          </w:p>
        </w:tc>
        <w:tc>
          <w:tcPr>
            <w:tcW w:w="2158" w:type="dxa"/>
            <w:tcBorders>
              <w:top w:val="single" w:sz="4" w:space="0" w:color="000000"/>
              <w:left w:val="nil"/>
              <w:bottom w:val="nil"/>
            </w:tcBorders>
            <w:shd w:val="clear" w:color="auto" w:fill="FFFFFF"/>
            <w:vAlign w:val="center"/>
          </w:tcPr>
          <w:p w:rsidR="006C641F" w:rsidRPr="00937C8B" w:rsidRDefault="006C641F" w:rsidP="006C641F">
            <w:pPr>
              <w:pStyle w:val="CTEtabla-texto"/>
              <w:snapToGrid w:val="0"/>
              <w:rPr>
                <w:rFonts w:cs="Arial"/>
              </w:rPr>
            </w:pPr>
            <w:r>
              <w:t>0.92 (GCV)</w:t>
            </w:r>
          </w:p>
        </w:tc>
      </w:tr>
      <w:tr w:rsidR="006C641F" w:rsidRPr="00937C8B" w:rsidTr="00E47AFE">
        <w:trPr>
          <w:cantSplit/>
          <w:jc w:val="center"/>
        </w:trPr>
        <w:tc>
          <w:tcPr>
            <w:tcW w:w="2301" w:type="dxa"/>
            <w:tcBorders>
              <w:top w:val="nil"/>
              <w:bottom w:val="nil"/>
              <w:right w:val="single" w:sz="4" w:space="0" w:color="000000"/>
            </w:tcBorders>
            <w:shd w:val="clear" w:color="auto" w:fill="FFFFFF"/>
            <w:vAlign w:val="center"/>
          </w:tcPr>
          <w:p w:rsidR="006C641F" w:rsidRPr="00937C8B" w:rsidRDefault="006C641F" w:rsidP="006C641F">
            <w:pPr>
              <w:pStyle w:val="CTEtabla-texto"/>
              <w:snapToGrid w:val="0"/>
              <w:jc w:val="left"/>
              <w:rPr>
                <w:rFonts w:cs="Arial"/>
              </w:rPr>
            </w:pPr>
            <w:r>
              <w:t>Cooling</w:t>
            </w:r>
          </w:p>
        </w:tc>
        <w:tc>
          <w:tcPr>
            <w:tcW w:w="1275" w:type="dxa"/>
            <w:tcBorders>
              <w:top w:val="nil"/>
              <w:left w:val="single" w:sz="4" w:space="0" w:color="000000"/>
              <w:bottom w:val="nil"/>
              <w:right w:val="nil"/>
            </w:tcBorders>
            <w:shd w:val="clear" w:color="auto" w:fill="auto"/>
          </w:tcPr>
          <w:p w:rsidR="006C641F" w:rsidRPr="00937C8B" w:rsidRDefault="006C641F" w:rsidP="006C641F">
            <w:pPr>
              <w:pStyle w:val="CTEtabla-texto"/>
              <w:snapToGrid w:val="0"/>
              <w:rPr>
                <w:rFonts w:cs="Arial"/>
              </w:rPr>
            </w:pPr>
            <w:r>
              <w:t>Electricity</w:t>
            </w:r>
          </w:p>
        </w:tc>
        <w:tc>
          <w:tcPr>
            <w:tcW w:w="2158" w:type="dxa"/>
            <w:tcBorders>
              <w:top w:val="nil"/>
              <w:left w:val="nil"/>
              <w:bottom w:val="nil"/>
            </w:tcBorders>
            <w:shd w:val="clear" w:color="auto" w:fill="FFFFFF"/>
            <w:vAlign w:val="center"/>
          </w:tcPr>
          <w:p w:rsidR="006C641F" w:rsidRPr="00937C8B" w:rsidRDefault="006C641F" w:rsidP="006C641F">
            <w:pPr>
              <w:pStyle w:val="CTEtabla-texto"/>
              <w:snapToGrid w:val="0"/>
              <w:rPr>
                <w:rFonts w:cs="Arial"/>
              </w:rPr>
            </w:pPr>
            <w:r>
              <w:t>2.60</w:t>
            </w:r>
          </w:p>
        </w:tc>
      </w:tr>
    </w:tbl>
    <w:p w:rsidR="006C641F" w:rsidRPr="00937C8B" w:rsidRDefault="006C641F" w:rsidP="006C641F">
      <w:pPr>
        <w:pStyle w:val="Standard"/>
      </w:pPr>
    </w:p>
    <w:p w:rsidR="006C641F" w:rsidRPr="00937C8B" w:rsidRDefault="006C641F" w:rsidP="009467D5">
      <w:pPr>
        <w:pStyle w:val="CteTtulo3"/>
      </w:pPr>
      <w:bookmarkStart w:id="72" w:name="_Toc530395241"/>
      <w:bookmarkStart w:id="73" w:name="_Toc530396120"/>
      <w:bookmarkStart w:id="74" w:name="_Toc39157912"/>
      <w:bookmarkStart w:id="75" w:name="_Toc44876238"/>
      <w:r>
        <w:lastRenderedPageBreak/>
        <w:t>4.6</w:t>
      </w:r>
      <w:r>
        <w:tab/>
        <w:t>Area for calculation of consumption indicators</w:t>
      </w:r>
      <w:bookmarkEnd w:id="72"/>
      <w:bookmarkEnd w:id="73"/>
      <w:bookmarkEnd w:id="74"/>
      <w:bookmarkEnd w:id="75"/>
    </w:p>
    <w:p w:rsidR="006C641F" w:rsidRPr="00937C8B" w:rsidRDefault="006C641F" w:rsidP="006C641F">
      <w:pPr>
        <w:pStyle w:val="CTENumeracion"/>
        <w:spacing w:before="120"/>
        <w:rPr>
          <w:rFonts w:cs="Arial"/>
          <w:sz w:val="22"/>
          <w:szCs w:val="22"/>
        </w:rPr>
      </w:pPr>
      <w:r>
        <w:rPr>
          <w:sz w:val="22"/>
        </w:rPr>
        <w:t>1.</w:t>
      </w:r>
      <w:r>
        <w:rPr>
          <w:sz w:val="22"/>
        </w:rPr>
        <w:tab/>
        <w:t xml:space="preserve">The area used to calculate the consumption indicators shall be obtained by adding up the usable areas of the </w:t>
      </w:r>
      <w:r>
        <w:rPr>
          <w:i/>
          <w:iCs/>
          <w:sz w:val="22"/>
        </w:rPr>
        <w:t>habitable spaces</w:t>
      </w:r>
      <w:r>
        <w:rPr>
          <w:sz w:val="22"/>
        </w:rPr>
        <w:t xml:space="preserve"> included in the </w:t>
      </w:r>
      <w:r>
        <w:rPr>
          <w:i/>
          <w:iCs/>
          <w:sz w:val="22"/>
        </w:rPr>
        <w:t>thermal envelope</w:t>
      </w:r>
      <w:r>
        <w:rPr>
          <w:sz w:val="22"/>
        </w:rPr>
        <w:t>.</w:t>
      </w:r>
    </w:p>
    <w:p w:rsidR="006C641F" w:rsidRPr="00937C8B" w:rsidRDefault="006C641F" w:rsidP="006C641F">
      <w:pPr>
        <w:pStyle w:val="CTENumeracion"/>
        <w:spacing w:before="120"/>
        <w:rPr>
          <w:rFonts w:cs="Arial"/>
          <w:sz w:val="22"/>
          <w:szCs w:val="22"/>
        </w:rPr>
      </w:pPr>
      <w:r>
        <w:rPr>
          <w:sz w:val="22"/>
        </w:rPr>
        <w:t>2.</w:t>
      </w:r>
      <w:r>
        <w:rPr>
          <w:sz w:val="22"/>
        </w:rPr>
        <w:tab/>
        <w:t>It shall be permitted for the calculation area to exclude spaces that must maintain certain conditions not for occupant comfort, but rather due to the activity performed in said spaces (laboratories with temperature conditions, industrial kitchens, computer rooms, indoor swimming pools, etc.).</w:t>
      </w:r>
    </w:p>
    <w:p w:rsidR="006C641F" w:rsidRPr="00937C8B" w:rsidRDefault="006C641F" w:rsidP="006C641F">
      <w:pPr>
        <w:pStyle w:val="CTENumeracion"/>
        <w:rPr>
          <w:rFonts w:cs="Arial"/>
        </w:rPr>
      </w:pPr>
    </w:p>
    <w:p w:rsidR="006C641F" w:rsidRPr="00937C8B" w:rsidRDefault="006C641F" w:rsidP="006C641F">
      <w:pPr>
        <w:pStyle w:val="CteTtulo2"/>
        <w:spacing w:before="60" w:after="60"/>
        <w:rPr>
          <w:rFonts w:cs="Arial"/>
        </w:rPr>
      </w:pPr>
      <w:bookmarkStart w:id="76" w:name="Sección_HE0_Justificacion"/>
      <w:bookmarkStart w:id="77" w:name="_Toc530395242"/>
      <w:bookmarkStart w:id="78" w:name="_Toc39157913"/>
      <w:bookmarkStart w:id="79" w:name="_Toc39158114"/>
      <w:bookmarkStart w:id="80" w:name="_Toc44876239"/>
      <w:bookmarkEnd w:id="76"/>
      <w:r>
        <w:t>5.</w:t>
      </w:r>
      <w:r>
        <w:tab/>
        <w:t>Demonstration of compliance</w:t>
      </w:r>
      <w:bookmarkEnd w:id="77"/>
      <w:bookmarkEnd w:id="78"/>
      <w:bookmarkEnd w:id="79"/>
      <w:bookmarkEnd w:id="80"/>
    </w:p>
    <w:p w:rsidR="006C641F" w:rsidRPr="00937C8B" w:rsidRDefault="006C641F" w:rsidP="00D27646">
      <w:pPr>
        <w:pStyle w:val="CTENumeracion"/>
        <w:keepNext/>
        <w:spacing w:before="120"/>
        <w:rPr>
          <w:rFonts w:cs="Arial"/>
          <w:sz w:val="22"/>
          <w:szCs w:val="22"/>
        </w:rPr>
      </w:pPr>
      <w:r>
        <w:rPr>
          <w:sz w:val="22"/>
        </w:rPr>
        <w:t>1.</w:t>
      </w:r>
      <w:r>
        <w:rPr>
          <w:sz w:val="22"/>
        </w:rPr>
        <w:tab/>
        <w:t>To demonstrate compliance with the requirements of this section, the design documents shall include the following information on the building or relevant part thereof:</w:t>
      </w:r>
    </w:p>
    <w:p w:rsidR="006C641F" w:rsidRPr="00937C8B" w:rsidRDefault="006C641F" w:rsidP="006C641F">
      <w:pPr>
        <w:pStyle w:val="CTENumeracion"/>
        <w:ind w:left="702" w:hanging="345"/>
        <w:rPr>
          <w:rFonts w:cs="Arial"/>
          <w:sz w:val="22"/>
          <w:szCs w:val="22"/>
        </w:rPr>
      </w:pPr>
      <w:r>
        <w:rPr>
          <w:sz w:val="22"/>
        </w:rPr>
        <w:t>a)</w:t>
      </w:r>
      <w:r>
        <w:rPr>
          <w:sz w:val="22"/>
        </w:rPr>
        <w:tab/>
        <w:t xml:space="preserve">definition of the location and </w:t>
      </w:r>
      <w:r>
        <w:rPr>
          <w:i/>
          <w:iCs/>
          <w:sz w:val="22"/>
        </w:rPr>
        <w:t>climate zone</w:t>
      </w:r>
      <w:r>
        <w:rPr>
          <w:sz w:val="22"/>
        </w:rPr>
        <w:t>;</w:t>
      </w:r>
    </w:p>
    <w:p w:rsidR="006C641F" w:rsidRPr="00937C8B" w:rsidRDefault="006C641F" w:rsidP="006C641F">
      <w:pPr>
        <w:pStyle w:val="CTENumeracion"/>
        <w:ind w:left="702" w:hanging="345"/>
        <w:rPr>
          <w:rFonts w:cs="Arial"/>
          <w:sz w:val="22"/>
          <w:szCs w:val="22"/>
        </w:rPr>
      </w:pPr>
      <w:r>
        <w:rPr>
          <w:sz w:val="22"/>
        </w:rPr>
        <w:t>b)</w:t>
      </w:r>
      <w:r>
        <w:rPr>
          <w:sz w:val="22"/>
        </w:rPr>
        <w:tab/>
        <w:t xml:space="preserve">definition of the </w:t>
      </w:r>
      <w:r>
        <w:rPr>
          <w:i/>
          <w:iCs/>
          <w:sz w:val="22"/>
        </w:rPr>
        <w:t>thermal envelope</w:t>
      </w:r>
      <w:r>
        <w:rPr>
          <w:sz w:val="22"/>
        </w:rPr>
        <w:t xml:space="preserve"> and its components;</w:t>
      </w:r>
    </w:p>
    <w:p w:rsidR="006C641F" w:rsidRPr="00937C8B" w:rsidRDefault="0022053B" w:rsidP="0022053B">
      <w:pPr>
        <w:pStyle w:val="CTENumeracion"/>
        <w:ind w:left="702" w:hanging="345"/>
        <w:rPr>
          <w:rFonts w:cs="Arial"/>
          <w:sz w:val="22"/>
          <w:szCs w:val="22"/>
        </w:rPr>
      </w:pPr>
      <w:r>
        <w:rPr>
          <w:sz w:val="22"/>
        </w:rPr>
        <w:t>c)</w:t>
      </w:r>
      <w:r>
        <w:rPr>
          <w:sz w:val="22"/>
        </w:rPr>
        <w:tab/>
        <w:t xml:space="preserve">the </w:t>
      </w:r>
      <w:r>
        <w:rPr>
          <w:i/>
          <w:sz w:val="22"/>
        </w:rPr>
        <w:t>usage profile</w:t>
      </w:r>
      <w:r>
        <w:rPr>
          <w:sz w:val="22"/>
        </w:rPr>
        <w:t xml:space="preserve">, conditioning indication (conditioned or unconditioned), calculation ventilation level and </w:t>
      </w:r>
      <w:r>
        <w:rPr>
          <w:i/>
          <w:iCs/>
          <w:sz w:val="22"/>
        </w:rPr>
        <w:t>operating conditions</w:t>
      </w:r>
      <w:r>
        <w:rPr>
          <w:sz w:val="22"/>
        </w:rPr>
        <w:t xml:space="preserve"> of the </w:t>
      </w:r>
      <w:r>
        <w:rPr>
          <w:i/>
          <w:iCs/>
          <w:sz w:val="22"/>
        </w:rPr>
        <w:t>habitable spaces</w:t>
      </w:r>
      <w:r>
        <w:rPr>
          <w:sz w:val="22"/>
        </w:rPr>
        <w:t xml:space="preserve"> and </w:t>
      </w:r>
      <w:r>
        <w:rPr>
          <w:i/>
          <w:iCs/>
          <w:sz w:val="22"/>
        </w:rPr>
        <w:t>non-habitable spaces</w:t>
      </w:r>
      <w:r>
        <w:rPr>
          <w:sz w:val="22"/>
        </w:rPr>
        <w:t>;</w:t>
      </w:r>
    </w:p>
    <w:p w:rsidR="006C641F" w:rsidRPr="00937C8B" w:rsidRDefault="006C641F" w:rsidP="006C641F">
      <w:pPr>
        <w:pStyle w:val="CTENumeracion"/>
        <w:ind w:left="680" w:hanging="340"/>
        <w:rPr>
          <w:rFonts w:cs="Arial"/>
          <w:sz w:val="22"/>
          <w:szCs w:val="22"/>
        </w:rPr>
      </w:pPr>
      <w:r>
        <w:rPr>
          <w:sz w:val="22"/>
        </w:rPr>
        <w:t>d)</w:t>
      </w:r>
      <w:r>
        <w:rPr>
          <w:sz w:val="22"/>
        </w:rPr>
        <w:tab/>
        <w:t xml:space="preserve">the procedure used to calculate </w:t>
      </w:r>
      <w:r>
        <w:rPr>
          <w:i/>
          <w:sz w:val="22"/>
        </w:rPr>
        <w:t>energy consumption</w:t>
      </w:r>
      <w:r>
        <w:rPr>
          <w:sz w:val="22"/>
        </w:rPr>
        <w:t>;</w:t>
      </w:r>
    </w:p>
    <w:p w:rsidR="006C641F" w:rsidRPr="00937C8B" w:rsidRDefault="006C641F" w:rsidP="006C641F">
      <w:pPr>
        <w:pStyle w:val="CTENumeracion"/>
        <w:ind w:left="680" w:hanging="340"/>
        <w:rPr>
          <w:rFonts w:cs="Arial"/>
          <w:sz w:val="22"/>
          <w:szCs w:val="22"/>
        </w:rPr>
      </w:pPr>
      <w:r>
        <w:rPr>
          <w:sz w:val="22"/>
        </w:rPr>
        <w:t>e)</w:t>
      </w:r>
      <w:r>
        <w:rPr>
          <w:sz w:val="22"/>
        </w:rPr>
        <w:tab/>
        <w:t xml:space="preserve">the </w:t>
      </w:r>
      <w:r>
        <w:rPr>
          <w:i/>
          <w:sz w:val="22"/>
        </w:rPr>
        <w:t>energy demand</w:t>
      </w:r>
      <w:r>
        <w:rPr>
          <w:sz w:val="22"/>
        </w:rPr>
        <w:t xml:space="preserve"> for heating, cooling and DHW;</w:t>
      </w:r>
    </w:p>
    <w:p w:rsidR="006C641F" w:rsidRPr="00937C8B" w:rsidRDefault="006C641F" w:rsidP="006C641F">
      <w:pPr>
        <w:pStyle w:val="CTENumeracion"/>
        <w:ind w:left="702" w:hanging="345"/>
        <w:rPr>
          <w:rFonts w:cs="Arial"/>
          <w:sz w:val="22"/>
          <w:szCs w:val="22"/>
        </w:rPr>
      </w:pPr>
      <w:r>
        <w:rPr>
          <w:sz w:val="22"/>
        </w:rPr>
        <w:t>f)</w:t>
      </w:r>
      <w:r>
        <w:rPr>
          <w:sz w:val="22"/>
        </w:rPr>
        <w:tab/>
        <w:t xml:space="preserve">the </w:t>
      </w:r>
      <w:r>
        <w:rPr>
          <w:i/>
          <w:sz w:val="22"/>
        </w:rPr>
        <w:t>energy consumption</w:t>
      </w:r>
      <w:r>
        <w:rPr>
          <w:sz w:val="22"/>
        </w:rPr>
        <w:t xml:space="preserve"> (final energy consumed by energy vector) of the different technical services (heating, cooling, DHW, ventilation, humidity control and any lighting);</w:t>
      </w:r>
    </w:p>
    <w:p w:rsidR="006C641F" w:rsidRPr="00937C8B" w:rsidRDefault="006C641F" w:rsidP="006C641F">
      <w:pPr>
        <w:pStyle w:val="CTENumeracion"/>
        <w:ind w:left="702" w:hanging="345"/>
        <w:rPr>
          <w:rFonts w:cs="Arial"/>
          <w:sz w:val="22"/>
          <w:szCs w:val="22"/>
        </w:rPr>
      </w:pPr>
      <w:r>
        <w:rPr>
          <w:sz w:val="22"/>
        </w:rPr>
        <w:t>g)</w:t>
      </w:r>
      <w:r>
        <w:rPr>
          <w:sz w:val="22"/>
        </w:rPr>
        <w:tab/>
        <w:t>the energy generated and the share of energy from renewable sources;</w:t>
      </w:r>
    </w:p>
    <w:p w:rsidR="006C641F" w:rsidRPr="00937C8B" w:rsidRDefault="006C641F" w:rsidP="006C641F">
      <w:pPr>
        <w:pStyle w:val="CTENumeracion"/>
        <w:ind w:left="702" w:hanging="345"/>
        <w:rPr>
          <w:rFonts w:cs="Arial"/>
          <w:sz w:val="22"/>
          <w:szCs w:val="22"/>
        </w:rPr>
      </w:pPr>
      <w:r>
        <w:rPr>
          <w:sz w:val="22"/>
        </w:rPr>
        <w:t>h)</w:t>
      </w:r>
      <w:r>
        <w:rPr>
          <w:sz w:val="22"/>
        </w:rPr>
        <w:tab/>
        <w:t>description and arrangement of the systems used to meet the needs of the various technical services;</w:t>
      </w:r>
    </w:p>
    <w:p w:rsidR="006C641F" w:rsidRPr="00937C8B" w:rsidRDefault="006C641F" w:rsidP="006C641F">
      <w:pPr>
        <w:pStyle w:val="CTENumeracion"/>
        <w:ind w:left="702" w:hanging="345"/>
        <w:rPr>
          <w:rFonts w:cs="Arial"/>
          <w:sz w:val="22"/>
          <w:szCs w:val="22"/>
        </w:rPr>
      </w:pPr>
      <w:r>
        <w:rPr>
          <w:sz w:val="22"/>
        </w:rPr>
        <w:t>i)</w:t>
      </w:r>
      <w:r>
        <w:rPr>
          <w:sz w:val="22"/>
        </w:rPr>
        <w:tab/>
        <w:t>performance figures used for the different equipment of the technical services;</w:t>
      </w:r>
    </w:p>
    <w:p w:rsidR="006C641F" w:rsidRPr="00937C8B" w:rsidRDefault="006C641F" w:rsidP="006C641F">
      <w:pPr>
        <w:pStyle w:val="CTENumeracion"/>
        <w:ind w:left="702" w:hanging="345"/>
        <w:rPr>
          <w:rFonts w:cs="Arial"/>
          <w:sz w:val="22"/>
          <w:szCs w:val="22"/>
        </w:rPr>
      </w:pPr>
      <w:r>
        <w:rPr>
          <w:sz w:val="22"/>
        </w:rPr>
        <w:t>j)</w:t>
      </w:r>
      <w:r>
        <w:rPr>
          <w:sz w:val="22"/>
        </w:rPr>
        <w:tab/>
        <w:t xml:space="preserve">factors used to convert </w:t>
      </w:r>
      <w:r>
        <w:rPr>
          <w:i/>
          <w:sz w:val="22"/>
        </w:rPr>
        <w:t>final energy</w:t>
      </w:r>
      <w:r>
        <w:rPr>
          <w:sz w:val="22"/>
        </w:rPr>
        <w:t xml:space="preserve"> to </w:t>
      </w:r>
      <w:r>
        <w:rPr>
          <w:i/>
          <w:sz w:val="22"/>
        </w:rPr>
        <w:t>primary energy</w:t>
      </w:r>
      <w:r>
        <w:rPr>
          <w:sz w:val="22"/>
        </w:rPr>
        <w:t>;</w:t>
      </w:r>
    </w:p>
    <w:p w:rsidR="006C641F" w:rsidRPr="00937C8B" w:rsidRDefault="006C641F" w:rsidP="006C641F">
      <w:pPr>
        <w:pStyle w:val="CTENumeracion"/>
        <w:ind w:left="702" w:hanging="345"/>
        <w:rPr>
          <w:rFonts w:cs="Arial"/>
          <w:sz w:val="22"/>
          <w:szCs w:val="22"/>
        </w:rPr>
      </w:pPr>
      <w:r>
        <w:rPr>
          <w:sz w:val="22"/>
        </w:rPr>
        <w:t>k)</w:t>
      </w:r>
      <w:r>
        <w:rPr>
          <w:sz w:val="22"/>
        </w:rPr>
        <w:tab/>
      </w:r>
      <w:r>
        <w:rPr>
          <w:i/>
          <w:sz w:val="22"/>
        </w:rPr>
        <w:t>non-renewable primary energy consumption</w:t>
      </w:r>
      <w:r>
        <w:rPr>
          <w:sz w:val="22"/>
        </w:rPr>
        <w:t xml:space="preserve"> (C</w:t>
      </w:r>
      <w:r>
        <w:rPr>
          <w:sz w:val="22"/>
          <w:vertAlign w:val="subscript"/>
        </w:rPr>
        <w:t>ep,nren</w:t>
      </w:r>
      <w:r>
        <w:rPr>
          <w:sz w:val="22"/>
        </w:rPr>
        <w:t>) of the building and the applicable limit value (C</w:t>
      </w:r>
      <w:r>
        <w:rPr>
          <w:sz w:val="22"/>
          <w:vertAlign w:val="subscript"/>
        </w:rPr>
        <w:t>ep,nren,lim</w:t>
      </w:r>
      <w:r>
        <w:rPr>
          <w:sz w:val="22"/>
        </w:rPr>
        <w:t>);</w:t>
      </w:r>
    </w:p>
    <w:p w:rsidR="006C641F" w:rsidRPr="00937C8B" w:rsidRDefault="006C641F" w:rsidP="006C641F">
      <w:pPr>
        <w:pStyle w:val="CTENumeracion"/>
        <w:ind w:left="702" w:hanging="345"/>
        <w:rPr>
          <w:rFonts w:cs="Arial"/>
          <w:sz w:val="22"/>
          <w:szCs w:val="22"/>
        </w:rPr>
      </w:pPr>
      <w:r>
        <w:rPr>
          <w:sz w:val="22"/>
        </w:rPr>
        <w:t>l)</w:t>
      </w:r>
      <w:r>
        <w:rPr>
          <w:sz w:val="22"/>
        </w:rPr>
        <w:tab/>
      </w:r>
      <w:r>
        <w:rPr>
          <w:i/>
          <w:iCs/>
          <w:sz w:val="22"/>
        </w:rPr>
        <w:t>total primary energy consumption</w:t>
      </w:r>
      <w:r>
        <w:rPr>
          <w:sz w:val="22"/>
        </w:rPr>
        <w:t xml:space="preserve"> (C</w:t>
      </w:r>
      <w:r>
        <w:rPr>
          <w:sz w:val="22"/>
          <w:vertAlign w:val="subscript"/>
        </w:rPr>
        <w:t>ep,tot</w:t>
      </w:r>
      <w:r>
        <w:rPr>
          <w:sz w:val="22"/>
        </w:rPr>
        <w:t>) and the applicable limit value (C</w:t>
      </w:r>
      <w:r>
        <w:rPr>
          <w:sz w:val="22"/>
          <w:vertAlign w:val="subscript"/>
        </w:rPr>
        <w:t>ep,tot,lim</w:t>
      </w:r>
      <w:r>
        <w:rPr>
          <w:sz w:val="22"/>
        </w:rPr>
        <w:t>);</w:t>
      </w:r>
    </w:p>
    <w:p w:rsidR="006C641F" w:rsidRPr="00937C8B" w:rsidRDefault="006C641F" w:rsidP="006C641F">
      <w:pPr>
        <w:pStyle w:val="CTENumeracion"/>
        <w:ind w:left="702" w:hanging="345"/>
        <w:rPr>
          <w:rFonts w:cs="Arial"/>
          <w:sz w:val="22"/>
          <w:szCs w:val="22"/>
        </w:rPr>
      </w:pPr>
      <w:r>
        <w:rPr>
          <w:sz w:val="22"/>
        </w:rPr>
        <w:t>m)</w:t>
      </w:r>
      <w:r>
        <w:rPr>
          <w:sz w:val="22"/>
        </w:rPr>
        <w:tab/>
        <w:t xml:space="preserve">the number of </w:t>
      </w:r>
      <w:r>
        <w:rPr>
          <w:i/>
          <w:sz w:val="22"/>
        </w:rPr>
        <w:t>hours out of range</w:t>
      </w:r>
      <w:r>
        <w:rPr>
          <w:sz w:val="22"/>
        </w:rPr>
        <w:t xml:space="preserve"> and the applicable limit value.</w:t>
      </w:r>
    </w:p>
    <w:p w:rsidR="006C641F" w:rsidRPr="00937C8B" w:rsidRDefault="006C641F" w:rsidP="006C641F">
      <w:pPr>
        <w:pStyle w:val="CteTtulo2"/>
        <w:rPr>
          <w:rFonts w:cs="Arial"/>
        </w:rPr>
      </w:pPr>
      <w:bookmarkStart w:id="81" w:name="_Toc530395243"/>
      <w:bookmarkStart w:id="82" w:name="_Toc530396122"/>
      <w:bookmarkStart w:id="83" w:name="_Toc39157914"/>
      <w:bookmarkStart w:id="84" w:name="_Toc39158115"/>
      <w:bookmarkStart w:id="85" w:name="_Toc44876240"/>
      <w:r>
        <w:t>6.</w:t>
      </w:r>
      <w:r>
        <w:tab/>
        <w:t>Construction, maintenance and preservation</w:t>
      </w:r>
      <w:bookmarkEnd w:id="81"/>
      <w:bookmarkEnd w:id="82"/>
      <w:bookmarkEnd w:id="83"/>
      <w:bookmarkEnd w:id="84"/>
      <w:bookmarkEnd w:id="85"/>
    </w:p>
    <w:p w:rsidR="006C641F" w:rsidRPr="00937C8B" w:rsidRDefault="006C641F" w:rsidP="009467D5">
      <w:pPr>
        <w:pStyle w:val="CteTtulo3"/>
      </w:pPr>
      <w:bookmarkStart w:id="86" w:name="_Toc530395244"/>
      <w:bookmarkStart w:id="87" w:name="_Toc39157915"/>
      <w:bookmarkStart w:id="88" w:name="_Toc44876241"/>
      <w:r>
        <w:t>6.1</w:t>
      </w:r>
      <w:r>
        <w:tab/>
        <w:t>Execution</w:t>
      </w:r>
      <w:bookmarkEnd w:id="86"/>
      <w:bookmarkEnd w:id="87"/>
      <w:bookmarkEnd w:id="88"/>
    </w:p>
    <w:p w:rsidR="006C641F" w:rsidRPr="00937C8B" w:rsidRDefault="006C641F" w:rsidP="006C641F">
      <w:pPr>
        <w:pStyle w:val="CTENumeracion"/>
        <w:spacing w:before="120"/>
        <w:rPr>
          <w:rFonts w:cs="Arial"/>
          <w:sz w:val="22"/>
          <w:szCs w:val="22"/>
        </w:rPr>
      </w:pPr>
      <w:r>
        <w:rPr>
          <w:sz w:val="22"/>
        </w:rPr>
        <w:t>1.</w:t>
      </w:r>
      <w:r>
        <w:rPr>
          <w:sz w:val="22"/>
        </w:rPr>
        <w:tab/>
        <w:t>The building construction work shall be performed according to the design and any design amendments approved by the site manager, with the prior approval of the developer and in accordance with applicable legislation, best practices in construction and the instructions of the site manager and the project manager, as per Article 7 of Part I of the CTE.</w:t>
      </w:r>
    </w:p>
    <w:p w:rsidR="006C641F" w:rsidRPr="00937C8B" w:rsidRDefault="006C641F" w:rsidP="009467D5">
      <w:pPr>
        <w:pStyle w:val="CteTtulo3"/>
      </w:pPr>
      <w:bookmarkStart w:id="89" w:name="_Toc530395245"/>
      <w:bookmarkStart w:id="90" w:name="_Toc530396124"/>
      <w:bookmarkStart w:id="91" w:name="_Toc39157916"/>
      <w:bookmarkStart w:id="92" w:name="_Toc44876242"/>
      <w:r>
        <w:t>6.2</w:t>
      </w:r>
      <w:r>
        <w:tab/>
        <w:t>Work execution verification</w:t>
      </w:r>
      <w:bookmarkEnd w:id="89"/>
      <w:bookmarkEnd w:id="90"/>
      <w:bookmarkEnd w:id="91"/>
      <w:bookmarkEnd w:id="92"/>
    </w:p>
    <w:p w:rsidR="006C641F" w:rsidRPr="00937C8B" w:rsidRDefault="006C641F" w:rsidP="006C641F">
      <w:pPr>
        <w:pStyle w:val="CTENumeracion"/>
        <w:spacing w:before="120"/>
        <w:rPr>
          <w:rFonts w:cs="Arial"/>
          <w:sz w:val="22"/>
          <w:szCs w:val="22"/>
        </w:rPr>
      </w:pPr>
      <w:r>
        <w:rPr>
          <w:sz w:val="22"/>
        </w:rPr>
        <w:t>1.</w:t>
      </w:r>
      <w:r>
        <w:rPr>
          <w:sz w:val="22"/>
        </w:rPr>
        <w:tab/>
        <w:t>Execution of the work shall be checked against the design specifications, annexes and any amendments approved by the site manager and the instructions of the project manager, as per Article 7.3 of Part I of the CTE and other applicable prevailing regulations.</w:t>
      </w:r>
    </w:p>
    <w:p w:rsidR="006C641F" w:rsidRPr="00937C8B" w:rsidRDefault="006C641F" w:rsidP="006C641F">
      <w:pPr>
        <w:pStyle w:val="CTENumeracion"/>
        <w:spacing w:before="120"/>
        <w:rPr>
          <w:rFonts w:cs="Arial"/>
          <w:sz w:val="22"/>
          <w:szCs w:val="22"/>
        </w:rPr>
      </w:pPr>
      <w:r>
        <w:rPr>
          <w:sz w:val="22"/>
        </w:rPr>
        <w:t>2.</w:t>
      </w:r>
      <w:r>
        <w:rPr>
          <w:sz w:val="22"/>
        </w:rPr>
        <w:tab/>
        <w:t>Execution of the work shall be checked to ensure performance of inspections at the required frequency, as per the project specifications.</w:t>
      </w:r>
    </w:p>
    <w:p w:rsidR="006C641F" w:rsidRPr="00937C8B" w:rsidRDefault="006C641F" w:rsidP="006C641F">
      <w:pPr>
        <w:pStyle w:val="CTENumeracion"/>
        <w:spacing w:before="120"/>
        <w:rPr>
          <w:rFonts w:cs="Arial"/>
          <w:sz w:val="22"/>
          <w:szCs w:val="22"/>
        </w:rPr>
      </w:pPr>
      <w:r>
        <w:rPr>
          <w:sz w:val="22"/>
        </w:rPr>
        <w:t>3.</w:t>
      </w:r>
      <w:r>
        <w:rPr>
          <w:sz w:val="22"/>
        </w:rPr>
        <w:tab/>
        <w:t>Any changes introduced during execution of the works shall be recorded in the as-built documents, and shall always be in accordance with the minimum conditions set out in this Basic Document.</w:t>
      </w:r>
    </w:p>
    <w:p w:rsidR="006C641F" w:rsidRPr="00937C8B" w:rsidRDefault="006C641F" w:rsidP="006C641F">
      <w:pPr>
        <w:pStyle w:val="CTENumeracion"/>
        <w:spacing w:before="120"/>
        <w:rPr>
          <w:rFonts w:cs="Arial"/>
          <w:sz w:val="22"/>
          <w:szCs w:val="22"/>
        </w:rPr>
      </w:pPr>
      <w:r>
        <w:rPr>
          <w:sz w:val="22"/>
        </w:rPr>
        <w:t>4.</w:t>
      </w:r>
      <w:r>
        <w:rPr>
          <w:sz w:val="22"/>
        </w:rPr>
        <w:tab/>
        <w:t>The Building Book shall include documentation on the characteristics of the products, equipment and systems included in the work.</w:t>
      </w:r>
    </w:p>
    <w:p w:rsidR="006C641F" w:rsidRPr="00937C8B" w:rsidRDefault="006C641F" w:rsidP="009467D5">
      <w:pPr>
        <w:pStyle w:val="CteTtulo3"/>
      </w:pPr>
      <w:bookmarkStart w:id="93" w:name="Sección_HE0_ControlObra"/>
      <w:bookmarkStart w:id="94" w:name="_Toc530395246"/>
      <w:bookmarkStart w:id="95" w:name="_Toc39157917"/>
      <w:bookmarkStart w:id="96" w:name="_Toc44876243"/>
      <w:bookmarkEnd w:id="93"/>
      <w:r>
        <w:lastRenderedPageBreak/>
        <w:t>6.3</w:t>
      </w:r>
      <w:r>
        <w:tab/>
        <w:t>As-built verification</w:t>
      </w:r>
      <w:bookmarkEnd w:id="94"/>
      <w:bookmarkEnd w:id="95"/>
      <w:bookmarkEnd w:id="96"/>
    </w:p>
    <w:p w:rsidR="006C641F" w:rsidRPr="00937C8B" w:rsidRDefault="006C641F" w:rsidP="006C641F">
      <w:pPr>
        <w:pStyle w:val="CTENumeracion"/>
        <w:spacing w:before="120"/>
        <w:rPr>
          <w:rFonts w:cs="Arial"/>
          <w:sz w:val="22"/>
          <w:szCs w:val="22"/>
        </w:rPr>
      </w:pPr>
      <w:r>
        <w:rPr>
          <w:sz w:val="22"/>
        </w:rPr>
        <w:t>1.</w:t>
      </w:r>
      <w:r>
        <w:rPr>
          <w:sz w:val="22"/>
        </w:rPr>
        <w:tab/>
        <w:t xml:space="preserve">The as-built verification shall be based on the criteria provided in Article 7.4 of Part I of the CTE. </w:t>
      </w:r>
    </w:p>
    <w:p w:rsidR="006C641F" w:rsidRPr="00937C8B" w:rsidRDefault="006C641F" w:rsidP="006C641F">
      <w:pPr>
        <w:pStyle w:val="CTENumeracion"/>
        <w:spacing w:before="120"/>
        <w:rPr>
          <w:rFonts w:cs="Arial"/>
          <w:sz w:val="22"/>
          <w:szCs w:val="22"/>
        </w:rPr>
      </w:pPr>
      <w:r>
        <w:rPr>
          <w:sz w:val="22"/>
        </w:rPr>
        <w:t>2.</w:t>
      </w:r>
      <w:r>
        <w:rPr>
          <w:sz w:val="22"/>
        </w:rPr>
        <w:tab/>
        <w:t>This Section of the Basic Document does not require final testing.</w:t>
      </w:r>
    </w:p>
    <w:p w:rsidR="006C641F" w:rsidRPr="00937C8B" w:rsidRDefault="006C641F" w:rsidP="009467D5">
      <w:pPr>
        <w:pStyle w:val="CteTtulo3"/>
      </w:pPr>
      <w:bookmarkStart w:id="97" w:name="_Toc530395247"/>
      <w:bookmarkStart w:id="98" w:name="_Toc530396126"/>
      <w:bookmarkStart w:id="99" w:name="_Toc39157918"/>
      <w:bookmarkStart w:id="100" w:name="_Toc44876244"/>
      <w:r>
        <w:t>6.4</w:t>
      </w:r>
      <w:r>
        <w:tab/>
        <w:t>Building maintenance and preservation</w:t>
      </w:r>
      <w:bookmarkEnd w:id="97"/>
      <w:bookmarkEnd w:id="98"/>
      <w:bookmarkEnd w:id="99"/>
      <w:bookmarkEnd w:id="100"/>
    </w:p>
    <w:p w:rsidR="006C641F" w:rsidRPr="00937C8B" w:rsidRDefault="006C641F" w:rsidP="006C641F">
      <w:pPr>
        <w:pStyle w:val="CTENumeracion"/>
        <w:spacing w:before="120"/>
        <w:rPr>
          <w:rFonts w:cs="Arial"/>
          <w:strike/>
          <w:sz w:val="22"/>
          <w:szCs w:val="22"/>
        </w:rPr>
      </w:pPr>
      <w:r>
        <w:rPr>
          <w:sz w:val="22"/>
        </w:rPr>
        <w:t>1.</w:t>
      </w:r>
      <w:r>
        <w:rPr>
          <w:sz w:val="22"/>
        </w:rPr>
        <w:tab/>
        <w:t xml:space="preserve">The maintenance plan included in the Building Book shall indicate the work and intervals required to maintain the design and performance parameters of the </w:t>
      </w:r>
      <w:r>
        <w:rPr>
          <w:i/>
          <w:iCs/>
          <w:sz w:val="22"/>
        </w:rPr>
        <w:t>thermal envelope</w:t>
      </w:r>
      <w:r>
        <w:rPr>
          <w:sz w:val="22"/>
        </w:rPr>
        <w:t xml:space="preserve"> and installations over time.</w:t>
      </w:r>
    </w:p>
    <w:p w:rsidR="00CE6532" w:rsidRPr="00937C8B" w:rsidRDefault="006C641F" w:rsidP="006C641F">
      <w:pPr>
        <w:pStyle w:val="CTENumeracion"/>
        <w:spacing w:before="120"/>
        <w:rPr>
          <w:rFonts w:cs="Arial"/>
          <w:sz w:val="22"/>
          <w:szCs w:val="22"/>
        </w:rPr>
      </w:pPr>
      <w:r>
        <w:rPr>
          <w:sz w:val="22"/>
        </w:rPr>
        <w:t>2.</w:t>
      </w:r>
      <w:r>
        <w:rPr>
          <w:sz w:val="22"/>
        </w:rPr>
        <w:tab/>
        <w:t>In addition, the Building Books shall log all work, whether for repair, renovation or restoration, over the service life of the building.</w:t>
      </w:r>
    </w:p>
    <w:p w:rsidR="00B44AA1" w:rsidRPr="00937C8B" w:rsidRDefault="00B44AA1" w:rsidP="0084739B">
      <w:pPr>
        <w:pStyle w:val="CteTtuloSeccion"/>
        <w:pageBreakBefore/>
        <w:rPr>
          <w:rFonts w:cs="Arial"/>
          <w:color w:val="auto"/>
        </w:rPr>
      </w:pPr>
      <w:bookmarkStart w:id="101" w:name="_Toc39157919"/>
      <w:bookmarkStart w:id="102" w:name="_Toc39158116"/>
      <w:bookmarkStart w:id="103" w:name="_Toc44876245"/>
      <w:r>
        <w:rPr>
          <w:color w:val="auto"/>
        </w:rPr>
        <w:lastRenderedPageBreak/>
        <w:t>Section HE 1</w:t>
      </w:r>
      <w:r>
        <w:rPr>
          <w:color w:val="auto"/>
        </w:rPr>
        <w:br/>
        <w:t>Conditions for controlling energy demand</w:t>
      </w:r>
      <w:bookmarkEnd w:id="101"/>
      <w:bookmarkEnd w:id="102"/>
      <w:bookmarkEnd w:id="103"/>
    </w:p>
    <w:p w:rsidR="00230F35" w:rsidRPr="00937C8B" w:rsidRDefault="00230F35" w:rsidP="00230F35">
      <w:pPr>
        <w:pStyle w:val="CteTtulo2"/>
        <w:rPr>
          <w:rFonts w:cs="Arial"/>
        </w:rPr>
      </w:pPr>
      <w:bookmarkStart w:id="104" w:name="_Toc530395249"/>
      <w:bookmarkStart w:id="105" w:name="_Toc530396128"/>
      <w:bookmarkStart w:id="106" w:name="_Toc39157920"/>
      <w:bookmarkStart w:id="107" w:name="_Toc39158117"/>
      <w:bookmarkStart w:id="108" w:name="_Toc44876246"/>
      <w:r>
        <w:t>1.</w:t>
      </w:r>
      <w:r>
        <w:tab/>
        <w:t>Scope</w:t>
      </w:r>
      <w:bookmarkEnd w:id="104"/>
      <w:bookmarkEnd w:id="105"/>
      <w:bookmarkEnd w:id="106"/>
      <w:bookmarkEnd w:id="107"/>
      <w:bookmarkEnd w:id="108"/>
    </w:p>
    <w:p w:rsidR="00230F35" w:rsidRPr="00937C8B" w:rsidRDefault="00230F35" w:rsidP="00230F35">
      <w:pPr>
        <w:pStyle w:val="CTENumeracion"/>
        <w:rPr>
          <w:rFonts w:cs="Arial"/>
          <w:sz w:val="22"/>
          <w:szCs w:val="22"/>
        </w:rPr>
      </w:pPr>
      <w:r>
        <w:rPr>
          <w:sz w:val="22"/>
        </w:rPr>
        <w:t>1.</w:t>
      </w:r>
      <w:r>
        <w:rPr>
          <w:sz w:val="22"/>
        </w:rPr>
        <w:tab/>
        <w:t>This Section shall apply to:</w:t>
      </w:r>
    </w:p>
    <w:p w:rsidR="00230F35" w:rsidRPr="00937C8B" w:rsidRDefault="00230F35" w:rsidP="00230F35">
      <w:pPr>
        <w:pStyle w:val="CTENumeracion"/>
        <w:ind w:firstLine="0"/>
        <w:rPr>
          <w:rFonts w:cs="Arial"/>
          <w:sz w:val="22"/>
          <w:szCs w:val="22"/>
        </w:rPr>
      </w:pPr>
      <w:r>
        <w:rPr>
          <w:sz w:val="22"/>
        </w:rPr>
        <w:t>a)</w:t>
      </w:r>
      <w:r>
        <w:rPr>
          <w:sz w:val="22"/>
        </w:rPr>
        <w:tab/>
        <w:t>newly constructed buildings;</w:t>
      </w:r>
    </w:p>
    <w:p w:rsidR="00230F35" w:rsidRPr="00937C8B" w:rsidRDefault="00230F35" w:rsidP="00230F35">
      <w:pPr>
        <w:pStyle w:val="CTENumeracion"/>
        <w:spacing w:before="0" w:after="0"/>
        <w:ind w:firstLine="0"/>
        <w:rPr>
          <w:rFonts w:cs="Arial"/>
          <w:sz w:val="22"/>
          <w:szCs w:val="22"/>
        </w:rPr>
      </w:pPr>
      <w:r>
        <w:rPr>
          <w:sz w:val="22"/>
        </w:rPr>
        <w:t>b)</w:t>
      </w:r>
      <w:r>
        <w:rPr>
          <w:sz w:val="22"/>
        </w:rPr>
        <w:tab/>
        <w:t>work on existing buildings:</w:t>
      </w:r>
    </w:p>
    <w:p w:rsidR="00230F35" w:rsidRPr="00937C8B" w:rsidRDefault="00230F35" w:rsidP="00425ADA">
      <w:pPr>
        <w:pStyle w:val="CTENumeracion"/>
        <w:numPr>
          <w:ilvl w:val="0"/>
          <w:numId w:val="14"/>
        </w:numPr>
        <w:spacing w:before="0" w:after="0"/>
        <w:ind w:left="1134"/>
        <w:rPr>
          <w:rFonts w:cs="Arial"/>
          <w:sz w:val="22"/>
          <w:szCs w:val="22"/>
        </w:rPr>
      </w:pPr>
      <w:r>
        <w:rPr>
          <w:sz w:val="22"/>
        </w:rPr>
        <w:t>extensions;</w:t>
      </w:r>
    </w:p>
    <w:p w:rsidR="00230F35" w:rsidRPr="00937C8B" w:rsidRDefault="00230F35" w:rsidP="00425ADA">
      <w:pPr>
        <w:pStyle w:val="CTENumeracion"/>
        <w:numPr>
          <w:ilvl w:val="0"/>
          <w:numId w:val="14"/>
        </w:numPr>
        <w:spacing w:before="0" w:after="0"/>
        <w:ind w:left="1134"/>
        <w:rPr>
          <w:rFonts w:cs="Arial"/>
          <w:sz w:val="22"/>
          <w:szCs w:val="22"/>
        </w:rPr>
      </w:pPr>
      <w:r>
        <w:rPr>
          <w:sz w:val="22"/>
        </w:rPr>
        <w:t xml:space="preserve">changes in use; </w:t>
      </w:r>
    </w:p>
    <w:p w:rsidR="00230F35" w:rsidRPr="00937C8B" w:rsidRDefault="00230F35" w:rsidP="00425ADA">
      <w:pPr>
        <w:pStyle w:val="CTENumeracion"/>
        <w:numPr>
          <w:ilvl w:val="0"/>
          <w:numId w:val="14"/>
        </w:numPr>
        <w:spacing w:before="0" w:after="0"/>
        <w:ind w:left="1134"/>
        <w:rPr>
          <w:rFonts w:cs="Arial"/>
          <w:sz w:val="22"/>
          <w:szCs w:val="22"/>
        </w:rPr>
      </w:pPr>
      <w:r>
        <w:rPr>
          <w:sz w:val="22"/>
        </w:rPr>
        <w:t>renovations.</w:t>
      </w:r>
    </w:p>
    <w:p w:rsidR="00230F35" w:rsidRPr="00937C8B" w:rsidRDefault="00230F35" w:rsidP="00230F35">
      <w:pPr>
        <w:pStyle w:val="CTENumeracion"/>
        <w:spacing w:before="120"/>
        <w:rPr>
          <w:rFonts w:cs="Arial"/>
          <w:sz w:val="22"/>
          <w:szCs w:val="22"/>
        </w:rPr>
      </w:pPr>
      <w:r>
        <w:rPr>
          <w:sz w:val="22"/>
        </w:rPr>
        <w:t>2.</w:t>
      </w:r>
      <w:r>
        <w:rPr>
          <w:sz w:val="22"/>
        </w:rPr>
        <w:tab/>
        <w:t>The scope does not cover:</w:t>
      </w:r>
    </w:p>
    <w:p w:rsidR="00230F35" w:rsidRPr="00937C8B" w:rsidRDefault="00230F35" w:rsidP="00230F35">
      <w:pPr>
        <w:pStyle w:val="CTENumeracion"/>
        <w:ind w:left="702" w:hanging="345"/>
        <w:rPr>
          <w:rFonts w:cs="Arial"/>
          <w:sz w:val="22"/>
          <w:szCs w:val="22"/>
        </w:rPr>
      </w:pPr>
      <w:r>
        <w:rPr>
          <w:sz w:val="22"/>
        </w:rPr>
        <w:t>a)</w:t>
      </w:r>
      <w:r>
        <w:rPr>
          <w:sz w:val="22"/>
        </w:rPr>
        <w:tab/>
        <w:t>buildings officially protected as part of a designated environment or because of their special architectural or historic value, where compliance with certain basic energy efficiency requirements could unacceptably alter their nature or appearance, and where the authority that granted the official protection shall determine the inalterable elements;</w:t>
      </w:r>
    </w:p>
    <w:p w:rsidR="00230F35" w:rsidRPr="00937C8B" w:rsidRDefault="00230F35" w:rsidP="00230F35">
      <w:pPr>
        <w:pStyle w:val="CTENumeracion"/>
        <w:ind w:left="702" w:hanging="345"/>
        <w:rPr>
          <w:rFonts w:cs="Arial"/>
          <w:sz w:val="22"/>
          <w:szCs w:val="22"/>
        </w:rPr>
      </w:pPr>
      <w:r>
        <w:rPr>
          <w:sz w:val="22"/>
        </w:rPr>
        <w:t>b)</w:t>
      </w:r>
      <w:r>
        <w:rPr>
          <w:sz w:val="22"/>
        </w:rPr>
        <w:tab/>
        <w:t>temporary structures with a planned time of use of two years or less;</w:t>
      </w:r>
    </w:p>
    <w:p w:rsidR="00230F35" w:rsidRPr="00937C8B" w:rsidRDefault="00230F35" w:rsidP="00230F35">
      <w:pPr>
        <w:pStyle w:val="CTENumeracion"/>
        <w:ind w:left="702" w:hanging="345"/>
        <w:rPr>
          <w:rFonts w:cs="Arial"/>
          <w:sz w:val="22"/>
          <w:szCs w:val="22"/>
        </w:rPr>
      </w:pPr>
      <w:r>
        <w:rPr>
          <w:sz w:val="22"/>
        </w:rPr>
        <w:t>c)</w:t>
      </w:r>
      <w:r>
        <w:rPr>
          <w:sz w:val="22"/>
        </w:rPr>
        <w:tab/>
        <w:t>industrial, defence and non-residential agricultural buildings, or parts thereof, with a low energy demand. Areas that do not require a guarantee of thermal comfort conditions, such as those used for workshops and industrial processes, shall be considered to be of low energy demand;</w:t>
      </w:r>
    </w:p>
    <w:p w:rsidR="00230F35" w:rsidRPr="00937C8B" w:rsidRDefault="00230F35" w:rsidP="00230F35">
      <w:pPr>
        <w:pStyle w:val="CTENumeracion"/>
        <w:ind w:left="702" w:hanging="345"/>
        <w:rPr>
          <w:rFonts w:cs="Arial"/>
        </w:rPr>
      </w:pPr>
      <w:r>
        <w:rPr>
          <w:sz w:val="22"/>
        </w:rPr>
        <w:t>d)</w:t>
      </w:r>
      <w:r>
        <w:rPr>
          <w:sz w:val="22"/>
        </w:rPr>
        <w:tab/>
        <w:t>independent buildings with a total usable floor area of less than 50 m</w:t>
      </w:r>
      <w:r>
        <w:rPr>
          <w:sz w:val="22"/>
          <w:vertAlign w:val="superscript"/>
        </w:rPr>
        <w:t>2</w:t>
      </w:r>
      <w:r>
        <w:rPr>
          <w:sz w:val="22"/>
        </w:rPr>
        <w:t>.</w:t>
      </w:r>
    </w:p>
    <w:p w:rsidR="00230F35" w:rsidRPr="00937C8B" w:rsidRDefault="00230F35" w:rsidP="00230F35">
      <w:pPr>
        <w:pStyle w:val="CteTtulo2"/>
        <w:spacing w:before="480"/>
        <w:rPr>
          <w:rFonts w:cs="Arial"/>
        </w:rPr>
      </w:pPr>
      <w:bookmarkStart w:id="109" w:name="Sección_HE1_Caracterizacion"/>
      <w:bookmarkStart w:id="110" w:name="_Toc530395250"/>
      <w:bookmarkStart w:id="111" w:name="_Toc39157921"/>
      <w:bookmarkStart w:id="112" w:name="_Toc39158118"/>
      <w:bookmarkStart w:id="113" w:name="_Toc44876247"/>
      <w:bookmarkEnd w:id="109"/>
      <w:r>
        <w:t>2.</w:t>
      </w:r>
      <w:r>
        <w:tab/>
        <w:t>Determination of the requirement</w:t>
      </w:r>
      <w:bookmarkEnd w:id="110"/>
      <w:bookmarkEnd w:id="111"/>
      <w:bookmarkEnd w:id="112"/>
      <w:bookmarkEnd w:id="113"/>
    </w:p>
    <w:p w:rsidR="00230F35" w:rsidRPr="00937C8B" w:rsidRDefault="00230F35" w:rsidP="00230F35">
      <w:pPr>
        <w:pStyle w:val="CTENumeracion"/>
        <w:spacing w:before="120"/>
        <w:rPr>
          <w:rFonts w:cs="Arial"/>
          <w:sz w:val="22"/>
          <w:szCs w:val="22"/>
        </w:rPr>
      </w:pPr>
      <w:r>
        <w:rPr>
          <w:sz w:val="22"/>
        </w:rPr>
        <w:t>1.</w:t>
      </w:r>
      <w:r>
        <w:rPr>
          <w:sz w:val="22"/>
        </w:rPr>
        <w:tab/>
        <w:t xml:space="preserve">To control the energy demand, buildings shall have a </w:t>
      </w:r>
      <w:r>
        <w:rPr>
          <w:i/>
          <w:iCs/>
          <w:sz w:val="22"/>
        </w:rPr>
        <w:t>thermal envelope</w:t>
      </w:r>
      <w:r>
        <w:rPr>
          <w:sz w:val="22"/>
        </w:rPr>
        <w:t xml:space="preserve"> with characteristics that limit the </w:t>
      </w:r>
      <w:r>
        <w:rPr>
          <w:i/>
          <w:iCs/>
          <w:sz w:val="22"/>
        </w:rPr>
        <w:t>primary energy</w:t>
      </w:r>
      <w:r>
        <w:rPr>
          <w:sz w:val="22"/>
        </w:rPr>
        <w:t xml:space="preserve"> needs to achieve </w:t>
      </w:r>
      <w:r>
        <w:rPr>
          <w:i/>
          <w:iCs/>
          <w:sz w:val="22"/>
        </w:rPr>
        <w:t>thermal comfort</w:t>
      </w:r>
      <w:r>
        <w:rPr>
          <w:sz w:val="22"/>
        </w:rPr>
        <w:t xml:space="preserve"> according to the winter and summer patterns, the use of the building and, for existing buildings, the scope of the works.</w:t>
      </w:r>
    </w:p>
    <w:p w:rsidR="00230F35" w:rsidRPr="00937C8B" w:rsidRDefault="00230F35" w:rsidP="00230F35">
      <w:pPr>
        <w:pStyle w:val="CTENumeracion"/>
        <w:spacing w:before="120"/>
        <w:rPr>
          <w:rFonts w:cs="Arial"/>
          <w:sz w:val="22"/>
          <w:szCs w:val="22"/>
        </w:rPr>
      </w:pPr>
      <w:r>
        <w:rPr>
          <w:sz w:val="22"/>
        </w:rPr>
        <w:t>2.</w:t>
      </w:r>
      <w:r>
        <w:rPr>
          <w:sz w:val="22"/>
        </w:rPr>
        <w:tab/>
        <w:t xml:space="preserve">The elements of the </w:t>
      </w:r>
      <w:r>
        <w:rPr>
          <w:i/>
          <w:iCs/>
          <w:sz w:val="22"/>
        </w:rPr>
        <w:t>thermal envelope</w:t>
      </w:r>
      <w:r>
        <w:rPr>
          <w:sz w:val="22"/>
        </w:rPr>
        <w:t xml:space="preserve"> shall have characteristics, based on the winter climate zone, that prevent imbalances in the thermal quality of the different </w:t>
      </w:r>
      <w:r>
        <w:rPr>
          <w:i/>
          <w:iCs/>
          <w:sz w:val="22"/>
        </w:rPr>
        <w:t>habitable spaces</w:t>
      </w:r>
      <w:r>
        <w:rPr>
          <w:sz w:val="22"/>
        </w:rPr>
        <w:t>.</w:t>
      </w:r>
    </w:p>
    <w:p w:rsidR="00230F35" w:rsidRPr="00937C8B" w:rsidRDefault="00230F35" w:rsidP="00230F35">
      <w:pPr>
        <w:pStyle w:val="CTENumeracion"/>
        <w:spacing w:before="120"/>
        <w:rPr>
          <w:rFonts w:cs="Arial"/>
          <w:sz w:val="22"/>
          <w:szCs w:val="22"/>
        </w:rPr>
      </w:pPr>
      <w:r>
        <w:rPr>
          <w:sz w:val="22"/>
        </w:rPr>
        <w:t>3.</w:t>
      </w:r>
      <w:r>
        <w:rPr>
          <w:sz w:val="22"/>
        </w:rPr>
        <w:tab/>
        <w:t xml:space="preserve">The </w:t>
      </w:r>
      <w:r>
        <w:rPr>
          <w:i/>
          <w:sz w:val="22"/>
        </w:rPr>
        <w:t>interior partitions</w:t>
      </w:r>
      <w:r>
        <w:rPr>
          <w:sz w:val="22"/>
        </w:rPr>
        <w:t xml:space="preserve"> shall limit heat transfer between the different </w:t>
      </w:r>
      <w:r>
        <w:rPr>
          <w:i/>
          <w:sz w:val="22"/>
        </w:rPr>
        <w:t>usage units</w:t>
      </w:r>
      <w:r>
        <w:rPr>
          <w:sz w:val="22"/>
        </w:rPr>
        <w:t xml:space="preserve"> of the building, between the </w:t>
      </w:r>
      <w:r>
        <w:rPr>
          <w:i/>
          <w:sz w:val="22"/>
        </w:rPr>
        <w:t>usage units</w:t>
      </w:r>
      <w:r>
        <w:rPr>
          <w:sz w:val="22"/>
        </w:rPr>
        <w:t xml:space="preserve"> and the </w:t>
      </w:r>
      <w:r>
        <w:rPr>
          <w:i/>
          <w:sz w:val="22"/>
        </w:rPr>
        <w:t xml:space="preserve">common areas </w:t>
      </w:r>
      <w:r>
        <w:rPr>
          <w:sz w:val="22"/>
        </w:rPr>
        <w:t xml:space="preserve">of the building, and in cases of party walls, between </w:t>
      </w:r>
      <w:r>
        <w:rPr>
          <w:i/>
          <w:sz w:val="22"/>
        </w:rPr>
        <w:t>usage units</w:t>
      </w:r>
      <w:r>
        <w:rPr>
          <w:sz w:val="22"/>
        </w:rPr>
        <w:t xml:space="preserve"> of different buildings.</w:t>
      </w:r>
    </w:p>
    <w:p w:rsidR="00230F35" w:rsidRPr="00937C8B" w:rsidRDefault="00230F35" w:rsidP="00230F35">
      <w:pPr>
        <w:pStyle w:val="CTENumeracion"/>
        <w:spacing w:before="120"/>
        <w:rPr>
          <w:rFonts w:cs="Arial"/>
          <w:sz w:val="22"/>
          <w:szCs w:val="22"/>
        </w:rPr>
      </w:pPr>
      <w:r>
        <w:rPr>
          <w:sz w:val="22"/>
        </w:rPr>
        <w:t>4.</w:t>
      </w:r>
      <w:r>
        <w:rPr>
          <w:sz w:val="22"/>
        </w:rPr>
        <w:tab/>
        <w:t xml:space="preserve">Risks due to processes that significantly reduce the thermal performance or service life of elements making up the </w:t>
      </w:r>
      <w:r>
        <w:rPr>
          <w:i/>
          <w:iCs/>
          <w:sz w:val="22"/>
        </w:rPr>
        <w:t>thermal envelope</w:t>
      </w:r>
      <w:r>
        <w:rPr>
          <w:sz w:val="22"/>
        </w:rPr>
        <w:t>, such as condensation, shall also be controlled.</w:t>
      </w:r>
    </w:p>
    <w:p w:rsidR="00230F35" w:rsidRPr="00937C8B" w:rsidRDefault="00230F35" w:rsidP="00230F35">
      <w:pPr>
        <w:pStyle w:val="CteTtulo2"/>
        <w:rPr>
          <w:rFonts w:cs="Arial"/>
          <w:sz w:val="16"/>
          <w:szCs w:val="16"/>
        </w:rPr>
      </w:pPr>
      <w:bookmarkStart w:id="114" w:name="_Toc530395251"/>
      <w:bookmarkStart w:id="115" w:name="_Toc530396130"/>
      <w:bookmarkStart w:id="116" w:name="_Toc39157922"/>
      <w:bookmarkStart w:id="117" w:name="_Toc39158119"/>
      <w:bookmarkStart w:id="118" w:name="_Toc44876248"/>
      <w:r>
        <w:t>3.</w:t>
      </w:r>
      <w:r>
        <w:tab/>
        <w:t>Quantification of the requirement</w:t>
      </w:r>
      <w:bookmarkEnd w:id="114"/>
      <w:bookmarkEnd w:id="115"/>
      <w:bookmarkEnd w:id="116"/>
      <w:bookmarkEnd w:id="117"/>
      <w:bookmarkEnd w:id="118"/>
    </w:p>
    <w:p w:rsidR="00230F35" w:rsidRPr="00937C8B" w:rsidRDefault="00230F35" w:rsidP="009467D5">
      <w:pPr>
        <w:pStyle w:val="CteTtulo3"/>
      </w:pPr>
      <w:bookmarkStart w:id="119" w:name="_Toc530395252"/>
      <w:bookmarkStart w:id="120" w:name="_Toc39157923"/>
      <w:bookmarkStart w:id="121" w:name="_Toc44876249"/>
      <w:r>
        <w:t>3.1</w:t>
      </w:r>
      <w:r>
        <w:tab/>
        <w:t xml:space="preserve">Conditions on the </w:t>
      </w:r>
      <w:r>
        <w:rPr>
          <w:i/>
        </w:rPr>
        <w:t>thermal envelope</w:t>
      </w:r>
      <w:bookmarkEnd w:id="119"/>
      <w:bookmarkEnd w:id="120"/>
      <w:bookmarkEnd w:id="121"/>
    </w:p>
    <w:p w:rsidR="00230F35" w:rsidRPr="00937C8B" w:rsidRDefault="00230F35" w:rsidP="00230F35">
      <w:pPr>
        <w:pStyle w:val="Standard"/>
        <w:tabs>
          <w:tab w:val="left" w:pos="1237"/>
        </w:tabs>
        <w:jc w:val="both"/>
      </w:pPr>
      <w:r>
        <w:t xml:space="preserve">The </w:t>
      </w:r>
      <w:r>
        <w:rPr>
          <w:i/>
        </w:rPr>
        <w:t>thermal envelope</w:t>
      </w:r>
      <w:r>
        <w:t xml:space="preserve"> of the building, defined according to the criteria of Annex C, shall meet the following conditions:</w:t>
      </w:r>
    </w:p>
    <w:p w:rsidR="00230F35" w:rsidRPr="00786EBA" w:rsidRDefault="00230F35" w:rsidP="00786EBA">
      <w:pPr>
        <w:spacing w:before="240" w:after="120"/>
        <w:rPr>
          <w:rFonts w:ascii="Arial" w:hAnsi="Arial" w:cs="Arial"/>
        </w:rPr>
      </w:pPr>
      <w:bookmarkStart w:id="122" w:name="Sección_HE1_Cuantificacion_Transmitancia"/>
      <w:bookmarkStart w:id="123" w:name="_Toc530395253"/>
      <w:bookmarkStart w:id="124" w:name="_Toc530396132"/>
      <w:bookmarkStart w:id="125" w:name="_Toc39157924"/>
      <w:bookmarkEnd w:id="122"/>
      <w:r>
        <w:rPr>
          <w:rFonts w:ascii="Arial" w:hAnsi="Arial"/>
        </w:rPr>
        <w:t>3.1.1</w:t>
      </w:r>
      <w:r>
        <w:rPr>
          <w:rFonts w:ascii="Arial" w:hAnsi="Arial"/>
        </w:rPr>
        <w:tab/>
        <w:t xml:space="preserve">Transmittance of the </w:t>
      </w:r>
      <w:r>
        <w:rPr>
          <w:rFonts w:ascii="Arial" w:hAnsi="Arial"/>
          <w:i/>
        </w:rPr>
        <w:t>thermal envelope</w:t>
      </w:r>
      <w:bookmarkEnd w:id="123"/>
      <w:bookmarkEnd w:id="124"/>
      <w:bookmarkEnd w:id="125"/>
    </w:p>
    <w:p w:rsidR="00230F35" w:rsidRPr="00937C8B" w:rsidRDefault="00230F35" w:rsidP="00D27646">
      <w:pPr>
        <w:pStyle w:val="CTENumeracion"/>
        <w:keepNext/>
        <w:rPr>
          <w:rFonts w:cs="Arial"/>
          <w:sz w:val="22"/>
          <w:szCs w:val="22"/>
        </w:rPr>
      </w:pPr>
      <w:r>
        <w:rPr>
          <w:sz w:val="22"/>
        </w:rPr>
        <w:lastRenderedPageBreak/>
        <w:t>1.</w:t>
      </w:r>
      <w:r>
        <w:rPr>
          <w:sz w:val="22"/>
        </w:rPr>
        <w:tab/>
        <w:t xml:space="preserve">The </w:t>
      </w:r>
      <w:r>
        <w:rPr>
          <w:i/>
          <w:sz w:val="22"/>
        </w:rPr>
        <w:t>thermal transmittance</w:t>
      </w:r>
      <w:r>
        <w:rPr>
          <w:sz w:val="22"/>
        </w:rPr>
        <w:t xml:space="preserve"> (U) of each element of the </w:t>
      </w:r>
      <w:r>
        <w:rPr>
          <w:i/>
          <w:sz w:val="22"/>
        </w:rPr>
        <w:t>thermal envelope</w:t>
      </w:r>
      <w:r>
        <w:rPr>
          <w:sz w:val="22"/>
        </w:rPr>
        <w:t xml:space="preserve"> shall not exceed the limit value (U</w:t>
      </w:r>
      <w:r>
        <w:rPr>
          <w:sz w:val="22"/>
          <w:vertAlign w:val="subscript"/>
        </w:rPr>
        <w:t>lim</w:t>
      </w:r>
      <w:r>
        <w:rPr>
          <w:sz w:val="22"/>
        </w:rPr>
        <w:t>) in Table 3.1.1.a-HE1:</w:t>
      </w:r>
    </w:p>
    <w:p w:rsidR="00230F35" w:rsidRPr="00937C8B" w:rsidRDefault="00230F35" w:rsidP="00D27646">
      <w:pPr>
        <w:pStyle w:val="CTEtabla-Titulo"/>
        <w:spacing w:before="240" w:after="120"/>
      </w:pPr>
      <w:r>
        <w:t xml:space="preserve">Table 3.1.1.a - HE1 Limit values for </w:t>
      </w:r>
      <w:r>
        <w:rPr>
          <w:i/>
        </w:rPr>
        <w:t>thermal transmittance</w:t>
      </w:r>
      <w:r>
        <w:t>, U</w:t>
      </w:r>
      <w:r>
        <w:rPr>
          <w:vertAlign w:val="subscript"/>
        </w:rPr>
        <w:t>lim</w:t>
      </w:r>
      <w:r>
        <w:t xml:space="preserve"> [W/m²K]</w:t>
      </w:r>
    </w:p>
    <w:tbl>
      <w:tblPr>
        <w:tblW w:w="7998" w:type="dxa"/>
        <w:jc w:val="center"/>
        <w:tblBorders>
          <w:top w:val="single" w:sz="2" w:space="0" w:color="000001"/>
        </w:tblBorders>
        <w:tblCellMar>
          <w:top w:w="55" w:type="dxa"/>
          <w:left w:w="50" w:type="dxa"/>
          <w:bottom w:w="55" w:type="dxa"/>
          <w:right w:w="55" w:type="dxa"/>
        </w:tblCellMar>
        <w:tblLook w:val="04A0" w:firstRow="1" w:lastRow="0" w:firstColumn="1" w:lastColumn="0" w:noHBand="0" w:noVBand="1"/>
      </w:tblPr>
      <w:tblGrid>
        <w:gridCol w:w="4826"/>
        <w:gridCol w:w="528"/>
        <w:gridCol w:w="528"/>
        <w:gridCol w:w="529"/>
        <w:gridCol w:w="529"/>
        <w:gridCol w:w="527"/>
        <w:gridCol w:w="531"/>
      </w:tblGrid>
      <w:tr w:rsidR="00230F35" w:rsidRPr="00937C8B" w:rsidTr="00935676">
        <w:trPr>
          <w:cantSplit/>
          <w:jc w:val="center"/>
        </w:trPr>
        <w:tc>
          <w:tcPr>
            <w:tcW w:w="4825" w:type="dxa"/>
            <w:vMerge w:val="restart"/>
            <w:tcBorders>
              <w:top w:val="nil"/>
              <w:bottom w:val="single" w:sz="2" w:space="0" w:color="000001"/>
              <w:right w:val="single" w:sz="2" w:space="0" w:color="000001"/>
            </w:tcBorders>
            <w:shd w:val="clear" w:color="auto" w:fill="FFFFFF"/>
            <w:vAlign w:val="center"/>
          </w:tcPr>
          <w:p w:rsidR="00230F35" w:rsidRPr="00937C8B" w:rsidRDefault="00230F35" w:rsidP="00D27646">
            <w:pPr>
              <w:pStyle w:val="CTEtabla-texto"/>
              <w:keepNext/>
              <w:jc w:val="left"/>
              <w:rPr>
                <w:rFonts w:cs="Arial"/>
                <w:bCs/>
              </w:rPr>
            </w:pPr>
            <w:r>
              <w:rPr>
                <w:b/>
              </w:rPr>
              <w:t>Element</w:t>
            </w:r>
          </w:p>
        </w:tc>
        <w:tc>
          <w:tcPr>
            <w:tcW w:w="3172" w:type="dxa"/>
            <w:gridSpan w:val="6"/>
            <w:tcBorders>
              <w:top w:val="nil"/>
              <w:left w:val="single" w:sz="2" w:space="0" w:color="000001"/>
            </w:tcBorders>
            <w:shd w:val="clear" w:color="auto" w:fill="FFFFFF"/>
          </w:tcPr>
          <w:p w:rsidR="00230F35" w:rsidRPr="00937C8B" w:rsidRDefault="00230F35" w:rsidP="00D27646">
            <w:pPr>
              <w:pStyle w:val="CTEtabla-texto"/>
              <w:keepNext/>
              <w:rPr>
                <w:rFonts w:cs="Arial"/>
                <w:b/>
              </w:rPr>
            </w:pPr>
            <w:r>
              <w:rPr>
                <w:b/>
              </w:rPr>
              <w:t>Winter climate zone</w:t>
            </w:r>
          </w:p>
        </w:tc>
      </w:tr>
      <w:tr w:rsidR="00230F35" w:rsidRPr="00937C8B" w:rsidTr="00935676">
        <w:trPr>
          <w:cantSplit/>
          <w:jc w:val="center"/>
        </w:trPr>
        <w:tc>
          <w:tcPr>
            <w:tcW w:w="4825" w:type="dxa"/>
            <w:vMerge/>
            <w:tcBorders>
              <w:top w:val="nil"/>
              <w:bottom w:val="single" w:sz="2" w:space="0" w:color="000001"/>
              <w:right w:val="single" w:sz="2" w:space="0" w:color="000001"/>
            </w:tcBorders>
            <w:shd w:val="clear" w:color="auto" w:fill="FFFFFF"/>
            <w:vAlign w:val="center"/>
          </w:tcPr>
          <w:p w:rsidR="00230F35" w:rsidRPr="00937C8B" w:rsidRDefault="00230F35" w:rsidP="00D27646">
            <w:pPr>
              <w:keepNext/>
              <w:rPr>
                <w:rFonts w:ascii="Arial" w:hAnsi="Arial" w:cs="Arial"/>
              </w:rPr>
            </w:pPr>
          </w:p>
        </w:tc>
        <w:tc>
          <w:tcPr>
            <w:tcW w:w="528" w:type="dxa"/>
            <w:tcBorders>
              <w:top w:val="nil"/>
              <w:left w:val="single" w:sz="2" w:space="0" w:color="000001"/>
              <w:bottom w:val="single" w:sz="2" w:space="0" w:color="000001"/>
            </w:tcBorders>
            <w:shd w:val="clear" w:color="auto" w:fill="FFFFFF"/>
          </w:tcPr>
          <w:p w:rsidR="00230F35" w:rsidRPr="00937C8B" w:rsidRDefault="00230F35" w:rsidP="00D27646">
            <w:pPr>
              <w:pStyle w:val="CTEtabla-texto"/>
              <w:keepNext/>
              <w:rPr>
                <w:rFonts w:cs="Arial"/>
                <w:b/>
              </w:rPr>
            </w:pPr>
            <w:r>
              <w:rPr>
                <w:b/>
              </w:rPr>
              <w:t>α</w:t>
            </w:r>
          </w:p>
        </w:tc>
        <w:tc>
          <w:tcPr>
            <w:tcW w:w="528" w:type="dxa"/>
            <w:tcBorders>
              <w:top w:val="nil"/>
              <w:bottom w:val="single" w:sz="2" w:space="0" w:color="000001"/>
            </w:tcBorders>
            <w:shd w:val="clear" w:color="auto" w:fill="FFFFFF"/>
          </w:tcPr>
          <w:p w:rsidR="00230F35" w:rsidRPr="00937C8B" w:rsidRDefault="00230F35" w:rsidP="00D27646">
            <w:pPr>
              <w:pStyle w:val="CTEtabla-texto"/>
              <w:keepNext/>
              <w:rPr>
                <w:rFonts w:cs="Arial"/>
                <w:b/>
              </w:rPr>
            </w:pPr>
            <w:r>
              <w:rPr>
                <w:b/>
              </w:rPr>
              <w:t>A</w:t>
            </w:r>
          </w:p>
        </w:tc>
        <w:tc>
          <w:tcPr>
            <w:tcW w:w="529" w:type="dxa"/>
            <w:tcBorders>
              <w:top w:val="nil"/>
              <w:bottom w:val="single" w:sz="2" w:space="0" w:color="000001"/>
            </w:tcBorders>
            <w:shd w:val="clear" w:color="auto" w:fill="FFFFFF"/>
          </w:tcPr>
          <w:p w:rsidR="00230F35" w:rsidRPr="00937C8B" w:rsidRDefault="00230F35" w:rsidP="00D27646">
            <w:pPr>
              <w:pStyle w:val="CTEtabla-texto"/>
              <w:keepNext/>
              <w:rPr>
                <w:rFonts w:cs="Arial"/>
                <w:b/>
              </w:rPr>
            </w:pPr>
            <w:r>
              <w:rPr>
                <w:b/>
              </w:rPr>
              <w:t>B</w:t>
            </w:r>
          </w:p>
        </w:tc>
        <w:tc>
          <w:tcPr>
            <w:tcW w:w="529" w:type="dxa"/>
            <w:tcBorders>
              <w:top w:val="nil"/>
              <w:bottom w:val="single" w:sz="2" w:space="0" w:color="000001"/>
            </w:tcBorders>
            <w:shd w:val="clear" w:color="auto" w:fill="FFFFFF"/>
          </w:tcPr>
          <w:p w:rsidR="00230F35" w:rsidRPr="00937C8B" w:rsidRDefault="00230F35" w:rsidP="00D27646">
            <w:pPr>
              <w:pStyle w:val="CTEtabla-texto"/>
              <w:keepNext/>
              <w:rPr>
                <w:rFonts w:cs="Arial"/>
                <w:b/>
              </w:rPr>
            </w:pPr>
            <w:r>
              <w:rPr>
                <w:b/>
              </w:rPr>
              <w:t>C</w:t>
            </w:r>
          </w:p>
        </w:tc>
        <w:tc>
          <w:tcPr>
            <w:tcW w:w="527" w:type="dxa"/>
            <w:tcBorders>
              <w:top w:val="nil"/>
              <w:bottom w:val="single" w:sz="2" w:space="0" w:color="000001"/>
            </w:tcBorders>
            <w:shd w:val="clear" w:color="auto" w:fill="FFFFFF"/>
          </w:tcPr>
          <w:p w:rsidR="00230F35" w:rsidRPr="00937C8B" w:rsidRDefault="00230F35" w:rsidP="00D27646">
            <w:pPr>
              <w:pStyle w:val="CTEtabla-texto"/>
              <w:keepNext/>
              <w:rPr>
                <w:rFonts w:cs="Arial"/>
                <w:b/>
              </w:rPr>
            </w:pPr>
            <w:r>
              <w:rPr>
                <w:b/>
              </w:rPr>
              <w:t>D</w:t>
            </w:r>
          </w:p>
        </w:tc>
        <w:tc>
          <w:tcPr>
            <w:tcW w:w="531" w:type="dxa"/>
            <w:tcBorders>
              <w:top w:val="nil"/>
              <w:bottom w:val="single" w:sz="2" w:space="0" w:color="000001"/>
            </w:tcBorders>
            <w:shd w:val="clear" w:color="auto" w:fill="FFFFFF"/>
          </w:tcPr>
          <w:p w:rsidR="00230F35" w:rsidRPr="00937C8B" w:rsidRDefault="00230F35" w:rsidP="00D27646">
            <w:pPr>
              <w:pStyle w:val="CTEtabla-texto"/>
              <w:keepNext/>
              <w:rPr>
                <w:rFonts w:cs="Arial"/>
                <w:b/>
              </w:rPr>
            </w:pPr>
            <w:r>
              <w:rPr>
                <w:b/>
              </w:rPr>
              <w:t>E</w:t>
            </w:r>
          </w:p>
        </w:tc>
      </w:tr>
      <w:tr w:rsidR="00230F35" w:rsidRPr="00937C8B" w:rsidTr="00935676">
        <w:trPr>
          <w:cantSplit/>
          <w:jc w:val="center"/>
        </w:trPr>
        <w:tc>
          <w:tcPr>
            <w:tcW w:w="4825" w:type="dxa"/>
            <w:tcBorders>
              <w:top w:val="single" w:sz="2" w:space="0" w:color="000001"/>
              <w:right w:val="single" w:sz="2" w:space="0" w:color="000001"/>
            </w:tcBorders>
            <w:shd w:val="clear" w:color="auto" w:fill="FFFFFF"/>
            <w:vAlign w:val="center"/>
          </w:tcPr>
          <w:p w:rsidR="00230F35" w:rsidRPr="00937C8B" w:rsidRDefault="00230F35" w:rsidP="003E38D0">
            <w:pPr>
              <w:pStyle w:val="CTEtabla-texto"/>
              <w:keepNext/>
              <w:jc w:val="left"/>
              <w:rPr>
                <w:rFonts w:cs="Arial"/>
              </w:rPr>
            </w:pPr>
            <w:r>
              <w:t>Walls and floors in contact with outside air (U</w:t>
            </w:r>
            <w:r>
              <w:rPr>
                <w:vertAlign w:val="subscript"/>
              </w:rPr>
              <w:t>S</w:t>
            </w:r>
            <w:r>
              <w:t>, U</w:t>
            </w:r>
            <w:r>
              <w:rPr>
                <w:vertAlign w:val="subscript"/>
              </w:rPr>
              <w:t>M</w:t>
            </w:r>
            <w:r>
              <w:t xml:space="preserve">) </w:t>
            </w:r>
          </w:p>
        </w:tc>
        <w:tc>
          <w:tcPr>
            <w:tcW w:w="528" w:type="dxa"/>
            <w:tcBorders>
              <w:top w:val="single" w:sz="2" w:space="0" w:color="000001"/>
              <w:left w:val="single" w:sz="2" w:space="0" w:color="000001"/>
            </w:tcBorders>
            <w:shd w:val="clear" w:color="auto" w:fill="FFFFFF"/>
            <w:vAlign w:val="center"/>
          </w:tcPr>
          <w:p w:rsidR="00230F35" w:rsidRPr="00937C8B" w:rsidRDefault="00230F35" w:rsidP="003E38D0">
            <w:pPr>
              <w:pStyle w:val="CTEtabla-texto"/>
              <w:keepNext/>
              <w:rPr>
                <w:rFonts w:cs="Arial"/>
              </w:rPr>
            </w:pPr>
            <w:r>
              <w:t>0.80</w:t>
            </w:r>
          </w:p>
        </w:tc>
        <w:tc>
          <w:tcPr>
            <w:tcW w:w="528" w:type="dxa"/>
            <w:tcBorders>
              <w:top w:val="single" w:sz="2" w:space="0" w:color="000001"/>
            </w:tcBorders>
            <w:shd w:val="clear" w:color="auto" w:fill="FFFFFF"/>
            <w:vAlign w:val="center"/>
          </w:tcPr>
          <w:p w:rsidR="00230F35" w:rsidRPr="00937C8B" w:rsidRDefault="00230F35" w:rsidP="003E38D0">
            <w:pPr>
              <w:pStyle w:val="CTEtabla-texto"/>
              <w:keepNext/>
              <w:rPr>
                <w:rFonts w:cs="Arial"/>
              </w:rPr>
            </w:pPr>
            <w:r>
              <w:t>0.70</w:t>
            </w:r>
          </w:p>
        </w:tc>
        <w:tc>
          <w:tcPr>
            <w:tcW w:w="529" w:type="dxa"/>
            <w:tcBorders>
              <w:top w:val="single" w:sz="2" w:space="0" w:color="000001"/>
            </w:tcBorders>
            <w:shd w:val="clear" w:color="auto" w:fill="FFFFFF"/>
            <w:vAlign w:val="center"/>
          </w:tcPr>
          <w:p w:rsidR="00230F35" w:rsidRPr="00937C8B" w:rsidRDefault="00230F35" w:rsidP="003E38D0">
            <w:pPr>
              <w:pStyle w:val="CTEtabla-texto"/>
              <w:keepNext/>
              <w:rPr>
                <w:rFonts w:cs="Arial"/>
              </w:rPr>
            </w:pPr>
            <w:r>
              <w:t>0.56</w:t>
            </w:r>
          </w:p>
        </w:tc>
        <w:tc>
          <w:tcPr>
            <w:tcW w:w="529" w:type="dxa"/>
            <w:tcBorders>
              <w:top w:val="single" w:sz="2" w:space="0" w:color="000001"/>
            </w:tcBorders>
            <w:shd w:val="clear" w:color="auto" w:fill="FFFFFF"/>
            <w:vAlign w:val="center"/>
          </w:tcPr>
          <w:p w:rsidR="00230F35" w:rsidRPr="00937C8B" w:rsidRDefault="00230F35" w:rsidP="003E38D0">
            <w:pPr>
              <w:pStyle w:val="CTEtabla-texto"/>
              <w:keepNext/>
              <w:rPr>
                <w:rFonts w:cs="Arial"/>
              </w:rPr>
            </w:pPr>
            <w:r>
              <w:t>0.49</w:t>
            </w:r>
          </w:p>
        </w:tc>
        <w:tc>
          <w:tcPr>
            <w:tcW w:w="527" w:type="dxa"/>
            <w:tcBorders>
              <w:top w:val="single" w:sz="2" w:space="0" w:color="000001"/>
            </w:tcBorders>
            <w:shd w:val="clear" w:color="auto" w:fill="FFFFFF"/>
            <w:vAlign w:val="center"/>
          </w:tcPr>
          <w:p w:rsidR="00230F35" w:rsidRPr="00937C8B" w:rsidRDefault="00230F35" w:rsidP="003E38D0">
            <w:pPr>
              <w:pStyle w:val="CTEtabla-texto"/>
              <w:keepNext/>
              <w:rPr>
                <w:rFonts w:cs="Arial"/>
              </w:rPr>
            </w:pPr>
            <w:r>
              <w:t>0.41</w:t>
            </w:r>
          </w:p>
        </w:tc>
        <w:tc>
          <w:tcPr>
            <w:tcW w:w="531" w:type="dxa"/>
            <w:tcBorders>
              <w:top w:val="single" w:sz="2" w:space="0" w:color="000001"/>
            </w:tcBorders>
            <w:shd w:val="clear" w:color="auto" w:fill="FFFFFF"/>
            <w:vAlign w:val="center"/>
          </w:tcPr>
          <w:p w:rsidR="00230F35" w:rsidRPr="00937C8B" w:rsidRDefault="00230F35" w:rsidP="003E38D0">
            <w:pPr>
              <w:pStyle w:val="CTEtabla-texto"/>
              <w:keepNext/>
              <w:rPr>
                <w:rFonts w:cs="Arial"/>
              </w:rPr>
            </w:pPr>
            <w:r>
              <w:t>0.37</w:t>
            </w:r>
          </w:p>
        </w:tc>
      </w:tr>
      <w:tr w:rsidR="00230F35" w:rsidRPr="00937C8B" w:rsidTr="00935676">
        <w:trPr>
          <w:cantSplit/>
          <w:jc w:val="center"/>
        </w:trPr>
        <w:tc>
          <w:tcPr>
            <w:tcW w:w="4825" w:type="dxa"/>
            <w:tcBorders>
              <w:top w:val="nil"/>
              <w:right w:val="single" w:sz="2" w:space="0" w:color="000001"/>
            </w:tcBorders>
            <w:shd w:val="clear" w:color="auto" w:fill="FFFFFF"/>
            <w:vAlign w:val="center"/>
          </w:tcPr>
          <w:p w:rsidR="00230F35" w:rsidRPr="00937C8B" w:rsidRDefault="00230F35" w:rsidP="003E38D0">
            <w:pPr>
              <w:pStyle w:val="CTEtabla-texto"/>
              <w:keepNext/>
              <w:jc w:val="left"/>
              <w:rPr>
                <w:rFonts w:cs="Arial"/>
              </w:rPr>
            </w:pPr>
            <w:r>
              <w:t>Roofs in contact with outside air (U</w:t>
            </w:r>
            <w:r>
              <w:rPr>
                <w:vertAlign w:val="subscript"/>
              </w:rPr>
              <w:t>C</w:t>
            </w:r>
            <w:r>
              <w:t>)</w:t>
            </w:r>
          </w:p>
        </w:tc>
        <w:tc>
          <w:tcPr>
            <w:tcW w:w="528" w:type="dxa"/>
            <w:tcBorders>
              <w:left w:val="single" w:sz="2" w:space="0" w:color="000001"/>
            </w:tcBorders>
            <w:shd w:val="clear" w:color="auto" w:fill="FFFFFF"/>
            <w:vAlign w:val="center"/>
          </w:tcPr>
          <w:p w:rsidR="00230F35" w:rsidRPr="00937C8B" w:rsidRDefault="00230F35" w:rsidP="003E38D0">
            <w:pPr>
              <w:pStyle w:val="CTEtabla-texto"/>
              <w:keepNext/>
              <w:rPr>
                <w:rFonts w:cs="Arial"/>
              </w:rPr>
            </w:pPr>
            <w:r>
              <w:t>0.55</w:t>
            </w:r>
          </w:p>
        </w:tc>
        <w:tc>
          <w:tcPr>
            <w:tcW w:w="528" w:type="dxa"/>
            <w:shd w:val="clear" w:color="auto" w:fill="FFFFFF"/>
            <w:vAlign w:val="center"/>
          </w:tcPr>
          <w:p w:rsidR="00230F35" w:rsidRPr="00937C8B" w:rsidRDefault="00230F35" w:rsidP="003E38D0">
            <w:pPr>
              <w:pStyle w:val="CTEtabla-texto"/>
              <w:keepNext/>
              <w:rPr>
                <w:rFonts w:cs="Arial"/>
              </w:rPr>
            </w:pPr>
            <w:r>
              <w:t>0.50</w:t>
            </w:r>
          </w:p>
        </w:tc>
        <w:tc>
          <w:tcPr>
            <w:tcW w:w="529" w:type="dxa"/>
            <w:shd w:val="clear" w:color="auto" w:fill="FFFFFF"/>
            <w:vAlign w:val="center"/>
          </w:tcPr>
          <w:p w:rsidR="00230F35" w:rsidRPr="00937C8B" w:rsidRDefault="00230F35" w:rsidP="003E38D0">
            <w:pPr>
              <w:pStyle w:val="CTEtabla-texto"/>
              <w:keepNext/>
              <w:rPr>
                <w:rFonts w:cs="Arial"/>
              </w:rPr>
            </w:pPr>
            <w:r>
              <w:t>0.44</w:t>
            </w:r>
          </w:p>
        </w:tc>
        <w:tc>
          <w:tcPr>
            <w:tcW w:w="529" w:type="dxa"/>
            <w:shd w:val="clear" w:color="auto" w:fill="FFFFFF"/>
            <w:vAlign w:val="center"/>
          </w:tcPr>
          <w:p w:rsidR="00230F35" w:rsidRPr="00937C8B" w:rsidRDefault="00230F35" w:rsidP="003E38D0">
            <w:pPr>
              <w:pStyle w:val="CTEtabla-texto"/>
              <w:keepNext/>
              <w:rPr>
                <w:rFonts w:cs="Arial"/>
              </w:rPr>
            </w:pPr>
            <w:r>
              <w:t>0.40</w:t>
            </w:r>
          </w:p>
        </w:tc>
        <w:tc>
          <w:tcPr>
            <w:tcW w:w="527" w:type="dxa"/>
            <w:shd w:val="clear" w:color="auto" w:fill="FFFFFF"/>
            <w:vAlign w:val="center"/>
          </w:tcPr>
          <w:p w:rsidR="00230F35" w:rsidRPr="00937C8B" w:rsidRDefault="00230F35" w:rsidP="003E38D0">
            <w:pPr>
              <w:pStyle w:val="CTEtabla-texto"/>
              <w:keepNext/>
              <w:rPr>
                <w:rFonts w:cs="Arial"/>
              </w:rPr>
            </w:pPr>
            <w:r>
              <w:t>0.35</w:t>
            </w:r>
          </w:p>
        </w:tc>
        <w:tc>
          <w:tcPr>
            <w:tcW w:w="531" w:type="dxa"/>
            <w:shd w:val="clear" w:color="auto" w:fill="FFFFFF"/>
            <w:vAlign w:val="center"/>
          </w:tcPr>
          <w:p w:rsidR="00230F35" w:rsidRPr="00937C8B" w:rsidRDefault="00230F35" w:rsidP="003E38D0">
            <w:pPr>
              <w:pStyle w:val="CTEtabla-texto"/>
              <w:keepNext/>
              <w:rPr>
                <w:rFonts w:cs="Arial"/>
              </w:rPr>
            </w:pPr>
            <w:r>
              <w:t>0.33</w:t>
            </w:r>
          </w:p>
        </w:tc>
      </w:tr>
      <w:tr w:rsidR="00230F35" w:rsidRPr="00937C8B" w:rsidTr="00935676">
        <w:trPr>
          <w:cantSplit/>
          <w:jc w:val="center"/>
        </w:trPr>
        <w:tc>
          <w:tcPr>
            <w:tcW w:w="4825" w:type="dxa"/>
            <w:tcBorders>
              <w:top w:val="nil"/>
              <w:right w:val="single" w:sz="2" w:space="0" w:color="000001"/>
            </w:tcBorders>
            <w:shd w:val="clear" w:color="auto" w:fill="FFFFFF"/>
            <w:vAlign w:val="center"/>
          </w:tcPr>
          <w:p w:rsidR="00230F35" w:rsidRPr="00937C8B" w:rsidRDefault="00230F35" w:rsidP="003E38D0">
            <w:pPr>
              <w:pStyle w:val="CTEtabla-texto"/>
              <w:keepNext/>
              <w:jc w:val="left"/>
              <w:rPr>
                <w:rFonts w:cs="Arial"/>
                <w:szCs w:val="16"/>
              </w:rPr>
            </w:pPr>
            <w:r>
              <w:t>Walls, floors and roofs in contact with non-habitable spaces or with the ground (U</w:t>
            </w:r>
            <w:r>
              <w:rPr>
                <w:vertAlign w:val="subscript"/>
              </w:rPr>
              <w:t>T</w:t>
            </w:r>
            <w:r>
              <w:t xml:space="preserve">) </w:t>
            </w:r>
          </w:p>
          <w:p w:rsidR="00230F35" w:rsidRPr="00937C8B" w:rsidRDefault="00230F35" w:rsidP="003E38D0">
            <w:pPr>
              <w:pStyle w:val="CTEtabla-texto"/>
              <w:keepNext/>
              <w:jc w:val="left"/>
              <w:rPr>
                <w:rFonts w:cs="Arial"/>
                <w:szCs w:val="16"/>
              </w:rPr>
            </w:pPr>
            <w:r>
              <w:t xml:space="preserve">Party walls or interior partitions belonging to the </w:t>
            </w:r>
            <w:r>
              <w:rPr>
                <w:i/>
                <w:iCs/>
              </w:rPr>
              <w:t>thermal envelope</w:t>
            </w:r>
            <w:r>
              <w:t xml:space="preserve"> (U</w:t>
            </w:r>
            <w:r>
              <w:rPr>
                <w:vertAlign w:val="subscript"/>
              </w:rPr>
              <w:t>MD</w:t>
            </w:r>
            <w:r>
              <w:t>)</w:t>
            </w:r>
          </w:p>
        </w:tc>
        <w:tc>
          <w:tcPr>
            <w:tcW w:w="528" w:type="dxa"/>
            <w:tcBorders>
              <w:left w:val="single" w:sz="2" w:space="0" w:color="000001"/>
            </w:tcBorders>
            <w:shd w:val="clear" w:color="auto" w:fill="FFFFFF"/>
            <w:vAlign w:val="center"/>
          </w:tcPr>
          <w:p w:rsidR="00230F35" w:rsidRPr="00937C8B" w:rsidRDefault="00230F35" w:rsidP="003E38D0">
            <w:pPr>
              <w:pStyle w:val="CTEtabla-texto"/>
              <w:keepNext/>
              <w:rPr>
                <w:rFonts w:cs="Arial"/>
              </w:rPr>
            </w:pPr>
            <w:r>
              <w:t>0.90</w:t>
            </w:r>
          </w:p>
        </w:tc>
        <w:tc>
          <w:tcPr>
            <w:tcW w:w="528" w:type="dxa"/>
            <w:shd w:val="clear" w:color="auto" w:fill="FFFFFF"/>
            <w:vAlign w:val="center"/>
          </w:tcPr>
          <w:p w:rsidR="00230F35" w:rsidRPr="00937C8B" w:rsidRDefault="00230F35" w:rsidP="003E38D0">
            <w:pPr>
              <w:pStyle w:val="CTEtabla-texto"/>
              <w:keepNext/>
              <w:rPr>
                <w:rFonts w:cs="Arial"/>
              </w:rPr>
            </w:pPr>
            <w:r>
              <w:t>0.80</w:t>
            </w:r>
          </w:p>
        </w:tc>
        <w:tc>
          <w:tcPr>
            <w:tcW w:w="529" w:type="dxa"/>
            <w:shd w:val="clear" w:color="auto" w:fill="FFFFFF"/>
            <w:vAlign w:val="center"/>
          </w:tcPr>
          <w:p w:rsidR="00230F35" w:rsidRPr="00937C8B" w:rsidRDefault="00230F35" w:rsidP="003E38D0">
            <w:pPr>
              <w:pStyle w:val="CTEtabla-texto"/>
              <w:keepNext/>
              <w:rPr>
                <w:rFonts w:cs="Arial"/>
              </w:rPr>
            </w:pPr>
            <w:r>
              <w:t>0.75</w:t>
            </w:r>
          </w:p>
        </w:tc>
        <w:tc>
          <w:tcPr>
            <w:tcW w:w="529" w:type="dxa"/>
            <w:shd w:val="clear" w:color="auto" w:fill="FFFFFF"/>
            <w:vAlign w:val="center"/>
          </w:tcPr>
          <w:p w:rsidR="00230F35" w:rsidRPr="00937C8B" w:rsidRDefault="00230F35" w:rsidP="003E38D0">
            <w:pPr>
              <w:pStyle w:val="CTEtabla-texto"/>
              <w:keepNext/>
              <w:rPr>
                <w:rFonts w:cs="Arial"/>
              </w:rPr>
            </w:pPr>
            <w:r>
              <w:t>0.70</w:t>
            </w:r>
          </w:p>
        </w:tc>
        <w:tc>
          <w:tcPr>
            <w:tcW w:w="527" w:type="dxa"/>
            <w:shd w:val="clear" w:color="auto" w:fill="FFFFFF"/>
            <w:vAlign w:val="center"/>
          </w:tcPr>
          <w:p w:rsidR="00230F35" w:rsidRPr="00937C8B" w:rsidRDefault="00230F35" w:rsidP="003E38D0">
            <w:pPr>
              <w:pStyle w:val="CTEtabla-texto"/>
              <w:keepNext/>
              <w:rPr>
                <w:rFonts w:cs="Arial"/>
              </w:rPr>
            </w:pPr>
            <w:r>
              <w:t>0.65</w:t>
            </w:r>
          </w:p>
        </w:tc>
        <w:tc>
          <w:tcPr>
            <w:tcW w:w="531" w:type="dxa"/>
            <w:shd w:val="clear" w:color="auto" w:fill="FFFFFF"/>
            <w:vAlign w:val="center"/>
          </w:tcPr>
          <w:p w:rsidR="00230F35" w:rsidRPr="00937C8B" w:rsidRDefault="00230F35" w:rsidP="003E38D0">
            <w:pPr>
              <w:pStyle w:val="CTEtabla-texto"/>
              <w:keepNext/>
              <w:rPr>
                <w:rFonts w:cs="Arial"/>
              </w:rPr>
            </w:pPr>
            <w:r>
              <w:t>0.59</w:t>
            </w:r>
          </w:p>
        </w:tc>
      </w:tr>
      <w:tr w:rsidR="00230F35" w:rsidRPr="00937C8B" w:rsidTr="00935676">
        <w:trPr>
          <w:cantSplit/>
          <w:jc w:val="center"/>
        </w:trPr>
        <w:tc>
          <w:tcPr>
            <w:tcW w:w="4825" w:type="dxa"/>
            <w:tcBorders>
              <w:top w:val="nil"/>
              <w:right w:val="single" w:sz="2" w:space="0" w:color="000001"/>
            </w:tcBorders>
            <w:shd w:val="clear" w:color="auto" w:fill="FFFFFF"/>
            <w:vAlign w:val="center"/>
          </w:tcPr>
          <w:p w:rsidR="00230F35" w:rsidRPr="00937C8B" w:rsidRDefault="00230F35" w:rsidP="003E38D0">
            <w:pPr>
              <w:pStyle w:val="CTEtabla-texto"/>
              <w:keepNext/>
              <w:jc w:val="left"/>
              <w:rPr>
                <w:rFonts w:cs="Arial"/>
              </w:rPr>
            </w:pPr>
            <w:r>
              <w:rPr>
                <w:i/>
              </w:rPr>
              <w:t>Openings</w:t>
            </w:r>
            <w:r>
              <w:t xml:space="preserve"> (assembly of a frame, glazing and possibly also a shutter box) (U</w:t>
            </w:r>
            <w:r>
              <w:rPr>
                <w:vertAlign w:val="subscript"/>
              </w:rPr>
              <w:t>H</w:t>
            </w:r>
            <w:r>
              <w:t>)*</w:t>
            </w:r>
          </w:p>
        </w:tc>
        <w:tc>
          <w:tcPr>
            <w:tcW w:w="528" w:type="dxa"/>
            <w:tcBorders>
              <w:left w:val="single" w:sz="2" w:space="0" w:color="000001"/>
            </w:tcBorders>
            <w:shd w:val="clear" w:color="auto" w:fill="FFFFFF"/>
            <w:vAlign w:val="center"/>
          </w:tcPr>
          <w:p w:rsidR="00230F35" w:rsidRPr="00937C8B" w:rsidRDefault="00230F35" w:rsidP="003E38D0">
            <w:pPr>
              <w:pStyle w:val="CTEtabla-texto"/>
              <w:keepNext/>
              <w:rPr>
                <w:rFonts w:cs="Arial"/>
              </w:rPr>
            </w:pPr>
            <w:r>
              <w:t>3.2</w:t>
            </w:r>
          </w:p>
        </w:tc>
        <w:tc>
          <w:tcPr>
            <w:tcW w:w="528" w:type="dxa"/>
            <w:shd w:val="clear" w:color="auto" w:fill="FFFFFF"/>
            <w:vAlign w:val="center"/>
          </w:tcPr>
          <w:p w:rsidR="00230F35" w:rsidRPr="00937C8B" w:rsidRDefault="00230F35" w:rsidP="003E38D0">
            <w:pPr>
              <w:pStyle w:val="CTEtabla-texto"/>
              <w:keepNext/>
              <w:rPr>
                <w:rFonts w:cs="Arial"/>
              </w:rPr>
            </w:pPr>
            <w:r>
              <w:t>2.7</w:t>
            </w:r>
          </w:p>
        </w:tc>
        <w:tc>
          <w:tcPr>
            <w:tcW w:w="529" w:type="dxa"/>
            <w:shd w:val="clear" w:color="auto" w:fill="FFFFFF"/>
            <w:vAlign w:val="center"/>
          </w:tcPr>
          <w:p w:rsidR="00230F35" w:rsidRPr="00937C8B" w:rsidRDefault="00230F35" w:rsidP="003E38D0">
            <w:pPr>
              <w:pStyle w:val="CTEtabla-texto"/>
              <w:keepNext/>
              <w:rPr>
                <w:rFonts w:cs="Arial"/>
              </w:rPr>
            </w:pPr>
            <w:r>
              <w:t>2.3</w:t>
            </w:r>
          </w:p>
        </w:tc>
        <w:tc>
          <w:tcPr>
            <w:tcW w:w="529" w:type="dxa"/>
            <w:shd w:val="clear" w:color="auto" w:fill="FFFFFF"/>
            <w:vAlign w:val="center"/>
          </w:tcPr>
          <w:p w:rsidR="00230F35" w:rsidRPr="00937C8B" w:rsidRDefault="00230F35" w:rsidP="003E38D0">
            <w:pPr>
              <w:pStyle w:val="CTEtabla-texto"/>
              <w:keepNext/>
              <w:rPr>
                <w:rFonts w:cs="Arial"/>
              </w:rPr>
            </w:pPr>
            <w:r>
              <w:t>2.1</w:t>
            </w:r>
          </w:p>
        </w:tc>
        <w:tc>
          <w:tcPr>
            <w:tcW w:w="527" w:type="dxa"/>
            <w:shd w:val="clear" w:color="auto" w:fill="FFFFFF"/>
            <w:vAlign w:val="center"/>
          </w:tcPr>
          <w:p w:rsidR="00230F35" w:rsidRPr="00937C8B" w:rsidRDefault="00230F35" w:rsidP="003E38D0">
            <w:pPr>
              <w:pStyle w:val="CTEtabla-texto"/>
              <w:keepNext/>
              <w:rPr>
                <w:rFonts w:cs="Arial"/>
              </w:rPr>
            </w:pPr>
            <w:r>
              <w:t>1.8</w:t>
            </w:r>
          </w:p>
        </w:tc>
        <w:tc>
          <w:tcPr>
            <w:tcW w:w="531" w:type="dxa"/>
            <w:shd w:val="clear" w:color="auto" w:fill="FFFFFF"/>
            <w:vAlign w:val="center"/>
          </w:tcPr>
          <w:p w:rsidR="00230F35" w:rsidRPr="00937C8B" w:rsidRDefault="00230F35" w:rsidP="003E38D0">
            <w:pPr>
              <w:pStyle w:val="CTEtabla-texto"/>
              <w:keepNext/>
              <w:rPr>
                <w:rFonts w:cs="Arial"/>
              </w:rPr>
            </w:pPr>
            <w:r>
              <w:t>1.80</w:t>
            </w:r>
          </w:p>
        </w:tc>
      </w:tr>
      <w:tr w:rsidR="00230F35" w:rsidRPr="00937C8B" w:rsidTr="00935676">
        <w:trPr>
          <w:cantSplit/>
          <w:jc w:val="center"/>
        </w:trPr>
        <w:tc>
          <w:tcPr>
            <w:tcW w:w="4825" w:type="dxa"/>
            <w:tcBorders>
              <w:top w:val="nil"/>
              <w:right w:val="single" w:sz="2" w:space="0" w:color="000001"/>
            </w:tcBorders>
            <w:shd w:val="clear" w:color="auto" w:fill="FFFFFF"/>
            <w:vAlign w:val="center"/>
          </w:tcPr>
          <w:p w:rsidR="00230F35" w:rsidRPr="00937C8B" w:rsidRDefault="00230F35" w:rsidP="003E38D0">
            <w:pPr>
              <w:pStyle w:val="CTEtabla-texto"/>
              <w:keepNext/>
              <w:jc w:val="left"/>
              <w:rPr>
                <w:rFonts w:cs="Arial"/>
                <w:szCs w:val="16"/>
              </w:rPr>
            </w:pPr>
            <w:r>
              <w:t>Doors whose semi-transparent area does not exceed 50%</w:t>
            </w:r>
          </w:p>
        </w:tc>
        <w:tc>
          <w:tcPr>
            <w:tcW w:w="3172" w:type="dxa"/>
            <w:gridSpan w:val="6"/>
            <w:tcBorders>
              <w:left w:val="single" w:sz="2" w:space="0" w:color="000001"/>
            </w:tcBorders>
            <w:shd w:val="clear" w:color="auto" w:fill="FFFFFF"/>
            <w:vAlign w:val="center"/>
          </w:tcPr>
          <w:p w:rsidR="00230F35" w:rsidRPr="00937C8B" w:rsidRDefault="00230F35" w:rsidP="003E38D0">
            <w:pPr>
              <w:pStyle w:val="CTEtabla-texto"/>
              <w:keepNext/>
              <w:rPr>
                <w:rFonts w:cs="Arial"/>
                <w:szCs w:val="16"/>
              </w:rPr>
            </w:pPr>
            <w:r>
              <w:t>5.7</w:t>
            </w:r>
          </w:p>
        </w:tc>
      </w:tr>
      <w:tr w:rsidR="00230F35" w:rsidRPr="00937C8B" w:rsidTr="00935676">
        <w:trPr>
          <w:cantSplit/>
          <w:jc w:val="center"/>
        </w:trPr>
        <w:tc>
          <w:tcPr>
            <w:tcW w:w="7997" w:type="dxa"/>
            <w:gridSpan w:val="7"/>
            <w:shd w:val="clear" w:color="auto" w:fill="FFFFFF"/>
            <w:vAlign w:val="center"/>
          </w:tcPr>
          <w:p w:rsidR="00230F35" w:rsidRPr="00937C8B" w:rsidRDefault="00230F35" w:rsidP="003E38D0">
            <w:pPr>
              <w:pStyle w:val="CTETabla-nota"/>
              <w:ind w:left="-19" w:firstLine="0"/>
            </w:pPr>
            <w:r>
              <w:t>*</w:t>
            </w:r>
            <w:r>
              <w:rPr>
                <w:i/>
              </w:rPr>
              <w:t xml:space="preserve"> Openings</w:t>
            </w:r>
            <w:r>
              <w:t xml:space="preserve"> used as display windows in </w:t>
            </w:r>
            <w:r>
              <w:rPr>
                <w:i/>
              </w:rPr>
              <w:t>usage units</w:t>
            </w:r>
            <w:r>
              <w:t xml:space="preserve"> with commercial activities may increase the U</w:t>
            </w:r>
            <w:r>
              <w:rPr>
                <w:vertAlign w:val="subscript"/>
              </w:rPr>
              <w:t>H</w:t>
            </w:r>
            <w:r>
              <w:t xml:space="preserve"> value by 50%.</w:t>
            </w:r>
          </w:p>
        </w:tc>
      </w:tr>
    </w:tbl>
    <w:p w:rsidR="00230F35" w:rsidRPr="00937C8B" w:rsidRDefault="00230F35" w:rsidP="00230F35">
      <w:pPr>
        <w:pStyle w:val="CTENumeracion"/>
        <w:ind w:left="0" w:firstLine="0"/>
        <w:rPr>
          <w:rFonts w:cs="Arial"/>
          <w:sz w:val="6"/>
          <w:szCs w:val="6"/>
        </w:rPr>
      </w:pPr>
    </w:p>
    <w:p w:rsidR="00230F35" w:rsidRPr="00937C8B" w:rsidRDefault="00230F35" w:rsidP="00D27646">
      <w:pPr>
        <w:pStyle w:val="CTENumeracion"/>
        <w:keepNext/>
        <w:spacing w:before="120"/>
        <w:rPr>
          <w:rFonts w:cs="Arial"/>
          <w:sz w:val="22"/>
          <w:szCs w:val="22"/>
        </w:rPr>
      </w:pPr>
      <w:r>
        <w:rPr>
          <w:sz w:val="22"/>
        </w:rPr>
        <w:t>2.</w:t>
      </w:r>
      <w:r>
        <w:rPr>
          <w:sz w:val="22"/>
        </w:rPr>
        <w:tab/>
        <w:t>In cases of renovations, the limit value (U</w:t>
      </w:r>
      <w:r>
        <w:rPr>
          <w:sz w:val="22"/>
          <w:vertAlign w:val="subscript"/>
        </w:rPr>
        <w:t>lim</w:t>
      </w:r>
      <w:r>
        <w:rPr>
          <w:sz w:val="22"/>
        </w:rPr>
        <w:t xml:space="preserve">) from Table 3.1.1.a-HE1 shall only apply to components of the </w:t>
      </w:r>
      <w:r>
        <w:rPr>
          <w:i/>
          <w:sz w:val="22"/>
        </w:rPr>
        <w:t>thermal envelope</w:t>
      </w:r>
      <w:r>
        <w:rPr>
          <w:sz w:val="22"/>
        </w:rPr>
        <w:t>:</w:t>
      </w:r>
    </w:p>
    <w:p w:rsidR="00230F35" w:rsidRPr="00937C8B" w:rsidRDefault="00935676" w:rsidP="00935676">
      <w:pPr>
        <w:pStyle w:val="CTENumeracion"/>
        <w:spacing w:before="0"/>
        <w:ind w:left="851" w:hanging="283"/>
        <w:rPr>
          <w:rFonts w:cs="Arial"/>
          <w:sz w:val="22"/>
          <w:szCs w:val="22"/>
        </w:rPr>
      </w:pPr>
      <w:r>
        <w:rPr>
          <w:sz w:val="22"/>
        </w:rPr>
        <w:t>a)</w:t>
      </w:r>
      <w:r>
        <w:rPr>
          <w:sz w:val="22"/>
        </w:rPr>
        <w:tab/>
        <w:t>that are replaced, added or substantially modified;</w:t>
      </w:r>
    </w:p>
    <w:p w:rsidR="00230F35" w:rsidRPr="00937C8B" w:rsidRDefault="00935676" w:rsidP="00230F35">
      <w:pPr>
        <w:pStyle w:val="CTENumeracion"/>
        <w:spacing w:before="0"/>
        <w:ind w:left="851" w:hanging="283"/>
        <w:rPr>
          <w:rFonts w:cs="Arial"/>
          <w:sz w:val="22"/>
          <w:szCs w:val="22"/>
        </w:rPr>
      </w:pPr>
      <w:r>
        <w:rPr>
          <w:sz w:val="22"/>
        </w:rPr>
        <w:t>b)</w:t>
      </w:r>
      <w:r>
        <w:rPr>
          <w:sz w:val="22"/>
        </w:rPr>
        <w:tab/>
        <w:t xml:space="preserve">whose internal or external conditions are amended due to the works, where this increases the energy needs of the building. </w:t>
      </w:r>
    </w:p>
    <w:p w:rsidR="00230F35" w:rsidRPr="00937C8B" w:rsidRDefault="00230F35" w:rsidP="00230F35">
      <w:pPr>
        <w:pStyle w:val="CTENumeracion"/>
        <w:spacing w:before="0"/>
        <w:ind w:firstLine="0"/>
        <w:rPr>
          <w:rFonts w:cs="Arial"/>
          <w:sz w:val="22"/>
          <w:szCs w:val="22"/>
        </w:rPr>
      </w:pPr>
      <w:r>
        <w:rPr>
          <w:sz w:val="22"/>
        </w:rPr>
        <w:t xml:space="preserve">In addition, renovations may exceed the values in Table 3.1.1.a-HE1 if the </w:t>
      </w:r>
      <w:r>
        <w:rPr>
          <w:i/>
          <w:sz w:val="22"/>
        </w:rPr>
        <w:t>total heat transmission coefficient</w:t>
      </w:r>
      <w:r>
        <w:rPr>
          <w:sz w:val="22"/>
        </w:rPr>
        <w:t xml:space="preserve"> (K) obtained using the final </w:t>
      </w:r>
      <w:r>
        <w:rPr>
          <w:i/>
          <w:sz w:val="22"/>
        </w:rPr>
        <w:t>heat transmittance</w:t>
      </w:r>
      <w:r>
        <w:rPr>
          <w:sz w:val="22"/>
        </w:rPr>
        <w:t xml:space="preserve"> of the affected elements does not exceed that obtained using the table values.</w:t>
      </w:r>
    </w:p>
    <w:p w:rsidR="00230F35" w:rsidRPr="00937C8B" w:rsidRDefault="00230F35" w:rsidP="00D27646">
      <w:pPr>
        <w:pStyle w:val="CTENumeracion"/>
        <w:keepNext/>
        <w:spacing w:before="120"/>
        <w:rPr>
          <w:rFonts w:cs="Arial"/>
          <w:sz w:val="22"/>
          <w:szCs w:val="22"/>
        </w:rPr>
      </w:pPr>
      <w:r>
        <w:rPr>
          <w:sz w:val="22"/>
        </w:rPr>
        <w:t>3.</w:t>
      </w:r>
      <w:r>
        <w:rPr>
          <w:sz w:val="22"/>
        </w:rPr>
        <w:tab/>
        <w:t xml:space="preserve">The </w:t>
      </w:r>
      <w:r>
        <w:rPr>
          <w:i/>
          <w:sz w:val="22"/>
        </w:rPr>
        <w:t>total heat transfer coefficient through the thermal envelope</w:t>
      </w:r>
      <w:r>
        <w:rPr>
          <w:sz w:val="22"/>
        </w:rPr>
        <w:t xml:space="preserve"> (K) of the building or part thereof, with a private residential use, shall not exceed the limit value (K</w:t>
      </w:r>
      <w:r>
        <w:rPr>
          <w:sz w:val="22"/>
          <w:vertAlign w:val="subscript"/>
        </w:rPr>
        <w:t>lim</w:t>
      </w:r>
      <w:r>
        <w:rPr>
          <w:sz w:val="22"/>
        </w:rPr>
        <w:t>) obtained from Table 3.1.1.b-HE1:</w:t>
      </w:r>
    </w:p>
    <w:p w:rsidR="00230F35" w:rsidRPr="00937C8B" w:rsidRDefault="00230F35" w:rsidP="00D27646">
      <w:pPr>
        <w:pStyle w:val="CTEtabla-Titulo"/>
        <w:spacing w:before="240" w:after="120" w:line="11" w:lineRule="atLeast"/>
      </w:pPr>
      <w:r>
        <w:t>Table 3.1.1.b - HE1 Limit value K</w:t>
      </w:r>
      <w:r>
        <w:rPr>
          <w:vertAlign w:val="subscript"/>
        </w:rPr>
        <w:t>lim</w:t>
      </w:r>
      <w:r>
        <w:t xml:space="preserve"> [W/m²K] for private residential use</w:t>
      </w:r>
    </w:p>
    <w:tbl>
      <w:tblPr>
        <w:tblW w:w="8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3" w:type="dxa"/>
        </w:tblCellMar>
        <w:tblLook w:val="04A0" w:firstRow="1" w:lastRow="0" w:firstColumn="1" w:lastColumn="0" w:noHBand="0" w:noVBand="1"/>
      </w:tblPr>
      <w:tblGrid>
        <w:gridCol w:w="3472"/>
        <w:gridCol w:w="1412"/>
        <w:gridCol w:w="595"/>
        <w:gridCol w:w="595"/>
        <w:gridCol w:w="582"/>
        <w:gridCol w:w="582"/>
        <w:gridCol w:w="582"/>
        <w:gridCol w:w="582"/>
      </w:tblGrid>
      <w:tr w:rsidR="00230F35" w:rsidRPr="00937C8B" w:rsidTr="00935676">
        <w:trPr>
          <w:jc w:val="center"/>
        </w:trPr>
        <w:tc>
          <w:tcPr>
            <w:tcW w:w="3581" w:type="dxa"/>
            <w:vMerge w:val="restart"/>
            <w:tcBorders>
              <w:top w:val="nil"/>
              <w:left w:val="nil"/>
              <w:bottom w:val="nil"/>
              <w:right w:val="nil"/>
            </w:tcBorders>
            <w:shd w:val="clear" w:color="auto" w:fill="auto"/>
          </w:tcPr>
          <w:p w:rsidR="00230F35" w:rsidRPr="00935676" w:rsidRDefault="00230F35" w:rsidP="00D27646">
            <w:pPr>
              <w:pStyle w:val="CTEtabla-texto"/>
              <w:keepNext/>
              <w:rPr>
                <w:rFonts w:cs="Arial"/>
                <w:lang w:val="es-ES"/>
              </w:rPr>
            </w:pPr>
          </w:p>
        </w:tc>
        <w:tc>
          <w:tcPr>
            <w:tcW w:w="1361" w:type="dxa"/>
            <w:vMerge w:val="restart"/>
            <w:tcBorders>
              <w:top w:val="nil"/>
              <w:left w:val="nil"/>
              <w:bottom w:val="nil"/>
              <w:right w:val="nil"/>
            </w:tcBorders>
            <w:shd w:val="clear" w:color="auto" w:fill="auto"/>
          </w:tcPr>
          <w:p w:rsidR="00230F35" w:rsidRPr="00937C8B" w:rsidRDefault="00230F35" w:rsidP="00D27646">
            <w:pPr>
              <w:pStyle w:val="CTEtabla-texto"/>
              <w:keepNext/>
              <w:numPr>
                <w:ilvl w:val="0"/>
                <w:numId w:val="6"/>
              </w:numPr>
              <w:rPr>
                <w:rFonts w:cs="Arial"/>
              </w:rPr>
            </w:pPr>
            <w:r>
              <w:rPr>
                <w:b/>
              </w:rPr>
              <w:t>Compactness V/A [m³/m</w:t>
            </w:r>
            <w:r>
              <w:rPr>
                <w:b/>
                <w:vertAlign w:val="superscript"/>
              </w:rPr>
              <w:t>2</w:t>
            </w:r>
            <w:r>
              <w:rPr>
                <w:b/>
              </w:rPr>
              <w:t>]</w:t>
            </w:r>
          </w:p>
        </w:tc>
        <w:tc>
          <w:tcPr>
            <w:tcW w:w="3459" w:type="dxa"/>
            <w:gridSpan w:val="6"/>
            <w:tcBorders>
              <w:top w:val="nil"/>
              <w:left w:val="nil"/>
              <w:bottom w:val="nil"/>
              <w:right w:val="nil"/>
            </w:tcBorders>
            <w:shd w:val="clear" w:color="auto" w:fill="auto"/>
            <w:vAlign w:val="center"/>
          </w:tcPr>
          <w:p w:rsidR="00230F35" w:rsidRPr="00937C8B" w:rsidRDefault="00230F35" w:rsidP="00D27646">
            <w:pPr>
              <w:keepNext/>
              <w:jc w:val="center"/>
              <w:rPr>
                <w:rFonts w:ascii="Arial" w:hAnsi="Arial" w:cs="Arial"/>
              </w:rPr>
            </w:pPr>
            <w:r>
              <w:rPr>
                <w:rFonts w:ascii="Arial" w:hAnsi="Arial"/>
                <w:b/>
                <w:sz w:val="18"/>
              </w:rPr>
              <w:t>Winter climate zone</w:t>
            </w:r>
          </w:p>
        </w:tc>
      </w:tr>
      <w:tr w:rsidR="00230F35" w:rsidRPr="00937C8B" w:rsidTr="00935676">
        <w:trPr>
          <w:jc w:val="center"/>
        </w:trPr>
        <w:tc>
          <w:tcPr>
            <w:tcW w:w="3581" w:type="dxa"/>
            <w:vMerge/>
            <w:tcBorders>
              <w:top w:val="nil"/>
              <w:left w:val="nil"/>
              <w:bottom w:val="single" w:sz="4" w:space="0" w:color="auto"/>
              <w:right w:val="nil"/>
            </w:tcBorders>
            <w:shd w:val="clear" w:color="auto" w:fill="auto"/>
          </w:tcPr>
          <w:p w:rsidR="00230F35" w:rsidRPr="00937C8B" w:rsidRDefault="00230F35" w:rsidP="00D27646">
            <w:pPr>
              <w:pStyle w:val="CTEtabla-texto"/>
              <w:keepNext/>
              <w:rPr>
                <w:rFonts w:cs="Arial"/>
              </w:rPr>
            </w:pPr>
          </w:p>
        </w:tc>
        <w:tc>
          <w:tcPr>
            <w:tcW w:w="1361" w:type="dxa"/>
            <w:vMerge/>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rPr>
            </w:pPr>
          </w:p>
        </w:tc>
        <w:tc>
          <w:tcPr>
            <w:tcW w:w="596" w:type="dxa"/>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b/>
              </w:rPr>
            </w:pPr>
            <w:r>
              <w:rPr>
                <w:b/>
              </w:rPr>
              <w:t>α</w:t>
            </w:r>
          </w:p>
        </w:tc>
        <w:tc>
          <w:tcPr>
            <w:tcW w:w="596" w:type="dxa"/>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b/>
              </w:rPr>
            </w:pPr>
            <w:r>
              <w:rPr>
                <w:b/>
              </w:rPr>
              <w:t>A</w:t>
            </w:r>
          </w:p>
        </w:tc>
        <w:tc>
          <w:tcPr>
            <w:tcW w:w="567" w:type="dxa"/>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b/>
              </w:rPr>
            </w:pPr>
            <w:r>
              <w:rPr>
                <w:b/>
              </w:rPr>
              <w:t>B</w:t>
            </w:r>
          </w:p>
        </w:tc>
        <w:tc>
          <w:tcPr>
            <w:tcW w:w="567" w:type="dxa"/>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b/>
              </w:rPr>
            </w:pPr>
            <w:r>
              <w:rPr>
                <w:b/>
              </w:rPr>
              <w:t>C</w:t>
            </w:r>
          </w:p>
        </w:tc>
        <w:tc>
          <w:tcPr>
            <w:tcW w:w="567" w:type="dxa"/>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b/>
              </w:rPr>
            </w:pPr>
            <w:r>
              <w:rPr>
                <w:b/>
              </w:rPr>
              <w:t>D</w:t>
            </w:r>
          </w:p>
        </w:tc>
        <w:tc>
          <w:tcPr>
            <w:tcW w:w="566" w:type="dxa"/>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b/>
              </w:rPr>
            </w:pPr>
            <w:r>
              <w:rPr>
                <w:b/>
              </w:rPr>
              <w:t>E</w:t>
            </w:r>
          </w:p>
        </w:tc>
      </w:tr>
      <w:tr w:rsidR="00230F35" w:rsidRPr="00937C8B" w:rsidTr="00935676">
        <w:trPr>
          <w:jc w:val="center"/>
        </w:trPr>
        <w:tc>
          <w:tcPr>
            <w:tcW w:w="3581" w:type="dxa"/>
            <w:vMerge w:val="restart"/>
            <w:tcBorders>
              <w:top w:val="single" w:sz="4" w:space="0" w:color="auto"/>
              <w:left w:val="nil"/>
              <w:bottom w:val="nil"/>
              <w:right w:val="nil"/>
            </w:tcBorders>
            <w:shd w:val="clear" w:color="auto" w:fill="auto"/>
            <w:vAlign w:val="center"/>
          </w:tcPr>
          <w:p w:rsidR="00230F35" w:rsidRPr="00937C8B" w:rsidRDefault="00230F35" w:rsidP="00425ADA">
            <w:pPr>
              <w:pStyle w:val="CTEtabla-texto"/>
              <w:jc w:val="left"/>
              <w:rPr>
                <w:rFonts w:cs="Arial"/>
              </w:rPr>
            </w:pPr>
            <w:r>
              <w:rPr>
                <w:b/>
              </w:rPr>
              <w:t>New buildings and extensions</w:t>
            </w:r>
          </w:p>
        </w:tc>
        <w:tc>
          <w:tcPr>
            <w:tcW w:w="1361" w:type="dxa"/>
            <w:tcBorders>
              <w:left w:val="nil"/>
              <w:bottom w:val="nil"/>
              <w:right w:val="nil"/>
            </w:tcBorders>
            <w:shd w:val="clear" w:color="auto" w:fill="auto"/>
            <w:vAlign w:val="center"/>
          </w:tcPr>
          <w:p w:rsidR="00230F35" w:rsidRPr="00937C8B" w:rsidRDefault="00230F35" w:rsidP="00425ADA">
            <w:pPr>
              <w:pStyle w:val="CTEtabla-texto"/>
              <w:keepNext/>
              <w:rPr>
                <w:rFonts w:cs="Arial"/>
                <w:szCs w:val="18"/>
              </w:rPr>
            </w:pPr>
            <w:r>
              <w:t>V/A ≤ 1</w:t>
            </w:r>
          </w:p>
        </w:tc>
        <w:tc>
          <w:tcPr>
            <w:tcW w:w="596" w:type="dxa"/>
            <w:tcBorders>
              <w:left w:val="nil"/>
              <w:bottom w:val="nil"/>
              <w:right w:val="nil"/>
            </w:tcBorders>
            <w:shd w:val="clear" w:color="auto" w:fill="auto"/>
            <w:vAlign w:val="center"/>
          </w:tcPr>
          <w:p w:rsidR="00230F35" w:rsidRPr="00937C8B" w:rsidRDefault="00230F35" w:rsidP="00425ADA">
            <w:pPr>
              <w:pStyle w:val="CTEtabla-texto"/>
              <w:keepNext/>
              <w:rPr>
                <w:rFonts w:cs="Arial"/>
              </w:rPr>
            </w:pPr>
            <w:r>
              <w:t>0.67</w:t>
            </w:r>
          </w:p>
        </w:tc>
        <w:tc>
          <w:tcPr>
            <w:tcW w:w="596" w:type="dxa"/>
            <w:tcBorders>
              <w:left w:val="nil"/>
              <w:bottom w:val="nil"/>
              <w:right w:val="nil"/>
            </w:tcBorders>
            <w:shd w:val="clear" w:color="auto" w:fill="auto"/>
            <w:vAlign w:val="center"/>
          </w:tcPr>
          <w:p w:rsidR="00230F35" w:rsidRPr="00937C8B" w:rsidRDefault="00230F35" w:rsidP="00425ADA">
            <w:pPr>
              <w:pStyle w:val="CTEtabla-texto"/>
              <w:keepNext/>
              <w:rPr>
                <w:rFonts w:cs="Arial"/>
              </w:rPr>
            </w:pPr>
            <w:r>
              <w:t>0.60</w:t>
            </w:r>
          </w:p>
        </w:tc>
        <w:tc>
          <w:tcPr>
            <w:tcW w:w="567" w:type="dxa"/>
            <w:tcBorders>
              <w:left w:val="nil"/>
              <w:bottom w:val="nil"/>
              <w:right w:val="nil"/>
            </w:tcBorders>
            <w:shd w:val="clear" w:color="auto" w:fill="auto"/>
            <w:vAlign w:val="center"/>
          </w:tcPr>
          <w:p w:rsidR="00230F35" w:rsidRPr="00937C8B" w:rsidRDefault="00230F35" w:rsidP="00425ADA">
            <w:pPr>
              <w:pStyle w:val="CTEtabla-texto"/>
              <w:keepNext/>
              <w:rPr>
                <w:rFonts w:cs="Arial"/>
              </w:rPr>
            </w:pPr>
            <w:r>
              <w:t>0.58</w:t>
            </w:r>
          </w:p>
        </w:tc>
        <w:tc>
          <w:tcPr>
            <w:tcW w:w="567" w:type="dxa"/>
            <w:tcBorders>
              <w:left w:val="nil"/>
              <w:bottom w:val="nil"/>
              <w:right w:val="nil"/>
            </w:tcBorders>
            <w:shd w:val="clear" w:color="auto" w:fill="auto"/>
            <w:vAlign w:val="center"/>
          </w:tcPr>
          <w:p w:rsidR="00230F35" w:rsidRPr="00937C8B" w:rsidRDefault="00230F35" w:rsidP="00425ADA">
            <w:pPr>
              <w:pStyle w:val="CTEtabla-texto"/>
              <w:keepNext/>
              <w:rPr>
                <w:rFonts w:cs="Arial"/>
              </w:rPr>
            </w:pPr>
            <w:r>
              <w:t>0.53</w:t>
            </w:r>
          </w:p>
        </w:tc>
        <w:tc>
          <w:tcPr>
            <w:tcW w:w="567" w:type="dxa"/>
            <w:tcBorders>
              <w:left w:val="nil"/>
              <w:bottom w:val="nil"/>
              <w:right w:val="nil"/>
            </w:tcBorders>
            <w:shd w:val="clear" w:color="auto" w:fill="auto"/>
            <w:vAlign w:val="center"/>
          </w:tcPr>
          <w:p w:rsidR="00230F35" w:rsidRPr="00937C8B" w:rsidRDefault="00230F35" w:rsidP="00425ADA">
            <w:pPr>
              <w:pStyle w:val="CTEtabla-texto"/>
              <w:keepNext/>
              <w:rPr>
                <w:rFonts w:cs="Arial"/>
              </w:rPr>
            </w:pPr>
            <w:r>
              <w:t>0.48</w:t>
            </w:r>
          </w:p>
        </w:tc>
        <w:tc>
          <w:tcPr>
            <w:tcW w:w="566" w:type="dxa"/>
            <w:tcBorders>
              <w:left w:val="nil"/>
              <w:bottom w:val="nil"/>
              <w:right w:val="nil"/>
            </w:tcBorders>
            <w:shd w:val="clear" w:color="auto" w:fill="auto"/>
            <w:vAlign w:val="center"/>
          </w:tcPr>
          <w:p w:rsidR="00230F35" w:rsidRPr="00937C8B" w:rsidRDefault="00230F35" w:rsidP="00425ADA">
            <w:pPr>
              <w:pStyle w:val="CTEtabla-texto"/>
              <w:keepNext/>
              <w:rPr>
                <w:rFonts w:cs="Arial"/>
              </w:rPr>
            </w:pPr>
            <w:r>
              <w:t>0.43</w:t>
            </w:r>
          </w:p>
        </w:tc>
      </w:tr>
      <w:tr w:rsidR="00230F35" w:rsidRPr="00937C8B" w:rsidTr="00935676">
        <w:trPr>
          <w:jc w:val="center"/>
        </w:trPr>
        <w:tc>
          <w:tcPr>
            <w:tcW w:w="3581" w:type="dxa"/>
            <w:vMerge/>
            <w:tcBorders>
              <w:top w:val="nil"/>
              <w:left w:val="nil"/>
              <w:bottom w:val="single" w:sz="4" w:space="0" w:color="auto"/>
              <w:right w:val="nil"/>
            </w:tcBorders>
            <w:shd w:val="clear" w:color="auto" w:fill="auto"/>
            <w:vAlign w:val="center"/>
          </w:tcPr>
          <w:p w:rsidR="00230F35" w:rsidRPr="00937C8B" w:rsidRDefault="00230F35" w:rsidP="00425ADA">
            <w:pPr>
              <w:jc w:val="center"/>
              <w:rPr>
                <w:rFonts w:ascii="Arial" w:eastAsia="Arial" w:hAnsi="Arial" w:cs="Arial"/>
                <w:b/>
                <w:sz w:val="18"/>
                <w:lang w:eastAsia="ar-SA"/>
              </w:rPr>
            </w:pPr>
          </w:p>
        </w:tc>
        <w:tc>
          <w:tcPr>
            <w:tcW w:w="1361" w:type="dxa"/>
            <w:tcBorders>
              <w:top w:val="nil"/>
              <w:left w:val="nil"/>
              <w:bottom w:val="single" w:sz="4" w:space="0" w:color="auto"/>
              <w:right w:val="nil"/>
            </w:tcBorders>
            <w:shd w:val="clear" w:color="auto" w:fill="auto"/>
            <w:vAlign w:val="center"/>
          </w:tcPr>
          <w:p w:rsidR="00230F35" w:rsidRPr="00937C8B" w:rsidRDefault="00230F35" w:rsidP="00425ADA">
            <w:pPr>
              <w:pStyle w:val="CTEtabla-texto"/>
              <w:keepNext/>
              <w:rPr>
                <w:rFonts w:cs="Arial"/>
                <w:szCs w:val="18"/>
              </w:rPr>
            </w:pPr>
            <w:r>
              <w:t>V/A ≥ 4</w:t>
            </w:r>
          </w:p>
        </w:tc>
        <w:tc>
          <w:tcPr>
            <w:tcW w:w="596" w:type="dxa"/>
            <w:tcBorders>
              <w:top w:val="nil"/>
              <w:left w:val="nil"/>
              <w:bottom w:val="single" w:sz="4" w:space="0" w:color="auto"/>
              <w:right w:val="nil"/>
            </w:tcBorders>
            <w:shd w:val="clear" w:color="auto" w:fill="auto"/>
            <w:vAlign w:val="center"/>
          </w:tcPr>
          <w:p w:rsidR="00230F35" w:rsidRPr="00937C8B" w:rsidRDefault="00230F35" w:rsidP="00425ADA">
            <w:pPr>
              <w:pStyle w:val="CTEtabla-texto"/>
              <w:keepNext/>
              <w:rPr>
                <w:rFonts w:cs="Arial"/>
              </w:rPr>
            </w:pPr>
            <w:r>
              <w:t>0.86</w:t>
            </w:r>
          </w:p>
        </w:tc>
        <w:tc>
          <w:tcPr>
            <w:tcW w:w="596" w:type="dxa"/>
            <w:tcBorders>
              <w:top w:val="nil"/>
              <w:left w:val="nil"/>
              <w:bottom w:val="single" w:sz="4" w:space="0" w:color="auto"/>
              <w:right w:val="nil"/>
            </w:tcBorders>
            <w:shd w:val="clear" w:color="auto" w:fill="auto"/>
            <w:vAlign w:val="center"/>
          </w:tcPr>
          <w:p w:rsidR="00230F35" w:rsidRPr="00937C8B" w:rsidRDefault="00230F35" w:rsidP="00425ADA">
            <w:pPr>
              <w:pStyle w:val="CTEtabla-texto"/>
              <w:keepNext/>
              <w:rPr>
                <w:rFonts w:cs="Arial"/>
              </w:rPr>
            </w:pPr>
            <w:r>
              <w:t>0.80</w:t>
            </w:r>
          </w:p>
        </w:tc>
        <w:tc>
          <w:tcPr>
            <w:tcW w:w="567" w:type="dxa"/>
            <w:tcBorders>
              <w:top w:val="nil"/>
              <w:left w:val="nil"/>
              <w:bottom w:val="single" w:sz="4" w:space="0" w:color="auto"/>
              <w:right w:val="nil"/>
            </w:tcBorders>
            <w:shd w:val="clear" w:color="auto" w:fill="auto"/>
            <w:vAlign w:val="center"/>
          </w:tcPr>
          <w:p w:rsidR="00230F35" w:rsidRPr="00937C8B" w:rsidRDefault="00230F35" w:rsidP="00425ADA">
            <w:pPr>
              <w:pStyle w:val="CTEtabla-texto"/>
              <w:keepNext/>
              <w:rPr>
                <w:rFonts w:cs="Arial"/>
              </w:rPr>
            </w:pPr>
            <w:r>
              <w:t>0.77</w:t>
            </w:r>
          </w:p>
        </w:tc>
        <w:tc>
          <w:tcPr>
            <w:tcW w:w="567" w:type="dxa"/>
            <w:tcBorders>
              <w:top w:val="nil"/>
              <w:left w:val="nil"/>
              <w:bottom w:val="single" w:sz="4" w:space="0" w:color="auto"/>
              <w:right w:val="nil"/>
            </w:tcBorders>
            <w:shd w:val="clear" w:color="auto" w:fill="auto"/>
            <w:vAlign w:val="center"/>
          </w:tcPr>
          <w:p w:rsidR="00230F35" w:rsidRPr="00937C8B" w:rsidRDefault="00230F35" w:rsidP="00425ADA">
            <w:pPr>
              <w:pStyle w:val="CTEtabla-texto"/>
              <w:keepNext/>
              <w:rPr>
                <w:rFonts w:cs="Arial"/>
              </w:rPr>
            </w:pPr>
            <w:r>
              <w:t>0.72</w:t>
            </w:r>
          </w:p>
        </w:tc>
        <w:tc>
          <w:tcPr>
            <w:tcW w:w="567" w:type="dxa"/>
            <w:tcBorders>
              <w:top w:val="nil"/>
              <w:left w:val="nil"/>
              <w:bottom w:val="single" w:sz="4" w:space="0" w:color="auto"/>
              <w:right w:val="nil"/>
            </w:tcBorders>
            <w:shd w:val="clear" w:color="auto" w:fill="auto"/>
            <w:vAlign w:val="center"/>
          </w:tcPr>
          <w:p w:rsidR="00230F35" w:rsidRPr="00937C8B" w:rsidRDefault="00230F35" w:rsidP="00425ADA">
            <w:pPr>
              <w:pStyle w:val="CTEtabla-texto"/>
              <w:keepNext/>
              <w:rPr>
                <w:rFonts w:cs="Arial"/>
              </w:rPr>
            </w:pPr>
            <w:r>
              <w:t>0.67</w:t>
            </w:r>
          </w:p>
        </w:tc>
        <w:tc>
          <w:tcPr>
            <w:tcW w:w="566" w:type="dxa"/>
            <w:tcBorders>
              <w:top w:val="nil"/>
              <w:left w:val="nil"/>
              <w:bottom w:val="single" w:sz="4" w:space="0" w:color="auto"/>
              <w:right w:val="nil"/>
            </w:tcBorders>
            <w:shd w:val="clear" w:color="auto" w:fill="auto"/>
            <w:vAlign w:val="center"/>
          </w:tcPr>
          <w:p w:rsidR="00230F35" w:rsidRPr="00937C8B" w:rsidRDefault="00230F35" w:rsidP="00425ADA">
            <w:pPr>
              <w:pStyle w:val="CTEtabla-texto"/>
              <w:keepNext/>
              <w:rPr>
                <w:rFonts w:cs="Arial"/>
              </w:rPr>
            </w:pPr>
            <w:r>
              <w:t>0.62</w:t>
            </w:r>
          </w:p>
        </w:tc>
      </w:tr>
      <w:tr w:rsidR="00230F35" w:rsidRPr="00937C8B" w:rsidTr="00935676">
        <w:trPr>
          <w:jc w:val="center"/>
        </w:trPr>
        <w:tc>
          <w:tcPr>
            <w:tcW w:w="3581" w:type="dxa"/>
            <w:vMerge w:val="restart"/>
            <w:tcBorders>
              <w:top w:val="single" w:sz="4" w:space="0" w:color="auto"/>
              <w:left w:val="nil"/>
              <w:bottom w:val="nil"/>
              <w:right w:val="nil"/>
            </w:tcBorders>
            <w:shd w:val="clear" w:color="auto" w:fill="auto"/>
            <w:vAlign w:val="center"/>
          </w:tcPr>
          <w:p w:rsidR="00230F35" w:rsidRPr="00937C8B" w:rsidRDefault="00230F35" w:rsidP="00425ADA">
            <w:pPr>
              <w:pStyle w:val="CTEtabla-texto"/>
              <w:keepNext/>
              <w:jc w:val="left"/>
              <w:rPr>
                <w:rFonts w:cs="Arial"/>
                <w:b/>
                <w:szCs w:val="18"/>
              </w:rPr>
            </w:pPr>
            <w:r>
              <w:rPr>
                <w:b/>
              </w:rPr>
              <w:t>Changes in use.</w:t>
            </w:r>
          </w:p>
          <w:p w:rsidR="00230F35" w:rsidRPr="00937C8B" w:rsidRDefault="00230F35" w:rsidP="003E38D0">
            <w:pPr>
              <w:rPr>
                <w:rFonts w:ascii="Arial" w:eastAsia="Arial" w:hAnsi="Arial" w:cs="Arial"/>
                <w:sz w:val="18"/>
              </w:rPr>
            </w:pPr>
            <w:r>
              <w:rPr>
                <w:rFonts w:ascii="Arial" w:hAnsi="Arial"/>
                <w:b/>
                <w:sz w:val="18"/>
              </w:rPr>
              <w:t xml:space="preserve">Renovations on over 25% of the total area of the final </w:t>
            </w:r>
            <w:r>
              <w:rPr>
                <w:rFonts w:ascii="Arial" w:hAnsi="Arial"/>
                <w:b/>
                <w:i/>
                <w:iCs/>
                <w:sz w:val="18"/>
              </w:rPr>
              <w:t>thermal envelope</w:t>
            </w:r>
            <w:r>
              <w:rPr>
                <w:rFonts w:ascii="Arial" w:hAnsi="Arial"/>
                <w:b/>
                <w:sz w:val="18"/>
              </w:rPr>
              <w:t xml:space="preserve"> of the building</w:t>
            </w:r>
          </w:p>
        </w:tc>
        <w:tc>
          <w:tcPr>
            <w:tcW w:w="1361" w:type="dxa"/>
            <w:tcBorders>
              <w:top w:val="single" w:sz="4" w:space="0" w:color="auto"/>
              <w:left w:val="nil"/>
              <w:bottom w:val="nil"/>
              <w:right w:val="nil"/>
            </w:tcBorders>
            <w:shd w:val="clear" w:color="auto" w:fill="auto"/>
            <w:vAlign w:val="center"/>
          </w:tcPr>
          <w:p w:rsidR="00230F35" w:rsidRPr="00937C8B" w:rsidRDefault="00230F35" w:rsidP="00425ADA">
            <w:pPr>
              <w:jc w:val="center"/>
              <w:rPr>
                <w:rFonts w:ascii="Arial" w:eastAsia="Arial" w:hAnsi="Arial" w:cs="Arial"/>
                <w:sz w:val="18"/>
                <w:szCs w:val="18"/>
              </w:rPr>
            </w:pPr>
            <w:r>
              <w:rPr>
                <w:rFonts w:ascii="Arial" w:hAnsi="Arial"/>
                <w:sz w:val="18"/>
              </w:rPr>
              <w:t>V/A ≤ 1</w:t>
            </w:r>
          </w:p>
        </w:tc>
        <w:tc>
          <w:tcPr>
            <w:tcW w:w="596" w:type="dxa"/>
            <w:tcBorders>
              <w:top w:val="single" w:sz="4" w:space="0" w:color="auto"/>
              <w:left w:val="nil"/>
              <w:bottom w:val="nil"/>
              <w:right w:val="nil"/>
            </w:tcBorders>
            <w:shd w:val="clear" w:color="auto" w:fill="auto"/>
            <w:vAlign w:val="center"/>
          </w:tcPr>
          <w:p w:rsidR="00230F35" w:rsidRPr="00937C8B" w:rsidRDefault="00230F35" w:rsidP="00425ADA">
            <w:pPr>
              <w:pStyle w:val="CTEtabla-texto"/>
              <w:keepNext/>
              <w:rPr>
                <w:rFonts w:cs="Arial"/>
              </w:rPr>
            </w:pPr>
            <w:r>
              <w:t>1.00</w:t>
            </w:r>
          </w:p>
        </w:tc>
        <w:tc>
          <w:tcPr>
            <w:tcW w:w="596" w:type="dxa"/>
            <w:tcBorders>
              <w:top w:val="single" w:sz="4" w:space="0" w:color="auto"/>
              <w:left w:val="nil"/>
              <w:bottom w:val="nil"/>
              <w:right w:val="nil"/>
            </w:tcBorders>
            <w:shd w:val="clear" w:color="auto" w:fill="auto"/>
            <w:vAlign w:val="center"/>
          </w:tcPr>
          <w:p w:rsidR="00230F35" w:rsidRPr="00937C8B" w:rsidRDefault="00230F35" w:rsidP="00425ADA">
            <w:pPr>
              <w:pStyle w:val="CTEtabla-texto"/>
              <w:keepNext/>
              <w:rPr>
                <w:rFonts w:cs="Arial"/>
              </w:rPr>
            </w:pPr>
            <w:r>
              <w:t>0.87</w:t>
            </w:r>
          </w:p>
        </w:tc>
        <w:tc>
          <w:tcPr>
            <w:tcW w:w="567" w:type="dxa"/>
            <w:tcBorders>
              <w:top w:val="single" w:sz="4" w:space="0" w:color="auto"/>
              <w:left w:val="nil"/>
              <w:bottom w:val="nil"/>
              <w:right w:val="nil"/>
            </w:tcBorders>
            <w:shd w:val="clear" w:color="auto" w:fill="auto"/>
            <w:vAlign w:val="center"/>
          </w:tcPr>
          <w:p w:rsidR="00230F35" w:rsidRPr="00937C8B" w:rsidRDefault="00230F35" w:rsidP="00425ADA">
            <w:pPr>
              <w:pStyle w:val="CTEtabla-texto"/>
              <w:keepNext/>
              <w:rPr>
                <w:rFonts w:cs="Arial"/>
              </w:rPr>
            </w:pPr>
            <w:r>
              <w:t>0.83</w:t>
            </w:r>
          </w:p>
        </w:tc>
        <w:tc>
          <w:tcPr>
            <w:tcW w:w="567" w:type="dxa"/>
            <w:tcBorders>
              <w:top w:val="single" w:sz="4" w:space="0" w:color="auto"/>
              <w:left w:val="nil"/>
              <w:bottom w:val="nil"/>
              <w:right w:val="nil"/>
            </w:tcBorders>
            <w:shd w:val="clear" w:color="auto" w:fill="auto"/>
            <w:vAlign w:val="center"/>
          </w:tcPr>
          <w:p w:rsidR="00230F35" w:rsidRPr="00937C8B" w:rsidRDefault="00230F35" w:rsidP="00425ADA">
            <w:pPr>
              <w:pStyle w:val="CTEtabla-texto"/>
              <w:keepNext/>
              <w:rPr>
                <w:rFonts w:cs="Arial"/>
              </w:rPr>
            </w:pPr>
            <w:r>
              <w:t>0.73</w:t>
            </w:r>
          </w:p>
        </w:tc>
        <w:tc>
          <w:tcPr>
            <w:tcW w:w="567" w:type="dxa"/>
            <w:tcBorders>
              <w:top w:val="single" w:sz="4" w:space="0" w:color="auto"/>
              <w:left w:val="nil"/>
              <w:bottom w:val="nil"/>
              <w:right w:val="nil"/>
            </w:tcBorders>
            <w:shd w:val="clear" w:color="auto" w:fill="auto"/>
            <w:vAlign w:val="center"/>
          </w:tcPr>
          <w:p w:rsidR="00230F35" w:rsidRPr="00937C8B" w:rsidRDefault="00230F35" w:rsidP="00425ADA">
            <w:pPr>
              <w:pStyle w:val="CTEtabla-texto"/>
              <w:keepNext/>
              <w:rPr>
                <w:rFonts w:cs="Arial"/>
              </w:rPr>
            </w:pPr>
            <w:r>
              <w:t>0.63</w:t>
            </w:r>
          </w:p>
        </w:tc>
        <w:tc>
          <w:tcPr>
            <w:tcW w:w="566" w:type="dxa"/>
            <w:tcBorders>
              <w:top w:val="single" w:sz="4" w:space="0" w:color="auto"/>
              <w:left w:val="nil"/>
              <w:bottom w:val="nil"/>
              <w:right w:val="nil"/>
            </w:tcBorders>
            <w:shd w:val="clear" w:color="auto" w:fill="auto"/>
            <w:vAlign w:val="center"/>
          </w:tcPr>
          <w:p w:rsidR="00230F35" w:rsidRPr="00937C8B" w:rsidRDefault="00230F35" w:rsidP="00425ADA">
            <w:pPr>
              <w:pStyle w:val="CTEtabla-texto"/>
              <w:keepNext/>
              <w:rPr>
                <w:rFonts w:cs="Arial"/>
              </w:rPr>
            </w:pPr>
            <w:r>
              <w:t>0.54</w:t>
            </w:r>
          </w:p>
        </w:tc>
      </w:tr>
      <w:tr w:rsidR="00230F35" w:rsidRPr="00937C8B" w:rsidTr="00935676">
        <w:trPr>
          <w:jc w:val="center"/>
        </w:trPr>
        <w:tc>
          <w:tcPr>
            <w:tcW w:w="3581" w:type="dxa"/>
            <w:vMerge/>
            <w:tcBorders>
              <w:top w:val="nil"/>
              <w:left w:val="nil"/>
              <w:bottom w:val="nil"/>
              <w:right w:val="nil"/>
            </w:tcBorders>
            <w:shd w:val="clear" w:color="auto" w:fill="auto"/>
          </w:tcPr>
          <w:p w:rsidR="00230F35" w:rsidRPr="00937C8B" w:rsidRDefault="00230F35" w:rsidP="003E38D0">
            <w:pPr>
              <w:rPr>
                <w:rFonts w:ascii="Arial" w:eastAsia="Arial" w:hAnsi="Arial" w:cs="Arial"/>
                <w:sz w:val="18"/>
                <w:lang w:eastAsia="ar-SA"/>
              </w:rPr>
            </w:pPr>
          </w:p>
        </w:tc>
        <w:tc>
          <w:tcPr>
            <w:tcW w:w="1361" w:type="dxa"/>
            <w:tcBorders>
              <w:top w:val="nil"/>
              <w:left w:val="nil"/>
              <w:bottom w:val="nil"/>
              <w:right w:val="nil"/>
            </w:tcBorders>
            <w:shd w:val="clear" w:color="auto" w:fill="auto"/>
            <w:vAlign w:val="center"/>
          </w:tcPr>
          <w:p w:rsidR="00230F35" w:rsidRPr="00937C8B" w:rsidRDefault="00230F35" w:rsidP="00425ADA">
            <w:pPr>
              <w:jc w:val="center"/>
              <w:rPr>
                <w:rFonts w:ascii="Arial" w:eastAsia="Arial" w:hAnsi="Arial" w:cs="Arial"/>
                <w:sz w:val="18"/>
                <w:szCs w:val="18"/>
              </w:rPr>
            </w:pPr>
            <w:r>
              <w:rPr>
                <w:rFonts w:ascii="Arial" w:hAnsi="Arial"/>
                <w:sz w:val="18"/>
              </w:rPr>
              <w:t>V/A ≥ 4</w:t>
            </w:r>
          </w:p>
        </w:tc>
        <w:tc>
          <w:tcPr>
            <w:tcW w:w="596" w:type="dxa"/>
            <w:tcBorders>
              <w:top w:val="nil"/>
              <w:left w:val="nil"/>
              <w:bottom w:val="nil"/>
              <w:right w:val="nil"/>
            </w:tcBorders>
            <w:shd w:val="clear" w:color="auto" w:fill="auto"/>
            <w:vAlign w:val="center"/>
          </w:tcPr>
          <w:p w:rsidR="00230F35" w:rsidRPr="00937C8B" w:rsidRDefault="00230F35" w:rsidP="00425ADA">
            <w:pPr>
              <w:pStyle w:val="CTEtabla-texto"/>
              <w:keepNext/>
              <w:rPr>
                <w:rFonts w:cs="Arial"/>
              </w:rPr>
            </w:pPr>
            <w:r>
              <w:t>1.07</w:t>
            </w:r>
          </w:p>
        </w:tc>
        <w:tc>
          <w:tcPr>
            <w:tcW w:w="596" w:type="dxa"/>
            <w:tcBorders>
              <w:top w:val="nil"/>
              <w:left w:val="nil"/>
              <w:bottom w:val="nil"/>
              <w:right w:val="nil"/>
            </w:tcBorders>
            <w:shd w:val="clear" w:color="auto" w:fill="auto"/>
            <w:vAlign w:val="center"/>
          </w:tcPr>
          <w:p w:rsidR="00230F35" w:rsidRPr="00937C8B" w:rsidRDefault="00230F35" w:rsidP="00425ADA">
            <w:pPr>
              <w:pStyle w:val="CTEtabla-texto"/>
              <w:keepNext/>
              <w:rPr>
                <w:rFonts w:cs="Arial"/>
              </w:rPr>
            </w:pPr>
            <w:r>
              <w:t>0.94</w:t>
            </w:r>
          </w:p>
        </w:tc>
        <w:tc>
          <w:tcPr>
            <w:tcW w:w="567" w:type="dxa"/>
            <w:tcBorders>
              <w:top w:val="nil"/>
              <w:left w:val="nil"/>
              <w:bottom w:val="nil"/>
              <w:right w:val="nil"/>
            </w:tcBorders>
            <w:shd w:val="clear" w:color="auto" w:fill="auto"/>
            <w:vAlign w:val="center"/>
          </w:tcPr>
          <w:p w:rsidR="00230F35" w:rsidRPr="00937C8B" w:rsidRDefault="00230F35" w:rsidP="00425ADA">
            <w:pPr>
              <w:pStyle w:val="CTEtabla-texto"/>
              <w:keepNext/>
              <w:rPr>
                <w:rFonts w:cs="Arial"/>
              </w:rPr>
            </w:pPr>
            <w:r>
              <w:t>0.90</w:t>
            </w:r>
          </w:p>
        </w:tc>
        <w:tc>
          <w:tcPr>
            <w:tcW w:w="567" w:type="dxa"/>
            <w:tcBorders>
              <w:top w:val="nil"/>
              <w:left w:val="nil"/>
              <w:bottom w:val="nil"/>
              <w:right w:val="nil"/>
            </w:tcBorders>
            <w:shd w:val="clear" w:color="auto" w:fill="auto"/>
            <w:vAlign w:val="center"/>
          </w:tcPr>
          <w:p w:rsidR="00230F35" w:rsidRPr="00937C8B" w:rsidRDefault="00230F35" w:rsidP="00425ADA">
            <w:pPr>
              <w:pStyle w:val="CTEtabla-texto"/>
              <w:keepNext/>
              <w:rPr>
                <w:rFonts w:cs="Arial"/>
              </w:rPr>
            </w:pPr>
            <w:r>
              <w:t>0.81</w:t>
            </w:r>
          </w:p>
        </w:tc>
        <w:tc>
          <w:tcPr>
            <w:tcW w:w="567" w:type="dxa"/>
            <w:tcBorders>
              <w:top w:val="nil"/>
              <w:left w:val="nil"/>
              <w:bottom w:val="nil"/>
              <w:right w:val="nil"/>
            </w:tcBorders>
            <w:shd w:val="clear" w:color="auto" w:fill="auto"/>
            <w:vAlign w:val="center"/>
          </w:tcPr>
          <w:p w:rsidR="00230F35" w:rsidRPr="00937C8B" w:rsidRDefault="00230F35" w:rsidP="00425ADA">
            <w:pPr>
              <w:pStyle w:val="CTEtabla-texto"/>
              <w:keepNext/>
              <w:rPr>
                <w:rFonts w:cs="Arial"/>
              </w:rPr>
            </w:pPr>
            <w:r>
              <w:t>0.70</w:t>
            </w:r>
          </w:p>
        </w:tc>
        <w:tc>
          <w:tcPr>
            <w:tcW w:w="566" w:type="dxa"/>
            <w:tcBorders>
              <w:top w:val="nil"/>
              <w:left w:val="nil"/>
              <w:bottom w:val="nil"/>
              <w:right w:val="nil"/>
            </w:tcBorders>
            <w:shd w:val="clear" w:color="auto" w:fill="auto"/>
            <w:vAlign w:val="center"/>
          </w:tcPr>
          <w:p w:rsidR="00230F35" w:rsidRPr="00937C8B" w:rsidRDefault="00230F35" w:rsidP="00425ADA">
            <w:pPr>
              <w:pStyle w:val="CTEtabla-texto"/>
              <w:keepNext/>
              <w:rPr>
                <w:rFonts w:cs="Arial"/>
              </w:rPr>
            </w:pPr>
            <w:r>
              <w:t>0.62</w:t>
            </w:r>
          </w:p>
        </w:tc>
      </w:tr>
      <w:tr w:rsidR="00230F35" w:rsidRPr="00937C8B" w:rsidTr="00935676">
        <w:trPr>
          <w:jc w:val="center"/>
        </w:trPr>
        <w:tc>
          <w:tcPr>
            <w:tcW w:w="8401" w:type="dxa"/>
            <w:gridSpan w:val="8"/>
            <w:tcBorders>
              <w:top w:val="nil"/>
              <w:left w:val="nil"/>
              <w:bottom w:val="nil"/>
              <w:right w:val="nil"/>
            </w:tcBorders>
            <w:shd w:val="clear" w:color="auto" w:fill="auto"/>
            <w:vAlign w:val="center"/>
          </w:tcPr>
          <w:p w:rsidR="00230F35" w:rsidRPr="00937C8B" w:rsidRDefault="00230F35" w:rsidP="00425ADA">
            <w:pPr>
              <w:pStyle w:val="CTETabla-nota"/>
              <w:ind w:left="0" w:firstLine="0"/>
            </w:pPr>
            <w:r>
              <w:t>The limit values for intermediate compactness (1&lt;V/A&lt;4) are obtained by interpolation.</w:t>
            </w:r>
          </w:p>
          <w:p w:rsidR="00230F35" w:rsidRPr="00937C8B" w:rsidRDefault="00230F35" w:rsidP="00425ADA">
            <w:pPr>
              <w:pStyle w:val="CTETabla-nota"/>
              <w:ind w:left="0" w:firstLine="0"/>
            </w:pPr>
            <w:r>
              <w:t>For extensions, the limit values shall only be applied if the area or built volume increases by over 10%.</w:t>
            </w:r>
          </w:p>
        </w:tc>
      </w:tr>
    </w:tbl>
    <w:p w:rsidR="00230F35" w:rsidRPr="00937C8B" w:rsidRDefault="00230F35" w:rsidP="00230F35">
      <w:pPr>
        <w:pStyle w:val="CTETabla-nota"/>
        <w:ind w:left="567" w:firstLine="0"/>
        <w:rPr>
          <w:i/>
          <w:strike/>
          <w:sz w:val="18"/>
          <w:lang w:eastAsia="ar-SA" w:bidi="ar-SA"/>
        </w:rPr>
      </w:pPr>
    </w:p>
    <w:p w:rsidR="00230F35" w:rsidRPr="00937C8B" w:rsidRDefault="00230F35" w:rsidP="00D27646">
      <w:pPr>
        <w:pStyle w:val="CTENumeracion"/>
        <w:keepNext/>
        <w:spacing w:before="120"/>
        <w:rPr>
          <w:rFonts w:cs="Arial"/>
          <w:sz w:val="22"/>
          <w:szCs w:val="22"/>
        </w:rPr>
      </w:pPr>
      <w:r>
        <w:rPr>
          <w:sz w:val="22"/>
        </w:rPr>
        <w:lastRenderedPageBreak/>
        <w:t>4.</w:t>
      </w:r>
      <w:r>
        <w:rPr>
          <w:sz w:val="22"/>
        </w:rPr>
        <w:tab/>
        <w:t xml:space="preserve">The </w:t>
      </w:r>
      <w:r>
        <w:rPr>
          <w:i/>
          <w:iCs/>
          <w:sz w:val="22"/>
        </w:rPr>
        <w:t>total heat transfer coefficient through the thermal envelope (K)</w:t>
      </w:r>
      <w:r>
        <w:rPr>
          <w:sz w:val="22"/>
        </w:rPr>
        <w:t xml:space="preserve"> of the building or part thereof, with a use other than private residential, shall not exceed the limit value (</w:t>
      </w:r>
      <w:r>
        <w:rPr>
          <w:i/>
          <w:sz w:val="22"/>
        </w:rPr>
        <w:t>K</w:t>
      </w:r>
      <w:r>
        <w:rPr>
          <w:i/>
          <w:sz w:val="22"/>
          <w:vertAlign w:val="subscript"/>
        </w:rPr>
        <w:t>lim</w:t>
      </w:r>
      <w:r>
        <w:rPr>
          <w:sz w:val="22"/>
        </w:rPr>
        <w:t>) obtained from Table 3.1.1.c-HE1:</w:t>
      </w:r>
    </w:p>
    <w:p w:rsidR="00230F35" w:rsidRPr="00937C8B" w:rsidRDefault="00230F35" w:rsidP="00D27646">
      <w:pPr>
        <w:pStyle w:val="CTEtabla-Titulo"/>
        <w:spacing w:before="360" w:after="120" w:line="11" w:lineRule="atLeast"/>
      </w:pPr>
      <w:r>
        <w:t>Table 3.1.1.c - HE1 Limit value K</w:t>
      </w:r>
      <w:r>
        <w:rPr>
          <w:vertAlign w:val="subscript"/>
        </w:rPr>
        <w:t>lim</w:t>
      </w:r>
      <w:r>
        <w:t xml:space="preserve"> [W/m²K] for uses other than private residential</w:t>
      </w:r>
    </w:p>
    <w:tbl>
      <w:tblPr>
        <w:tblW w:w="8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3" w:type="dxa"/>
        </w:tblCellMar>
        <w:tblLook w:val="04A0" w:firstRow="1" w:lastRow="0" w:firstColumn="1" w:lastColumn="0" w:noHBand="0" w:noVBand="1"/>
      </w:tblPr>
      <w:tblGrid>
        <w:gridCol w:w="3442"/>
        <w:gridCol w:w="1412"/>
        <w:gridCol w:w="591"/>
        <w:gridCol w:w="592"/>
        <w:gridCol w:w="582"/>
        <w:gridCol w:w="582"/>
        <w:gridCol w:w="582"/>
        <w:gridCol w:w="582"/>
      </w:tblGrid>
      <w:tr w:rsidR="00230F35" w:rsidRPr="00937C8B" w:rsidTr="00935676">
        <w:trPr>
          <w:jc w:val="center"/>
        </w:trPr>
        <w:tc>
          <w:tcPr>
            <w:tcW w:w="3559" w:type="dxa"/>
            <w:vMerge w:val="restart"/>
            <w:tcBorders>
              <w:top w:val="nil"/>
              <w:left w:val="nil"/>
              <w:right w:val="nil"/>
            </w:tcBorders>
            <w:shd w:val="clear" w:color="auto" w:fill="auto"/>
          </w:tcPr>
          <w:p w:rsidR="00230F35" w:rsidRPr="00937C8B" w:rsidRDefault="00230F35" w:rsidP="00D27646">
            <w:pPr>
              <w:pStyle w:val="CTEtabla-texto"/>
              <w:keepNext/>
              <w:rPr>
                <w:rFonts w:cs="Arial"/>
              </w:rPr>
            </w:pPr>
          </w:p>
        </w:tc>
        <w:tc>
          <w:tcPr>
            <w:tcW w:w="1354" w:type="dxa"/>
            <w:vMerge w:val="restart"/>
            <w:tcBorders>
              <w:top w:val="nil"/>
              <w:left w:val="nil"/>
              <w:bottom w:val="single" w:sz="4" w:space="0" w:color="auto"/>
              <w:right w:val="nil"/>
            </w:tcBorders>
            <w:shd w:val="clear" w:color="auto" w:fill="auto"/>
          </w:tcPr>
          <w:p w:rsidR="00230F35" w:rsidRPr="00937C8B" w:rsidRDefault="00230F35" w:rsidP="00D27646">
            <w:pPr>
              <w:pStyle w:val="CTEtabla-texto"/>
              <w:keepNext/>
              <w:numPr>
                <w:ilvl w:val="0"/>
                <w:numId w:val="6"/>
              </w:numPr>
              <w:rPr>
                <w:rFonts w:cs="Arial"/>
                <w:b/>
                <w:bCs/>
              </w:rPr>
            </w:pPr>
            <w:r>
              <w:rPr>
                <w:b/>
              </w:rPr>
              <w:t>Compactness</w:t>
            </w:r>
          </w:p>
          <w:p w:rsidR="00230F35" w:rsidRPr="00937C8B" w:rsidRDefault="00230F35" w:rsidP="00D27646">
            <w:pPr>
              <w:pStyle w:val="CTEtabla-texto"/>
              <w:keepNext/>
              <w:numPr>
                <w:ilvl w:val="0"/>
                <w:numId w:val="6"/>
              </w:numPr>
              <w:rPr>
                <w:rFonts w:cs="Arial"/>
              </w:rPr>
            </w:pPr>
            <w:r>
              <w:rPr>
                <w:b/>
              </w:rPr>
              <w:t>V/A [m³/m</w:t>
            </w:r>
            <w:r>
              <w:rPr>
                <w:b/>
                <w:vertAlign w:val="superscript"/>
              </w:rPr>
              <w:t>2</w:t>
            </w:r>
            <w:r>
              <w:rPr>
                <w:b/>
              </w:rPr>
              <w:t>]</w:t>
            </w:r>
          </w:p>
        </w:tc>
        <w:tc>
          <w:tcPr>
            <w:tcW w:w="3451" w:type="dxa"/>
            <w:gridSpan w:val="6"/>
            <w:tcBorders>
              <w:top w:val="nil"/>
              <w:left w:val="nil"/>
              <w:bottom w:val="nil"/>
              <w:right w:val="nil"/>
            </w:tcBorders>
            <w:shd w:val="clear" w:color="auto" w:fill="auto"/>
            <w:vAlign w:val="center"/>
          </w:tcPr>
          <w:p w:rsidR="00230F35" w:rsidRPr="00937C8B" w:rsidRDefault="00230F35" w:rsidP="00D27646">
            <w:pPr>
              <w:keepNext/>
              <w:jc w:val="center"/>
              <w:rPr>
                <w:rFonts w:ascii="Arial" w:hAnsi="Arial" w:cs="Arial"/>
              </w:rPr>
            </w:pPr>
            <w:r>
              <w:rPr>
                <w:rFonts w:ascii="Arial" w:hAnsi="Arial"/>
                <w:b/>
                <w:sz w:val="18"/>
              </w:rPr>
              <w:t>Winter climate zone</w:t>
            </w:r>
          </w:p>
        </w:tc>
      </w:tr>
      <w:tr w:rsidR="00230F35" w:rsidRPr="00937C8B" w:rsidTr="00935676">
        <w:trPr>
          <w:jc w:val="center"/>
        </w:trPr>
        <w:tc>
          <w:tcPr>
            <w:tcW w:w="3559" w:type="dxa"/>
            <w:vMerge/>
            <w:tcBorders>
              <w:left w:val="nil"/>
              <w:bottom w:val="single" w:sz="4" w:space="0" w:color="auto"/>
              <w:right w:val="nil"/>
            </w:tcBorders>
            <w:shd w:val="clear" w:color="auto" w:fill="auto"/>
          </w:tcPr>
          <w:p w:rsidR="00230F35" w:rsidRPr="00937C8B" w:rsidRDefault="00230F35" w:rsidP="00D27646">
            <w:pPr>
              <w:pStyle w:val="CTEtabla-texto"/>
              <w:keepNext/>
              <w:rPr>
                <w:rFonts w:cs="Arial"/>
              </w:rPr>
            </w:pPr>
          </w:p>
        </w:tc>
        <w:tc>
          <w:tcPr>
            <w:tcW w:w="1354" w:type="dxa"/>
            <w:vMerge/>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rPr>
            </w:pPr>
          </w:p>
        </w:tc>
        <w:tc>
          <w:tcPr>
            <w:tcW w:w="592" w:type="dxa"/>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b/>
              </w:rPr>
            </w:pPr>
            <w:r>
              <w:rPr>
                <w:b/>
              </w:rPr>
              <w:t>α</w:t>
            </w:r>
          </w:p>
        </w:tc>
        <w:tc>
          <w:tcPr>
            <w:tcW w:w="593" w:type="dxa"/>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b/>
              </w:rPr>
            </w:pPr>
            <w:r>
              <w:rPr>
                <w:b/>
              </w:rPr>
              <w:t>A</w:t>
            </w:r>
          </w:p>
        </w:tc>
        <w:tc>
          <w:tcPr>
            <w:tcW w:w="568" w:type="dxa"/>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b/>
              </w:rPr>
            </w:pPr>
            <w:r>
              <w:rPr>
                <w:b/>
              </w:rPr>
              <w:t>B</w:t>
            </w:r>
          </w:p>
        </w:tc>
        <w:tc>
          <w:tcPr>
            <w:tcW w:w="568" w:type="dxa"/>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b/>
              </w:rPr>
            </w:pPr>
            <w:r>
              <w:rPr>
                <w:b/>
              </w:rPr>
              <w:t>C</w:t>
            </w:r>
          </w:p>
        </w:tc>
        <w:tc>
          <w:tcPr>
            <w:tcW w:w="567" w:type="dxa"/>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b/>
              </w:rPr>
            </w:pPr>
            <w:r>
              <w:rPr>
                <w:b/>
              </w:rPr>
              <w:t>D</w:t>
            </w:r>
          </w:p>
        </w:tc>
        <w:tc>
          <w:tcPr>
            <w:tcW w:w="563" w:type="dxa"/>
            <w:tcBorders>
              <w:top w:val="nil"/>
              <w:left w:val="nil"/>
              <w:bottom w:val="single" w:sz="4" w:space="0" w:color="auto"/>
              <w:right w:val="nil"/>
            </w:tcBorders>
            <w:shd w:val="clear" w:color="auto" w:fill="auto"/>
            <w:vAlign w:val="center"/>
          </w:tcPr>
          <w:p w:rsidR="00230F35" w:rsidRPr="00937C8B" w:rsidRDefault="00230F35" w:rsidP="00D27646">
            <w:pPr>
              <w:pStyle w:val="CTEtabla-texto"/>
              <w:keepNext/>
              <w:rPr>
                <w:rFonts w:cs="Arial"/>
                <w:b/>
              </w:rPr>
            </w:pPr>
            <w:r>
              <w:rPr>
                <w:b/>
              </w:rPr>
              <w:t>E</w:t>
            </w:r>
          </w:p>
        </w:tc>
      </w:tr>
      <w:tr w:rsidR="00230F35" w:rsidRPr="00937C8B" w:rsidTr="00935676">
        <w:trPr>
          <w:jc w:val="center"/>
        </w:trPr>
        <w:tc>
          <w:tcPr>
            <w:tcW w:w="3559" w:type="dxa"/>
            <w:vMerge w:val="restart"/>
            <w:tcBorders>
              <w:top w:val="single" w:sz="4" w:space="0" w:color="auto"/>
              <w:left w:val="nil"/>
              <w:bottom w:val="nil"/>
              <w:right w:val="nil"/>
            </w:tcBorders>
            <w:shd w:val="clear" w:color="auto" w:fill="auto"/>
            <w:vAlign w:val="center"/>
          </w:tcPr>
          <w:p w:rsidR="00230F35" w:rsidRPr="00937C8B" w:rsidRDefault="00230F35" w:rsidP="00425ADA">
            <w:pPr>
              <w:pStyle w:val="CTEtabla-texto"/>
              <w:keepNext/>
              <w:jc w:val="left"/>
              <w:rPr>
                <w:rFonts w:cs="Arial"/>
                <w:b/>
                <w:szCs w:val="18"/>
              </w:rPr>
            </w:pPr>
            <w:r>
              <w:rPr>
                <w:b/>
              </w:rPr>
              <w:t>New buildings</w:t>
            </w:r>
          </w:p>
          <w:p w:rsidR="00230F35" w:rsidRPr="00937C8B" w:rsidRDefault="00230F35" w:rsidP="00425ADA">
            <w:pPr>
              <w:pStyle w:val="CTEtabla-texto"/>
              <w:keepNext/>
              <w:jc w:val="left"/>
              <w:rPr>
                <w:rFonts w:cs="Arial"/>
                <w:b/>
                <w:szCs w:val="18"/>
              </w:rPr>
            </w:pPr>
            <w:r>
              <w:rPr>
                <w:b/>
              </w:rPr>
              <w:t>Extensions</w:t>
            </w:r>
          </w:p>
          <w:p w:rsidR="00230F35" w:rsidRPr="00937C8B" w:rsidRDefault="00230F35" w:rsidP="00425ADA">
            <w:pPr>
              <w:pStyle w:val="CTEtabla-texto"/>
              <w:keepNext/>
              <w:jc w:val="left"/>
              <w:rPr>
                <w:rFonts w:cs="Arial"/>
                <w:b/>
                <w:szCs w:val="18"/>
              </w:rPr>
            </w:pPr>
            <w:r>
              <w:rPr>
                <w:b/>
              </w:rPr>
              <w:t>Changes in use.</w:t>
            </w:r>
          </w:p>
          <w:p w:rsidR="00230F35" w:rsidRPr="00937C8B" w:rsidRDefault="00230F35" w:rsidP="00425ADA">
            <w:pPr>
              <w:pStyle w:val="CTEtabla-texto"/>
              <w:keepNext/>
              <w:jc w:val="both"/>
              <w:rPr>
                <w:rFonts w:cs="Arial"/>
              </w:rPr>
            </w:pPr>
            <w:r>
              <w:rPr>
                <w:b/>
              </w:rPr>
              <w:t xml:space="preserve">Renovations on over 25% of the total area of the final </w:t>
            </w:r>
            <w:r>
              <w:rPr>
                <w:b/>
                <w:i/>
                <w:iCs/>
              </w:rPr>
              <w:t>thermal envelope</w:t>
            </w:r>
            <w:r>
              <w:rPr>
                <w:b/>
              </w:rPr>
              <w:t xml:space="preserve"> of the building</w:t>
            </w:r>
          </w:p>
        </w:tc>
        <w:tc>
          <w:tcPr>
            <w:tcW w:w="1354" w:type="dxa"/>
            <w:tcBorders>
              <w:top w:val="single" w:sz="4" w:space="0" w:color="auto"/>
              <w:left w:val="nil"/>
              <w:bottom w:val="nil"/>
              <w:right w:val="nil"/>
            </w:tcBorders>
            <w:shd w:val="clear" w:color="auto" w:fill="auto"/>
            <w:vAlign w:val="center"/>
          </w:tcPr>
          <w:p w:rsidR="00230F35" w:rsidRPr="00937C8B" w:rsidRDefault="00230F35" w:rsidP="00425ADA">
            <w:pPr>
              <w:pStyle w:val="CTEtabla-texto"/>
              <w:keepNext/>
              <w:rPr>
                <w:rFonts w:cs="Arial"/>
                <w:szCs w:val="18"/>
              </w:rPr>
            </w:pPr>
            <w:r>
              <w:t>V/A ≤ 1</w:t>
            </w:r>
          </w:p>
        </w:tc>
        <w:tc>
          <w:tcPr>
            <w:tcW w:w="592" w:type="dxa"/>
            <w:tcBorders>
              <w:top w:val="single" w:sz="4" w:space="0" w:color="auto"/>
              <w:left w:val="nil"/>
              <w:bottom w:val="nil"/>
              <w:right w:val="nil"/>
            </w:tcBorders>
            <w:shd w:val="clear" w:color="auto" w:fill="FFFFFF"/>
            <w:vAlign w:val="center"/>
          </w:tcPr>
          <w:p w:rsidR="00230F35" w:rsidRPr="00937C8B" w:rsidRDefault="00230F35" w:rsidP="00425ADA">
            <w:pPr>
              <w:pStyle w:val="CTEtabla-texto"/>
              <w:keepNext/>
              <w:rPr>
                <w:rFonts w:cs="Arial"/>
              </w:rPr>
            </w:pPr>
            <w:r>
              <w:t>0.96</w:t>
            </w:r>
          </w:p>
        </w:tc>
        <w:tc>
          <w:tcPr>
            <w:tcW w:w="593" w:type="dxa"/>
            <w:tcBorders>
              <w:top w:val="single" w:sz="4" w:space="0" w:color="auto"/>
              <w:left w:val="nil"/>
              <w:bottom w:val="nil"/>
              <w:right w:val="nil"/>
            </w:tcBorders>
            <w:shd w:val="clear" w:color="auto" w:fill="FFFFFF"/>
            <w:vAlign w:val="center"/>
          </w:tcPr>
          <w:p w:rsidR="00230F35" w:rsidRPr="00937C8B" w:rsidRDefault="00230F35" w:rsidP="00425ADA">
            <w:pPr>
              <w:pStyle w:val="CTEtabla-texto"/>
              <w:keepNext/>
              <w:rPr>
                <w:rFonts w:cs="Arial"/>
              </w:rPr>
            </w:pPr>
            <w:r>
              <w:t>0.81</w:t>
            </w:r>
          </w:p>
        </w:tc>
        <w:tc>
          <w:tcPr>
            <w:tcW w:w="568" w:type="dxa"/>
            <w:tcBorders>
              <w:top w:val="single" w:sz="4" w:space="0" w:color="auto"/>
              <w:left w:val="nil"/>
              <w:bottom w:val="nil"/>
              <w:right w:val="nil"/>
            </w:tcBorders>
            <w:shd w:val="clear" w:color="auto" w:fill="FFFFFF"/>
            <w:vAlign w:val="center"/>
          </w:tcPr>
          <w:p w:rsidR="00230F35" w:rsidRPr="00937C8B" w:rsidRDefault="00230F35" w:rsidP="00425ADA">
            <w:pPr>
              <w:pStyle w:val="CTEtabla-texto"/>
              <w:keepNext/>
              <w:rPr>
                <w:rFonts w:cs="Arial"/>
              </w:rPr>
            </w:pPr>
            <w:r>
              <w:t>0.76</w:t>
            </w:r>
          </w:p>
        </w:tc>
        <w:tc>
          <w:tcPr>
            <w:tcW w:w="568" w:type="dxa"/>
            <w:tcBorders>
              <w:top w:val="single" w:sz="4" w:space="0" w:color="auto"/>
              <w:left w:val="nil"/>
              <w:bottom w:val="nil"/>
              <w:right w:val="nil"/>
            </w:tcBorders>
            <w:shd w:val="clear" w:color="auto" w:fill="FFFFFF"/>
            <w:vAlign w:val="center"/>
          </w:tcPr>
          <w:p w:rsidR="00230F35" w:rsidRPr="00937C8B" w:rsidRDefault="00230F35" w:rsidP="00425ADA">
            <w:pPr>
              <w:pStyle w:val="CTEtabla-texto"/>
              <w:keepNext/>
              <w:rPr>
                <w:rFonts w:cs="Arial"/>
              </w:rPr>
            </w:pPr>
            <w:r>
              <w:t>0.65</w:t>
            </w:r>
          </w:p>
        </w:tc>
        <w:tc>
          <w:tcPr>
            <w:tcW w:w="567" w:type="dxa"/>
            <w:tcBorders>
              <w:top w:val="single" w:sz="4" w:space="0" w:color="auto"/>
              <w:left w:val="nil"/>
              <w:bottom w:val="nil"/>
              <w:right w:val="nil"/>
            </w:tcBorders>
            <w:shd w:val="clear" w:color="auto" w:fill="FFFFFF"/>
            <w:vAlign w:val="center"/>
          </w:tcPr>
          <w:p w:rsidR="00230F35" w:rsidRPr="00937C8B" w:rsidRDefault="00230F35" w:rsidP="00425ADA">
            <w:pPr>
              <w:pStyle w:val="CTEtabla-texto"/>
              <w:keepNext/>
              <w:rPr>
                <w:rFonts w:cs="Arial"/>
              </w:rPr>
            </w:pPr>
            <w:r>
              <w:t>0.54</w:t>
            </w:r>
          </w:p>
        </w:tc>
        <w:tc>
          <w:tcPr>
            <w:tcW w:w="563" w:type="dxa"/>
            <w:tcBorders>
              <w:top w:val="single" w:sz="4" w:space="0" w:color="auto"/>
              <w:left w:val="nil"/>
              <w:bottom w:val="nil"/>
              <w:right w:val="nil"/>
            </w:tcBorders>
            <w:shd w:val="clear" w:color="auto" w:fill="FFFFFF"/>
            <w:vAlign w:val="center"/>
          </w:tcPr>
          <w:p w:rsidR="00230F35" w:rsidRPr="00937C8B" w:rsidRDefault="00230F35" w:rsidP="00425ADA">
            <w:pPr>
              <w:pStyle w:val="CTEtabla-texto"/>
              <w:keepNext/>
              <w:rPr>
                <w:rFonts w:cs="Arial"/>
              </w:rPr>
            </w:pPr>
            <w:r>
              <w:t>0.43</w:t>
            </w:r>
          </w:p>
        </w:tc>
      </w:tr>
      <w:tr w:rsidR="00230F35" w:rsidRPr="00937C8B" w:rsidTr="00935676">
        <w:trPr>
          <w:jc w:val="center"/>
        </w:trPr>
        <w:tc>
          <w:tcPr>
            <w:tcW w:w="3559" w:type="dxa"/>
            <w:vMerge/>
            <w:tcBorders>
              <w:top w:val="nil"/>
              <w:left w:val="nil"/>
              <w:bottom w:val="nil"/>
              <w:right w:val="nil"/>
            </w:tcBorders>
            <w:shd w:val="clear" w:color="auto" w:fill="auto"/>
            <w:vAlign w:val="center"/>
          </w:tcPr>
          <w:p w:rsidR="00230F35" w:rsidRPr="00937C8B" w:rsidRDefault="00230F35" w:rsidP="00425ADA">
            <w:pPr>
              <w:jc w:val="center"/>
              <w:rPr>
                <w:rFonts w:ascii="Arial" w:eastAsia="Arial" w:hAnsi="Arial" w:cs="Arial"/>
                <w:b/>
                <w:sz w:val="18"/>
                <w:lang w:eastAsia="ar-SA"/>
              </w:rPr>
            </w:pPr>
          </w:p>
        </w:tc>
        <w:tc>
          <w:tcPr>
            <w:tcW w:w="1354" w:type="dxa"/>
            <w:tcBorders>
              <w:top w:val="nil"/>
              <w:left w:val="nil"/>
              <w:bottom w:val="nil"/>
              <w:right w:val="nil"/>
            </w:tcBorders>
            <w:shd w:val="clear" w:color="auto" w:fill="auto"/>
            <w:vAlign w:val="center"/>
          </w:tcPr>
          <w:p w:rsidR="00230F35" w:rsidRPr="00937C8B" w:rsidRDefault="00230F35" w:rsidP="00425ADA">
            <w:pPr>
              <w:pStyle w:val="CTEtabla-texto"/>
              <w:keepNext/>
              <w:rPr>
                <w:rFonts w:cs="Arial"/>
                <w:szCs w:val="18"/>
              </w:rPr>
            </w:pPr>
            <w:r>
              <w:t>V/A ≥ 4</w:t>
            </w:r>
          </w:p>
        </w:tc>
        <w:tc>
          <w:tcPr>
            <w:tcW w:w="592" w:type="dxa"/>
            <w:tcBorders>
              <w:top w:val="nil"/>
              <w:left w:val="nil"/>
              <w:bottom w:val="nil"/>
              <w:right w:val="nil"/>
            </w:tcBorders>
            <w:shd w:val="clear" w:color="auto" w:fill="FFFFFF"/>
            <w:vAlign w:val="center"/>
          </w:tcPr>
          <w:p w:rsidR="00230F35" w:rsidRPr="00937C8B" w:rsidRDefault="00230F35" w:rsidP="00425ADA">
            <w:pPr>
              <w:pStyle w:val="CTEtabla-texto"/>
              <w:keepNext/>
              <w:rPr>
                <w:rFonts w:cs="Arial"/>
              </w:rPr>
            </w:pPr>
            <w:r>
              <w:t>1.12</w:t>
            </w:r>
          </w:p>
        </w:tc>
        <w:tc>
          <w:tcPr>
            <w:tcW w:w="593" w:type="dxa"/>
            <w:tcBorders>
              <w:top w:val="nil"/>
              <w:left w:val="nil"/>
              <w:bottom w:val="nil"/>
              <w:right w:val="nil"/>
            </w:tcBorders>
            <w:shd w:val="clear" w:color="auto" w:fill="FFFFFF"/>
            <w:vAlign w:val="center"/>
          </w:tcPr>
          <w:p w:rsidR="00230F35" w:rsidRPr="00937C8B" w:rsidRDefault="00230F35" w:rsidP="00425ADA">
            <w:pPr>
              <w:pStyle w:val="CTEtabla-texto"/>
              <w:keepNext/>
              <w:rPr>
                <w:rFonts w:cs="Arial"/>
              </w:rPr>
            </w:pPr>
            <w:r>
              <w:t>0.98</w:t>
            </w:r>
          </w:p>
        </w:tc>
        <w:tc>
          <w:tcPr>
            <w:tcW w:w="568" w:type="dxa"/>
            <w:tcBorders>
              <w:top w:val="nil"/>
              <w:left w:val="nil"/>
              <w:bottom w:val="nil"/>
              <w:right w:val="nil"/>
            </w:tcBorders>
            <w:shd w:val="clear" w:color="auto" w:fill="FFFFFF"/>
            <w:vAlign w:val="center"/>
          </w:tcPr>
          <w:p w:rsidR="00230F35" w:rsidRPr="00937C8B" w:rsidRDefault="00230F35" w:rsidP="00425ADA">
            <w:pPr>
              <w:pStyle w:val="CTEtabla-texto"/>
              <w:keepNext/>
              <w:rPr>
                <w:rFonts w:cs="Arial"/>
              </w:rPr>
            </w:pPr>
            <w:r>
              <w:t>0.92</w:t>
            </w:r>
          </w:p>
        </w:tc>
        <w:tc>
          <w:tcPr>
            <w:tcW w:w="568" w:type="dxa"/>
            <w:tcBorders>
              <w:top w:val="nil"/>
              <w:left w:val="nil"/>
              <w:bottom w:val="nil"/>
              <w:right w:val="nil"/>
            </w:tcBorders>
            <w:shd w:val="clear" w:color="auto" w:fill="FFFFFF"/>
            <w:vAlign w:val="center"/>
          </w:tcPr>
          <w:p w:rsidR="00230F35" w:rsidRPr="00937C8B" w:rsidRDefault="00230F35" w:rsidP="00425ADA">
            <w:pPr>
              <w:pStyle w:val="CTEtabla-texto"/>
              <w:keepNext/>
              <w:rPr>
                <w:rFonts w:cs="Arial"/>
              </w:rPr>
            </w:pPr>
            <w:r>
              <w:t>0.82</w:t>
            </w:r>
          </w:p>
        </w:tc>
        <w:tc>
          <w:tcPr>
            <w:tcW w:w="567" w:type="dxa"/>
            <w:tcBorders>
              <w:top w:val="nil"/>
              <w:left w:val="nil"/>
              <w:bottom w:val="nil"/>
              <w:right w:val="nil"/>
            </w:tcBorders>
            <w:shd w:val="clear" w:color="auto" w:fill="FFFFFF"/>
            <w:vAlign w:val="center"/>
          </w:tcPr>
          <w:p w:rsidR="00230F35" w:rsidRPr="00937C8B" w:rsidRDefault="00230F35" w:rsidP="00425ADA">
            <w:pPr>
              <w:pStyle w:val="CTEtabla-texto"/>
              <w:keepNext/>
              <w:rPr>
                <w:rFonts w:cs="Arial"/>
              </w:rPr>
            </w:pPr>
            <w:r>
              <w:t>0.70</w:t>
            </w:r>
          </w:p>
        </w:tc>
        <w:tc>
          <w:tcPr>
            <w:tcW w:w="563" w:type="dxa"/>
            <w:tcBorders>
              <w:top w:val="nil"/>
              <w:left w:val="nil"/>
              <w:bottom w:val="nil"/>
              <w:right w:val="nil"/>
            </w:tcBorders>
            <w:shd w:val="clear" w:color="auto" w:fill="FFFFFF"/>
            <w:vAlign w:val="center"/>
          </w:tcPr>
          <w:p w:rsidR="00230F35" w:rsidRPr="00937C8B" w:rsidRDefault="00230F35" w:rsidP="00425ADA">
            <w:pPr>
              <w:pStyle w:val="CTEtabla-texto"/>
              <w:keepNext/>
              <w:rPr>
                <w:rFonts w:cs="Arial"/>
              </w:rPr>
            </w:pPr>
            <w:r>
              <w:t>0.59</w:t>
            </w:r>
          </w:p>
        </w:tc>
      </w:tr>
      <w:tr w:rsidR="00230F35" w:rsidRPr="00937C8B" w:rsidTr="00935676">
        <w:trPr>
          <w:jc w:val="center"/>
        </w:trPr>
        <w:tc>
          <w:tcPr>
            <w:tcW w:w="8364" w:type="dxa"/>
            <w:gridSpan w:val="8"/>
            <w:tcBorders>
              <w:top w:val="nil"/>
              <w:left w:val="nil"/>
              <w:bottom w:val="nil"/>
              <w:right w:val="nil"/>
            </w:tcBorders>
            <w:shd w:val="clear" w:color="auto" w:fill="auto"/>
          </w:tcPr>
          <w:p w:rsidR="00230F35" w:rsidRPr="00937C8B" w:rsidRDefault="00230F35" w:rsidP="00425ADA">
            <w:pPr>
              <w:pStyle w:val="CTETabla-nota"/>
              <w:ind w:left="0" w:firstLine="0"/>
            </w:pPr>
            <w:r>
              <w:t>The limit values for intermediate compactness (1&lt;V/A&lt;4) are obtained by interpolation.</w:t>
            </w:r>
          </w:p>
          <w:p w:rsidR="00230F35" w:rsidRPr="00937C8B" w:rsidRDefault="00230F35" w:rsidP="00425ADA">
            <w:pPr>
              <w:pStyle w:val="CTETabla-nota"/>
              <w:ind w:left="0" w:firstLine="0"/>
            </w:pPr>
            <w:r>
              <w:t>For extensions, the limit values shall only be applied if the area or built volume increases by over 10%.</w:t>
            </w:r>
          </w:p>
          <w:p w:rsidR="00230F35" w:rsidRPr="00937C8B" w:rsidRDefault="00230F35" w:rsidP="00425ADA">
            <w:pPr>
              <w:pStyle w:val="CTETabla-nota"/>
              <w:ind w:left="0" w:firstLine="0"/>
            </w:pPr>
            <w:r>
              <w:rPr>
                <w:i/>
              </w:rPr>
              <w:t>Usage units</w:t>
            </w:r>
            <w:r>
              <w:t xml:space="preserve"> with commercial activities whose compactness V/A is greater than 5 are exempt from meeting the values in this table.</w:t>
            </w:r>
          </w:p>
        </w:tc>
      </w:tr>
    </w:tbl>
    <w:p w:rsidR="00230F35" w:rsidRPr="00937C8B" w:rsidRDefault="00230F35" w:rsidP="00230F35">
      <w:pPr>
        <w:pStyle w:val="CTENumeracion"/>
        <w:spacing w:before="0" w:after="0"/>
        <w:rPr>
          <w:rFonts w:cs="Arial"/>
          <w:sz w:val="18"/>
          <w:szCs w:val="18"/>
        </w:rPr>
      </w:pPr>
    </w:p>
    <w:p w:rsidR="00230F35" w:rsidRPr="00937C8B" w:rsidRDefault="00230F35" w:rsidP="00230F35">
      <w:pPr>
        <w:pStyle w:val="CTENumeracion"/>
        <w:spacing w:before="120"/>
        <w:rPr>
          <w:rFonts w:cs="Arial"/>
          <w:sz w:val="22"/>
          <w:szCs w:val="22"/>
        </w:rPr>
      </w:pPr>
      <w:r>
        <w:rPr>
          <w:sz w:val="22"/>
        </w:rPr>
        <w:t>5.</w:t>
      </w:r>
      <w:r>
        <w:rPr>
          <w:sz w:val="22"/>
        </w:rPr>
        <w:tab/>
        <w:t xml:space="preserve">Elements with construction solutions designed to reduce energy demand, such as </w:t>
      </w:r>
      <w:r>
        <w:rPr>
          <w:i/>
          <w:iCs/>
          <w:sz w:val="22"/>
        </w:rPr>
        <w:t>lean-to greenhouses</w:t>
      </w:r>
      <w:r>
        <w:rPr>
          <w:sz w:val="22"/>
        </w:rPr>
        <w:t xml:space="preserve">, </w:t>
      </w:r>
      <w:r>
        <w:rPr>
          <w:i/>
          <w:iCs/>
          <w:sz w:val="22"/>
        </w:rPr>
        <w:t>parietodynamic walls</w:t>
      </w:r>
      <w:r>
        <w:rPr>
          <w:sz w:val="22"/>
        </w:rPr>
        <w:t xml:space="preserve">, </w:t>
      </w:r>
      <w:r>
        <w:rPr>
          <w:i/>
          <w:iCs/>
          <w:sz w:val="22"/>
        </w:rPr>
        <w:t>Trombe walls</w:t>
      </w:r>
      <w:r>
        <w:rPr>
          <w:sz w:val="22"/>
        </w:rPr>
        <w:t xml:space="preserve">, etc., whose thermal behaviour or performance is not adequately described by </w:t>
      </w:r>
      <w:r>
        <w:rPr>
          <w:i/>
          <w:iCs/>
          <w:sz w:val="22"/>
        </w:rPr>
        <w:t>thermal transmittance</w:t>
      </w:r>
      <w:r>
        <w:rPr>
          <w:sz w:val="22"/>
        </w:rPr>
        <w:t xml:space="preserve">, are excluded from verifications related to </w:t>
      </w:r>
      <w:r>
        <w:rPr>
          <w:i/>
          <w:iCs/>
          <w:sz w:val="22"/>
        </w:rPr>
        <w:t>thermal transmittance</w:t>
      </w:r>
      <w:r>
        <w:rPr>
          <w:sz w:val="22"/>
        </w:rPr>
        <w:t xml:space="preserve"> (U) and are not counted for the </w:t>
      </w:r>
      <w:r>
        <w:rPr>
          <w:i/>
          <w:iCs/>
          <w:sz w:val="22"/>
        </w:rPr>
        <w:t>total heat transfer coefficient</w:t>
      </w:r>
      <w:r>
        <w:rPr>
          <w:sz w:val="22"/>
        </w:rPr>
        <w:t xml:space="preserve"> (K), defined in this subsection.</w:t>
      </w:r>
    </w:p>
    <w:p w:rsidR="00230F35" w:rsidRPr="00786EBA" w:rsidRDefault="00230F35" w:rsidP="00786EBA">
      <w:pPr>
        <w:spacing w:before="240" w:after="120"/>
        <w:rPr>
          <w:rFonts w:ascii="Arial" w:hAnsi="Arial" w:cs="Arial"/>
        </w:rPr>
      </w:pPr>
      <w:bookmarkStart w:id="126" w:name="Sección_HE1_Cuantificacion_ControlSolar"/>
      <w:bookmarkStart w:id="127" w:name="_Toc530395254"/>
      <w:bookmarkStart w:id="128" w:name="_Toc530396133"/>
      <w:bookmarkStart w:id="129" w:name="_Toc39157925"/>
      <w:bookmarkEnd w:id="126"/>
      <w:r>
        <w:rPr>
          <w:rFonts w:ascii="Arial" w:hAnsi="Arial"/>
        </w:rPr>
        <w:t>3.1.2</w:t>
      </w:r>
      <w:r>
        <w:rPr>
          <w:rFonts w:ascii="Arial" w:hAnsi="Arial"/>
        </w:rPr>
        <w:tab/>
        <w:t xml:space="preserve">Solar control of the </w:t>
      </w:r>
      <w:r>
        <w:rPr>
          <w:rFonts w:ascii="Arial" w:hAnsi="Arial"/>
          <w:i/>
        </w:rPr>
        <w:t>thermal envelope</w:t>
      </w:r>
      <w:bookmarkEnd w:id="127"/>
      <w:bookmarkEnd w:id="128"/>
      <w:bookmarkEnd w:id="129"/>
    </w:p>
    <w:p w:rsidR="00230F35" w:rsidRPr="00937C8B" w:rsidRDefault="00230F35" w:rsidP="00D27646">
      <w:pPr>
        <w:pStyle w:val="CTENumeracion"/>
        <w:keepNext/>
        <w:spacing w:before="120"/>
        <w:rPr>
          <w:rFonts w:cs="Arial"/>
          <w:sz w:val="22"/>
          <w:szCs w:val="22"/>
        </w:rPr>
      </w:pPr>
      <w:r>
        <w:rPr>
          <w:sz w:val="22"/>
        </w:rPr>
        <w:t>1.</w:t>
      </w:r>
      <w:r>
        <w:rPr>
          <w:sz w:val="22"/>
        </w:rPr>
        <w:tab/>
        <w:t xml:space="preserve">For new buildings and extensions, changes in use or renovations of over 25% of the total area of the final </w:t>
      </w:r>
      <w:r>
        <w:rPr>
          <w:i/>
          <w:sz w:val="22"/>
        </w:rPr>
        <w:t>thermal envelope</w:t>
      </w:r>
      <w:r>
        <w:rPr>
          <w:sz w:val="22"/>
        </w:rPr>
        <w:t xml:space="preserve"> of the building, the </w:t>
      </w:r>
      <w:r>
        <w:rPr>
          <w:i/>
          <w:sz w:val="22"/>
        </w:rPr>
        <w:t>solar</w:t>
      </w:r>
      <w:r>
        <w:rPr>
          <w:sz w:val="22"/>
        </w:rPr>
        <w:t xml:space="preserve"> </w:t>
      </w:r>
      <w:r>
        <w:rPr>
          <w:i/>
          <w:sz w:val="22"/>
        </w:rPr>
        <w:t xml:space="preserve">control </w:t>
      </w:r>
      <w:r>
        <w:rPr>
          <w:sz w:val="22"/>
        </w:rPr>
        <w:t>parameter (q</w:t>
      </w:r>
      <w:r>
        <w:rPr>
          <w:sz w:val="22"/>
          <w:vertAlign w:val="subscript"/>
        </w:rPr>
        <w:t>sol;jul</w:t>
      </w:r>
      <w:r>
        <w:rPr>
          <w:sz w:val="22"/>
        </w:rPr>
        <w:t>) shall not exceed the limit value in Table 3.1.2-HE1:</w:t>
      </w:r>
    </w:p>
    <w:p w:rsidR="00230F35" w:rsidRPr="00937C8B" w:rsidRDefault="00230F35" w:rsidP="00D27646">
      <w:pPr>
        <w:pStyle w:val="CTEtabla-Titulo"/>
      </w:pPr>
      <w:r>
        <w:t>Table 3.1.2-HE1 Limit value of solar control parameter, qsol;jul,lim [kWh/m²·month]</w:t>
      </w:r>
    </w:p>
    <w:tbl>
      <w:tblPr>
        <w:tblW w:w="5100" w:type="dxa"/>
        <w:jc w:val="center"/>
        <w:tblBorders>
          <w:insideH w:val="single" w:sz="2" w:space="0" w:color="000000"/>
          <w:insideV w:val="single" w:sz="2" w:space="0" w:color="000000"/>
        </w:tblBorders>
        <w:tblCellMar>
          <w:top w:w="55" w:type="dxa"/>
          <w:left w:w="50" w:type="dxa"/>
          <w:bottom w:w="55" w:type="dxa"/>
          <w:right w:w="55" w:type="dxa"/>
        </w:tblCellMar>
        <w:tblLook w:val="04A0" w:firstRow="1" w:lastRow="0" w:firstColumn="1" w:lastColumn="0" w:noHBand="0" w:noVBand="1"/>
      </w:tblPr>
      <w:tblGrid>
        <w:gridCol w:w="2549"/>
        <w:gridCol w:w="2551"/>
      </w:tblGrid>
      <w:tr w:rsidR="00230F35" w:rsidRPr="00937C8B" w:rsidTr="00935676">
        <w:trPr>
          <w:cantSplit/>
          <w:jc w:val="center"/>
        </w:trPr>
        <w:tc>
          <w:tcPr>
            <w:tcW w:w="2549" w:type="dxa"/>
            <w:tcBorders>
              <w:bottom w:val="single" w:sz="2" w:space="0" w:color="000000"/>
            </w:tcBorders>
            <w:shd w:val="clear" w:color="auto" w:fill="FFFFFF"/>
            <w:vAlign w:val="center"/>
          </w:tcPr>
          <w:p w:rsidR="00230F35" w:rsidRPr="00937C8B" w:rsidRDefault="00230F35" w:rsidP="00D27646">
            <w:pPr>
              <w:pStyle w:val="CTEtabla-texto"/>
              <w:keepNext/>
              <w:rPr>
                <w:rFonts w:cs="Arial"/>
                <w:b/>
                <w:bCs/>
              </w:rPr>
            </w:pPr>
            <w:r>
              <w:rPr>
                <w:b/>
              </w:rPr>
              <w:t>Use</w:t>
            </w:r>
          </w:p>
        </w:tc>
        <w:tc>
          <w:tcPr>
            <w:tcW w:w="2551" w:type="dxa"/>
            <w:tcBorders>
              <w:bottom w:val="single" w:sz="2" w:space="0" w:color="000000"/>
            </w:tcBorders>
            <w:shd w:val="clear" w:color="auto" w:fill="FFFFFF"/>
            <w:vAlign w:val="center"/>
          </w:tcPr>
          <w:p w:rsidR="00230F35" w:rsidRPr="00937C8B" w:rsidRDefault="00230F35" w:rsidP="00D27646">
            <w:pPr>
              <w:pStyle w:val="CTEtabla-Titulo"/>
              <w:spacing w:before="0" w:after="0"/>
              <w:rPr>
                <w:bCs/>
              </w:rPr>
            </w:pPr>
            <w:r>
              <w:t>q</w:t>
            </w:r>
            <w:r>
              <w:rPr>
                <w:vertAlign w:val="subscript"/>
              </w:rPr>
              <w:t>sol;jul</w:t>
            </w:r>
          </w:p>
        </w:tc>
      </w:tr>
      <w:tr w:rsidR="00230F35" w:rsidRPr="00937C8B" w:rsidTr="00935676">
        <w:trPr>
          <w:cantSplit/>
          <w:jc w:val="center"/>
        </w:trPr>
        <w:tc>
          <w:tcPr>
            <w:tcW w:w="2549" w:type="dxa"/>
            <w:tcBorders>
              <w:top w:val="single" w:sz="2" w:space="0" w:color="000000"/>
              <w:bottom w:val="nil"/>
            </w:tcBorders>
            <w:shd w:val="clear" w:color="auto" w:fill="FFFFFF"/>
            <w:vAlign w:val="center"/>
          </w:tcPr>
          <w:p w:rsidR="00230F35" w:rsidRPr="00937C8B" w:rsidRDefault="00230F35" w:rsidP="003E38D0">
            <w:pPr>
              <w:pStyle w:val="CTEtabla-texto"/>
              <w:keepNext/>
              <w:rPr>
                <w:rFonts w:cs="Arial"/>
              </w:rPr>
            </w:pPr>
            <w:r>
              <w:t>Private residence</w:t>
            </w:r>
          </w:p>
        </w:tc>
        <w:tc>
          <w:tcPr>
            <w:tcW w:w="2551" w:type="dxa"/>
            <w:tcBorders>
              <w:top w:val="single" w:sz="2" w:space="0" w:color="000000"/>
              <w:bottom w:val="nil"/>
            </w:tcBorders>
            <w:shd w:val="clear" w:color="auto" w:fill="FFFFFF"/>
            <w:vAlign w:val="center"/>
          </w:tcPr>
          <w:p w:rsidR="00230F35" w:rsidRPr="00937C8B" w:rsidRDefault="00230F35" w:rsidP="003E38D0">
            <w:pPr>
              <w:pStyle w:val="CTEtabla-texto"/>
              <w:keepNext/>
              <w:rPr>
                <w:rFonts w:cs="Arial"/>
              </w:rPr>
            </w:pPr>
            <w:r>
              <w:t>2.00</w:t>
            </w:r>
          </w:p>
        </w:tc>
      </w:tr>
      <w:tr w:rsidR="00230F35" w:rsidRPr="00937C8B" w:rsidTr="00935676">
        <w:trPr>
          <w:cantSplit/>
          <w:jc w:val="center"/>
        </w:trPr>
        <w:tc>
          <w:tcPr>
            <w:tcW w:w="2549" w:type="dxa"/>
            <w:tcBorders>
              <w:top w:val="nil"/>
              <w:bottom w:val="nil"/>
            </w:tcBorders>
            <w:shd w:val="clear" w:color="auto" w:fill="FFFFFF"/>
            <w:vAlign w:val="center"/>
          </w:tcPr>
          <w:p w:rsidR="00230F35" w:rsidRPr="00937C8B" w:rsidRDefault="00230F35" w:rsidP="003E38D0">
            <w:pPr>
              <w:pStyle w:val="CTEtabla-texto"/>
              <w:keepNext/>
              <w:rPr>
                <w:rFonts w:cs="Arial"/>
              </w:rPr>
            </w:pPr>
            <w:r>
              <w:t>Other uses</w:t>
            </w:r>
          </w:p>
        </w:tc>
        <w:tc>
          <w:tcPr>
            <w:tcW w:w="2551" w:type="dxa"/>
            <w:tcBorders>
              <w:top w:val="nil"/>
              <w:bottom w:val="nil"/>
            </w:tcBorders>
            <w:shd w:val="clear" w:color="auto" w:fill="FFFFFF"/>
            <w:vAlign w:val="center"/>
          </w:tcPr>
          <w:p w:rsidR="00230F35" w:rsidRPr="00937C8B" w:rsidRDefault="00230F35" w:rsidP="003E38D0">
            <w:pPr>
              <w:pStyle w:val="CTEtabla-texto"/>
              <w:keepNext/>
              <w:rPr>
                <w:rFonts w:cs="Arial"/>
              </w:rPr>
            </w:pPr>
            <w:r>
              <w:t>4.00</w:t>
            </w:r>
          </w:p>
        </w:tc>
      </w:tr>
    </w:tbl>
    <w:p w:rsidR="00230F35" w:rsidRPr="00786EBA" w:rsidRDefault="00230F35" w:rsidP="00786EBA">
      <w:pPr>
        <w:spacing w:before="240" w:after="120"/>
        <w:rPr>
          <w:rFonts w:ascii="Arial" w:hAnsi="Arial" w:cs="Arial"/>
        </w:rPr>
      </w:pPr>
      <w:bookmarkStart w:id="130" w:name="Sección_HE1_Cuantificacion_Permeab"/>
      <w:bookmarkStart w:id="131" w:name="_Toc530395255"/>
      <w:bookmarkStart w:id="132" w:name="_Toc530396134"/>
      <w:bookmarkStart w:id="133" w:name="_Toc39157926"/>
      <w:bookmarkEnd w:id="130"/>
      <w:r>
        <w:rPr>
          <w:rFonts w:ascii="Arial" w:hAnsi="Arial"/>
        </w:rPr>
        <w:t>3.1.3</w:t>
      </w:r>
      <w:r>
        <w:rPr>
          <w:rFonts w:ascii="Arial" w:hAnsi="Arial"/>
        </w:rPr>
        <w:tab/>
        <w:t>Air permeability of the thermal envelope</w:t>
      </w:r>
      <w:bookmarkEnd w:id="131"/>
      <w:bookmarkEnd w:id="132"/>
      <w:bookmarkEnd w:id="133"/>
    </w:p>
    <w:p w:rsidR="00230F35" w:rsidRPr="00937C8B" w:rsidRDefault="00230F35" w:rsidP="00230F35">
      <w:pPr>
        <w:pStyle w:val="CTENumeracion"/>
        <w:keepLines/>
        <w:spacing w:before="120"/>
        <w:rPr>
          <w:rFonts w:cs="Arial"/>
          <w:sz w:val="22"/>
          <w:szCs w:val="22"/>
        </w:rPr>
      </w:pPr>
      <w:r>
        <w:rPr>
          <w:sz w:val="22"/>
        </w:rPr>
        <w:t>1.</w:t>
      </w:r>
      <w:r>
        <w:rPr>
          <w:sz w:val="22"/>
        </w:rPr>
        <w:tab/>
        <w:t xml:space="preserve">The construction solutions and execution conditions of the elements of the </w:t>
      </w:r>
      <w:r>
        <w:rPr>
          <w:i/>
          <w:sz w:val="22"/>
        </w:rPr>
        <w:t>thermal envelope</w:t>
      </w:r>
      <w:r>
        <w:rPr>
          <w:sz w:val="22"/>
        </w:rPr>
        <w:t xml:space="preserve"> shall ensure a proper seal. In particular, special care shall be taken between </w:t>
      </w:r>
      <w:r>
        <w:rPr>
          <w:i/>
          <w:sz w:val="22"/>
        </w:rPr>
        <w:t>openings</w:t>
      </w:r>
      <w:r>
        <w:rPr>
          <w:sz w:val="22"/>
        </w:rPr>
        <w:t xml:space="preserve"> and opaque elements, penetrations in the </w:t>
      </w:r>
      <w:r>
        <w:rPr>
          <w:i/>
          <w:sz w:val="22"/>
        </w:rPr>
        <w:t xml:space="preserve">thermal envelope </w:t>
      </w:r>
      <w:r>
        <w:rPr>
          <w:sz w:val="22"/>
        </w:rPr>
        <w:t>and doors to unconditioned spaces.</w:t>
      </w:r>
    </w:p>
    <w:p w:rsidR="00230F35" w:rsidRPr="00937C8B" w:rsidRDefault="00230F35" w:rsidP="00D27646">
      <w:pPr>
        <w:pStyle w:val="CTENumeracion"/>
        <w:keepNext/>
        <w:keepLines/>
        <w:spacing w:before="120"/>
        <w:rPr>
          <w:rFonts w:cs="Arial"/>
          <w:sz w:val="22"/>
          <w:szCs w:val="22"/>
        </w:rPr>
      </w:pPr>
      <w:r>
        <w:rPr>
          <w:sz w:val="22"/>
        </w:rPr>
        <w:lastRenderedPageBreak/>
        <w:t>2.</w:t>
      </w:r>
      <w:r>
        <w:rPr>
          <w:sz w:val="22"/>
        </w:rPr>
        <w:tab/>
        <w:t xml:space="preserve">The </w:t>
      </w:r>
      <w:r>
        <w:rPr>
          <w:i/>
          <w:sz w:val="22"/>
        </w:rPr>
        <w:t>air permeability</w:t>
      </w:r>
      <w:r>
        <w:rPr>
          <w:sz w:val="22"/>
        </w:rPr>
        <w:t xml:space="preserve"> (Q</w:t>
      </w:r>
      <w:r>
        <w:rPr>
          <w:sz w:val="22"/>
          <w:vertAlign w:val="subscript"/>
        </w:rPr>
        <w:t>100</w:t>
      </w:r>
      <w:r>
        <w:rPr>
          <w:sz w:val="22"/>
        </w:rPr>
        <w:t xml:space="preserve">) of the </w:t>
      </w:r>
      <w:r>
        <w:rPr>
          <w:i/>
          <w:sz w:val="22"/>
        </w:rPr>
        <w:t>openings</w:t>
      </w:r>
      <w:r>
        <w:rPr>
          <w:sz w:val="22"/>
        </w:rPr>
        <w:t xml:space="preserve"> in the </w:t>
      </w:r>
      <w:r>
        <w:rPr>
          <w:i/>
          <w:sz w:val="22"/>
        </w:rPr>
        <w:t>thermal envelope</w:t>
      </w:r>
      <w:r>
        <w:rPr>
          <w:sz w:val="22"/>
        </w:rPr>
        <w:t xml:space="preserve"> shall not exceed the limit value in Table 3.1.3.a-HE1:</w:t>
      </w:r>
    </w:p>
    <w:p w:rsidR="00230F35" w:rsidRPr="00937C8B" w:rsidRDefault="00230F35" w:rsidP="00D27646">
      <w:pPr>
        <w:pStyle w:val="CTEtabla-Titulo"/>
        <w:keepLines/>
        <w:spacing w:before="240" w:after="0"/>
        <w:ind w:left="993" w:right="1134" w:firstLine="283"/>
        <w:jc w:val="both"/>
      </w:pPr>
      <w:r>
        <w:t xml:space="preserve">Table 3.1.3.a-HE1 Limit value of </w:t>
      </w:r>
      <w:r>
        <w:rPr>
          <w:i/>
        </w:rPr>
        <w:t>air permeability</w:t>
      </w:r>
      <w:r>
        <w:t xml:space="preserve"> of </w:t>
      </w:r>
      <w:r>
        <w:rPr>
          <w:i/>
        </w:rPr>
        <w:t>openings</w:t>
      </w:r>
      <w:r>
        <w:t xml:space="preserve"> in the </w:t>
      </w:r>
      <w:r>
        <w:rPr>
          <w:i/>
          <w:iCs/>
        </w:rPr>
        <w:t>thermal envelope</w:t>
      </w:r>
      <w:r>
        <w:t xml:space="preserve">, </w:t>
      </w:r>
    </w:p>
    <w:p w:rsidR="00230F35" w:rsidRPr="00937C8B" w:rsidRDefault="00230F35" w:rsidP="00D27646">
      <w:pPr>
        <w:pStyle w:val="CTEtabla-Titulo"/>
        <w:keepLines/>
        <w:spacing w:before="0" w:after="120"/>
        <w:ind w:left="1134" w:right="1134"/>
      </w:pPr>
      <w:r>
        <w:t>Q</w:t>
      </w:r>
      <w:r>
        <w:rPr>
          <w:vertAlign w:val="subscript"/>
        </w:rPr>
        <w:t>100,lim</w:t>
      </w:r>
      <w:r>
        <w:t xml:space="preserve"> [m</w:t>
      </w:r>
      <w:r>
        <w:rPr>
          <w:vertAlign w:val="superscript"/>
        </w:rPr>
        <w:t>3</w:t>
      </w:r>
      <w:r>
        <w:t>/h·m</w:t>
      </w:r>
      <w:r>
        <w:rPr>
          <w:vertAlign w:val="superscript"/>
        </w:rPr>
        <w:t>2</w:t>
      </w:r>
      <w:r>
        <w:t>]</w:t>
      </w:r>
    </w:p>
    <w:tbl>
      <w:tblPr>
        <w:tblW w:w="7345" w:type="dxa"/>
        <w:jc w:val="center"/>
        <w:tblBorders>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3945"/>
        <w:gridCol w:w="568"/>
        <w:gridCol w:w="565"/>
        <w:gridCol w:w="566"/>
        <w:gridCol w:w="567"/>
        <w:gridCol w:w="565"/>
        <w:gridCol w:w="569"/>
      </w:tblGrid>
      <w:tr w:rsidR="00230F35" w:rsidRPr="00937C8B" w:rsidTr="00935676">
        <w:trPr>
          <w:jc w:val="center"/>
        </w:trPr>
        <w:tc>
          <w:tcPr>
            <w:tcW w:w="3944" w:type="dxa"/>
            <w:vMerge w:val="restart"/>
            <w:tcBorders>
              <w:bottom w:val="single" w:sz="2" w:space="0" w:color="000000"/>
              <w:right w:val="single" w:sz="2" w:space="0" w:color="000000"/>
            </w:tcBorders>
            <w:shd w:val="clear" w:color="auto" w:fill="FFFFFF"/>
            <w:vAlign w:val="center"/>
          </w:tcPr>
          <w:p w:rsidR="00230F35" w:rsidRPr="00937C8B" w:rsidRDefault="00230F35" w:rsidP="00D27646">
            <w:pPr>
              <w:pStyle w:val="CTEtabla-texto"/>
              <w:keepNext/>
              <w:keepLines/>
              <w:jc w:val="left"/>
              <w:rPr>
                <w:rFonts w:cs="Arial"/>
                <w:b/>
              </w:rPr>
            </w:pPr>
          </w:p>
        </w:tc>
        <w:tc>
          <w:tcPr>
            <w:tcW w:w="3400" w:type="dxa"/>
            <w:gridSpan w:val="6"/>
            <w:tcBorders>
              <w:top w:val="nil"/>
              <w:left w:val="single" w:sz="2" w:space="0" w:color="000000"/>
              <w:bottom w:val="nil"/>
              <w:right w:val="nil"/>
            </w:tcBorders>
            <w:shd w:val="clear" w:color="auto" w:fill="FFFFFF"/>
            <w:vAlign w:val="center"/>
          </w:tcPr>
          <w:p w:rsidR="00230F35" w:rsidRPr="00937C8B" w:rsidRDefault="00230F35" w:rsidP="00D27646">
            <w:pPr>
              <w:pStyle w:val="CTEtabla-texto"/>
              <w:keepNext/>
              <w:keepLines/>
              <w:rPr>
                <w:rFonts w:cs="Arial"/>
                <w:b/>
              </w:rPr>
            </w:pPr>
            <w:r>
              <w:rPr>
                <w:b/>
              </w:rPr>
              <w:t>Winter climate zone</w:t>
            </w:r>
          </w:p>
        </w:tc>
      </w:tr>
      <w:tr w:rsidR="00230F35" w:rsidRPr="00937C8B" w:rsidTr="00935676">
        <w:trPr>
          <w:jc w:val="center"/>
        </w:trPr>
        <w:tc>
          <w:tcPr>
            <w:tcW w:w="3944" w:type="dxa"/>
            <w:vMerge/>
            <w:tcBorders>
              <w:top w:val="single" w:sz="2" w:space="0" w:color="000000"/>
              <w:bottom w:val="single" w:sz="2" w:space="0" w:color="000000"/>
              <w:right w:val="single" w:sz="2" w:space="0" w:color="000000"/>
            </w:tcBorders>
            <w:shd w:val="clear" w:color="auto" w:fill="FFFFFF"/>
            <w:vAlign w:val="center"/>
          </w:tcPr>
          <w:p w:rsidR="00230F35" w:rsidRPr="00937C8B" w:rsidRDefault="00230F35" w:rsidP="00D27646">
            <w:pPr>
              <w:keepNext/>
              <w:rPr>
                <w:rFonts w:ascii="Arial" w:hAnsi="Arial" w:cs="Arial"/>
              </w:rPr>
            </w:pPr>
          </w:p>
        </w:tc>
        <w:tc>
          <w:tcPr>
            <w:tcW w:w="568" w:type="dxa"/>
            <w:tcBorders>
              <w:top w:val="nil"/>
              <w:left w:val="single" w:sz="2" w:space="0" w:color="000000"/>
              <w:bottom w:val="single" w:sz="2" w:space="0" w:color="000000"/>
              <w:right w:val="nil"/>
            </w:tcBorders>
            <w:shd w:val="clear" w:color="auto" w:fill="FFFFFF"/>
            <w:vAlign w:val="center"/>
          </w:tcPr>
          <w:p w:rsidR="00230F35" w:rsidRPr="00937C8B" w:rsidRDefault="00E34788" w:rsidP="00D27646">
            <w:pPr>
              <w:pStyle w:val="CTEtabla-texto"/>
              <w:keepNext/>
              <w:keepLines/>
              <w:rPr>
                <w:rFonts w:cs="Arial"/>
                <w:b/>
              </w:rPr>
            </w:pPr>
            <w:r>
              <w:rPr>
                <w:b/>
              </w:rPr>
              <w:t>α</w:t>
            </w:r>
          </w:p>
        </w:tc>
        <w:tc>
          <w:tcPr>
            <w:tcW w:w="565" w:type="dxa"/>
            <w:tcBorders>
              <w:top w:val="nil"/>
              <w:left w:val="nil"/>
              <w:bottom w:val="single" w:sz="2" w:space="0" w:color="000000"/>
              <w:right w:val="nil"/>
            </w:tcBorders>
            <w:shd w:val="clear" w:color="auto" w:fill="FFFFFF"/>
            <w:vAlign w:val="center"/>
          </w:tcPr>
          <w:p w:rsidR="00230F35" w:rsidRPr="00937C8B" w:rsidRDefault="00230F35" w:rsidP="00D27646">
            <w:pPr>
              <w:pStyle w:val="CTEtabla-texto"/>
              <w:keepNext/>
              <w:keepLines/>
              <w:rPr>
                <w:rFonts w:cs="Arial"/>
                <w:b/>
              </w:rPr>
            </w:pPr>
            <w:r>
              <w:rPr>
                <w:b/>
              </w:rPr>
              <w:t>A</w:t>
            </w:r>
          </w:p>
        </w:tc>
        <w:tc>
          <w:tcPr>
            <w:tcW w:w="566" w:type="dxa"/>
            <w:tcBorders>
              <w:top w:val="nil"/>
              <w:left w:val="nil"/>
              <w:bottom w:val="single" w:sz="2" w:space="0" w:color="000000"/>
              <w:right w:val="nil"/>
            </w:tcBorders>
            <w:shd w:val="clear" w:color="auto" w:fill="FFFFFF"/>
            <w:vAlign w:val="center"/>
          </w:tcPr>
          <w:p w:rsidR="00230F35" w:rsidRPr="00937C8B" w:rsidRDefault="00230F35" w:rsidP="00D27646">
            <w:pPr>
              <w:pStyle w:val="CTEtabla-texto"/>
              <w:keepNext/>
              <w:keepLines/>
              <w:rPr>
                <w:rFonts w:cs="Arial"/>
                <w:b/>
              </w:rPr>
            </w:pPr>
            <w:r>
              <w:rPr>
                <w:b/>
              </w:rPr>
              <w:t>B</w:t>
            </w:r>
          </w:p>
        </w:tc>
        <w:tc>
          <w:tcPr>
            <w:tcW w:w="567" w:type="dxa"/>
            <w:tcBorders>
              <w:top w:val="nil"/>
              <w:left w:val="nil"/>
              <w:bottom w:val="single" w:sz="2" w:space="0" w:color="000000"/>
              <w:right w:val="nil"/>
            </w:tcBorders>
            <w:shd w:val="clear" w:color="auto" w:fill="FFFFFF"/>
            <w:vAlign w:val="center"/>
          </w:tcPr>
          <w:p w:rsidR="00230F35" w:rsidRPr="00937C8B" w:rsidRDefault="00230F35" w:rsidP="00D27646">
            <w:pPr>
              <w:pStyle w:val="CTEtabla-texto"/>
              <w:keepNext/>
              <w:keepLines/>
              <w:rPr>
                <w:rFonts w:cs="Arial"/>
                <w:b/>
              </w:rPr>
            </w:pPr>
            <w:r>
              <w:rPr>
                <w:b/>
              </w:rPr>
              <w:t>C</w:t>
            </w:r>
          </w:p>
        </w:tc>
        <w:tc>
          <w:tcPr>
            <w:tcW w:w="565" w:type="dxa"/>
            <w:tcBorders>
              <w:top w:val="nil"/>
              <w:left w:val="nil"/>
              <w:bottom w:val="single" w:sz="2" w:space="0" w:color="000000"/>
              <w:right w:val="nil"/>
            </w:tcBorders>
            <w:shd w:val="clear" w:color="auto" w:fill="FFFFFF"/>
            <w:vAlign w:val="center"/>
          </w:tcPr>
          <w:p w:rsidR="00230F35" w:rsidRPr="00937C8B" w:rsidRDefault="00230F35" w:rsidP="00D27646">
            <w:pPr>
              <w:pStyle w:val="CTEtabla-texto"/>
              <w:keepNext/>
              <w:keepLines/>
              <w:rPr>
                <w:rFonts w:cs="Arial"/>
                <w:b/>
              </w:rPr>
            </w:pPr>
            <w:r>
              <w:rPr>
                <w:b/>
              </w:rPr>
              <w:t>D</w:t>
            </w:r>
          </w:p>
        </w:tc>
        <w:tc>
          <w:tcPr>
            <w:tcW w:w="569" w:type="dxa"/>
            <w:tcBorders>
              <w:top w:val="nil"/>
              <w:left w:val="nil"/>
              <w:bottom w:val="single" w:sz="2" w:space="0" w:color="000000"/>
              <w:right w:val="nil"/>
            </w:tcBorders>
            <w:shd w:val="clear" w:color="auto" w:fill="FFFFFF"/>
            <w:vAlign w:val="center"/>
          </w:tcPr>
          <w:p w:rsidR="00230F35" w:rsidRPr="00937C8B" w:rsidRDefault="00230F35" w:rsidP="00D27646">
            <w:pPr>
              <w:pStyle w:val="CTEtabla-texto"/>
              <w:keepNext/>
              <w:keepLines/>
              <w:rPr>
                <w:rFonts w:cs="Arial"/>
                <w:b/>
              </w:rPr>
            </w:pPr>
            <w:r>
              <w:rPr>
                <w:b/>
              </w:rPr>
              <w:t>E</w:t>
            </w:r>
          </w:p>
        </w:tc>
      </w:tr>
      <w:tr w:rsidR="00230F35" w:rsidRPr="00937C8B" w:rsidTr="00935676">
        <w:trPr>
          <w:jc w:val="center"/>
        </w:trPr>
        <w:tc>
          <w:tcPr>
            <w:tcW w:w="3944" w:type="dxa"/>
            <w:tcBorders>
              <w:top w:val="single" w:sz="2" w:space="0" w:color="000000"/>
              <w:left w:val="nil"/>
              <w:bottom w:val="nil"/>
              <w:right w:val="single" w:sz="2" w:space="0" w:color="000000"/>
            </w:tcBorders>
            <w:shd w:val="clear" w:color="auto" w:fill="FFFFFF"/>
            <w:vAlign w:val="center"/>
          </w:tcPr>
          <w:p w:rsidR="00230F35" w:rsidRPr="00937C8B" w:rsidRDefault="00230F35" w:rsidP="003E38D0">
            <w:pPr>
              <w:pStyle w:val="CTEtabla-texto"/>
              <w:keepNext/>
              <w:keepLines/>
              <w:jc w:val="left"/>
              <w:rPr>
                <w:rFonts w:cs="Arial"/>
              </w:rPr>
            </w:pPr>
            <w:r>
              <w:t>Air permeability of openings (Q</w:t>
            </w:r>
            <w:r>
              <w:rPr>
                <w:vertAlign w:val="subscript"/>
              </w:rPr>
              <w:t>100,lim</w:t>
            </w:r>
            <w:r>
              <w:t>)</w:t>
            </w:r>
            <w:r>
              <w:rPr>
                <w:vertAlign w:val="superscript"/>
              </w:rPr>
              <w:t>*</w:t>
            </w:r>
          </w:p>
        </w:tc>
        <w:tc>
          <w:tcPr>
            <w:tcW w:w="568" w:type="dxa"/>
            <w:tcBorders>
              <w:top w:val="single" w:sz="2" w:space="0" w:color="000000"/>
              <w:left w:val="single" w:sz="2" w:space="0" w:color="000000"/>
              <w:bottom w:val="nil"/>
              <w:right w:val="nil"/>
            </w:tcBorders>
            <w:shd w:val="clear" w:color="auto" w:fill="FFFFFF"/>
            <w:vAlign w:val="center"/>
          </w:tcPr>
          <w:p w:rsidR="00230F35" w:rsidRPr="00937C8B" w:rsidRDefault="00230F35" w:rsidP="003E38D0">
            <w:pPr>
              <w:pStyle w:val="CTEtabla-texto"/>
              <w:keepNext/>
              <w:keepLines/>
              <w:rPr>
                <w:rFonts w:cs="Arial"/>
              </w:rPr>
            </w:pPr>
            <w:r>
              <w:t>≤ 27</w:t>
            </w:r>
          </w:p>
        </w:tc>
        <w:tc>
          <w:tcPr>
            <w:tcW w:w="565" w:type="dxa"/>
            <w:tcBorders>
              <w:top w:val="single" w:sz="2" w:space="0" w:color="000000"/>
              <w:left w:val="nil"/>
              <w:bottom w:val="nil"/>
              <w:right w:val="nil"/>
            </w:tcBorders>
            <w:shd w:val="clear" w:color="auto" w:fill="FFFFFF"/>
            <w:vAlign w:val="center"/>
          </w:tcPr>
          <w:p w:rsidR="00230F35" w:rsidRPr="00937C8B" w:rsidRDefault="00230F35" w:rsidP="003E38D0">
            <w:pPr>
              <w:pStyle w:val="CTEtabla-texto"/>
              <w:keepNext/>
              <w:keepLines/>
              <w:rPr>
                <w:rFonts w:cs="Arial"/>
              </w:rPr>
            </w:pPr>
            <w:r>
              <w:t>≤ 27</w:t>
            </w:r>
          </w:p>
        </w:tc>
        <w:tc>
          <w:tcPr>
            <w:tcW w:w="566" w:type="dxa"/>
            <w:tcBorders>
              <w:top w:val="single" w:sz="2" w:space="0" w:color="000000"/>
              <w:left w:val="nil"/>
              <w:bottom w:val="nil"/>
              <w:right w:val="nil"/>
            </w:tcBorders>
            <w:shd w:val="clear" w:color="auto" w:fill="FFFFFF"/>
            <w:vAlign w:val="center"/>
          </w:tcPr>
          <w:p w:rsidR="00230F35" w:rsidRPr="00937C8B" w:rsidRDefault="00230F35" w:rsidP="003E38D0">
            <w:pPr>
              <w:pStyle w:val="CTEtabla-texto"/>
              <w:keepNext/>
              <w:keepLines/>
              <w:rPr>
                <w:rFonts w:cs="Arial"/>
              </w:rPr>
            </w:pPr>
            <w:r>
              <w:t>≤ 27</w:t>
            </w:r>
          </w:p>
        </w:tc>
        <w:tc>
          <w:tcPr>
            <w:tcW w:w="567" w:type="dxa"/>
            <w:tcBorders>
              <w:top w:val="single" w:sz="2" w:space="0" w:color="000000"/>
              <w:left w:val="nil"/>
              <w:bottom w:val="nil"/>
              <w:right w:val="nil"/>
            </w:tcBorders>
            <w:shd w:val="clear" w:color="auto" w:fill="FFFFFF"/>
            <w:vAlign w:val="center"/>
          </w:tcPr>
          <w:p w:rsidR="00230F35" w:rsidRPr="00937C8B" w:rsidRDefault="00230F35" w:rsidP="003E38D0">
            <w:pPr>
              <w:pStyle w:val="CTEtabla-texto"/>
              <w:keepNext/>
              <w:keepLines/>
              <w:rPr>
                <w:rFonts w:cs="Arial"/>
              </w:rPr>
            </w:pPr>
            <w:r>
              <w:t>≤ 9</w:t>
            </w:r>
          </w:p>
        </w:tc>
        <w:tc>
          <w:tcPr>
            <w:tcW w:w="565" w:type="dxa"/>
            <w:tcBorders>
              <w:top w:val="single" w:sz="2" w:space="0" w:color="000000"/>
              <w:left w:val="nil"/>
              <w:bottom w:val="nil"/>
              <w:right w:val="nil"/>
            </w:tcBorders>
            <w:shd w:val="clear" w:color="auto" w:fill="FFFFFF"/>
            <w:vAlign w:val="center"/>
          </w:tcPr>
          <w:p w:rsidR="00230F35" w:rsidRPr="00937C8B" w:rsidRDefault="00230F35" w:rsidP="003E38D0">
            <w:pPr>
              <w:pStyle w:val="CTEtabla-texto"/>
              <w:keepNext/>
              <w:keepLines/>
              <w:rPr>
                <w:rFonts w:cs="Arial"/>
              </w:rPr>
            </w:pPr>
            <w:r>
              <w:t>≤ 9</w:t>
            </w:r>
          </w:p>
        </w:tc>
        <w:tc>
          <w:tcPr>
            <w:tcW w:w="569" w:type="dxa"/>
            <w:tcBorders>
              <w:top w:val="single" w:sz="2" w:space="0" w:color="000000"/>
              <w:left w:val="nil"/>
              <w:bottom w:val="nil"/>
              <w:right w:val="nil"/>
            </w:tcBorders>
            <w:shd w:val="clear" w:color="auto" w:fill="FFFFFF"/>
            <w:vAlign w:val="center"/>
          </w:tcPr>
          <w:p w:rsidR="00230F35" w:rsidRPr="00937C8B" w:rsidRDefault="00230F35" w:rsidP="003E38D0">
            <w:pPr>
              <w:pStyle w:val="CTEtabla-texto"/>
              <w:keepNext/>
              <w:keepLines/>
              <w:rPr>
                <w:rFonts w:cs="Arial"/>
              </w:rPr>
            </w:pPr>
            <w:r>
              <w:t>≤ 9</w:t>
            </w:r>
          </w:p>
        </w:tc>
      </w:tr>
    </w:tbl>
    <w:p w:rsidR="00230F35" w:rsidRPr="00937C8B" w:rsidRDefault="00230F35" w:rsidP="00230F35">
      <w:pPr>
        <w:pStyle w:val="CTETabla-nota"/>
        <w:keepNext/>
        <w:keepLines/>
        <w:ind w:left="1417" w:hanging="232"/>
      </w:pPr>
      <w:r>
        <w:rPr>
          <w:vertAlign w:val="superscript"/>
        </w:rPr>
        <w:t>*</w:t>
      </w:r>
      <w:r>
        <w:t xml:space="preserve"> The permeability indicated is that measured at an overpressure of 100 Pa, Q</w:t>
      </w:r>
      <w:r>
        <w:rPr>
          <w:vertAlign w:val="subscript"/>
        </w:rPr>
        <w:t>100</w:t>
      </w:r>
      <w:r>
        <w:t>.</w:t>
      </w:r>
    </w:p>
    <w:p w:rsidR="00230F35" w:rsidRPr="00937C8B" w:rsidRDefault="00230F35" w:rsidP="00230F35">
      <w:pPr>
        <w:pStyle w:val="CTETabla-nota"/>
        <w:keepLines/>
        <w:spacing w:before="0"/>
        <w:ind w:left="1417" w:right="849" w:hanging="141"/>
      </w:pPr>
      <w:r>
        <w:t>The specified permeability values correspond to those defined for class 2 (≤27 m</w:t>
      </w:r>
      <w:r>
        <w:rPr>
          <w:vertAlign w:val="superscript"/>
        </w:rPr>
        <w:t>3</w:t>
      </w:r>
      <w:r>
        <w:t>/h·m</w:t>
      </w:r>
      <w:r>
        <w:rPr>
          <w:vertAlign w:val="superscript"/>
        </w:rPr>
        <w:t>2</w:t>
      </w:r>
      <w:r>
        <w:t>) and class 3 (≤9 m</w:t>
      </w:r>
      <w:r>
        <w:rPr>
          <w:vertAlign w:val="superscript"/>
        </w:rPr>
        <w:t>3</w:t>
      </w:r>
      <w:r>
        <w:t>/h·m</w:t>
      </w:r>
      <w:r>
        <w:rPr>
          <w:vertAlign w:val="superscript"/>
        </w:rPr>
        <w:t>2</w:t>
      </w:r>
      <w:r>
        <w:t>) of UNE EN 12207:2017.</w:t>
      </w:r>
    </w:p>
    <w:p w:rsidR="00230F35" w:rsidRPr="00937C8B" w:rsidRDefault="00230F35" w:rsidP="00230F35">
      <w:pPr>
        <w:pStyle w:val="CTETabla-nota"/>
        <w:keepLines/>
        <w:spacing w:before="0"/>
        <w:ind w:left="1417" w:right="849" w:hanging="141"/>
      </w:pPr>
      <w:r>
        <w:t>The permeability of the opening shall be determined taking into account any shutter box.</w:t>
      </w:r>
    </w:p>
    <w:p w:rsidR="00230F35" w:rsidRPr="00937C8B" w:rsidRDefault="00230F35" w:rsidP="00D27646">
      <w:pPr>
        <w:pStyle w:val="CTENumeracion"/>
        <w:keepNext/>
        <w:keepLines/>
        <w:spacing w:before="120"/>
        <w:rPr>
          <w:rFonts w:cs="Arial"/>
          <w:sz w:val="22"/>
          <w:szCs w:val="22"/>
        </w:rPr>
      </w:pPr>
      <w:r>
        <w:rPr>
          <w:sz w:val="22"/>
        </w:rPr>
        <w:t>3.</w:t>
      </w:r>
      <w:r>
        <w:rPr>
          <w:sz w:val="22"/>
        </w:rPr>
        <w:tab/>
        <w:t>In new buildings for private residential use with a total usable area of over 120 m</w:t>
      </w:r>
      <w:r>
        <w:rPr>
          <w:sz w:val="22"/>
          <w:vertAlign w:val="superscript"/>
        </w:rPr>
        <w:t>2</w:t>
      </w:r>
      <w:r>
        <w:rPr>
          <w:sz w:val="22"/>
        </w:rPr>
        <w:t>, the</w:t>
      </w:r>
      <w:r>
        <w:rPr>
          <w:i/>
          <w:sz w:val="22"/>
        </w:rPr>
        <w:t xml:space="preserve"> air exchange ratio </w:t>
      </w:r>
      <w:r>
        <w:rPr>
          <w:sz w:val="22"/>
        </w:rPr>
        <w:t>at a differential pressure of 50 Pa (n</w:t>
      </w:r>
      <w:r>
        <w:rPr>
          <w:sz w:val="22"/>
          <w:vertAlign w:val="subscript"/>
        </w:rPr>
        <w:t>50</w:t>
      </w:r>
      <w:r>
        <w:rPr>
          <w:sz w:val="22"/>
        </w:rPr>
        <w:t xml:space="preserve">) shall not exceed the limit value in Table 3.1.3.b-HE1. </w:t>
      </w:r>
    </w:p>
    <w:p w:rsidR="00230F35" w:rsidRPr="00937C8B" w:rsidRDefault="00230F35" w:rsidP="00D27646">
      <w:pPr>
        <w:pStyle w:val="CTEtabla-Titulo"/>
        <w:keepLines/>
        <w:spacing w:before="240" w:after="0"/>
        <w:ind w:left="993" w:right="424" w:hanging="142"/>
      </w:pPr>
      <w:r>
        <w:t xml:space="preserve">Table 3.1.3.b-HE1 Limit value of the </w:t>
      </w:r>
      <w:r>
        <w:rPr>
          <w:i/>
        </w:rPr>
        <w:t>air exchange ratio</w:t>
      </w:r>
      <w:r>
        <w:t xml:space="preserve"> at a pressure of 50 Pa, n</w:t>
      </w:r>
      <w:r>
        <w:rPr>
          <w:vertAlign w:val="subscript"/>
        </w:rPr>
        <w:t>50</w:t>
      </w:r>
      <w:r>
        <w:t xml:space="preserve"> [h</w:t>
      </w:r>
      <w:r>
        <w:rPr>
          <w:vertAlign w:val="superscript"/>
        </w:rPr>
        <w:t>-1</w:t>
      </w:r>
      <w:r>
        <w:t>]</w:t>
      </w:r>
    </w:p>
    <w:tbl>
      <w:tblPr>
        <w:tblW w:w="5112" w:type="dxa"/>
        <w:jc w:val="center"/>
        <w:tblBorders>
          <w:top w:val="single" w:sz="6" w:space="0" w:color="000000"/>
          <w:left w:val="single" w:sz="6" w:space="0" w:color="000000"/>
          <w:bottom w:val="single" w:sz="6" w:space="0" w:color="000000"/>
          <w:insideH w:val="single" w:sz="6" w:space="0" w:color="000000"/>
        </w:tblBorders>
        <w:tblCellMar>
          <w:top w:w="57" w:type="dxa"/>
          <w:left w:w="48" w:type="dxa"/>
          <w:bottom w:w="57" w:type="dxa"/>
          <w:right w:w="0" w:type="dxa"/>
        </w:tblCellMar>
        <w:tblLook w:val="04A0" w:firstRow="1" w:lastRow="0" w:firstColumn="1" w:lastColumn="0" w:noHBand="0" w:noVBand="1"/>
      </w:tblPr>
      <w:tblGrid>
        <w:gridCol w:w="2492"/>
        <w:gridCol w:w="2620"/>
      </w:tblGrid>
      <w:tr w:rsidR="00230F35" w:rsidRPr="00937C8B" w:rsidTr="003E38D0">
        <w:trPr>
          <w:jc w:val="center"/>
        </w:trPr>
        <w:tc>
          <w:tcPr>
            <w:tcW w:w="2492" w:type="dxa"/>
            <w:tcBorders>
              <w:top w:val="nil"/>
              <w:left w:val="nil"/>
              <w:bottom w:val="single" w:sz="6" w:space="0" w:color="000000"/>
            </w:tcBorders>
            <w:shd w:val="clear" w:color="auto" w:fill="auto"/>
            <w:vAlign w:val="center"/>
          </w:tcPr>
          <w:p w:rsidR="00230F35" w:rsidRPr="00937C8B" w:rsidRDefault="00230F35" w:rsidP="00D27646">
            <w:pPr>
              <w:keepNext/>
              <w:rPr>
                <w:rFonts w:ascii="Arial" w:eastAsia="Arial" w:hAnsi="Arial" w:cs="Arial"/>
                <w:b/>
                <w:sz w:val="18"/>
              </w:rPr>
            </w:pPr>
            <w:r>
              <w:rPr>
                <w:rFonts w:ascii="Arial" w:hAnsi="Arial"/>
                <w:b/>
                <w:sz w:val="18"/>
              </w:rPr>
              <w:t>Compactness V/A [m³/m2]</w:t>
            </w:r>
          </w:p>
        </w:tc>
        <w:tc>
          <w:tcPr>
            <w:tcW w:w="2620" w:type="dxa"/>
            <w:tcBorders>
              <w:top w:val="nil"/>
              <w:left w:val="single" w:sz="6" w:space="0" w:color="000000"/>
              <w:bottom w:val="single" w:sz="6" w:space="0" w:color="000000"/>
              <w:right w:val="nil"/>
            </w:tcBorders>
            <w:shd w:val="clear" w:color="auto" w:fill="auto"/>
            <w:tcMar>
              <w:right w:w="57" w:type="dxa"/>
            </w:tcMar>
            <w:vAlign w:val="center"/>
          </w:tcPr>
          <w:p w:rsidR="00230F35" w:rsidRPr="00937C8B" w:rsidRDefault="00230F35" w:rsidP="00D27646">
            <w:pPr>
              <w:keepNext/>
              <w:jc w:val="center"/>
              <w:rPr>
                <w:rFonts w:ascii="Arial" w:eastAsia="Arial" w:hAnsi="Arial" w:cs="Arial"/>
                <w:b/>
                <w:sz w:val="18"/>
              </w:rPr>
            </w:pPr>
            <w:r>
              <w:rPr>
                <w:rFonts w:ascii="Arial" w:hAnsi="Arial"/>
                <w:b/>
                <w:sz w:val="18"/>
              </w:rPr>
              <w:t>n</w:t>
            </w:r>
            <w:r>
              <w:rPr>
                <w:rFonts w:ascii="Arial" w:hAnsi="Arial"/>
                <w:b/>
                <w:sz w:val="18"/>
                <w:vertAlign w:val="subscript"/>
              </w:rPr>
              <w:t>50</w:t>
            </w:r>
          </w:p>
        </w:tc>
      </w:tr>
      <w:tr w:rsidR="00230F35" w:rsidRPr="00937C8B" w:rsidTr="003E38D0">
        <w:trPr>
          <w:jc w:val="center"/>
        </w:trPr>
        <w:tc>
          <w:tcPr>
            <w:tcW w:w="2492" w:type="dxa"/>
            <w:tcBorders>
              <w:top w:val="single" w:sz="6" w:space="0" w:color="000000"/>
              <w:left w:val="nil"/>
              <w:bottom w:val="nil"/>
            </w:tcBorders>
            <w:shd w:val="clear" w:color="auto" w:fill="auto"/>
            <w:tcMar>
              <w:top w:w="0" w:type="dxa"/>
            </w:tcMar>
            <w:vAlign w:val="center"/>
          </w:tcPr>
          <w:p w:rsidR="00230F35" w:rsidRPr="00937C8B" w:rsidRDefault="00230F35" w:rsidP="003E38D0">
            <w:pPr>
              <w:rPr>
                <w:rFonts w:ascii="Arial" w:eastAsia="Arial" w:hAnsi="Arial" w:cs="Arial"/>
                <w:sz w:val="18"/>
              </w:rPr>
            </w:pPr>
            <w:r>
              <w:rPr>
                <w:rFonts w:ascii="Arial" w:hAnsi="Arial"/>
                <w:sz w:val="18"/>
              </w:rPr>
              <w:t>V/A &lt;= 2</w:t>
            </w:r>
          </w:p>
        </w:tc>
        <w:tc>
          <w:tcPr>
            <w:tcW w:w="2620" w:type="dxa"/>
            <w:tcBorders>
              <w:top w:val="single" w:sz="6" w:space="0" w:color="000000"/>
              <w:left w:val="single" w:sz="6" w:space="0" w:color="000000"/>
              <w:bottom w:val="nil"/>
              <w:right w:val="nil"/>
            </w:tcBorders>
            <w:shd w:val="clear" w:color="auto" w:fill="auto"/>
            <w:tcMar>
              <w:top w:w="0" w:type="dxa"/>
              <w:right w:w="57" w:type="dxa"/>
            </w:tcMar>
            <w:vAlign w:val="center"/>
          </w:tcPr>
          <w:p w:rsidR="00230F35" w:rsidRPr="00937C8B" w:rsidRDefault="00230F35" w:rsidP="003E38D0">
            <w:pPr>
              <w:jc w:val="center"/>
              <w:rPr>
                <w:rFonts w:ascii="Arial" w:eastAsia="Arial" w:hAnsi="Arial" w:cs="Arial"/>
                <w:sz w:val="18"/>
              </w:rPr>
            </w:pPr>
            <w:r>
              <w:rPr>
                <w:rFonts w:ascii="Arial" w:hAnsi="Arial"/>
                <w:sz w:val="18"/>
              </w:rPr>
              <w:t>6</w:t>
            </w:r>
          </w:p>
        </w:tc>
      </w:tr>
      <w:tr w:rsidR="00230F35" w:rsidRPr="00937C8B" w:rsidTr="003E38D0">
        <w:trPr>
          <w:jc w:val="center"/>
        </w:trPr>
        <w:tc>
          <w:tcPr>
            <w:tcW w:w="2492" w:type="dxa"/>
            <w:tcBorders>
              <w:top w:val="nil"/>
              <w:left w:val="nil"/>
              <w:bottom w:val="nil"/>
            </w:tcBorders>
            <w:shd w:val="clear" w:color="auto" w:fill="auto"/>
            <w:tcMar>
              <w:top w:w="0" w:type="dxa"/>
            </w:tcMar>
            <w:vAlign w:val="center"/>
          </w:tcPr>
          <w:p w:rsidR="00230F35" w:rsidRPr="00937C8B" w:rsidRDefault="00230F35" w:rsidP="003E38D0">
            <w:pPr>
              <w:rPr>
                <w:rFonts w:ascii="Arial" w:eastAsia="Arial" w:hAnsi="Arial" w:cs="Arial"/>
                <w:sz w:val="18"/>
              </w:rPr>
            </w:pPr>
            <w:r>
              <w:rPr>
                <w:rFonts w:ascii="Arial" w:hAnsi="Arial"/>
                <w:sz w:val="18"/>
              </w:rPr>
              <w:t>V/A &gt;= 4</w:t>
            </w:r>
          </w:p>
        </w:tc>
        <w:tc>
          <w:tcPr>
            <w:tcW w:w="2620" w:type="dxa"/>
            <w:tcBorders>
              <w:top w:val="nil"/>
              <w:left w:val="single" w:sz="6" w:space="0" w:color="000000"/>
              <w:bottom w:val="nil"/>
              <w:right w:val="nil"/>
            </w:tcBorders>
            <w:shd w:val="clear" w:color="auto" w:fill="auto"/>
            <w:tcMar>
              <w:top w:w="0" w:type="dxa"/>
              <w:right w:w="57" w:type="dxa"/>
            </w:tcMar>
            <w:vAlign w:val="center"/>
          </w:tcPr>
          <w:p w:rsidR="00230F35" w:rsidRPr="00937C8B" w:rsidRDefault="00230F35" w:rsidP="003E38D0">
            <w:pPr>
              <w:jc w:val="center"/>
              <w:rPr>
                <w:rFonts w:ascii="Arial" w:eastAsia="Arial" w:hAnsi="Arial" w:cs="Arial"/>
                <w:sz w:val="18"/>
              </w:rPr>
            </w:pPr>
            <w:r>
              <w:rPr>
                <w:rFonts w:ascii="Arial" w:hAnsi="Arial"/>
                <w:sz w:val="18"/>
              </w:rPr>
              <w:t>3</w:t>
            </w:r>
          </w:p>
        </w:tc>
      </w:tr>
      <w:tr w:rsidR="00230F35" w:rsidRPr="00937C8B" w:rsidTr="003E38D0">
        <w:trPr>
          <w:jc w:val="center"/>
        </w:trPr>
        <w:tc>
          <w:tcPr>
            <w:tcW w:w="5112" w:type="dxa"/>
            <w:gridSpan w:val="2"/>
            <w:tcBorders>
              <w:top w:val="nil"/>
              <w:left w:val="nil"/>
              <w:bottom w:val="nil"/>
              <w:right w:val="nil"/>
            </w:tcBorders>
            <w:shd w:val="clear" w:color="auto" w:fill="auto"/>
            <w:tcMar>
              <w:top w:w="0" w:type="dxa"/>
            </w:tcMar>
            <w:vAlign w:val="center"/>
          </w:tcPr>
          <w:p w:rsidR="00230F35" w:rsidRPr="00937C8B" w:rsidRDefault="00230F35" w:rsidP="003E38D0">
            <w:pPr>
              <w:pStyle w:val="CTEtabla-texto"/>
              <w:keepNext/>
              <w:jc w:val="both"/>
              <w:rPr>
                <w:rFonts w:cs="Arial"/>
                <w:iCs/>
                <w:sz w:val="16"/>
              </w:rPr>
            </w:pPr>
            <w:r>
              <w:rPr>
                <w:sz w:val="16"/>
              </w:rPr>
              <w:t>The limit values for intermediate compactness (2&lt;V/A&lt;4) are obtained by interpolation.</w:t>
            </w:r>
          </w:p>
        </w:tc>
      </w:tr>
    </w:tbl>
    <w:p w:rsidR="00230F35" w:rsidRPr="00937C8B" w:rsidRDefault="00230F35" w:rsidP="00230F35">
      <w:pPr>
        <w:pStyle w:val="CTENumeracion"/>
        <w:keepLines/>
        <w:spacing w:before="120"/>
        <w:rPr>
          <w:rFonts w:cs="Arial"/>
          <w:sz w:val="22"/>
          <w:szCs w:val="22"/>
        </w:rPr>
      </w:pPr>
      <w:bookmarkStart w:id="134" w:name="_Toc530395256"/>
      <w:bookmarkStart w:id="135" w:name="_Toc530396135"/>
      <w:r>
        <w:rPr>
          <w:sz w:val="22"/>
        </w:rPr>
        <w:t>4.</w:t>
      </w:r>
      <w:r>
        <w:rPr>
          <w:sz w:val="22"/>
        </w:rPr>
        <w:tab/>
        <w:t xml:space="preserve">Annex H provides the methods for determining the </w:t>
      </w:r>
      <w:r>
        <w:rPr>
          <w:i/>
          <w:sz w:val="22"/>
        </w:rPr>
        <w:t>air permeability</w:t>
      </w:r>
      <w:r>
        <w:rPr>
          <w:sz w:val="22"/>
        </w:rPr>
        <w:t xml:space="preserve"> of the building.</w:t>
      </w:r>
    </w:p>
    <w:p w:rsidR="00230F35" w:rsidRPr="00937C8B" w:rsidRDefault="00230F35" w:rsidP="009467D5">
      <w:pPr>
        <w:pStyle w:val="CteTtulo3"/>
      </w:pPr>
      <w:bookmarkStart w:id="136" w:name="_Toc39157927"/>
      <w:bookmarkStart w:id="137" w:name="_Toc44876250"/>
      <w:r>
        <w:t>3.2</w:t>
      </w:r>
      <w:r>
        <w:tab/>
        <w:t>Limiting imbalances</w:t>
      </w:r>
      <w:bookmarkEnd w:id="134"/>
      <w:bookmarkEnd w:id="135"/>
      <w:bookmarkEnd w:id="136"/>
      <w:bookmarkEnd w:id="137"/>
    </w:p>
    <w:p w:rsidR="00230F35" w:rsidRPr="00937C8B" w:rsidRDefault="00230F35" w:rsidP="00D27646">
      <w:pPr>
        <w:pStyle w:val="CTENumeracion"/>
        <w:keepNext/>
        <w:spacing w:before="120"/>
        <w:rPr>
          <w:rFonts w:cs="Arial"/>
          <w:sz w:val="22"/>
          <w:szCs w:val="22"/>
        </w:rPr>
      </w:pPr>
      <w:r>
        <w:rPr>
          <w:sz w:val="22"/>
        </w:rPr>
        <w:t>1.</w:t>
      </w:r>
      <w:r>
        <w:rPr>
          <w:sz w:val="22"/>
        </w:rPr>
        <w:tab/>
        <w:t xml:space="preserve">The </w:t>
      </w:r>
      <w:r>
        <w:rPr>
          <w:i/>
          <w:sz w:val="22"/>
        </w:rPr>
        <w:t>thermal transmittance</w:t>
      </w:r>
      <w:r>
        <w:rPr>
          <w:sz w:val="22"/>
        </w:rPr>
        <w:t xml:space="preserve"> of the </w:t>
      </w:r>
      <w:r>
        <w:rPr>
          <w:i/>
          <w:sz w:val="22"/>
        </w:rPr>
        <w:t xml:space="preserve">interior partitions </w:t>
      </w:r>
      <w:r>
        <w:rPr>
          <w:sz w:val="22"/>
        </w:rPr>
        <w:t xml:space="preserve">shall not exceed the value in Table 3.2-HE1, according to the use assigned to the various </w:t>
      </w:r>
      <w:r>
        <w:rPr>
          <w:i/>
          <w:sz w:val="22"/>
        </w:rPr>
        <w:t xml:space="preserve">usage units </w:t>
      </w:r>
      <w:r>
        <w:rPr>
          <w:sz w:val="22"/>
        </w:rPr>
        <w:t>that they demarcate:</w:t>
      </w:r>
    </w:p>
    <w:p w:rsidR="00230F35" w:rsidRPr="00937C8B" w:rsidRDefault="00230F35" w:rsidP="00D27646">
      <w:pPr>
        <w:pStyle w:val="CTEtabla-Titulo"/>
        <w:spacing w:before="240" w:after="120"/>
      </w:pPr>
      <w:r>
        <w:t xml:space="preserve">Table 3.2 - HE1 </w:t>
      </w:r>
      <w:r>
        <w:rPr>
          <w:i/>
        </w:rPr>
        <w:t xml:space="preserve">Thermal transmittance </w:t>
      </w:r>
      <w:r>
        <w:t xml:space="preserve"> limit for interior partitions, U</w:t>
      </w:r>
      <w:r>
        <w:rPr>
          <w:vertAlign w:val="subscript"/>
        </w:rPr>
        <w:t>lim</w:t>
      </w:r>
      <w:r>
        <w:t xml:space="preserve"> [W/m²K]</w:t>
      </w:r>
    </w:p>
    <w:tbl>
      <w:tblPr>
        <w:tblW w:w="8512" w:type="dxa"/>
        <w:jc w:val="center"/>
        <w:tblBorders>
          <w:right w:val="single" w:sz="2" w:space="0" w:color="000000"/>
          <w:insideV w:val="single" w:sz="2" w:space="0" w:color="000000"/>
        </w:tblBorders>
        <w:tblCellMar>
          <w:left w:w="10" w:type="dxa"/>
          <w:right w:w="10" w:type="dxa"/>
        </w:tblCellMar>
        <w:tblLook w:val="04A0" w:firstRow="1" w:lastRow="0" w:firstColumn="1" w:lastColumn="0" w:noHBand="0" w:noVBand="1"/>
      </w:tblPr>
      <w:tblGrid>
        <w:gridCol w:w="2694"/>
        <w:gridCol w:w="2255"/>
        <w:gridCol w:w="590"/>
        <w:gridCol w:w="592"/>
        <w:gridCol w:w="591"/>
        <w:gridCol w:w="589"/>
        <w:gridCol w:w="590"/>
        <w:gridCol w:w="611"/>
      </w:tblGrid>
      <w:tr w:rsidR="00230F35" w:rsidRPr="00937C8B" w:rsidTr="00935676">
        <w:trPr>
          <w:jc w:val="center"/>
        </w:trPr>
        <w:tc>
          <w:tcPr>
            <w:tcW w:w="2693" w:type="dxa"/>
            <w:tcBorders>
              <w:top w:val="nil"/>
              <w:bottom w:val="nil"/>
              <w:right w:val="nil"/>
            </w:tcBorders>
            <w:shd w:val="clear" w:color="auto" w:fill="FFFFFF"/>
          </w:tcPr>
          <w:p w:rsidR="00230F35" w:rsidRPr="00937C8B" w:rsidRDefault="00230F35" w:rsidP="00D27646">
            <w:pPr>
              <w:pStyle w:val="CTEtabla-texto"/>
              <w:keepNext/>
              <w:keepLines/>
              <w:rPr>
                <w:rFonts w:cs="Arial"/>
                <w:b/>
              </w:rPr>
            </w:pPr>
          </w:p>
        </w:tc>
        <w:tc>
          <w:tcPr>
            <w:tcW w:w="2255" w:type="dxa"/>
            <w:vMerge w:val="restart"/>
            <w:tcBorders>
              <w:top w:val="nil"/>
              <w:left w:val="nil"/>
              <w:bottom w:val="single" w:sz="2" w:space="0" w:color="000000"/>
              <w:right w:val="single" w:sz="2" w:space="0" w:color="000000"/>
            </w:tcBorders>
            <w:shd w:val="clear" w:color="auto" w:fill="FFFFFF"/>
            <w:tcMar>
              <w:top w:w="55" w:type="dxa"/>
              <w:left w:w="46" w:type="dxa"/>
              <w:bottom w:w="55" w:type="dxa"/>
              <w:right w:w="55" w:type="dxa"/>
            </w:tcMar>
            <w:vAlign w:val="center"/>
          </w:tcPr>
          <w:p w:rsidR="00230F35" w:rsidRPr="00937C8B" w:rsidRDefault="00230F35" w:rsidP="00D27646">
            <w:pPr>
              <w:pStyle w:val="CTEtabla-texto"/>
              <w:keepNext/>
              <w:keepLines/>
              <w:rPr>
                <w:rFonts w:cs="Arial"/>
                <w:b/>
              </w:rPr>
            </w:pPr>
            <w:r>
              <w:rPr>
                <w:b/>
              </w:rPr>
              <w:t>Element type</w:t>
            </w:r>
          </w:p>
        </w:tc>
        <w:tc>
          <w:tcPr>
            <w:tcW w:w="3563" w:type="dxa"/>
            <w:gridSpan w:val="6"/>
            <w:tcBorders>
              <w:top w:val="nil"/>
              <w:left w:val="single" w:sz="2" w:space="0" w:color="000000"/>
              <w:bottom w:val="nil"/>
              <w:right w:val="nil"/>
            </w:tcBorders>
            <w:shd w:val="clear" w:color="auto" w:fill="FFFFFF"/>
            <w:tcMar>
              <w:top w:w="55" w:type="dxa"/>
              <w:left w:w="46" w:type="dxa"/>
              <w:bottom w:w="55" w:type="dxa"/>
              <w:right w:w="55" w:type="dxa"/>
            </w:tcMar>
          </w:tcPr>
          <w:p w:rsidR="00230F35" w:rsidRPr="00937C8B" w:rsidRDefault="00230F35" w:rsidP="00D27646">
            <w:pPr>
              <w:pStyle w:val="CTEtabla-texto"/>
              <w:keepNext/>
              <w:keepLines/>
              <w:rPr>
                <w:rFonts w:cs="Arial"/>
                <w:b/>
              </w:rPr>
            </w:pPr>
            <w:r>
              <w:rPr>
                <w:b/>
              </w:rPr>
              <w:t>Winter climate zone</w:t>
            </w:r>
          </w:p>
        </w:tc>
      </w:tr>
      <w:tr w:rsidR="00230F35" w:rsidRPr="00937C8B" w:rsidTr="00935676">
        <w:trPr>
          <w:jc w:val="center"/>
        </w:trPr>
        <w:tc>
          <w:tcPr>
            <w:tcW w:w="2693" w:type="dxa"/>
            <w:tcBorders>
              <w:top w:val="nil"/>
              <w:bottom w:val="single" w:sz="2" w:space="0" w:color="000000"/>
              <w:right w:val="nil"/>
            </w:tcBorders>
            <w:shd w:val="clear" w:color="auto" w:fill="FFFFFF"/>
          </w:tcPr>
          <w:p w:rsidR="00230F35" w:rsidRPr="00937C8B" w:rsidRDefault="00230F35" w:rsidP="00D27646">
            <w:pPr>
              <w:keepNext/>
              <w:rPr>
                <w:rFonts w:ascii="Arial" w:hAnsi="Arial" w:cs="Arial"/>
              </w:rPr>
            </w:pPr>
          </w:p>
        </w:tc>
        <w:tc>
          <w:tcPr>
            <w:tcW w:w="2255" w:type="dxa"/>
            <w:vMerge/>
            <w:tcBorders>
              <w:top w:val="nil"/>
              <w:left w:val="nil"/>
              <w:bottom w:val="single" w:sz="2" w:space="0" w:color="000000"/>
              <w:right w:val="single" w:sz="2" w:space="0" w:color="000000"/>
            </w:tcBorders>
            <w:shd w:val="clear" w:color="auto" w:fill="FFFFFF"/>
            <w:tcMar>
              <w:top w:w="55" w:type="dxa"/>
              <w:left w:w="46" w:type="dxa"/>
              <w:bottom w:w="55" w:type="dxa"/>
              <w:right w:w="55" w:type="dxa"/>
            </w:tcMar>
            <w:vAlign w:val="center"/>
          </w:tcPr>
          <w:p w:rsidR="00230F35" w:rsidRPr="00937C8B" w:rsidRDefault="00230F35" w:rsidP="00D27646">
            <w:pPr>
              <w:keepNext/>
              <w:rPr>
                <w:rFonts w:ascii="Arial" w:hAnsi="Arial" w:cs="Arial"/>
              </w:rPr>
            </w:pPr>
          </w:p>
        </w:tc>
        <w:tc>
          <w:tcPr>
            <w:tcW w:w="590" w:type="dxa"/>
            <w:tcBorders>
              <w:top w:val="nil"/>
              <w:left w:val="single" w:sz="2" w:space="0" w:color="000000"/>
              <w:bottom w:val="single" w:sz="2" w:space="0" w:color="000000"/>
              <w:right w:val="nil"/>
            </w:tcBorders>
            <w:shd w:val="clear" w:color="auto" w:fill="FFFFFF"/>
            <w:tcMar>
              <w:top w:w="55" w:type="dxa"/>
              <w:left w:w="46" w:type="dxa"/>
              <w:bottom w:w="55" w:type="dxa"/>
              <w:right w:w="55" w:type="dxa"/>
            </w:tcMar>
          </w:tcPr>
          <w:p w:rsidR="00230F35" w:rsidRPr="00937C8B" w:rsidRDefault="00230F35" w:rsidP="00D27646">
            <w:pPr>
              <w:pStyle w:val="CTEtabla-texto"/>
              <w:keepNext/>
              <w:keepLines/>
              <w:rPr>
                <w:rFonts w:cs="Arial"/>
                <w:b/>
              </w:rPr>
            </w:pPr>
            <w:r>
              <w:rPr>
                <w:b/>
              </w:rPr>
              <w:t>α</w:t>
            </w:r>
          </w:p>
        </w:tc>
        <w:tc>
          <w:tcPr>
            <w:tcW w:w="592"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937C8B" w:rsidRDefault="00230F35" w:rsidP="00D27646">
            <w:pPr>
              <w:pStyle w:val="CTEtabla-texto"/>
              <w:keepNext/>
              <w:keepLines/>
              <w:rPr>
                <w:rFonts w:cs="Arial"/>
                <w:b/>
              </w:rPr>
            </w:pPr>
            <w:r>
              <w:rPr>
                <w:b/>
              </w:rPr>
              <w:t>A</w:t>
            </w:r>
          </w:p>
        </w:tc>
        <w:tc>
          <w:tcPr>
            <w:tcW w:w="591"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937C8B" w:rsidRDefault="00230F35" w:rsidP="00D27646">
            <w:pPr>
              <w:pStyle w:val="CTEtabla-texto"/>
              <w:keepNext/>
              <w:keepLines/>
              <w:rPr>
                <w:rFonts w:cs="Arial"/>
                <w:b/>
              </w:rPr>
            </w:pPr>
            <w:r>
              <w:rPr>
                <w:b/>
              </w:rPr>
              <w:t>B</w:t>
            </w:r>
          </w:p>
        </w:tc>
        <w:tc>
          <w:tcPr>
            <w:tcW w:w="589"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937C8B" w:rsidRDefault="00230F35" w:rsidP="00D27646">
            <w:pPr>
              <w:pStyle w:val="CTEtabla-texto"/>
              <w:keepNext/>
              <w:keepLines/>
              <w:rPr>
                <w:rFonts w:cs="Arial"/>
                <w:b/>
              </w:rPr>
            </w:pPr>
            <w:r>
              <w:rPr>
                <w:b/>
              </w:rPr>
              <w:t>C</w:t>
            </w:r>
          </w:p>
        </w:tc>
        <w:tc>
          <w:tcPr>
            <w:tcW w:w="590"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937C8B" w:rsidRDefault="00230F35" w:rsidP="00D27646">
            <w:pPr>
              <w:pStyle w:val="CTEtabla-texto"/>
              <w:keepNext/>
              <w:keepLines/>
              <w:rPr>
                <w:rFonts w:cs="Arial"/>
                <w:b/>
              </w:rPr>
            </w:pPr>
            <w:r>
              <w:rPr>
                <w:b/>
              </w:rPr>
              <w:t>D</w:t>
            </w:r>
          </w:p>
        </w:tc>
        <w:tc>
          <w:tcPr>
            <w:tcW w:w="611"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937C8B" w:rsidRDefault="00230F35" w:rsidP="00D27646">
            <w:pPr>
              <w:pStyle w:val="CTEtabla-texto"/>
              <w:keepNext/>
              <w:keepLines/>
              <w:rPr>
                <w:rFonts w:cs="Arial"/>
                <w:b/>
              </w:rPr>
            </w:pPr>
            <w:r>
              <w:rPr>
                <w:b/>
              </w:rPr>
              <w:t>E</w:t>
            </w:r>
          </w:p>
        </w:tc>
      </w:tr>
      <w:tr w:rsidR="00230F35" w:rsidRPr="00937C8B" w:rsidTr="00935676">
        <w:trPr>
          <w:jc w:val="center"/>
        </w:trPr>
        <w:tc>
          <w:tcPr>
            <w:tcW w:w="2693" w:type="dxa"/>
            <w:vMerge w:val="restart"/>
            <w:tcBorders>
              <w:top w:val="single" w:sz="2" w:space="0" w:color="000000"/>
              <w:left w:val="nil"/>
              <w:bottom w:val="single" w:sz="2" w:space="0" w:color="000000"/>
              <w:right w:val="nil"/>
            </w:tcBorders>
            <w:shd w:val="clear" w:color="auto" w:fill="FFFFFF"/>
            <w:vAlign w:val="center"/>
          </w:tcPr>
          <w:p w:rsidR="00230F35" w:rsidRPr="00937C8B" w:rsidRDefault="00230F35" w:rsidP="003E38D0">
            <w:pPr>
              <w:pStyle w:val="CTEtabla-texto"/>
              <w:keepNext/>
              <w:keepLines/>
              <w:ind w:left="132"/>
              <w:jc w:val="left"/>
              <w:rPr>
                <w:rFonts w:cs="Arial"/>
              </w:rPr>
            </w:pPr>
            <w:r>
              <w:t>Between units with the same use</w:t>
            </w:r>
          </w:p>
        </w:tc>
        <w:tc>
          <w:tcPr>
            <w:tcW w:w="2255" w:type="dxa"/>
            <w:tcBorders>
              <w:top w:val="single" w:sz="2" w:space="0" w:color="000000"/>
              <w:left w:val="nil"/>
              <w:bottom w:val="nil"/>
              <w:right w:val="single" w:sz="2" w:space="0" w:color="000000"/>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Horizontal partitions</w:t>
            </w:r>
          </w:p>
        </w:tc>
        <w:tc>
          <w:tcPr>
            <w:tcW w:w="590" w:type="dxa"/>
            <w:tcBorders>
              <w:top w:val="single" w:sz="2" w:space="0" w:color="000000"/>
              <w:left w:val="single" w:sz="2" w:space="0" w:color="000000"/>
              <w:bottom w:val="nil"/>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1.90</w:t>
            </w:r>
          </w:p>
        </w:tc>
        <w:tc>
          <w:tcPr>
            <w:tcW w:w="592"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1.80</w:t>
            </w:r>
          </w:p>
        </w:tc>
        <w:tc>
          <w:tcPr>
            <w:tcW w:w="591"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1.55</w:t>
            </w:r>
          </w:p>
        </w:tc>
        <w:tc>
          <w:tcPr>
            <w:tcW w:w="589"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1.35</w:t>
            </w:r>
          </w:p>
        </w:tc>
        <w:tc>
          <w:tcPr>
            <w:tcW w:w="590"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1.20</w:t>
            </w:r>
          </w:p>
        </w:tc>
        <w:tc>
          <w:tcPr>
            <w:tcW w:w="611"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1.00</w:t>
            </w:r>
          </w:p>
        </w:tc>
      </w:tr>
      <w:tr w:rsidR="00230F35" w:rsidRPr="00937C8B" w:rsidTr="00935676">
        <w:trPr>
          <w:jc w:val="center"/>
        </w:trPr>
        <w:tc>
          <w:tcPr>
            <w:tcW w:w="2693" w:type="dxa"/>
            <w:vMerge/>
            <w:tcBorders>
              <w:top w:val="nil"/>
              <w:left w:val="nil"/>
              <w:bottom w:val="single" w:sz="2" w:space="0" w:color="000000"/>
              <w:right w:val="nil"/>
            </w:tcBorders>
            <w:shd w:val="clear" w:color="auto" w:fill="FFFFFF"/>
            <w:vAlign w:val="center"/>
          </w:tcPr>
          <w:p w:rsidR="00230F35" w:rsidRPr="00937C8B" w:rsidRDefault="00230F35" w:rsidP="003E38D0">
            <w:pPr>
              <w:pStyle w:val="CTEtabla-texto"/>
              <w:keepNext/>
              <w:keepLines/>
              <w:rPr>
                <w:rFonts w:cs="Arial"/>
              </w:rPr>
            </w:pPr>
          </w:p>
        </w:tc>
        <w:tc>
          <w:tcPr>
            <w:tcW w:w="2255" w:type="dxa"/>
            <w:tcBorders>
              <w:top w:val="nil"/>
              <w:left w:val="nil"/>
              <w:bottom w:val="single" w:sz="2" w:space="0" w:color="000000"/>
              <w:right w:val="single" w:sz="2" w:space="0" w:color="000000"/>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Vertical partitions</w:t>
            </w:r>
          </w:p>
        </w:tc>
        <w:tc>
          <w:tcPr>
            <w:tcW w:w="590" w:type="dxa"/>
            <w:tcBorders>
              <w:top w:val="nil"/>
              <w:left w:val="single" w:sz="2" w:space="0" w:color="000000"/>
              <w:bottom w:val="single" w:sz="2" w:space="0" w:color="000000"/>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1.40</w:t>
            </w:r>
          </w:p>
        </w:tc>
        <w:tc>
          <w:tcPr>
            <w:tcW w:w="592"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1.40</w:t>
            </w:r>
          </w:p>
        </w:tc>
        <w:tc>
          <w:tcPr>
            <w:tcW w:w="591"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1.20</w:t>
            </w:r>
          </w:p>
        </w:tc>
        <w:tc>
          <w:tcPr>
            <w:tcW w:w="589"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1.20</w:t>
            </w:r>
          </w:p>
        </w:tc>
        <w:tc>
          <w:tcPr>
            <w:tcW w:w="590"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1.20</w:t>
            </w:r>
          </w:p>
        </w:tc>
        <w:tc>
          <w:tcPr>
            <w:tcW w:w="611" w:type="dxa"/>
            <w:tcBorders>
              <w:top w:val="nil"/>
              <w:left w:val="nil"/>
              <w:bottom w:val="single" w:sz="2" w:space="0" w:color="000000"/>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1.00</w:t>
            </w:r>
          </w:p>
        </w:tc>
      </w:tr>
      <w:tr w:rsidR="00230F35" w:rsidRPr="00937C8B" w:rsidTr="00935676">
        <w:trPr>
          <w:jc w:val="center"/>
        </w:trPr>
        <w:tc>
          <w:tcPr>
            <w:tcW w:w="2693" w:type="dxa"/>
            <w:tcBorders>
              <w:top w:val="single" w:sz="2" w:space="0" w:color="000000"/>
              <w:left w:val="nil"/>
              <w:bottom w:val="nil"/>
              <w:right w:val="nil"/>
            </w:tcBorders>
            <w:shd w:val="clear" w:color="auto" w:fill="FFFFFF"/>
            <w:vAlign w:val="center"/>
          </w:tcPr>
          <w:p w:rsidR="00230F35" w:rsidRPr="00937C8B" w:rsidRDefault="00230F35" w:rsidP="003E38D0">
            <w:pPr>
              <w:pStyle w:val="CTEtabla-texto"/>
              <w:keepNext/>
              <w:keepLines/>
              <w:ind w:left="132"/>
              <w:jc w:val="left"/>
              <w:rPr>
                <w:rFonts w:cs="Arial"/>
              </w:rPr>
            </w:pPr>
            <w:r>
              <w:t>Between units with different uses</w:t>
            </w:r>
          </w:p>
          <w:p w:rsidR="00230F35" w:rsidRPr="00937C8B" w:rsidRDefault="00230F35" w:rsidP="003E38D0">
            <w:pPr>
              <w:pStyle w:val="CTEtabla-texto"/>
              <w:keepNext/>
              <w:keepLines/>
              <w:ind w:left="132"/>
              <w:jc w:val="left"/>
              <w:rPr>
                <w:rFonts w:cs="Arial"/>
              </w:rPr>
            </w:pPr>
            <w:r>
              <w:t>Between usage units and common areas</w:t>
            </w:r>
          </w:p>
        </w:tc>
        <w:tc>
          <w:tcPr>
            <w:tcW w:w="2255" w:type="dxa"/>
            <w:tcBorders>
              <w:top w:val="single" w:sz="2" w:space="0" w:color="000000"/>
              <w:left w:val="nil"/>
              <w:bottom w:val="nil"/>
              <w:right w:val="single" w:sz="2" w:space="0" w:color="000000"/>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Horizontal and vertical partitions</w:t>
            </w:r>
          </w:p>
        </w:tc>
        <w:tc>
          <w:tcPr>
            <w:tcW w:w="590" w:type="dxa"/>
            <w:tcBorders>
              <w:top w:val="single" w:sz="2" w:space="0" w:color="000000"/>
              <w:left w:val="single" w:sz="2" w:space="0" w:color="000000"/>
              <w:bottom w:val="nil"/>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1.35</w:t>
            </w:r>
          </w:p>
        </w:tc>
        <w:tc>
          <w:tcPr>
            <w:tcW w:w="592"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1.25</w:t>
            </w:r>
          </w:p>
        </w:tc>
        <w:tc>
          <w:tcPr>
            <w:tcW w:w="591"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1.10</w:t>
            </w:r>
          </w:p>
        </w:tc>
        <w:tc>
          <w:tcPr>
            <w:tcW w:w="589"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0.95</w:t>
            </w:r>
          </w:p>
        </w:tc>
        <w:tc>
          <w:tcPr>
            <w:tcW w:w="590"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0.85</w:t>
            </w:r>
          </w:p>
        </w:tc>
        <w:tc>
          <w:tcPr>
            <w:tcW w:w="611" w:type="dxa"/>
            <w:tcBorders>
              <w:top w:val="single" w:sz="2" w:space="0" w:color="000000"/>
              <w:left w:val="nil"/>
              <w:bottom w:val="nil"/>
              <w:right w:val="nil"/>
            </w:tcBorders>
            <w:shd w:val="clear" w:color="auto" w:fill="FFFFFF"/>
            <w:tcMar>
              <w:top w:w="55" w:type="dxa"/>
              <w:left w:w="46" w:type="dxa"/>
              <w:bottom w:w="55" w:type="dxa"/>
              <w:right w:w="55" w:type="dxa"/>
            </w:tcMar>
            <w:vAlign w:val="center"/>
          </w:tcPr>
          <w:p w:rsidR="00230F35" w:rsidRPr="00937C8B" w:rsidRDefault="00230F35" w:rsidP="003E38D0">
            <w:pPr>
              <w:pStyle w:val="CTEtabla-texto"/>
              <w:keepNext/>
              <w:keepLines/>
              <w:rPr>
                <w:rFonts w:cs="Arial"/>
              </w:rPr>
            </w:pPr>
            <w:r>
              <w:t>0.70</w:t>
            </w:r>
          </w:p>
        </w:tc>
      </w:tr>
    </w:tbl>
    <w:p w:rsidR="00230F35" w:rsidRPr="00937C8B" w:rsidRDefault="00230F35" w:rsidP="00D27646">
      <w:pPr>
        <w:pStyle w:val="CTENumeracion"/>
        <w:keepNext/>
        <w:spacing w:before="120"/>
        <w:rPr>
          <w:rFonts w:cs="Arial"/>
          <w:sz w:val="22"/>
          <w:szCs w:val="22"/>
        </w:rPr>
      </w:pPr>
      <w:r>
        <w:rPr>
          <w:sz w:val="22"/>
        </w:rPr>
        <w:t>2.</w:t>
      </w:r>
      <w:r>
        <w:rPr>
          <w:sz w:val="22"/>
        </w:rPr>
        <w:tab/>
        <w:t>In cases of renovations, the limit value (U</w:t>
      </w:r>
      <w:r>
        <w:rPr>
          <w:sz w:val="22"/>
          <w:vertAlign w:val="subscript"/>
        </w:rPr>
        <w:t>lim</w:t>
      </w:r>
      <w:r>
        <w:rPr>
          <w:sz w:val="22"/>
        </w:rPr>
        <w:t>) of Table 3.2-HE1 shall only apply to interior partitions:</w:t>
      </w:r>
    </w:p>
    <w:p w:rsidR="00230F35" w:rsidRPr="00937C8B" w:rsidRDefault="00230F35" w:rsidP="00CE6532">
      <w:pPr>
        <w:pStyle w:val="CTENumeracion"/>
        <w:tabs>
          <w:tab w:val="left" w:pos="851"/>
        </w:tabs>
        <w:ind w:firstLine="171"/>
        <w:rPr>
          <w:rFonts w:cs="Arial"/>
          <w:sz w:val="22"/>
          <w:szCs w:val="22"/>
        </w:rPr>
      </w:pPr>
      <w:r>
        <w:rPr>
          <w:sz w:val="22"/>
        </w:rPr>
        <w:t>a)</w:t>
      </w:r>
      <w:r>
        <w:rPr>
          <w:sz w:val="22"/>
        </w:rPr>
        <w:tab/>
        <w:t>that are replaced, added or substantially modified;</w:t>
      </w:r>
    </w:p>
    <w:p w:rsidR="00230F35" w:rsidRPr="00937C8B" w:rsidRDefault="00CE6532" w:rsidP="001A53CE">
      <w:pPr>
        <w:pStyle w:val="CTENumeracion"/>
        <w:tabs>
          <w:tab w:val="left" w:pos="851"/>
        </w:tabs>
        <w:ind w:left="851" w:hanging="323"/>
        <w:rPr>
          <w:rFonts w:cs="Arial"/>
          <w:sz w:val="22"/>
          <w:szCs w:val="22"/>
        </w:rPr>
      </w:pPr>
      <w:r>
        <w:rPr>
          <w:sz w:val="22"/>
        </w:rPr>
        <w:t>b)</w:t>
      </w:r>
      <w:r>
        <w:rPr>
          <w:sz w:val="22"/>
        </w:rPr>
        <w:tab/>
        <w:t>whose internal or external conditions are amended due to the works, where this increases the energy needs of the building.</w:t>
      </w:r>
    </w:p>
    <w:p w:rsidR="00230F35" w:rsidRPr="00937C8B" w:rsidRDefault="00230F35" w:rsidP="009467D5">
      <w:pPr>
        <w:pStyle w:val="CteTtulo3"/>
      </w:pPr>
      <w:bookmarkStart w:id="138" w:name="Sección_HE1_Cuantificacion_Condensacion"/>
      <w:bookmarkStart w:id="139" w:name="_Toc530395257"/>
      <w:bookmarkStart w:id="140" w:name="_Toc39157928"/>
      <w:bookmarkStart w:id="141" w:name="_Toc44876251"/>
      <w:bookmarkEnd w:id="138"/>
      <w:r>
        <w:t>3.3</w:t>
      </w:r>
      <w:r>
        <w:tab/>
        <w:t xml:space="preserve">Limiting condensation in the </w:t>
      </w:r>
      <w:r>
        <w:rPr>
          <w:i/>
        </w:rPr>
        <w:t>thermal envelope</w:t>
      </w:r>
      <w:bookmarkEnd w:id="139"/>
      <w:bookmarkEnd w:id="140"/>
      <w:bookmarkEnd w:id="141"/>
    </w:p>
    <w:p w:rsidR="00230F35" w:rsidRPr="00937C8B" w:rsidRDefault="00230F35" w:rsidP="00230F35">
      <w:pPr>
        <w:pStyle w:val="CTENumeracion"/>
        <w:spacing w:before="120"/>
        <w:ind w:left="340" w:hanging="340"/>
        <w:rPr>
          <w:rFonts w:cs="Arial"/>
          <w:sz w:val="22"/>
          <w:szCs w:val="22"/>
        </w:rPr>
      </w:pPr>
      <w:r>
        <w:rPr>
          <w:sz w:val="22"/>
        </w:rPr>
        <w:t>1.</w:t>
      </w:r>
      <w:r>
        <w:rPr>
          <w:sz w:val="22"/>
        </w:rPr>
        <w:tab/>
        <w:t>If interstitial condensation occurs in the</w:t>
      </w:r>
      <w:r>
        <w:rPr>
          <w:i/>
          <w:sz w:val="22"/>
        </w:rPr>
        <w:t xml:space="preserve"> thermal envelope</w:t>
      </w:r>
      <w:r>
        <w:rPr>
          <w:sz w:val="22"/>
        </w:rPr>
        <w:t xml:space="preserve"> of the building, it shall not significantly affect its thermal performance or pose a risk of degradation or loss of service life. Under no circumstances shall </w:t>
      </w:r>
      <w:r>
        <w:rPr>
          <w:sz w:val="22"/>
        </w:rPr>
        <w:lastRenderedPageBreak/>
        <w:t>the maximum accumulated condensation in each year exceed the evaporation capacity for the same period.</w:t>
      </w:r>
    </w:p>
    <w:p w:rsidR="00230F35" w:rsidRPr="00937C8B" w:rsidRDefault="00230F35" w:rsidP="00230F35">
      <w:pPr>
        <w:pStyle w:val="CteTtulo2"/>
        <w:spacing w:before="240" w:after="60"/>
        <w:ind w:left="397" w:hanging="397"/>
        <w:rPr>
          <w:rFonts w:cs="Arial"/>
        </w:rPr>
      </w:pPr>
      <w:bookmarkStart w:id="142" w:name="_Toc530395258"/>
      <w:bookmarkStart w:id="143" w:name="_Toc530396137"/>
      <w:bookmarkStart w:id="144" w:name="_Toc39157929"/>
      <w:bookmarkStart w:id="145" w:name="_Toc39158120"/>
      <w:bookmarkStart w:id="146" w:name="_Toc44876252"/>
      <w:r>
        <w:t>4.</w:t>
      </w:r>
      <w:r>
        <w:tab/>
        <w:t>Demonstration of compliance</w:t>
      </w:r>
      <w:bookmarkEnd w:id="142"/>
      <w:bookmarkEnd w:id="143"/>
      <w:bookmarkEnd w:id="144"/>
      <w:bookmarkEnd w:id="145"/>
      <w:bookmarkEnd w:id="146"/>
    </w:p>
    <w:p w:rsidR="00230F35" w:rsidRPr="00937C8B" w:rsidRDefault="00230F35" w:rsidP="00D27646">
      <w:pPr>
        <w:pStyle w:val="CTENumeracion"/>
        <w:keepNext/>
        <w:spacing w:before="120"/>
        <w:rPr>
          <w:rFonts w:cs="Arial"/>
          <w:sz w:val="22"/>
          <w:szCs w:val="22"/>
        </w:rPr>
      </w:pPr>
      <w:r>
        <w:rPr>
          <w:sz w:val="22"/>
        </w:rPr>
        <w:t>1.</w:t>
      </w:r>
      <w:r>
        <w:rPr>
          <w:sz w:val="22"/>
        </w:rPr>
        <w:tab/>
        <w:t>To demonstrate that a building meets the requirements of this section, the design documents shall include the following information on the building or relevant part thereof:</w:t>
      </w:r>
    </w:p>
    <w:p w:rsidR="00230F35" w:rsidRPr="00937C8B" w:rsidRDefault="000B0394" w:rsidP="00230F35">
      <w:pPr>
        <w:pStyle w:val="CTENumeracion"/>
        <w:ind w:left="720"/>
        <w:rPr>
          <w:rFonts w:cs="Arial"/>
          <w:sz w:val="22"/>
          <w:szCs w:val="22"/>
        </w:rPr>
      </w:pPr>
      <w:r>
        <w:rPr>
          <w:sz w:val="22"/>
        </w:rPr>
        <w:t>a)</w:t>
      </w:r>
      <w:r>
        <w:rPr>
          <w:sz w:val="22"/>
        </w:rPr>
        <w:tab/>
        <w:t xml:space="preserve">definition of the location and </w:t>
      </w:r>
      <w:r>
        <w:rPr>
          <w:i/>
          <w:iCs/>
          <w:sz w:val="22"/>
        </w:rPr>
        <w:t>climate zone</w:t>
      </w:r>
      <w:r>
        <w:rPr>
          <w:sz w:val="22"/>
        </w:rPr>
        <w:t>;</w:t>
      </w:r>
    </w:p>
    <w:p w:rsidR="000B0394" w:rsidRPr="00937C8B" w:rsidRDefault="000B0394" w:rsidP="00230F35">
      <w:pPr>
        <w:pStyle w:val="CTENumeracion"/>
        <w:ind w:left="720"/>
        <w:rPr>
          <w:rFonts w:cs="Arial"/>
          <w:sz w:val="22"/>
          <w:szCs w:val="22"/>
        </w:rPr>
      </w:pPr>
      <w:r>
        <w:rPr>
          <w:sz w:val="22"/>
        </w:rPr>
        <w:t>b)</w:t>
      </w:r>
      <w:r>
        <w:rPr>
          <w:sz w:val="22"/>
        </w:rPr>
        <w:tab/>
        <w:t>the compactness (V/A) of the building of part thereof;</w:t>
      </w:r>
    </w:p>
    <w:p w:rsidR="00230F35" w:rsidRPr="00937C8B" w:rsidRDefault="00230F35" w:rsidP="00230F35">
      <w:pPr>
        <w:pStyle w:val="CTENumeracion"/>
        <w:ind w:left="720"/>
        <w:rPr>
          <w:rFonts w:cs="Arial"/>
          <w:sz w:val="22"/>
          <w:szCs w:val="22"/>
        </w:rPr>
      </w:pPr>
      <w:r>
        <w:rPr>
          <w:sz w:val="22"/>
        </w:rPr>
        <w:t>c)</w:t>
      </w:r>
      <w:r>
        <w:rPr>
          <w:sz w:val="22"/>
        </w:rPr>
        <w:tab/>
        <w:t xml:space="preserve">the geometric diagram defining the </w:t>
      </w:r>
      <w:r>
        <w:rPr>
          <w:i/>
          <w:iCs/>
          <w:sz w:val="22"/>
        </w:rPr>
        <w:t>thermal envelope</w:t>
      </w:r>
      <w:r>
        <w:rPr>
          <w:sz w:val="22"/>
        </w:rPr>
        <w:t>;</w:t>
      </w:r>
    </w:p>
    <w:p w:rsidR="00230F35" w:rsidRPr="00937C8B" w:rsidRDefault="00230F35" w:rsidP="00230F35">
      <w:pPr>
        <w:pStyle w:val="CTENumeracion"/>
        <w:ind w:left="720"/>
        <w:rPr>
          <w:rFonts w:cs="Arial"/>
          <w:sz w:val="22"/>
          <w:szCs w:val="22"/>
        </w:rPr>
      </w:pPr>
      <w:r>
        <w:rPr>
          <w:sz w:val="22"/>
        </w:rPr>
        <w:t>d)</w:t>
      </w:r>
      <w:r>
        <w:rPr>
          <w:sz w:val="22"/>
        </w:rPr>
        <w:tab/>
        <w:t xml:space="preserve">description of the elements making up the </w:t>
      </w:r>
      <w:r>
        <w:rPr>
          <w:i/>
          <w:sz w:val="22"/>
        </w:rPr>
        <w:t>thermal envelope</w:t>
      </w:r>
      <w:r>
        <w:rPr>
          <w:sz w:val="22"/>
        </w:rPr>
        <w:t xml:space="preserve"> (opaque enclosures, </w:t>
      </w:r>
      <w:r>
        <w:rPr>
          <w:i/>
          <w:sz w:val="22"/>
        </w:rPr>
        <w:t>openings</w:t>
      </w:r>
      <w:r>
        <w:rPr>
          <w:sz w:val="22"/>
        </w:rPr>
        <w:t xml:space="preserve"> and </w:t>
      </w:r>
      <w:r>
        <w:rPr>
          <w:i/>
          <w:sz w:val="22"/>
        </w:rPr>
        <w:t>heat bridges</w:t>
      </w:r>
      <w:r>
        <w:rPr>
          <w:sz w:val="22"/>
        </w:rPr>
        <w:t>), as well as the limit values of the applicable parameters;</w:t>
      </w:r>
    </w:p>
    <w:p w:rsidR="00230F35" w:rsidRPr="00937C8B" w:rsidRDefault="00230F35" w:rsidP="00230F35">
      <w:pPr>
        <w:pStyle w:val="CTENumeracion"/>
        <w:ind w:left="720"/>
        <w:rPr>
          <w:rFonts w:cs="Arial"/>
          <w:sz w:val="22"/>
          <w:szCs w:val="22"/>
        </w:rPr>
      </w:pPr>
      <w:r>
        <w:rPr>
          <w:sz w:val="22"/>
        </w:rPr>
        <w:t>e)</w:t>
      </w:r>
      <w:r>
        <w:rPr>
          <w:sz w:val="22"/>
        </w:rPr>
        <w:tab/>
        <w:t>geometric, structural and hygrothermal description of the elements covered by the imbalance limitation check, as well as the corresponding limit values;</w:t>
      </w:r>
    </w:p>
    <w:p w:rsidR="00230F35" w:rsidRPr="00937C8B" w:rsidRDefault="00230F35" w:rsidP="00230F35">
      <w:pPr>
        <w:pStyle w:val="CTENumeracion"/>
        <w:ind w:left="720"/>
        <w:rPr>
          <w:rFonts w:cs="Arial"/>
          <w:sz w:val="22"/>
          <w:szCs w:val="22"/>
        </w:rPr>
      </w:pPr>
      <w:r>
        <w:rPr>
          <w:sz w:val="22"/>
        </w:rPr>
        <w:t>f)</w:t>
      </w:r>
      <w:r>
        <w:rPr>
          <w:sz w:val="22"/>
        </w:rPr>
        <w:tab/>
        <w:t>minimum technical characteristics required for the</w:t>
      </w:r>
      <w:r>
        <w:rPr>
          <w:i/>
          <w:sz w:val="22"/>
        </w:rPr>
        <w:t xml:space="preserve"> products</w:t>
      </w:r>
      <w:r>
        <w:rPr>
          <w:sz w:val="22"/>
        </w:rPr>
        <w:t xml:space="preserve"> used in the works that are relevant to energy behaviour;</w:t>
      </w:r>
    </w:p>
    <w:p w:rsidR="00230F35" w:rsidRPr="00937C8B" w:rsidRDefault="00230F35" w:rsidP="00230F35">
      <w:pPr>
        <w:pStyle w:val="CTENumeracion"/>
        <w:ind w:left="720"/>
        <w:rPr>
          <w:rFonts w:cs="Arial"/>
          <w:sz w:val="22"/>
          <w:szCs w:val="22"/>
        </w:rPr>
      </w:pPr>
      <w:r>
        <w:rPr>
          <w:sz w:val="22"/>
        </w:rPr>
        <w:t>g)</w:t>
      </w:r>
      <w:r>
        <w:rPr>
          <w:sz w:val="22"/>
        </w:rPr>
        <w:tab/>
      </w:r>
      <w:bookmarkStart w:id="147" w:name="__RefHeading___Toc18502_1845173866"/>
      <w:r>
        <w:rPr>
          <w:sz w:val="22"/>
        </w:rPr>
        <w:t xml:space="preserve">in new buildings for private residential use, the </w:t>
      </w:r>
      <w:r>
        <w:rPr>
          <w:i/>
          <w:sz w:val="22"/>
        </w:rPr>
        <w:t xml:space="preserve">air exchange ratio </w:t>
      </w:r>
      <w:r>
        <w:rPr>
          <w:sz w:val="22"/>
        </w:rPr>
        <w:t>at a differential pressure of 50 Pa (n</w:t>
      </w:r>
      <w:r>
        <w:rPr>
          <w:sz w:val="22"/>
          <w:vertAlign w:val="subscript"/>
        </w:rPr>
        <w:t>50</w:t>
      </w:r>
      <w:r>
        <w:rPr>
          <w:sz w:val="22"/>
        </w:rPr>
        <w:t xml:space="preserve">); </w:t>
      </w:r>
    </w:p>
    <w:p w:rsidR="000B0394" w:rsidRPr="00937C8B" w:rsidRDefault="00230F35" w:rsidP="00230F35">
      <w:pPr>
        <w:pStyle w:val="CTENumeracion"/>
        <w:ind w:left="720"/>
        <w:rPr>
          <w:rFonts w:cs="Arial"/>
          <w:sz w:val="22"/>
          <w:szCs w:val="22"/>
        </w:rPr>
      </w:pPr>
      <w:r>
        <w:rPr>
          <w:sz w:val="22"/>
        </w:rPr>
        <w:t>h)</w:t>
      </w:r>
      <w:r>
        <w:rPr>
          <w:sz w:val="22"/>
        </w:rPr>
        <w:tab/>
        <w:t>verification of compliance with the condensation control requirement.</w:t>
      </w:r>
      <w:bookmarkEnd w:id="147"/>
    </w:p>
    <w:p w:rsidR="00230F35" w:rsidRPr="00937C8B" w:rsidRDefault="00230F35" w:rsidP="00D27646">
      <w:pPr>
        <w:pStyle w:val="CTENumeracion"/>
        <w:keepNext/>
        <w:rPr>
          <w:rFonts w:cs="Arial"/>
          <w:sz w:val="22"/>
          <w:szCs w:val="22"/>
        </w:rPr>
      </w:pPr>
      <w:r>
        <w:rPr>
          <w:sz w:val="22"/>
        </w:rPr>
        <w:t>2.</w:t>
      </w:r>
      <w:r>
        <w:rPr>
          <w:sz w:val="22"/>
        </w:rPr>
        <w:tab/>
        <w:t xml:space="preserve">The description of the opaque </w:t>
      </w:r>
      <w:r>
        <w:rPr>
          <w:i/>
          <w:sz w:val="22"/>
        </w:rPr>
        <w:t>enclosures</w:t>
      </w:r>
      <w:r>
        <w:rPr>
          <w:sz w:val="22"/>
        </w:rPr>
        <w:t xml:space="preserve"> shall include:</w:t>
      </w:r>
    </w:p>
    <w:p w:rsidR="00230F35" w:rsidRPr="00937C8B" w:rsidRDefault="00230F35" w:rsidP="00230F35">
      <w:pPr>
        <w:pStyle w:val="CTENumeracion"/>
        <w:ind w:left="709" w:hanging="312"/>
        <w:rPr>
          <w:rFonts w:cs="Arial"/>
          <w:sz w:val="22"/>
          <w:szCs w:val="22"/>
        </w:rPr>
      </w:pPr>
      <w:r>
        <w:rPr>
          <w:sz w:val="22"/>
        </w:rPr>
        <w:t>a)</w:t>
      </w:r>
      <w:r>
        <w:rPr>
          <w:sz w:val="22"/>
        </w:rPr>
        <w:tab/>
        <w:t>geometric and structural characteristics;</w:t>
      </w:r>
    </w:p>
    <w:p w:rsidR="00230F35" w:rsidRPr="00937C8B" w:rsidRDefault="00230F35" w:rsidP="00230F35">
      <w:pPr>
        <w:pStyle w:val="CTENumeracion"/>
        <w:ind w:left="709" w:hanging="312"/>
        <w:rPr>
          <w:rFonts w:cs="Arial"/>
          <w:sz w:val="22"/>
          <w:szCs w:val="22"/>
        </w:rPr>
      </w:pPr>
      <w:r>
        <w:rPr>
          <w:sz w:val="22"/>
        </w:rPr>
        <w:t>b)</w:t>
      </w:r>
      <w:r>
        <w:rPr>
          <w:sz w:val="22"/>
        </w:rPr>
        <w:tab/>
        <w:t xml:space="preserve">the boundary conditions (contact with air, the ground, or </w:t>
      </w:r>
      <w:r>
        <w:rPr>
          <w:i/>
          <w:sz w:val="22"/>
        </w:rPr>
        <w:t>adiabatic</w:t>
      </w:r>
      <w:r>
        <w:rPr>
          <w:sz w:val="22"/>
        </w:rPr>
        <w:t>) and the space to which they pertain;</w:t>
      </w:r>
    </w:p>
    <w:p w:rsidR="00230F35" w:rsidRPr="00937C8B" w:rsidRDefault="00230F35" w:rsidP="00D27646">
      <w:pPr>
        <w:pStyle w:val="CTENumeracion"/>
        <w:keepNext/>
        <w:ind w:left="709" w:hanging="312"/>
        <w:rPr>
          <w:rFonts w:cs="Arial"/>
          <w:sz w:val="22"/>
          <w:szCs w:val="22"/>
        </w:rPr>
      </w:pPr>
      <w:r>
        <w:rPr>
          <w:sz w:val="22"/>
        </w:rPr>
        <w:t>c)</w:t>
      </w:r>
      <w:r>
        <w:rPr>
          <w:sz w:val="22"/>
        </w:rPr>
        <w:tab/>
        <w:t>the parameters that properly describe its thermal performance, which can be a simplified description that aggregates parallel and uniform layers exhibiting equivalent thermal behaviour, where:</w:t>
      </w:r>
    </w:p>
    <w:p w:rsidR="00230F35" w:rsidRPr="00937C8B" w:rsidRDefault="00230F35" w:rsidP="00230F35">
      <w:pPr>
        <w:pStyle w:val="CTENumeracion"/>
        <w:ind w:left="993" w:hanging="567"/>
        <w:rPr>
          <w:rFonts w:cs="Arial"/>
          <w:sz w:val="22"/>
          <w:szCs w:val="22"/>
        </w:rPr>
      </w:pPr>
      <w:r>
        <w:rPr>
          <w:sz w:val="22"/>
        </w:rPr>
        <w:tab/>
        <w:t xml:space="preserve">i) layers with a substantial </w:t>
      </w:r>
      <w:r>
        <w:rPr>
          <w:i/>
          <w:sz w:val="22"/>
        </w:rPr>
        <w:t>thermal mass</w:t>
      </w:r>
      <w:r>
        <w:rPr>
          <w:sz w:val="22"/>
        </w:rPr>
        <w:t xml:space="preserve"> are described by their thickness, density, conductivity and specific heat capacity; and</w:t>
      </w:r>
    </w:p>
    <w:p w:rsidR="00230F35" w:rsidRPr="00937C8B" w:rsidRDefault="00230F35" w:rsidP="00230F35">
      <w:pPr>
        <w:pStyle w:val="CTENumeracion"/>
        <w:ind w:left="993" w:hanging="567"/>
        <w:rPr>
          <w:rFonts w:cs="Arial"/>
          <w:sz w:val="22"/>
          <w:szCs w:val="22"/>
        </w:rPr>
      </w:pPr>
      <w:r>
        <w:rPr>
          <w:sz w:val="22"/>
        </w:rPr>
        <w:tab/>
        <w:t xml:space="preserve">ii) layers without a substantial </w:t>
      </w:r>
      <w:r>
        <w:rPr>
          <w:i/>
          <w:sz w:val="22"/>
        </w:rPr>
        <w:t>thermal mass</w:t>
      </w:r>
      <w:r>
        <w:rPr>
          <w:sz w:val="22"/>
        </w:rPr>
        <w:t xml:space="preserve"> (air cavities, membranes, etc.) are described by the total resistance of the layer and its thickness.</w:t>
      </w:r>
    </w:p>
    <w:p w:rsidR="00230F35" w:rsidRPr="00937C8B" w:rsidRDefault="00230F35" w:rsidP="00D27646">
      <w:pPr>
        <w:pStyle w:val="CTENumeracion"/>
        <w:keepNext/>
        <w:spacing w:before="240"/>
        <w:rPr>
          <w:rFonts w:cs="Arial"/>
          <w:sz w:val="22"/>
          <w:szCs w:val="22"/>
        </w:rPr>
      </w:pPr>
      <w:r>
        <w:rPr>
          <w:sz w:val="22"/>
        </w:rPr>
        <w:t>3.</w:t>
      </w:r>
      <w:r>
        <w:rPr>
          <w:sz w:val="22"/>
        </w:rPr>
        <w:tab/>
        <w:t xml:space="preserve">The description of the </w:t>
      </w:r>
      <w:r>
        <w:rPr>
          <w:i/>
          <w:sz w:val="22"/>
        </w:rPr>
        <w:t>openings</w:t>
      </w:r>
      <w:r>
        <w:rPr>
          <w:sz w:val="22"/>
        </w:rPr>
        <w:t xml:space="preserve"> shall include:</w:t>
      </w:r>
    </w:p>
    <w:p w:rsidR="00230F35" w:rsidRPr="00937C8B" w:rsidRDefault="00230F35" w:rsidP="00230F35">
      <w:pPr>
        <w:pStyle w:val="CTENumeracion"/>
        <w:ind w:left="709" w:hanging="283"/>
        <w:rPr>
          <w:rFonts w:cs="Arial"/>
          <w:sz w:val="22"/>
          <w:szCs w:val="22"/>
        </w:rPr>
      </w:pPr>
      <w:r>
        <w:rPr>
          <w:sz w:val="22"/>
        </w:rPr>
        <w:t>a)</w:t>
      </w:r>
      <w:r>
        <w:rPr>
          <w:sz w:val="22"/>
        </w:rPr>
        <w:tab/>
        <w:t>geometric and structural characteristics;</w:t>
      </w:r>
    </w:p>
    <w:p w:rsidR="00230F35" w:rsidRPr="00937C8B" w:rsidRDefault="00230F35" w:rsidP="00230F35">
      <w:pPr>
        <w:pStyle w:val="CTENumeracion"/>
        <w:ind w:left="709" w:hanging="283"/>
        <w:rPr>
          <w:rFonts w:cs="Arial"/>
          <w:sz w:val="22"/>
          <w:szCs w:val="22"/>
        </w:rPr>
      </w:pPr>
      <w:r>
        <w:rPr>
          <w:sz w:val="22"/>
        </w:rPr>
        <w:t>b)</w:t>
      </w:r>
      <w:r>
        <w:rPr>
          <w:sz w:val="22"/>
        </w:rPr>
        <w:tab/>
        <w:t>the space to which they belong;</w:t>
      </w:r>
    </w:p>
    <w:p w:rsidR="00230F35" w:rsidRPr="00937C8B" w:rsidRDefault="00230F35" w:rsidP="00230F35">
      <w:pPr>
        <w:pStyle w:val="CTENumeracion"/>
        <w:ind w:left="709" w:hanging="283"/>
        <w:rPr>
          <w:rFonts w:cs="Arial"/>
          <w:sz w:val="22"/>
          <w:szCs w:val="22"/>
        </w:rPr>
      </w:pPr>
      <w:r>
        <w:rPr>
          <w:sz w:val="22"/>
        </w:rPr>
        <w:t>c)</w:t>
      </w:r>
      <w:r>
        <w:rPr>
          <w:sz w:val="22"/>
        </w:rPr>
        <w:tab/>
        <w:t xml:space="preserve">the description and characteristics of the sun shades, whether stationary or mobile, and other elements that could cast shadows or reduce the solar gain of the </w:t>
      </w:r>
      <w:r>
        <w:rPr>
          <w:i/>
          <w:sz w:val="22"/>
        </w:rPr>
        <w:t>openings</w:t>
      </w:r>
      <w:r>
        <w:rPr>
          <w:sz w:val="22"/>
        </w:rPr>
        <w:t>;</w:t>
      </w:r>
    </w:p>
    <w:p w:rsidR="00230F35" w:rsidRPr="00937C8B" w:rsidRDefault="00230F35" w:rsidP="00230F35">
      <w:pPr>
        <w:pStyle w:val="CTENumeracion"/>
        <w:ind w:left="709" w:hanging="283"/>
        <w:rPr>
          <w:rFonts w:cs="Arial"/>
          <w:sz w:val="22"/>
          <w:szCs w:val="22"/>
        </w:rPr>
      </w:pPr>
      <w:r>
        <w:rPr>
          <w:sz w:val="22"/>
        </w:rPr>
        <w:t>d)</w:t>
      </w:r>
      <w:r>
        <w:rPr>
          <w:sz w:val="22"/>
        </w:rPr>
        <w:tab/>
        <w:t xml:space="preserve">the surface area and </w:t>
      </w:r>
      <w:r>
        <w:rPr>
          <w:i/>
          <w:sz w:val="22"/>
        </w:rPr>
        <w:t xml:space="preserve">thermal transmittance </w:t>
      </w:r>
      <w:r>
        <w:rPr>
          <w:sz w:val="22"/>
        </w:rPr>
        <w:t xml:space="preserve">of the glazing and frame, as well as that of the overall </w:t>
      </w:r>
      <w:r>
        <w:rPr>
          <w:i/>
          <w:sz w:val="22"/>
        </w:rPr>
        <w:t>opening</w:t>
      </w:r>
      <w:r>
        <w:rPr>
          <w:sz w:val="22"/>
        </w:rPr>
        <w:t>;</w:t>
      </w:r>
    </w:p>
    <w:p w:rsidR="00230F35" w:rsidRPr="00937C8B" w:rsidRDefault="00230F35" w:rsidP="00230F35">
      <w:pPr>
        <w:pStyle w:val="CTENumeracion"/>
        <w:ind w:left="709" w:hanging="283"/>
        <w:rPr>
          <w:rFonts w:cs="Arial"/>
          <w:sz w:val="22"/>
          <w:szCs w:val="22"/>
        </w:rPr>
      </w:pPr>
      <w:r>
        <w:rPr>
          <w:sz w:val="22"/>
        </w:rPr>
        <w:t>e)</w:t>
      </w:r>
      <w:r>
        <w:rPr>
          <w:sz w:val="22"/>
        </w:rPr>
        <w:tab/>
        <w:t xml:space="preserve">the </w:t>
      </w:r>
      <w:r>
        <w:rPr>
          <w:i/>
          <w:sz w:val="22"/>
        </w:rPr>
        <w:t>solar factor</w:t>
      </w:r>
      <w:r>
        <w:rPr>
          <w:sz w:val="22"/>
        </w:rPr>
        <w:t xml:space="preserve"> of the glazing, except in cases of doors with a semi-transparent area of less than 50%;</w:t>
      </w:r>
    </w:p>
    <w:p w:rsidR="00230F35" w:rsidRPr="00937C8B" w:rsidRDefault="00230F35" w:rsidP="00230F35">
      <w:pPr>
        <w:pStyle w:val="CTENumeracion"/>
        <w:ind w:left="709" w:hanging="283"/>
        <w:rPr>
          <w:rFonts w:cs="Arial"/>
          <w:sz w:val="22"/>
          <w:szCs w:val="22"/>
        </w:rPr>
      </w:pPr>
      <w:r>
        <w:rPr>
          <w:sz w:val="22"/>
        </w:rPr>
        <w:t>f)</w:t>
      </w:r>
      <w:r>
        <w:rPr>
          <w:sz w:val="22"/>
        </w:rPr>
        <w:tab/>
        <w:t xml:space="preserve">the </w:t>
      </w:r>
      <w:r>
        <w:rPr>
          <w:i/>
          <w:sz w:val="22"/>
        </w:rPr>
        <w:t>absorptivity</w:t>
      </w:r>
      <w:r>
        <w:rPr>
          <w:sz w:val="22"/>
        </w:rPr>
        <w:t xml:space="preserve"> of the outer face of the frame;</w:t>
      </w:r>
    </w:p>
    <w:p w:rsidR="00230F35" w:rsidRPr="00937C8B" w:rsidRDefault="00230F35" w:rsidP="00230F35">
      <w:pPr>
        <w:pStyle w:val="CTENumeracion"/>
        <w:ind w:left="709" w:hanging="283"/>
        <w:rPr>
          <w:rFonts w:cs="Arial"/>
          <w:sz w:val="22"/>
          <w:szCs w:val="22"/>
        </w:rPr>
      </w:pPr>
      <w:r>
        <w:rPr>
          <w:sz w:val="22"/>
        </w:rPr>
        <w:t>g)</w:t>
      </w:r>
      <w:r>
        <w:rPr>
          <w:sz w:val="22"/>
        </w:rPr>
        <w:tab/>
        <w:t xml:space="preserve">the </w:t>
      </w:r>
      <w:r>
        <w:rPr>
          <w:i/>
          <w:iCs/>
          <w:sz w:val="22"/>
        </w:rPr>
        <w:t>air permeability</w:t>
      </w:r>
      <w:r>
        <w:rPr>
          <w:sz w:val="22"/>
        </w:rPr>
        <w:t>.</w:t>
      </w:r>
    </w:p>
    <w:p w:rsidR="00230F35" w:rsidRPr="00937C8B" w:rsidRDefault="00230F35" w:rsidP="00D27646">
      <w:pPr>
        <w:pStyle w:val="CTENumeracion"/>
        <w:keepNext/>
        <w:spacing w:before="240"/>
        <w:rPr>
          <w:rFonts w:cs="Arial"/>
          <w:sz w:val="22"/>
          <w:szCs w:val="22"/>
        </w:rPr>
      </w:pPr>
      <w:r>
        <w:rPr>
          <w:sz w:val="22"/>
        </w:rPr>
        <w:t>4.</w:t>
      </w:r>
      <w:r>
        <w:rPr>
          <w:sz w:val="22"/>
        </w:rPr>
        <w:tab/>
        <w:t xml:space="preserve">The description of the linear </w:t>
      </w:r>
      <w:r>
        <w:rPr>
          <w:i/>
          <w:sz w:val="22"/>
        </w:rPr>
        <w:t>heat bridges</w:t>
      </w:r>
      <w:r>
        <w:rPr>
          <w:sz w:val="22"/>
        </w:rPr>
        <w:t xml:space="preserve"> shall include:</w:t>
      </w:r>
    </w:p>
    <w:p w:rsidR="00230F35" w:rsidRPr="00937C8B" w:rsidRDefault="00230F35" w:rsidP="00230F35">
      <w:pPr>
        <w:pStyle w:val="CTENumeracion"/>
        <w:ind w:left="709" w:hanging="283"/>
        <w:rPr>
          <w:rFonts w:cs="Arial"/>
          <w:sz w:val="22"/>
          <w:szCs w:val="22"/>
        </w:rPr>
      </w:pPr>
      <w:r>
        <w:rPr>
          <w:sz w:val="22"/>
        </w:rPr>
        <w:t>a)</w:t>
      </w:r>
      <w:r>
        <w:rPr>
          <w:sz w:val="22"/>
        </w:rPr>
        <w:tab/>
        <w:t>the type, details and location;</w:t>
      </w:r>
    </w:p>
    <w:p w:rsidR="00230F35" w:rsidRPr="00937C8B" w:rsidRDefault="00230F35" w:rsidP="00230F35">
      <w:pPr>
        <w:pStyle w:val="CTENumeracion"/>
        <w:ind w:left="709" w:hanging="283"/>
        <w:rPr>
          <w:rFonts w:cs="Arial"/>
          <w:sz w:val="22"/>
          <w:szCs w:val="22"/>
        </w:rPr>
      </w:pPr>
      <w:r>
        <w:rPr>
          <w:sz w:val="22"/>
        </w:rPr>
        <w:t>b)</w:t>
      </w:r>
      <w:r>
        <w:rPr>
          <w:sz w:val="22"/>
        </w:rPr>
        <w:tab/>
        <w:t xml:space="preserve">the </w:t>
      </w:r>
      <w:r>
        <w:rPr>
          <w:i/>
          <w:sz w:val="22"/>
        </w:rPr>
        <w:t>linear thermal transmittance</w:t>
      </w:r>
      <w:r>
        <w:rPr>
          <w:sz w:val="22"/>
        </w:rPr>
        <w:t xml:space="preserve">, obtained with respect to the adjacent </w:t>
      </w:r>
      <w:r>
        <w:rPr>
          <w:i/>
          <w:sz w:val="22"/>
        </w:rPr>
        <w:t>enclosures</w:t>
      </w:r>
      <w:r>
        <w:rPr>
          <w:sz w:val="22"/>
        </w:rPr>
        <w:t>;</w:t>
      </w:r>
    </w:p>
    <w:p w:rsidR="00230F35" w:rsidRPr="00937C8B" w:rsidRDefault="00230F35" w:rsidP="00230F35">
      <w:pPr>
        <w:pStyle w:val="CTENumeracion"/>
        <w:ind w:left="709" w:hanging="283"/>
        <w:rPr>
          <w:rFonts w:cs="Arial"/>
          <w:sz w:val="22"/>
          <w:szCs w:val="22"/>
        </w:rPr>
      </w:pPr>
      <w:r>
        <w:rPr>
          <w:sz w:val="22"/>
        </w:rPr>
        <w:t>c)</w:t>
      </w:r>
      <w:r>
        <w:rPr>
          <w:sz w:val="22"/>
        </w:rPr>
        <w:tab/>
        <w:t>its length;</w:t>
      </w:r>
    </w:p>
    <w:p w:rsidR="00230F35" w:rsidRPr="00937C8B" w:rsidRDefault="00230F35" w:rsidP="00230F35">
      <w:pPr>
        <w:pStyle w:val="CTENumeracion"/>
        <w:ind w:left="709" w:hanging="283"/>
        <w:rPr>
          <w:rFonts w:cs="Arial"/>
          <w:sz w:val="22"/>
          <w:szCs w:val="22"/>
        </w:rPr>
      </w:pPr>
      <w:r>
        <w:rPr>
          <w:sz w:val="22"/>
        </w:rPr>
        <w:t>d)</w:t>
      </w:r>
      <w:r>
        <w:rPr>
          <w:sz w:val="22"/>
        </w:rPr>
        <w:tab/>
        <w:t xml:space="preserve">the </w:t>
      </w:r>
      <w:r>
        <w:rPr>
          <w:i/>
          <w:sz w:val="22"/>
        </w:rPr>
        <w:t>dimensional system</w:t>
      </w:r>
      <w:r>
        <w:rPr>
          <w:sz w:val="22"/>
        </w:rPr>
        <w:t xml:space="preserve"> used, if internal dimensions are not used, or may give rise to doubts.</w:t>
      </w:r>
    </w:p>
    <w:p w:rsidR="00230F35" w:rsidRPr="00937C8B" w:rsidRDefault="00230F35" w:rsidP="00230F35">
      <w:pPr>
        <w:pStyle w:val="CteTtulo2"/>
        <w:spacing w:before="240" w:after="120"/>
        <w:jc w:val="both"/>
        <w:rPr>
          <w:rFonts w:cs="Arial"/>
        </w:rPr>
      </w:pPr>
      <w:bookmarkStart w:id="148" w:name="_Toc530395259"/>
      <w:bookmarkStart w:id="149" w:name="_Toc39157930"/>
      <w:bookmarkStart w:id="150" w:name="_Toc39158121"/>
      <w:bookmarkStart w:id="151" w:name="_Toc44876253"/>
      <w:r>
        <w:lastRenderedPageBreak/>
        <w:t>5.</w:t>
      </w:r>
      <w:r>
        <w:tab/>
        <w:t>Construction, maintenance and preservation</w:t>
      </w:r>
      <w:bookmarkEnd w:id="148"/>
      <w:bookmarkEnd w:id="149"/>
      <w:bookmarkEnd w:id="150"/>
      <w:bookmarkEnd w:id="151"/>
    </w:p>
    <w:p w:rsidR="00230F35" w:rsidRPr="00937C8B" w:rsidRDefault="00230F35" w:rsidP="009467D5">
      <w:pPr>
        <w:pStyle w:val="CteTtulo3"/>
      </w:pPr>
      <w:bookmarkStart w:id="152" w:name="_Toc530395260"/>
      <w:bookmarkStart w:id="153" w:name="_Toc530396139"/>
      <w:bookmarkStart w:id="154" w:name="_Toc39157931"/>
      <w:bookmarkStart w:id="155" w:name="_Toc44876254"/>
      <w:r>
        <w:t>5.1</w:t>
      </w:r>
      <w:r>
        <w:tab/>
        <w:t xml:space="preserve">Mandatory </w:t>
      </w:r>
      <w:r>
        <w:rPr>
          <w:i/>
          <w:iCs/>
        </w:rPr>
        <w:t>product</w:t>
      </w:r>
      <w:r>
        <w:t xml:space="preserve"> characteristics</w:t>
      </w:r>
      <w:bookmarkEnd w:id="152"/>
      <w:bookmarkEnd w:id="153"/>
      <w:bookmarkEnd w:id="154"/>
      <w:bookmarkEnd w:id="155"/>
    </w:p>
    <w:p w:rsidR="00230F35" w:rsidRPr="00937C8B" w:rsidRDefault="00230F35" w:rsidP="00230F35">
      <w:pPr>
        <w:pStyle w:val="CTENumeracion"/>
        <w:spacing w:before="120"/>
        <w:rPr>
          <w:rFonts w:cs="Arial"/>
          <w:sz w:val="22"/>
          <w:szCs w:val="22"/>
        </w:rPr>
      </w:pPr>
      <w:r>
        <w:rPr>
          <w:sz w:val="22"/>
        </w:rPr>
        <w:t>1.</w:t>
      </w:r>
      <w:r>
        <w:rPr>
          <w:sz w:val="22"/>
        </w:rPr>
        <w:tab/>
        <w:t xml:space="preserve">The buildings shall be described thermally by means of the hygrothermal properties of the construction </w:t>
      </w:r>
      <w:r>
        <w:rPr>
          <w:i/>
          <w:iCs/>
          <w:sz w:val="22"/>
        </w:rPr>
        <w:t>products</w:t>
      </w:r>
      <w:r>
        <w:rPr>
          <w:sz w:val="22"/>
        </w:rPr>
        <w:t xml:space="preserve"> making up their </w:t>
      </w:r>
      <w:r>
        <w:rPr>
          <w:i/>
          <w:iCs/>
          <w:sz w:val="22"/>
        </w:rPr>
        <w:t>thermal envelope</w:t>
      </w:r>
      <w:r>
        <w:rPr>
          <w:sz w:val="22"/>
        </w:rPr>
        <w:t>.</w:t>
      </w:r>
    </w:p>
    <w:p w:rsidR="00B44AA1" w:rsidRPr="00937C8B" w:rsidRDefault="00230F35" w:rsidP="00230F35">
      <w:pPr>
        <w:pStyle w:val="CTENumeracion"/>
        <w:spacing w:before="120"/>
        <w:rPr>
          <w:rFonts w:cs="Arial"/>
          <w:sz w:val="22"/>
          <w:szCs w:val="22"/>
        </w:rPr>
      </w:pPr>
      <w:r>
        <w:rPr>
          <w:sz w:val="22"/>
        </w:rPr>
        <w:t>2.</w:t>
      </w:r>
      <w:r>
        <w:rPr>
          <w:sz w:val="22"/>
        </w:rPr>
        <w:tab/>
        <w:t xml:space="preserve">The </w:t>
      </w:r>
      <w:r>
        <w:rPr>
          <w:i/>
          <w:sz w:val="22"/>
        </w:rPr>
        <w:t>products</w:t>
      </w:r>
      <w:r>
        <w:rPr>
          <w:sz w:val="22"/>
        </w:rPr>
        <w:t xml:space="preserve"> for the </w:t>
      </w:r>
      <w:r>
        <w:rPr>
          <w:i/>
          <w:sz w:val="22"/>
        </w:rPr>
        <w:t>enclosures</w:t>
      </w:r>
      <w:r>
        <w:rPr>
          <w:sz w:val="22"/>
        </w:rPr>
        <w:t xml:space="preserve"> shall be defined by their thermal conductivity </w:t>
      </w:r>
      <w:r>
        <w:rPr>
          <w:rFonts w:ascii="Symbol" w:hAnsi="Symbol"/>
        </w:rPr>
        <w:t></w:t>
      </w:r>
      <w:r>
        <w:rPr>
          <w:sz w:val="22"/>
        </w:rPr>
        <w:t xml:space="preserve"> (W/m·K), their emissivity </w:t>
      </w:r>
      <w:r>
        <w:rPr>
          <w:rFonts w:ascii="Symbol" w:hAnsi="Symbol"/>
          <w:sz w:val="22"/>
        </w:rPr>
        <w:t></w:t>
      </w:r>
      <w:r>
        <w:rPr>
          <w:sz w:val="22"/>
        </w:rPr>
        <w:t xml:space="preserve">, if particularly relevant, and the water vapour diffusion resistance factor μ. In addition, where applicable, the density </w:t>
      </w:r>
      <w:r>
        <w:rPr>
          <w:rFonts w:ascii="Symbol" w:hAnsi="Symbol"/>
          <w:sz w:val="22"/>
        </w:rPr>
        <w:t></w:t>
      </w:r>
      <w:r>
        <w:rPr>
          <w:sz w:val="22"/>
        </w:rPr>
        <w:t xml:space="preserve"> (kg/m</w:t>
      </w:r>
      <w:r>
        <w:rPr>
          <w:sz w:val="22"/>
          <w:vertAlign w:val="superscript"/>
        </w:rPr>
        <w:t>3</w:t>
      </w:r>
      <w:r>
        <w:rPr>
          <w:sz w:val="22"/>
        </w:rPr>
        <w:t>) and specific heat capacity c</w:t>
      </w:r>
      <w:r>
        <w:rPr>
          <w:sz w:val="22"/>
          <w:vertAlign w:val="subscript"/>
        </w:rPr>
        <w:t>p</w:t>
      </w:r>
      <w:r>
        <w:rPr>
          <w:sz w:val="22"/>
        </w:rPr>
        <w:t xml:space="preserve"> (J/kg·K) may also be defined.</w:t>
      </w:r>
    </w:p>
    <w:p w:rsidR="00230F35" w:rsidRPr="00937C8B" w:rsidRDefault="00230F35" w:rsidP="00230F35">
      <w:pPr>
        <w:pStyle w:val="CTENumeracion"/>
        <w:spacing w:before="120"/>
        <w:rPr>
          <w:rFonts w:cs="Arial"/>
          <w:sz w:val="22"/>
          <w:szCs w:val="22"/>
        </w:rPr>
      </w:pPr>
      <w:r>
        <w:rPr>
          <w:sz w:val="22"/>
        </w:rPr>
        <w:t>3.</w:t>
      </w:r>
      <w:r>
        <w:rPr>
          <w:sz w:val="22"/>
        </w:rPr>
        <w:tab/>
        <w:t xml:space="preserve">The </w:t>
      </w:r>
      <w:r>
        <w:rPr>
          <w:i/>
          <w:sz w:val="22"/>
        </w:rPr>
        <w:t>products</w:t>
      </w:r>
      <w:r>
        <w:rPr>
          <w:sz w:val="22"/>
        </w:rPr>
        <w:t xml:space="preserve"> for </w:t>
      </w:r>
      <w:r>
        <w:rPr>
          <w:i/>
          <w:sz w:val="22"/>
        </w:rPr>
        <w:t>openings</w:t>
      </w:r>
      <w:r>
        <w:rPr>
          <w:sz w:val="22"/>
        </w:rPr>
        <w:t xml:space="preserve"> (including doors) are described by the </w:t>
      </w:r>
      <w:r>
        <w:rPr>
          <w:i/>
          <w:sz w:val="22"/>
        </w:rPr>
        <w:t>thermal transmittance</w:t>
      </w:r>
      <w:r>
        <w:rPr>
          <w:sz w:val="22"/>
        </w:rPr>
        <w:t xml:space="preserve"> U (W/m²·K) and the </w:t>
      </w:r>
      <w:r>
        <w:rPr>
          <w:i/>
          <w:sz w:val="22"/>
        </w:rPr>
        <w:t xml:space="preserve">solar factor </w:t>
      </w:r>
      <w:r>
        <w:rPr>
          <w:sz w:val="22"/>
        </w:rPr>
        <w:t>g</w:t>
      </w:r>
      <w:r>
        <w:rPr>
          <w:sz w:val="22"/>
          <w:vertAlign w:val="subscript"/>
        </w:rPr>
        <w:t>┴</w:t>
      </w:r>
      <w:r>
        <w:rPr>
          <w:sz w:val="22"/>
        </w:rPr>
        <w:t xml:space="preserve"> for the semi-transparent part of the </w:t>
      </w:r>
      <w:r>
        <w:rPr>
          <w:i/>
          <w:sz w:val="22"/>
        </w:rPr>
        <w:t>opening</w:t>
      </w:r>
      <w:r>
        <w:rPr>
          <w:sz w:val="22"/>
        </w:rPr>
        <w:t xml:space="preserve">; by the </w:t>
      </w:r>
      <w:r>
        <w:rPr>
          <w:i/>
          <w:sz w:val="22"/>
        </w:rPr>
        <w:t>thermal transmittance</w:t>
      </w:r>
      <w:r>
        <w:rPr>
          <w:sz w:val="22"/>
        </w:rPr>
        <w:t xml:space="preserve"> U (W/m</w:t>
      </w:r>
      <w:r>
        <w:rPr>
          <w:sz w:val="22"/>
          <w:vertAlign w:val="superscript"/>
        </w:rPr>
        <w:t>2·</w:t>
      </w:r>
      <w:r>
        <w:rPr>
          <w:sz w:val="22"/>
        </w:rPr>
        <w:t xml:space="preserve">K) and the </w:t>
      </w:r>
      <w:r>
        <w:rPr>
          <w:i/>
          <w:sz w:val="22"/>
        </w:rPr>
        <w:t>absorptivity</w:t>
      </w:r>
      <w:r>
        <w:rPr>
          <w:sz w:val="22"/>
        </w:rPr>
        <w:t xml:space="preserve"> α for the frames of </w:t>
      </w:r>
      <w:r>
        <w:rPr>
          <w:i/>
          <w:sz w:val="22"/>
        </w:rPr>
        <w:t>openings</w:t>
      </w:r>
      <w:r>
        <w:rPr>
          <w:sz w:val="22"/>
        </w:rPr>
        <w:t xml:space="preserve"> (including doors); and by the </w:t>
      </w:r>
      <w:r>
        <w:rPr>
          <w:i/>
          <w:sz w:val="22"/>
        </w:rPr>
        <w:t>linear thermal transmittance</w:t>
      </w:r>
      <w:r>
        <w:rPr>
          <w:sz w:val="22"/>
        </w:rPr>
        <w:t xml:space="preserve"> Ψ (W/mK) for the spacers.</w:t>
      </w:r>
    </w:p>
    <w:p w:rsidR="00230F35" w:rsidRPr="00937C8B" w:rsidRDefault="00230F35" w:rsidP="00230F35">
      <w:pPr>
        <w:pStyle w:val="CTENumeracion"/>
        <w:spacing w:before="120"/>
        <w:rPr>
          <w:rFonts w:cs="Arial"/>
          <w:sz w:val="22"/>
          <w:szCs w:val="22"/>
        </w:rPr>
      </w:pPr>
      <w:r>
        <w:rPr>
          <w:sz w:val="22"/>
        </w:rPr>
        <w:t>4.</w:t>
      </w:r>
      <w:r>
        <w:rPr>
          <w:sz w:val="22"/>
        </w:rPr>
        <w:tab/>
        <w:t xml:space="preserve">The framing of the </w:t>
      </w:r>
      <w:r>
        <w:rPr>
          <w:i/>
          <w:sz w:val="22"/>
        </w:rPr>
        <w:t>openings</w:t>
      </w:r>
      <w:r>
        <w:rPr>
          <w:sz w:val="22"/>
        </w:rPr>
        <w:t xml:space="preserve"> shall also be described by the air permeability resistance in m³/h·m² or by its class, as per standard UNE EN 12207:2017.</w:t>
      </w:r>
    </w:p>
    <w:p w:rsidR="00230F35" w:rsidRPr="00937C8B" w:rsidRDefault="00230F35" w:rsidP="00230F35">
      <w:pPr>
        <w:pStyle w:val="CTENumeracion"/>
        <w:spacing w:before="120"/>
        <w:rPr>
          <w:rFonts w:cs="Arial"/>
          <w:sz w:val="22"/>
          <w:szCs w:val="22"/>
        </w:rPr>
      </w:pPr>
      <w:r>
        <w:rPr>
          <w:sz w:val="22"/>
        </w:rPr>
        <w:t>5.</w:t>
      </w:r>
      <w:r>
        <w:rPr>
          <w:sz w:val="22"/>
        </w:rPr>
        <w:tab/>
        <w:t xml:space="preserve">The design values for the indicated properties shall be obtained from values provided by the manufacturer for each </w:t>
      </w:r>
      <w:r>
        <w:rPr>
          <w:i/>
          <w:iCs/>
          <w:sz w:val="22"/>
        </w:rPr>
        <w:t>product</w:t>
      </w:r>
      <w:r>
        <w:rPr>
          <w:sz w:val="22"/>
        </w:rPr>
        <w:t>.</w:t>
      </w:r>
    </w:p>
    <w:p w:rsidR="00230F35" w:rsidRPr="00937C8B" w:rsidRDefault="00230F35" w:rsidP="00230F35">
      <w:pPr>
        <w:pStyle w:val="CTENumeracion"/>
        <w:spacing w:before="120"/>
        <w:rPr>
          <w:rFonts w:cs="Arial"/>
          <w:sz w:val="22"/>
          <w:szCs w:val="22"/>
        </w:rPr>
      </w:pPr>
      <w:r>
        <w:rPr>
          <w:sz w:val="22"/>
        </w:rPr>
        <w:t>6.</w:t>
      </w:r>
      <w:r>
        <w:rPr>
          <w:sz w:val="22"/>
        </w:rPr>
        <w:tab/>
        <w:t xml:space="preserve">The project specifications shall include the hygrothermal characteristics of the </w:t>
      </w:r>
      <w:r>
        <w:rPr>
          <w:i/>
          <w:iCs/>
          <w:sz w:val="22"/>
        </w:rPr>
        <w:t>products</w:t>
      </w:r>
      <w:r>
        <w:rPr>
          <w:sz w:val="22"/>
        </w:rPr>
        <w:t xml:space="preserve"> used in the </w:t>
      </w:r>
      <w:r>
        <w:rPr>
          <w:i/>
          <w:iCs/>
          <w:sz w:val="22"/>
        </w:rPr>
        <w:t>thermal envelope</w:t>
      </w:r>
      <w:r>
        <w:rPr>
          <w:sz w:val="22"/>
        </w:rPr>
        <w:t xml:space="preserve"> of the building. The report shall include the calculations demonstrating these values, which shall be provided in the specifications.</w:t>
      </w:r>
    </w:p>
    <w:p w:rsidR="00230F35" w:rsidRPr="00937C8B" w:rsidRDefault="00230F35" w:rsidP="00230F35">
      <w:pPr>
        <w:pStyle w:val="CTENumeracion"/>
        <w:spacing w:before="120"/>
        <w:rPr>
          <w:rFonts w:cs="Arial"/>
          <w:sz w:val="22"/>
          <w:szCs w:val="22"/>
        </w:rPr>
      </w:pPr>
      <w:r>
        <w:rPr>
          <w:sz w:val="22"/>
        </w:rPr>
        <w:t>7.</w:t>
      </w:r>
      <w:r>
        <w:rPr>
          <w:sz w:val="22"/>
        </w:rPr>
        <w:tab/>
        <w:t xml:space="preserve">In all cases, thermal design values shall be used, which may be calculated based on the thermal values declared as per standard UNE EN ISO 10456:2012 and, by way of supplement, standard UNE EN ISO 13786:2017, in cases of products with a high </w:t>
      </w:r>
      <w:r>
        <w:rPr>
          <w:i/>
          <w:sz w:val="22"/>
        </w:rPr>
        <w:t>thermal inertia.</w:t>
      </w:r>
      <w:r>
        <w:rPr>
          <w:sz w:val="22"/>
        </w:rPr>
        <w:t xml:space="preserve"> In general, barring grounds for deviation, the design values shall be those defined for a temperature of 10ºC and a humidity corresponding to the equilibrium at an ambient temperature of 23ºC and 50% relative humidity.</w:t>
      </w:r>
    </w:p>
    <w:p w:rsidR="00230F35" w:rsidRPr="00937C8B" w:rsidRDefault="00230F35" w:rsidP="009467D5">
      <w:pPr>
        <w:pStyle w:val="CteTtulo3"/>
      </w:pPr>
      <w:bookmarkStart w:id="156" w:name="Sección_HE1_CaracteristicasComponentes"/>
      <w:bookmarkStart w:id="157" w:name="_Toc530395261"/>
      <w:bookmarkStart w:id="158" w:name="_Toc39157932"/>
      <w:bookmarkStart w:id="159" w:name="_Toc44876255"/>
      <w:bookmarkEnd w:id="156"/>
      <w:r>
        <w:t>5.2</w:t>
      </w:r>
      <w:r>
        <w:tab/>
        <w:t xml:space="preserve">Mandatory characteristics for components of the </w:t>
      </w:r>
      <w:r>
        <w:rPr>
          <w:i/>
        </w:rPr>
        <w:t>thermal envelope</w:t>
      </w:r>
      <w:bookmarkEnd w:id="157"/>
      <w:bookmarkEnd w:id="158"/>
      <w:bookmarkEnd w:id="159"/>
    </w:p>
    <w:p w:rsidR="00230F35" w:rsidRPr="00937C8B" w:rsidRDefault="00230F35" w:rsidP="00230F35">
      <w:pPr>
        <w:pStyle w:val="CTENumeracion"/>
        <w:spacing w:before="120"/>
        <w:rPr>
          <w:rFonts w:cs="Arial"/>
          <w:sz w:val="22"/>
          <w:szCs w:val="22"/>
        </w:rPr>
      </w:pPr>
      <w:r>
        <w:rPr>
          <w:sz w:val="22"/>
        </w:rPr>
        <w:t>1.</w:t>
      </w:r>
      <w:r>
        <w:rPr>
          <w:sz w:val="22"/>
        </w:rPr>
        <w:tab/>
        <w:t xml:space="preserve">The mandatory characteristics for </w:t>
      </w:r>
      <w:r>
        <w:rPr>
          <w:i/>
          <w:iCs/>
          <w:sz w:val="22"/>
        </w:rPr>
        <w:t>enclosures</w:t>
      </w:r>
      <w:r>
        <w:rPr>
          <w:sz w:val="22"/>
        </w:rPr>
        <w:t xml:space="preserve"> and </w:t>
      </w:r>
      <w:r>
        <w:rPr>
          <w:i/>
          <w:iCs/>
          <w:sz w:val="22"/>
        </w:rPr>
        <w:t>interior partitions</w:t>
      </w:r>
      <w:r>
        <w:rPr>
          <w:sz w:val="22"/>
        </w:rPr>
        <w:t xml:space="preserve"> are those expressed by means of their </w:t>
      </w:r>
      <w:r>
        <w:rPr>
          <w:i/>
          <w:iCs/>
          <w:sz w:val="22"/>
        </w:rPr>
        <w:t>thermal transmittance</w:t>
      </w:r>
      <w:r>
        <w:rPr>
          <w:sz w:val="22"/>
        </w:rPr>
        <w:t xml:space="preserve"> or, in components not adequately described by this parameter, their thermal resistance R (K·m²/W).</w:t>
      </w:r>
    </w:p>
    <w:p w:rsidR="00230F35" w:rsidRPr="00937C8B" w:rsidRDefault="00230F35" w:rsidP="00230F35">
      <w:pPr>
        <w:pStyle w:val="CTENumeracion"/>
        <w:spacing w:before="120"/>
        <w:rPr>
          <w:rFonts w:cs="Arial"/>
          <w:sz w:val="22"/>
          <w:szCs w:val="22"/>
        </w:rPr>
      </w:pPr>
      <w:r>
        <w:rPr>
          <w:sz w:val="22"/>
        </w:rPr>
        <w:t>2.</w:t>
      </w:r>
      <w:r>
        <w:rPr>
          <w:sz w:val="22"/>
        </w:rPr>
        <w:tab/>
        <w:t xml:space="preserve">The calculations for these parameters shall appear in the project report. The project specifications shall include the mandatory values and characteristics for the </w:t>
      </w:r>
      <w:r>
        <w:rPr>
          <w:i/>
          <w:sz w:val="22"/>
        </w:rPr>
        <w:t>enclosures</w:t>
      </w:r>
      <w:r>
        <w:rPr>
          <w:sz w:val="22"/>
        </w:rPr>
        <w:t xml:space="preserve"> and </w:t>
      </w:r>
      <w:r>
        <w:rPr>
          <w:i/>
          <w:sz w:val="22"/>
        </w:rPr>
        <w:t>internal partitions</w:t>
      </w:r>
      <w:r>
        <w:rPr>
          <w:sz w:val="22"/>
        </w:rPr>
        <w:t>, as well as their specific execution conditions.</w:t>
      </w:r>
    </w:p>
    <w:p w:rsidR="00230F35" w:rsidRPr="00937C8B" w:rsidRDefault="00230F35" w:rsidP="009467D5">
      <w:pPr>
        <w:pStyle w:val="CteTtulo3"/>
      </w:pPr>
      <w:bookmarkStart w:id="160" w:name="_Toc530395262"/>
      <w:bookmarkStart w:id="161" w:name="_Toc530396141"/>
      <w:bookmarkStart w:id="162" w:name="_Toc39157933"/>
      <w:bookmarkStart w:id="163" w:name="_Toc44876256"/>
      <w:r>
        <w:t>5.3</w:t>
      </w:r>
      <w:r>
        <w:tab/>
        <w:t>Execution</w:t>
      </w:r>
      <w:bookmarkEnd w:id="160"/>
      <w:bookmarkEnd w:id="161"/>
      <w:bookmarkEnd w:id="162"/>
      <w:bookmarkEnd w:id="163"/>
    </w:p>
    <w:p w:rsidR="00230F35" w:rsidRPr="00937C8B" w:rsidRDefault="00230F35" w:rsidP="00230F35">
      <w:pPr>
        <w:pStyle w:val="CTENumeracion"/>
        <w:rPr>
          <w:rFonts w:cs="Arial"/>
          <w:sz w:val="22"/>
          <w:szCs w:val="22"/>
        </w:rPr>
      </w:pPr>
      <w:r>
        <w:rPr>
          <w:sz w:val="22"/>
        </w:rPr>
        <w:t>1.</w:t>
      </w:r>
      <w:r>
        <w:rPr>
          <w:sz w:val="22"/>
        </w:rPr>
        <w:tab/>
        <w:t>The building construction work shall be performed according to the design and any design amendments approved by the site manager, with the prior approval of the developer and in accordance with applicable legislation, best practices in construction and the instructions of the site manager and the project manager, as per Article 7 of Part I of the CTE.</w:t>
      </w:r>
    </w:p>
    <w:p w:rsidR="00230F35" w:rsidRPr="00937C8B" w:rsidRDefault="00230F35" w:rsidP="009467D5">
      <w:pPr>
        <w:pStyle w:val="CteTtulo3"/>
      </w:pPr>
      <w:bookmarkStart w:id="164" w:name="Sección_HE1_ControlRecepcion"/>
      <w:bookmarkStart w:id="165" w:name="_Toc530395263"/>
      <w:bookmarkStart w:id="166" w:name="_Toc39157934"/>
      <w:bookmarkStart w:id="167" w:name="_Toc44876257"/>
      <w:bookmarkEnd w:id="164"/>
      <w:r>
        <w:t>5.4</w:t>
      </w:r>
      <w:r>
        <w:tab/>
        <w:t>Onsite product acceptance inspection</w:t>
      </w:r>
      <w:bookmarkEnd w:id="165"/>
      <w:bookmarkEnd w:id="166"/>
      <w:bookmarkEnd w:id="167"/>
    </w:p>
    <w:p w:rsidR="00230F35" w:rsidRPr="00937C8B" w:rsidRDefault="00230F35" w:rsidP="00230F35">
      <w:pPr>
        <w:pStyle w:val="CTENumeracion"/>
        <w:spacing w:before="120"/>
        <w:rPr>
          <w:rFonts w:cs="Arial"/>
          <w:sz w:val="22"/>
          <w:szCs w:val="22"/>
        </w:rPr>
      </w:pPr>
      <w:r>
        <w:rPr>
          <w:sz w:val="22"/>
        </w:rPr>
        <w:t>1.</w:t>
      </w:r>
      <w:r>
        <w:rPr>
          <w:sz w:val="22"/>
        </w:rPr>
        <w:tab/>
        <w:t xml:space="preserve">The project specifications shall give the specific inspection conditions for acceptance of the products making up the </w:t>
      </w:r>
      <w:r>
        <w:rPr>
          <w:i/>
          <w:sz w:val="22"/>
        </w:rPr>
        <w:t>enclosures</w:t>
      </w:r>
      <w:r>
        <w:rPr>
          <w:sz w:val="22"/>
        </w:rPr>
        <w:t xml:space="preserve"> and </w:t>
      </w:r>
      <w:r>
        <w:rPr>
          <w:i/>
          <w:sz w:val="22"/>
        </w:rPr>
        <w:t>internal partitions</w:t>
      </w:r>
      <w:r>
        <w:rPr>
          <w:sz w:val="22"/>
        </w:rPr>
        <w:t xml:space="preserve"> of the </w:t>
      </w:r>
      <w:r>
        <w:rPr>
          <w:i/>
          <w:sz w:val="22"/>
        </w:rPr>
        <w:t>thermal envelope</w:t>
      </w:r>
      <w:r>
        <w:rPr>
          <w:sz w:val="22"/>
        </w:rPr>
        <w:t>, including the tests required to verify that they meet the mandatory characteristics set out in the subsections above.</w:t>
      </w:r>
    </w:p>
    <w:p w:rsidR="00230F35" w:rsidRPr="00937C8B" w:rsidRDefault="00230F35" w:rsidP="00D27646">
      <w:pPr>
        <w:pStyle w:val="CTENumeracion"/>
        <w:keepNext/>
        <w:spacing w:before="120"/>
        <w:rPr>
          <w:rFonts w:cs="Arial"/>
          <w:sz w:val="22"/>
          <w:szCs w:val="22"/>
        </w:rPr>
      </w:pPr>
      <w:r>
        <w:rPr>
          <w:sz w:val="22"/>
        </w:rPr>
        <w:t>2.</w:t>
      </w:r>
      <w:r>
        <w:rPr>
          <w:sz w:val="22"/>
        </w:rPr>
        <w:tab/>
        <w:t xml:space="preserve">The </w:t>
      </w:r>
      <w:r>
        <w:rPr>
          <w:i/>
          <w:sz w:val="22"/>
        </w:rPr>
        <w:t>products</w:t>
      </w:r>
      <w:r>
        <w:rPr>
          <w:sz w:val="22"/>
        </w:rPr>
        <w:t xml:space="preserve"> received shall be checked to verify that they:</w:t>
      </w:r>
    </w:p>
    <w:p w:rsidR="00230F35" w:rsidRPr="00937C8B" w:rsidRDefault="00230F35" w:rsidP="00230F35">
      <w:pPr>
        <w:pStyle w:val="CTENumeracion"/>
        <w:rPr>
          <w:rFonts w:cs="Arial"/>
          <w:sz w:val="22"/>
          <w:szCs w:val="22"/>
        </w:rPr>
      </w:pPr>
      <w:r>
        <w:rPr>
          <w:sz w:val="22"/>
        </w:rPr>
        <w:tab/>
        <w:t>a)</w:t>
      </w:r>
      <w:r>
        <w:rPr>
          <w:sz w:val="22"/>
        </w:rPr>
        <w:tab/>
        <w:t>are in accordance with those detailed in the project specifications;</w:t>
      </w:r>
    </w:p>
    <w:p w:rsidR="00230F35" w:rsidRPr="00937C8B" w:rsidRDefault="00230F35" w:rsidP="00230F35">
      <w:pPr>
        <w:pStyle w:val="CTENumeracion"/>
        <w:rPr>
          <w:rFonts w:cs="Arial"/>
          <w:sz w:val="22"/>
          <w:szCs w:val="22"/>
        </w:rPr>
      </w:pPr>
      <w:r>
        <w:rPr>
          <w:sz w:val="22"/>
        </w:rPr>
        <w:tab/>
        <w:t>b)</w:t>
      </w:r>
      <w:r>
        <w:rPr>
          <w:sz w:val="22"/>
        </w:rPr>
        <w:tab/>
        <w:t>come with the required documentation;</w:t>
      </w:r>
    </w:p>
    <w:p w:rsidR="00B44AA1" w:rsidRPr="00937C8B" w:rsidRDefault="00230F35" w:rsidP="00230F35">
      <w:pPr>
        <w:pStyle w:val="CTENumeracion"/>
        <w:rPr>
          <w:rFonts w:cs="Arial"/>
          <w:sz w:val="22"/>
          <w:szCs w:val="22"/>
        </w:rPr>
      </w:pPr>
      <w:r>
        <w:rPr>
          <w:sz w:val="22"/>
        </w:rPr>
        <w:lastRenderedPageBreak/>
        <w:tab/>
        <w:t>c)</w:t>
      </w:r>
      <w:r>
        <w:rPr>
          <w:sz w:val="22"/>
        </w:rPr>
        <w:tab/>
        <w:t>feature the required properties;</w:t>
      </w:r>
    </w:p>
    <w:p w:rsidR="00230F35" w:rsidRPr="00937C8B" w:rsidRDefault="00230F35" w:rsidP="00230F35">
      <w:pPr>
        <w:pStyle w:val="CTENumeracion"/>
        <w:rPr>
          <w:rFonts w:cs="Arial"/>
          <w:sz w:val="22"/>
          <w:szCs w:val="22"/>
        </w:rPr>
      </w:pPr>
      <w:r>
        <w:rPr>
          <w:sz w:val="22"/>
        </w:rPr>
        <w:tab/>
        <w:t>d)</w:t>
      </w:r>
      <w:r>
        <w:rPr>
          <w:sz w:val="22"/>
        </w:rPr>
        <w:tab/>
        <w:t>have been tested, where this is indicated in the specifications or ordered by the project manager with the approval of the site manager, at the specified frequency.</w:t>
      </w:r>
    </w:p>
    <w:p w:rsidR="00230F35" w:rsidRPr="00937C8B" w:rsidRDefault="00230F35" w:rsidP="00230F35">
      <w:pPr>
        <w:pStyle w:val="CTENumeracion"/>
        <w:spacing w:before="120"/>
        <w:rPr>
          <w:rFonts w:cs="Arial"/>
          <w:sz w:val="22"/>
          <w:szCs w:val="22"/>
        </w:rPr>
      </w:pPr>
      <w:r>
        <w:rPr>
          <w:sz w:val="22"/>
        </w:rPr>
        <w:t>3.</w:t>
      </w:r>
      <w:r>
        <w:rPr>
          <w:sz w:val="22"/>
        </w:rPr>
        <w:tab/>
        <w:t>The inspection shall apply the criteria indicated in Article 7.2 of Part I of the CTE.</w:t>
      </w:r>
    </w:p>
    <w:p w:rsidR="00230F35" w:rsidRPr="00937C8B" w:rsidRDefault="00230F35" w:rsidP="009467D5">
      <w:pPr>
        <w:pStyle w:val="CteTtulo3"/>
      </w:pPr>
      <w:bookmarkStart w:id="168" w:name="_Toc530395264"/>
      <w:bookmarkStart w:id="169" w:name="_Toc530396143"/>
      <w:bookmarkStart w:id="170" w:name="_Toc39157935"/>
      <w:bookmarkStart w:id="171" w:name="_Toc44876258"/>
      <w:r>
        <w:t>5.5</w:t>
      </w:r>
      <w:r>
        <w:tab/>
        <w:t>Work execution verification</w:t>
      </w:r>
      <w:bookmarkEnd w:id="168"/>
      <w:bookmarkEnd w:id="169"/>
      <w:bookmarkEnd w:id="170"/>
      <w:bookmarkEnd w:id="171"/>
    </w:p>
    <w:p w:rsidR="00230F35" w:rsidRPr="00937C8B" w:rsidRDefault="00230F35" w:rsidP="00230F35">
      <w:pPr>
        <w:pStyle w:val="CTENumeracion"/>
        <w:spacing w:before="120"/>
        <w:rPr>
          <w:rFonts w:cs="Arial"/>
          <w:sz w:val="22"/>
          <w:szCs w:val="22"/>
        </w:rPr>
      </w:pPr>
      <w:r>
        <w:rPr>
          <w:sz w:val="22"/>
        </w:rPr>
        <w:t>1.</w:t>
      </w:r>
      <w:r>
        <w:rPr>
          <w:sz w:val="22"/>
        </w:rPr>
        <w:tab/>
        <w:t>Execution of the work shall be checked against the design specifications, annexes and any amendments approved by the site manager and the instructions of the project manager, as per Article 7.3 of Part I of the CTE and other applicable prevailing regulations.</w:t>
      </w:r>
    </w:p>
    <w:p w:rsidR="00230F35" w:rsidRPr="00937C8B" w:rsidRDefault="00230F35" w:rsidP="00230F35">
      <w:pPr>
        <w:pStyle w:val="CTENumeracion"/>
        <w:spacing w:before="120"/>
        <w:rPr>
          <w:rFonts w:cs="Arial"/>
          <w:sz w:val="22"/>
          <w:szCs w:val="22"/>
        </w:rPr>
      </w:pPr>
      <w:r>
        <w:rPr>
          <w:sz w:val="22"/>
        </w:rPr>
        <w:t>2.</w:t>
      </w:r>
      <w:r>
        <w:rPr>
          <w:sz w:val="22"/>
        </w:rPr>
        <w:tab/>
        <w:t>Execution of the work shall be checked to ensure performance of inspections at the required frequency, as per the project specifications.</w:t>
      </w:r>
    </w:p>
    <w:p w:rsidR="00230F35" w:rsidRPr="00937C8B" w:rsidRDefault="00230F35" w:rsidP="00230F35">
      <w:pPr>
        <w:pStyle w:val="CTENumeracion"/>
        <w:spacing w:before="120"/>
        <w:rPr>
          <w:rFonts w:cs="Arial"/>
          <w:sz w:val="22"/>
          <w:szCs w:val="22"/>
        </w:rPr>
      </w:pPr>
      <w:r>
        <w:rPr>
          <w:sz w:val="22"/>
        </w:rPr>
        <w:t>3.</w:t>
      </w:r>
      <w:r>
        <w:rPr>
          <w:sz w:val="22"/>
        </w:rPr>
        <w:tab/>
        <w:t>Any changes introduced during execution of the works shall be recorded in the as-built documents, and shall always be in accordance with the minimum conditions set out in this Basic Document.</w:t>
      </w:r>
    </w:p>
    <w:p w:rsidR="00230F35" w:rsidRPr="00937C8B" w:rsidRDefault="00230F35" w:rsidP="00230F35">
      <w:pPr>
        <w:pStyle w:val="CTENumeracion"/>
        <w:spacing w:before="120"/>
        <w:rPr>
          <w:rFonts w:cs="Arial"/>
          <w:sz w:val="22"/>
          <w:szCs w:val="22"/>
        </w:rPr>
      </w:pPr>
      <w:r>
        <w:rPr>
          <w:sz w:val="22"/>
        </w:rPr>
        <w:t>4.</w:t>
      </w:r>
      <w:r>
        <w:rPr>
          <w:sz w:val="22"/>
        </w:rPr>
        <w:tab/>
        <w:t>The Building Book shall include documentation on the characteristics of the products, equipment and systems included in the work.</w:t>
      </w:r>
    </w:p>
    <w:p w:rsidR="00230F35" w:rsidRPr="00937C8B" w:rsidRDefault="00230F35" w:rsidP="009467D5">
      <w:pPr>
        <w:pStyle w:val="CteTtulo3"/>
      </w:pPr>
      <w:bookmarkStart w:id="172" w:name="Sección_HE1_ControlObra"/>
      <w:bookmarkStart w:id="173" w:name="_Toc530395265"/>
      <w:bookmarkStart w:id="174" w:name="_Toc39157936"/>
      <w:bookmarkStart w:id="175" w:name="_Toc44876259"/>
      <w:bookmarkEnd w:id="172"/>
      <w:r>
        <w:t>5.6</w:t>
      </w:r>
      <w:r>
        <w:tab/>
        <w:t>As-built verification</w:t>
      </w:r>
      <w:bookmarkEnd w:id="173"/>
      <w:bookmarkEnd w:id="174"/>
      <w:bookmarkEnd w:id="175"/>
    </w:p>
    <w:p w:rsidR="00230F35" w:rsidRPr="00937C8B" w:rsidRDefault="00230F35" w:rsidP="00230F35">
      <w:pPr>
        <w:pStyle w:val="CTENumeracion"/>
        <w:spacing w:before="120"/>
        <w:rPr>
          <w:rFonts w:cs="Arial"/>
          <w:sz w:val="22"/>
          <w:szCs w:val="22"/>
        </w:rPr>
      </w:pPr>
      <w:r>
        <w:rPr>
          <w:sz w:val="22"/>
        </w:rPr>
        <w:t>1.</w:t>
      </w:r>
      <w:r>
        <w:rPr>
          <w:sz w:val="22"/>
        </w:rPr>
        <w:tab/>
        <w:t>The as-built verification shall be based on the criteria provided in Article 7.4 of Part I of the CTE.</w:t>
      </w:r>
    </w:p>
    <w:p w:rsidR="00230F35" w:rsidRPr="00937C8B" w:rsidRDefault="00230F35" w:rsidP="00230F35">
      <w:pPr>
        <w:pStyle w:val="CTENumeracion"/>
        <w:spacing w:before="120"/>
        <w:rPr>
          <w:rFonts w:cs="Arial"/>
          <w:sz w:val="22"/>
          <w:szCs w:val="22"/>
        </w:rPr>
      </w:pPr>
      <w:r>
        <w:rPr>
          <w:sz w:val="22"/>
        </w:rPr>
        <w:t>2.</w:t>
      </w:r>
      <w:r>
        <w:rPr>
          <w:sz w:val="22"/>
        </w:rPr>
        <w:tab/>
        <w:t>This Section of the Basic Document does not require final testing.</w:t>
      </w:r>
    </w:p>
    <w:p w:rsidR="00230F35" w:rsidRPr="00937C8B" w:rsidRDefault="00230F35" w:rsidP="009467D5">
      <w:pPr>
        <w:pStyle w:val="CteTtulo3"/>
      </w:pPr>
      <w:bookmarkStart w:id="176" w:name="_Toc530395266"/>
      <w:bookmarkStart w:id="177" w:name="_Toc530396145"/>
      <w:bookmarkStart w:id="178" w:name="_Toc39157937"/>
      <w:bookmarkStart w:id="179" w:name="_Toc44876260"/>
      <w:r>
        <w:t>5.7</w:t>
      </w:r>
      <w:r>
        <w:tab/>
        <w:t>Building maintenance and preservation</w:t>
      </w:r>
      <w:bookmarkEnd w:id="176"/>
      <w:bookmarkEnd w:id="177"/>
      <w:bookmarkEnd w:id="178"/>
      <w:bookmarkEnd w:id="179"/>
    </w:p>
    <w:p w:rsidR="00230F35" w:rsidRPr="00937C8B" w:rsidRDefault="00230F35" w:rsidP="00230F35">
      <w:pPr>
        <w:pStyle w:val="CTENumeracion"/>
        <w:rPr>
          <w:rFonts w:cs="Arial"/>
          <w:sz w:val="22"/>
          <w:szCs w:val="22"/>
        </w:rPr>
      </w:pPr>
      <w:r>
        <w:rPr>
          <w:sz w:val="22"/>
        </w:rPr>
        <w:t>1.</w:t>
      </w:r>
      <w:r>
        <w:rPr>
          <w:sz w:val="22"/>
        </w:rPr>
        <w:tab/>
        <w:t xml:space="preserve">The maintenance plan included in the Building Book shall indicate the work and intervals required to maintain the design and performance parameters of the </w:t>
      </w:r>
      <w:r>
        <w:rPr>
          <w:i/>
          <w:iCs/>
          <w:sz w:val="22"/>
        </w:rPr>
        <w:t>thermal envelope</w:t>
      </w:r>
      <w:r>
        <w:rPr>
          <w:sz w:val="22"/>
        </w:rPr>
        <w:t xml:space="preserve"> over time.</w:t>
      </w:r>
    </w:p>
    <w:p w:rsidR="004410BF" w:rsidRPr="00937C8B" w:rsidRDefault="00230F35" w:rsidP="004410BF">
      <w:pPr>
        <w:pStyle w:val="CTENumeracion"/>
        <w:spacing w:before="120"/>
        <w:rPr>
          <w:rFonts w:cs="Arial"/>
          <w:sz w:val="22"/>
          <w:szCs w:val="22"/>
        </w:rPr>
      </w:pPr>
      <w:r>
        <w:rPr>
          <w:sz w:val="22"/>
        </w:rPr>
        <w:t>2.</w:t>
      </w:r>
      <w:r>
        <w:rPr>
          <w:sz w:val="22"/>
        </w:rPr>
        <w:tab/>
        <w:t>In addition, the Building Books shall log all work, whether for repair, renovation or restoration, over the service life of the building.</w:t>
      </w:r>
    </w:p>
    <w:p w:rsidR="00175E40" w:rsidRPr="00937C8B" w:rsidRDefault="00CA73D7" w:rsidP="0084739B">
      <w:pPr>
        <w:pStyle w:val="CteTtuloSeccion"/>
        <w:pageBreakBefore/>
        <w:rPr>
          <w:rFonts w:cs="Arial"/>
          <w:color w:val="auto"/>
        </w:rPr>
      </w:pPr>
      <w:bookmarkStart w:id="180" w:name="_Toc39157938"/>
      <w:bookmarkStart w:id="181" w:name="_Toc39158122"/>
      <w:bookmarkStart w:id="182" w:name="_Toc44876261"/>
      <w:r>
        <w:rPr>
          <w:color w:val="auto"/>
        </w:rPr>
        <w:lastRenderedPageBreak/>
        <w:t>Section HE 2</w:t>
      </w:r>
      <w:r>
        <w:rPr>
          <w:color w:val="auto"/>
        </w:rPr>
        <w:br/>
        <w:t>Conditions of heating installations</w:t>
      </w:r>
      <w:bookmarkEnd w:id="180"/>
      <w:bookmarkEnd w:id="181"/>
      <w:bookmarkEnd w:id="182"/>
    </w:p>
    <w:p w:rsidR="00175E40" w:rsidRPr="00937C8B" w:rsidRDefault="00175E40" w:rsidP="00175E40">
      <w:pPr>
        <w:pStyle w:val="Textbody"/>
      </w:pPr>
    </w:p>
    <w:p w:rsidR="00244619" w:rsidRPr="00937C8B" w:rsidRDefault="00175E40" w:rsidP="00B44AA1">
      <w:pPr>
        <w:pStyle w:val="CTENumeracion"/>
        <w:spacing w:before="120"/>
        <w:ind w:left="426" w:firstLine="0"/>
        <w:rPr>
          <w:rFonts w:cs="Arial"/>
          <w:sz w:val="22"/>
          <w:szCs w:val="22"/>
        </w:rPr>
      </w:pPr>
      <w:r>
        <w:rPr>
          <w:sz w:val="22"/>
        </w:rPr>
        <w:t xml:space="preserve">Heating installations in buildings shall be suitable to achieve </w:t>
      </w:r>
      <w:r>
        <w:rPr>
          <w:i/>
          <w:iCs/>
          <w:sz w:val="22"/>
        </w:rPr>
        <w:t>thermal comfort</w:t>
      </w:r>
      <w:r>
        <w:rPr>
          <w:sz w:val="22"/>
        </w:rPr>
        <w:t xml:space="preserve"> for their occupants. This requirement is currently implemented in the applicable </w:t>
      </w:r>
      <w:r>
        <w:rPr>
          <w:i/>
          <w:iCs/>
          <w:sz w:val="22"/>
        </w:rPr>
        <w:t>Regulations on Thermal Installations in Buildings</w:t>
      </w:r>
      <w:r>
        <w:rPr>
          <w:sz w:val="22"/>
        </w:rPr>
        <w:t xml:space="preserve"> [RITE], and its application shall be defined in the building design.</w:t>
      </w:r>
    </w:p>
    <w:p w:rsidR="00230F35" w:rsidRPr="00937C8B" w:rsidRDefault="00B44AA1" w:rsidP="0084739B">
      <w:pPr>
        <w:pStyle w:val="CteTtuloSeccion"/>
        <w:pageBreakBefore/>
        <w:rPr>
          <w:rFonts w:cs="Arial"/>
          <w:color w:val="auto"/>
        </w:rPr>
      </w:pPr>
      <w:bookmarkStart w:id="183" w:name="_Toc39157939"/>
      <w:bookmarkStart w:id="184" w:name="_Toc39158123"/>
      <w:bookmarkStart w:id="185" w:name="_Toc44876262"/>
      <w:r>
        <w:rPr>
          <w:color w:val="auto"/>
        </w:rPr>
        <w:lastRenderedPageBreak/>
        <w:t>Section HE 3</w:t>
      </w:r>
      <w:r>
        <w:rPr>
          <w:color w:val="auto"/>
        </w:rPr>
        <w:br/>
        <w:t>Conditions of lighting installations</w:t>
      </w:r>
      <w:bookmarkEnd w:id="183"/>
      <w:bookmarkEnd w:id="184"/>
      <w:bookmarkEnd w:id="185"/>
    </w:p>
    <w:p w:rsidR="00FB4F09" w:rsidRPr="00937C8B" w:rsidRDefault="00FB4F09" w:rsidP="00FB4F09">
      <w:pPr>
        <w:pStyle w:val="CteTtulo2"/>
        <w:rPr>
          <w:rFonts w:cs="Arial"/>
        </w:rPr>
      </w:pPr>
      <w:bookmarkStart w:id="186" w:name="Sección_HE3_Ambito"/>
      <w:bookmarkStart w:id="187" w:name="_Toc530395269"/>
      <w:bookmarkStart w:id="188" w:name="_Toc39157940"/>
      <w:bookmarkStart w:id="189" w:name="_Toc39158124"/>
      <w:bookmarkStart w:id="190" w:name="_Toc44876263"/>
      <w:bookmarkEnd w:id="186"/>
      <w:r>
        <w:t>1.</w:t>
      </w:r>
      <w:r>
        <w:tab/>
        <w:t>Scope</w:t>
      </w:r>
      <w:bookmarkEnd w:id="187"/>
      <w:bookmarkEnd w:id="188"/>
      <w:bookmarkEnd w:id="189"/>
      <w:bookmarkEnd w:id="190"/>
    </w:p>
    <w:p w:rsidR="00FB4F09" w:rsidRPr="00937C8B" w:rsidRDefault="00FB4F09" w:rsidP="00FB4F09">
      <w:pPr>
        <w:pStyle w:val="CTENumeracion"/>
        <w:rPr>
          <w:rFonts w:cs="Arial"/>
          <w:sz w:val="22"/>
          <w:szCs w:val="22"/>
        </w:rPr>
      </w:pPr>
      <w:r>
        <w:rPr>
          <w:sz w:val="22"/>
        </w:rPr>
        <w:t>1.</w:t>
      </w:r>
      <w:r>
        <w:rPr>
          <w:sz w:val="22"/>
        </w:rPr>
        <w:tab/>
        <w:t>This section shall apply to indoor lighting installations in:</w:t>
      </w:r>
    </w:p>
    <w:p w:rsidR="00FB4F09" w:rsidRPr="00937C8B" w:rsidRDefault="00FB4F09" w:rsidP="00935676">
      <w:pPr>
        <w:ind w:left="720" w:hanging="294"/>
        <w:jc w:val="both"/>
        <w:rPr>
          <w:rFonts w:ascii="Arial" w:hAnsi="Arial" w:cs="Arial"/>
          <w:sz w:val="22"/>
          <w:szCs w:val="22"/>
        </w:rPr>
      </w:pPr>
      <w:r>
        <w:rPr>
          <w:rFonts w:ascii="Arial" w:hAnsi="Arial"/>
          <w:sz w:val="22"/>
        </w:rPr>
        <w:t>a)</w:t>
      </w:r>
      <w:r>
        <w:rPr>
          <w:rFonts w:ascii="Arial" w:hAnsi="Arial"/>
          <w:sz w:val="22"/>
        </w:rPr>
        <w:tab/>
        <w:t>newly constructed buildings;</w:t>
      </w:r>
    </w:p>
    <w:p w:rsidR="00FB4F09" w:rsidRPr="00937C8B" w:rsidRDefault="00FB4F09" w:rsidP="00935676">
      <w:pPr>
        <w:ind w:left="720" w:hanging="294"/>
        <w:jc w:val="both"/>
        <w:rPr>
          <w:rFonts w:ascii="Arial" w:hAnsi="Arial" w:cs="Arial"/>
          <w:sz w:val="22"/>
          <w:szCs w:val="22"/>
        </w:rPr>
      </w:pPr>
      <w:r>
        <w:rPr>
          <w:rFonts w:ascii="Arial" w:hAnsi="Arial"/>
          <w:sz w:val="22"/>
        </w:rPr>
        <w:t>b)</w:t>
      </w:r>
      <w:r>
        <w:rPr>
          <w:rFonts w:ascii="Arial" w:hAnsi="Arial"/>
          <w:sz w:val="22"/>
        </w:rPr>
        <w:tab/>
        <w:t>work on existing buildings with:</w:t>
      </w:r>
    </w:p>
    <w:p w:rsidR="00FB4F09" w:rsidRPr="00937C8B" w:rsidRDefault="00FB4F09" w:rsidP="00425ADA">
      <w:pPr>
        <w:pStyle w:val="ListParagraph"/>
        <w:numPr>
          <w:ilvl w:val="0"/>
          <w:numId w:val="10"/>
        </w:numPr>
        <w:spacing w:after="0" w:line="240" w:lineRule="auto"/>
        <w:ind w:left="1134" w:hanging="283"/>
        <w:contextualSpacing w:val="0"/>
        <w:jc w:val="both"/>
        <w:rPr>
          <w:rFonts w:ascii="Arial" w:hAnsi="Arial" w:cs="Arial"/>
        </w:rPr>
      </w:pPr>
      <w:r>
        <w:rPr>
          <w:rFonts w:ascii="Arial" w:hAnsi="Arial"/>
        </w:rPr>
        <w:t>renovation or expansion of part of the installation;</w:t>
      </w:r>
    </w:p>
    <w:p w:rsidR="00FB4F09" w:rsidRPr="00937C8B" w:rsidRDefault="00FB4F09" w:rsidP="00425ADA">
      <w:pPr>
        <w:pStyle w:val="ListParagraph"/>
        <w:numPr>
          <w:ilvl w:val="0"/>
          <w:numId w:val="10"/>
        </w:numPr>
        <w:spacing w:after="0" w:line="240" w:lineRule="auto"/>
        <w:ind w:left="1134" w:hanging="283"/>
        <w:contextualSpacing w:val="0"/>
        <w:jc w:val="both"/>
        <w:rPr>
          <w:rFonts w:ascii="Arial" w:hAnsi="Arial" w:cs="Arial"/>
        </w:rPr>
      </w:pPr>
      <w:r>
        <w:rPr>
          <w:rFonts w:ascii="Arial" w:hAnsi="Arial"/>
        </w:rPr>
        <w:t>a change in the characteristic use of the building;</w:t>
      </w:r>
    </w:p>
    <w:p w:rsidR="00FB4F09" w:rsidRPr="00937C8B" w:rsidRDefault="00FB4F09" w:rsidP="00425ADA">
      <w:pPr>
        <w:pStyle w:val="ListParagraph"/>
        <w:numPr>
          <w:ilvl w:val="0"/>
          <w:numId w:val="10"/>
        </w:numPr>
        <w:spacing w:after="0" w:line="240" w:lineRule="auto"/>
        <w:ind w:left="1134" w:hanging="283"/>
        <w:contextualSpacing w:val="0"/>
        <w:jc w:val="both"/>
        <w:rPr>
          <w:rFonts w:ascii="Arial" w:hAnsi="Arial" w:cs="Arial"/>
        </w:rPr>
      </w:pPr>
      <w:r>
        <w:rPr>
          <w:rFonts w:ascii="Arial" w:hAnsi="Arial"/>
        </w:rPr>
        <w:t>changes in activity in a zone of the building.</w:t>
      </w:r>
    </w:p>
    <w:p w:rsidR="00FB4F09" w:rsidRPr="00937C8B" w:rsidRDefault="00FB4F09" w:rsidP="00FB4F09">
      <w:pPr>
        <w:pStyle w:val="CTENumeracion"/>
        <w:rPr>
          <w:rFonts w:cs="Arial"/>
          <w:sz w:val="22"/>
          <w:szCs w:val="22"/>
        </w:rPr>
      </w:pPr>
      <w:r>
        <w:rPr>
          <w:sz w:val="22"/>
        </w:rPr>
        <w:t>2.</w:t>
      </w:r>
      <w:r>
        <w:rPr>
          <w:sz w:val="22"/>
        </w:rPr>
        <w:tab/>
        <w:t>The scope does not cover:</w:t>
      </w:r>
    </w:p>
    <w:p w:rsidR="00FB4F09" w:rsidRPr="00937C8B" w:rsidRDefault="00FB4F09" w:rsidP="00425ADA">
      <w:pPr>
        <w:pStyle w:val="ListParagraph"/>
        <w:numPr>
          <w:ilvl w:val="0"/>
          <w:numId w:val="7"/>
        </w:numPr>
        <w:spacing w:after="0" w:line="240" w:lineRule="auto"/>
        <w:ind w:left="714" w:hanging="288"/>
        <w:jc w:val="both"/>
        <w:rPr>
          <w:rFonts w:ascii="Arial" w:hAnsi="Arial" w:cs="Arial"/>
        </w:rPr>
      </w:pPr>
      <w:r>
        <w:rPr>
          <w:rFonts w:ascii="Arial" w:hAnsi="Arial"/>
        </w:rPr>
        <w:t>installations inside dwellings;</w:t>
      </w:r>
    </w:p>
    <w:p w:rsidR="00FB4F09" w:rsidRPr="00937C8B" w:rsidRDefault="00FB4F09" w:rsidP="00425ADA">
      <w:pPr>
        <w:pStyle w:val="ListParagraph"/>
        <w:numPr>
          <w:ilvl w:val="0"/>
          <w:numId w:val="7"/>
        </w:numPr>
        <w:spacing w:after="0" w:line="240" w:lineRule="auto"/>
        <w:ind w:hanging="288"/>
        <w:jc w:val="both"/>
        <w:rPr>
          <w:rFonts w:ascii="Arial" w:hAnsi="Arial" w:cs="Arial"/>
        </w:rPr>
      </w:pPr>
      <w:r>
        <w:rPr>
          <w:rFonts w:ascii="Arial" w:hAnsi="Arial"/>
        </w:rPr>
        <w:t>emergency lighting installations;</w:t>
      </w:r>
    </w:p>
    <w:p w:rsidR="00FB4F09" w:rsidRPr="00937C8B" w:rsidRDefault="00FB4F09" w:rsidP="00FB4F09">
      <w:pPr>
        <w:pStyle w:val="CTENumeracion"/>
        <w:spacing w:before="0" w:after="0"/>
        <w:ind w:left="702" w:hanging="288"/>
        <w:rPr>
          <w:rFonts w:cs="Arial"/>
          <w:sz w:val="22"/>
          <w:szCs w:val="22"/>
        </w:rPr>
      </w:pPr>
      <w:r>
        <w:rPr>
          <w:sz w:val="22"/>
        </w:rPr>
        <w:t>c)</w:t>
      </w:r>
      <w:r>
        <w:rPr>
          <w:sz w:val="22"/>
        </w:rPr>
        <w:tab/>
        <w:t>buildings officially protected as part of a designated environment or because of their special architectural or historic value, where compliance with certain basic energy efficiency requirements could unacceptably alter their nature or appearance, and where the authority that granted the official protection shall determine the inalterable elements;</w:t>
      </w:r>
    </w:p>
    <w:p w:rsidR="00FB4F09" w:rsidRPr="00937C8B" w:rsidRDefault="00FB4F09" w:rsidP="00FB4F09">
      <w:pPr>
        <w:pStyle w:val="CTENumeracion"/>
        <w:spacing w:before="0" w:after="0"/>
        <w:ind w:left="702" w:hanging="288"/>
        <w:rPr>
          <w:rFonts w:cs="Arial"/>
          <w:sz w:val="22"/>
          <w:szCs w:val="22"/>
        </w:rPr>
      </w:pPr>
      <w:r>
        <w:rPr>
          <w:sz w:val="22"/>
        </w:rPr>
        <w:t>d)</w:t>
      </w:r>
      <w:r>
        <w:rPr>
          <w:sz w:val="22"/>
        </w:rPr>
        <w:tab/>
        <w:t>temporary structures with a planned time of use of two years or less;</w:t>
      </w:r>
    </w:p>
    <w:p w:rsidR="00FB4F09" w:rsidRPr="00937C8B" w:rsidRDefault="00FB4F09" w:rsidP="00FB4F09">
      <w:pPr>
        <w:pStyle w:val="CTENumeracion"/>
        <w:spacing w:before="0" w:after="0"/>
        <w:ind w:left="702" w:hanging="288"/>
        <w:rPr>
          <w:rFonts w:cs="Arial"/>
          <w:sz w:val="22"/>
          <w:szCs w:val="22"/>
        </w:rPr>
      </w:pPr>
      <w:r>
        <w:rPr>
          <w:sz w:val="22"/>
        </w:rPr>
        <w:t>e)</w:t>
      </w:r>
      <w:r>
        <w:rPr>
          <w:sz w:val="22"/>
        </w:rPr>
        <w:tab/>
        <w:t>independent buildings with a total usable floor area of less than 50 m</w:t>
      </w:r>
      <w:r>
        <w:rPr>
          <w:sz w:val="22"/>
          <w:vertAlign w:val="superscript"/>
        </w:rPr>
        <w:t>2</w:t>
      </w:r>
      <w:r>
        <w:rPr>
          <w:sz w:val="22"/>
        </w:rPr>
        <w:t>;</w:t>
      </w:r>
    </w:p>
    <w:p w:rsidR="00FB4F09" w:rsidRPr="00937C8B" w:rsidRDefault="00FB4F09" w:rsidP="00FB4F09">
      <w:pPr>
        <w:pStyle w:val="CTENumeracion"/>
        <w:spacing w:before="0" w:after="0"/>
        <w:ind w:left="702" w:hanging="288"/>
        <w:rPr>
          <w:rFonts w:cs="Arial"/>
          <w:sz w:val="22"/>
          <w:szCs w:val="22"/>
        </w:rPr>
      </w:pPr>
      <w:r>
        <w:rPr>
          <w:sz w:val="22"/>
        </w:rPr>
        <w:t>f)</w:t>
      </w:r>
      <w:r>
        <w:rPr>
          <w:sz w:val="22"/>
        </w:rPr>
        <w:tab/>
        <w:t>the parts of industrial, defence and agricultural buildings, or parts thereof, intended for use as workshops or industrial, defence or non-residential agricultural processes.</w:t>
      </w:r>
    </w:p>
    <w:p w:rsidR="00FB4F09" w:rsidRPr="00937C8B" w:rsidRDefault="00FB4F09" w:rsidP="00D27646">
      <w:pPr>
        <w:pStyle w:val="CTENumeracion"/>
        <w:keepNext/>
        <w:rPr>
          <w:rFonts w:cs="Arial"/>
          <w:sz w:val="22"/>
          <w:szCs w:val="22"/>
        </w:rPr>
      </w:pPr>
      <w:r>
        <w:rPr>
          <w:sz w:val="22"/>
        </w:rPr>
        <w:t>3.</w:t>
      </w:r>
      <w:r>
        <w:rPr>
          <w:sz w:val="22"/>
        </w:rPr>
        <w:tab/>
        <w:t>In cases of work on existing buildings, the following criteria shall be considered to apply:</w:t>
      </w:r>
    </w:p>
    <w:p w:rsidR="00FB4F09" w:rsidRPr="00937C8B" w:rsidRDefault="00FB4F09" w:rsidP="00D27646">
      <w:pPr>
        <w:pStyle w:val="ListParagraph"/>
        <w:keepNext/>
        <w:numPr>
          <w:ilvl w:val="0"/>
          <w:numId w:val="8"/>
        </w:numPr>
        <w:spacing w:after="0" w:line="240" w:lineRule="auto"/>
        <w:ind w:left="709" w:hanging="283"/>
        <w:jc w:val="both"/>
        <w:rPr>
          <w:rFonts w:ascii="Arial" w:hAnsi="Arial" w:cs="Arial"/>
        </w:rPr>
      </w:pPr>
      <w:r>
        <w:rPr>
          <w:rFonts w:ascii="Arial" w:hAnsi="Arial"/>
        </w:rPr>
        <w:t>this section shall apply to the indoor lighting installations throughout the building, in the following cases:</w:t>
      </w:r>
    </w:p>
    <w:p w:rsidR="00FB4F09" w:rsidRPr="00937C8B" w:rsidRDefault="00FB4F09" w:rsidP="00425ADA">
      <w:pPr>
        <w:pStyle w:val="ListParagraph"/>
        <w:numPr>
          <w:ilvl w:val="0"/>
          <w:numId w:val="9"/>
        </w:numPr>
        <w:spacing w:after="0" w:line="240" w:lineRule="auto"/>
        <w:ind w:left="1134" w:hanging="283"/>
        <w:jc w:val="both"/>
        <w:rPr>
          <w:rFonts w:ascii="Arial" w:hAnsi="Arial" w:cs="Arial"/>
        </w:rPr>
      </w:pPr>
      <w:r>
        <w:rPr>
          <w:rFonts w:ascii="Arial" w:hAnsi="Arial"/>
        </w:rPr>
        <w:t>work on existing buildings with a total final usable floor area (including any applicable extended parts) of over 1,000 m</w:t>
      </w:r>
      <w:r>
        <w:rPr>
          <w:rFonts w:ascii="Arial" w:hAnsi="Arial"/>
          <w:vertAlign w:val="superscript"/>
        </w:rPr>
        <w:t>2</w:t>
      </w:r>
      <w:r>
        <w:rPr>
          <w:rFonts w:ascii="Arial" w:hAnsi="Arial"/>
        </w:rPr>
        <w:t>, renovating over 25% of the illuminated area;</w:t>
      </w:r>
    </w:p>
    <w:p w:rsidR="00FB4F09" w:rsidRPr="00937C8B" w:rsidRDefault="00FB4F09" w:rsidP="00425ADA">
      <w:pPr>
        <w:pStyle w:val="ListParagraph"/>
        <w:numPr>
          <w:ilvl w:val="0"/>
          <w:numId w:val="9"/>
        </w:numPr>
        <w:spacing w:after="0" w:line="240" w:lineRule="auto"/>
        <w:ind w:left="1134" w:hanging="283"/>
        <w:contextualSpacing w:val="0"/>
        <w:jc w:val="both"/>
        <w:rPr>
          <w:rFonts w:ascii="Arial" w:hAnsi="Arial" w:cs="Arial"/>
        </w:rPr>
      </w:pPr>
      <w:r>
        <w:rPr>
          <w:rFonts w:ascii="Arial" w:hAnsi="Arial"/>
        </w:rPr>
        <w:t>changes in characteristic use;</w:t>
      </w:r>
    </w:p>
    <w:p w:rsidR="00FB4F09" w:rsidRPr="00937C8B" w:rsidRDefault="00FB4F09" w:rsidP="00425ADA">
      <w:pPr>
        <w:pStyle w:val="ListParagraph"/>
        <w:numPr>
          <w:ilvl w:val="0"/>
          <w:numId w:val="8"/>
        </w:numPr>
        <w:spacing w:after="0" w:line="240" w:lineRule="auto"/>
        <w:ind w:left="709" w:hanging="283"/>
        <w:jc w:val="both"/>
        <w:rPr>
          <w:rFonts w:ascii="Arial" w:hAnsi="Arial" w:cs="Arial"/>
        </w:rPr>
      </w:pPr>
      <w:r>
        <w:rPr>
          <w:rFonts w:ascii="Arial" w:hAnsi="Arial"/>
        </w:rPr>
        <w:t xml:space="preserve">when part of the installation is renovated or expanded, the renovated or expanded part of the installation shall be tailored to meet the energy efficiency limit values for the activity; </w:t>
      </w:r>
    </w:p>
    <w:p w:rsidR="00FB4F09" w:rsidRPr="00937C8B" w:rsidRDefault="00FB4F09" w:rsidP="00425ADA">
      <w:pPr>
        <w:pStyle w:val="ListParagraph"/>
        <w:numPr>
          <w:ilvl w:val="0"/>
          <w:numId w:val="8"/>
        </w:numPr>
        <w:spacing w:after="0" w:line="240" w:lineRule="auto"/>
        <w:ind w:left="709" w:hanging="283"/>
        <w:jc w:val="both"/>
        <w:rPr>
          <w:rFonts w:ascii="Arial" w:hAnsi="Arial" w:cs="Arial"/>
        </w:rPr>
      </w:pPr>
      <w:r>
        <w:rPr>
          <w:rFonts w:ascii="Arial" w:hAnsi="Arial"/>
        </w:rPr>
        <w:t>if the renovation affects building zones that require control or regulation systems, these systems shall be provided;</w:t>
      </w:r>
    </w:p>
    <w:p w:rsidR="00FB4F09" w:rsidRPr="00937C8B" w:rsidRDefault="00FB4F09" w:rsidP="00425ADA">
      <w:pPr>
        <w:pStyle w:val="ListParagraph"/>
        <w:numPr>
          <w:ilvl w:val="0"/>
          <w:numId w:val="8"/>
        </w:numPr>
        <w:spacing w:after="0" w:line="240" w:lineRule="auto"/>
        <w:ind w:left="709" w:hanging="283"/>
        <w:jc w:val="both"/>
        <w:rPr>
          <w:rFonts w:ascii="Arial" w:hAnsi="Arial" w:cs="Arial"/>
        </w:rPr>
      </w:pPr>
      <w:r>
        <w:rPr>
          <w:rFonts w:ascii="Arial" w:hAnsi="Arial"/>
        </w:rPr>
        <w:t xml:space="preserve">changes of activity in a building zone that entail a lower </w:t>
      </w:r>
      <w:r>
        <w:rPr>
          <w:rFonts w:ascii="Arial" w:hAnsi="Arial"/>
          <w:i/>
        </w:rPr>
        <w:t>Installation Energy Efficiency Value</w:t>
      </w:r>
      <w:r>
        <w:rPr>
          <w:rFonts w:ascii="Arial" w:hAnsi="Arial"/>
        </w:rPr>
        <w:t xml:space="preserve"> [VEEI] limit value than the original activity, in which case the installation in said zone shall be modified.</w:t>
      </w:r>
    </w:p>
    <w:p w:rsidR="00FB4F09" w:rsidRPr="00937C8B" w:rsidRDefault="00FB4F09" w:rsidP="00FB4F09">
      <w:pPr>
        <w:pStyle w:val="CteTtulo2"/>
        <w:jc w:val="both"/>
        <w:rPr>
          <w:rFonts w:cs="Arial"/>
        </w:rPr>
      </w:pPr>
      <w:bookmarkStart w:id="191" w:name="_Toc530395270"/>
      <w:bookmarkStart w:id="192" w:name="_Toc530396149"/>
      <w:bookmarkStart w:id="193" w:name="_Toc39157941"/>
      <w:bookmarkStart w:id="194" w:name="_Toc39158125"/>
      <w:bookmarkStart w:id="195" w:name="_Toc44876264"/>
      <w:r>
        <w:t>2.</w:t>
      </w:r>
      <w:r>
        <w:tab/>
        <w:t>Determination of the requirement</w:t>
      </w:r>
      <w:bookmarkEnd w:id="191"/>
      <w:bookmarkEnd w:id="192"/>
      <w:bookmarkEnd w:id="193"/>
      <w:bookmarkEnd w:id="194"/>
      <w:bookmarkEnd w:id="195"/>
    </w:p>
    <w:p w:rsidR="00FB4F09" w:rsidRPr="00937C8B" w:rsidRDefault="00FB4F09" w:rsidP="00FB4F09">
      <w:pPr>
        <w:pStyle w:val="CTENumeracion"/>
        <w:rPr>
          <w:rFonts w:cs="Arial"/>
          <w:sz w:val="22"/>
          <w:szCs w:val="22"/>
        </w:rPr>
      </w:pPr>
      <w:r>
        <w:rPr>
          <w:sz w:val="22"/>
        </w:rPr>
        <w:t>1.</w:t>
      </w:r>
      <w:r>
        <w:rPr>
          <w:sz w:val="22"/>
        </w:rPr>
        <w:tab/>
        <w:t>Buildings shall have energy-efficient lighting installations suited to the needs of their users, with control systems enabling lighting activation based on actual occupation of the zone, and regulation systems to optimise the use of natural light in zones that meet certain conditions.</w:t>
      </w:r>
    </w:p>
    <w:p w:rsidR="00FB4F09" w:rsidRPr="00937C8B" w:rsidRDefault="00FB4F09" w:rsidP="00FB4F09">
      <w:pPr>
        <w:pStyle w:val="CteTtulo2"/>
        <w:rPr>
          <w:rFonts w:cs="Arial"/>
        </w:rPr>
      </w:pPr>
      <w:bookmarkStart w:id="196" w:name="_Toc530395271"/>
      <w:bookmarkStart w:id="197" w:name="_Toc39157942"/>
      <w:bookmarkStart w:id="198" w:name="_Toc39158126"/>
      <w:bookmarkStart w:id="199" w:name="_Toc44876265"/>
      <w:r>
        <w:lastRenderedPageBreak/>
        <w:t>3.</w:t>
      </w:r>
      <w:r>
        <w:tab/>
        <w:t>Quantification of the requirement</w:t>
      </w:r>
      <w:bookmarkEnd w:id="196"/>
      <w:bookmarkEnd w:id="197"/>
      <w:bookmarkEnd w:id="198"/>
      <w:bookmarkEnd w:id="199"/>
    </w:p>
    <w:p w:rsidR="00FB4F09" w:rsidRPr="00937C8B" w:rsidRDefault="00FB4F09" w:rsidP="009467D5">
      <w:pPr>
        <w:pStyle w:val="CteTtulo3"/>
      </w:pPr>
      <w:bookmarkStart w:id="200" w:name="_Toc530395272"/>
      <w:bookmarkStart w:id="201" w:name="_Toc530396151"/>
      <w:bookmarkStart w:id="202" w:name="_Toc39157943"/>
      <w:bookmarkStart w:id="203" w:name="_Toc44876266"/>
      <w:r>
        <w:t>3.1</w:t>
      </w:r>
      <w:r>
        <w:tab/>
        <w:t>Energy performance of lighting installations</w:t>
      </w:r>
      <w:bookmarkEnd w:id="200"/>
      <w:bookmarkEnd w:id="201"/>
      <w:bookmarkEnd w:id="202"/>
      <w:bookmarkEnd w:id="203"/>
    </w:p>
    <w:p w:rsidR="00FB4F09" w:rsidRPr="00937C8B" w:rsidRDefault="00FB4F09" w:rsidP="00D27646">
      <w:pPr>
        <w:pStyle w:val="CTENumeracion"/>
        <w:keepNext/>
        <w:rPr>
          <w:rFonts w:cs="Arial"/>
          <w:sz w:val="22"/>
          <w:szCs w:val="22"/>
        </w:rPr>
      </w:pPr>
      <w:r>
        <w:rPr>
          <w:sz w:val="22"/>
        </w:rPr>
        <w:t>1.</w:t>
      </w:r>
      <w:r>
        <w:rPr>
          <w:sz w:val="22"/>
        </w:rPr>
        <w:tab/>
        <w:t>The</w:t>
      </w:r>
      <w:r>
        <w:rPr>
          <w:i/>
          <w:sz w:val="22"/>
        </w:rPr>
        <w:t xml:space="preserve"> installation energy efficiency value</w:t>
      </w:r>
      <w:r>
        <w:rPr>
          <w:sz w:val="22"/>
        </w:rPr>
        <w:t xml:space="preserve"> [VEEI] of the lighting installation shall not exceed the limit value (VEEI</w:t>
      </w:r>
      <w:r>
        <w:rPr>
          <w:sz w:val="22"/>
          <w:vertAlign w:val="subscript"/>
        </w:rPr>
        <w:t>lim</w:t>
      </w:r>
      <w:r>
        <w:rPr>
          <w:sz w:val="22"/>
        </w:rPr>
        <w:t>) given in Table 3.1-HE3:</w:t>
      </w:r>
    </w:p>
    <w:p w:rsidR="00FB4F09" w:rsidRPr="00937C8B" w:rsidRDefault="00FB4F09" w:rsidP="00D27646">
      <w:pPr>
        <w:pStyle w:val="CTEtabla-Titulo"/>
        <w:spacing w:before="240" w:after="120"/>
      </w:pPr>
      <w:r>
        <w:t>Table 3.1 - HE3 Installation energy efficiency limit value (VEEI</w:t>
      </w:r>
      <w:r>
        <w:rPr>
          <w:vertAlign w:val="subscript"/>
        </w:rPr>
        <w:t>lim</w:t>
      </w:r>
      <w:r>
        <w:t>)</w:t>
      </w:r>
    </w:p>
    <w:tbl>
      <w:tblPr>
        <w:tblW w:w="78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6798"/>
        <w:gridCol w:w="1004"/>
      </w:tblGrid>
      <w:tr w:rsidR="00FB4F09" w:rsidRPr="00937C8B" w:rsidTr="00935676">
        <w:trPr>
          <w:cantSplit/>
          <w:jc w:val="center"/>
        </w:trPr>
        <w:tc>
          <w:tcPr>
            <w:tcW w:w="6797" w:type="dxa"/>
            <w:tcBorders>
              <w:top w:val="nil"/>
              <w:left w:val="nil"/>
              <w:bottom w:val="single" w:sz="4" w:space="0" w:color="000000"/>
              <w:right w:val="single" w:sz="4" w:space="0" w:color="000000"/>
            </w:tcBorders>
            <w:shd w:val="clear" w:color="auto" w:fill="FFFFFF"/>
            <w:vAlign w:val="center"/>
          </w:tcPr>
          <w:p w:rsidR="00FB4F09" w:rsidRPr="00937C8B" w:rsidRDefault="00FB4F09" w:rsidP="00D27646">
            <w:pPr>
              <w:pStyle w:val="Standard"/>
              <w:keepNext/>
              <w:rPr>
                <w:b/>
                <w:sz w:val="18"/>
              </w:rPr>
            </w:pPr>
            <w:r>
              <w:rPr>
                <w:b/>
                <w:sz w:val="18"/>
              </w:rPr>
              <w:t>Use of the area</w:t>
            </w:r>
          </w:p>
        </w:tc>
        <w:tc>
          <w:tcPr>
            <w:tcW w:w="1004" w:type="dxa"/>
            <w:tcBorders>
              <w:top w:val="nil"/>
              <w:left w:val="single" w:sz="4" w:space="0" w:color="000000"/>
              <w:bottom w:val="single" w:sz="4" w:space="0" w:color="000000"/>
              <w:right w:val="nil"/>
            </w:tcBorders>
            <w:shd w:val="clear" w:color="auto" w:fill="FFFFFF"/>
            <w:vAlign w:val="center"/>
          </w:tcPr>
          <w:p w:rsidR="00FB4F09" w:rsidRPr="00937C8B" w:rsidRDefault="00FB4F09" w:rsidP="00D27646">
            <w:pPr>
              <w:pStyle w:val="ttulofiguratablafrmulaCTE"/>
              <w:keepNext/>
              <w:rPr>
                <w:b w:val="0"/>
              </w:rPr>
            </w:pPr>
            <w:r>
              <w:t>VEEI limit value</w:t>
            </w:r>
            <w:r>
              <w:rPr>
                <w:b w:val="0"/>
              </w:rPr>
              <w:t xml:space="preserve"> </w:t>
            </w:r>
          </w:p>
        </w:tc>
      </w:tr>
      <w:tr w:rsidR="00FB4F09" w:rsidRPr="00937C8B" w:rsidTr="00935676">
        <w:trPr>
          <w:cantSplit/>
          <w:jc w:val="center"/>
        </w:trPr>
        <w:tc>
          <w:tcPr>
            <w:tcW w:w="6797" w:type="dxa"/>
            <w:tcBorders>
              <w:top w:val="single" w:sz="4" w:space="0" w:color="000000"/>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General administration</w:t>
            </w:r>
          </w:p>
        </w:tc>
        <w:tc>
          <w:tcPr>
            <w:tcW w:w="1004" w:type="dxa"/>
            <w:tcBorders>
              <w:top w:val="single" w:sz="4" w:space="0" w:color="000000"/>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3.0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Transport station platforms</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3.0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Fair or show pavilions</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3.0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 xml:space="preserve">Medical examination rooms </w:t>
            </w:r>
            <w:r>
              <w:rPr>
                <w:vertAlign w:val="subscript"/>
              </w:rPr>
              <w:t>(1)</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3.5</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 xml:space="preserve">Classrooms and laboratories </w:t>
            </w:r>
            <w:r>
              <w:rPr>
                <w:vertAlign w:val="subscript"/>
              </w:rPr>
              <w:t>(2)</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3.5</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 xml:space="preserve">Hospital rooms </w:t>
            </w:r>
            <w:r>
              <w:rPr>
                <w:vertAlign w:val="subscript"/>
              </w:rPr>
              <w:t>(3)</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4.0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Indoor areas not described in this list</w:t>
            </w:r>
          </w:p>
        </w:tc>
        <w:tc>
          <w:tcPr>
            <w:tcW w:w="1004" w:type="dxa"/>
            <w:tcBorders>
              <w:top w:val="nil"/>
              <w:left w:val="single" w:sz="4" w:space="0" w:color="000000"/>
              <w:bottom w:val="nil"/>
              <w:right w:val="nil"/>
            </w:tcBorders>
            <w:shd w:val="clear" w:color="auto" w:fill="FFFFFF"/>
          </w:tcPr>
          <w:p w:rsidR="00FB4F09" w:rsidRPr="00937C8B" w:rsidRDefault="00FB4F09" w:rsidP="003E38D0">
            <w:pPr>
              <w:pStyle w:val="CTEtabla-texto"/>
              <w:rPr>
                <w:rFonts w:cs="Arial"/>
              </w:rPr>
            </w:pPr>
            <w:r>
              <w:t>4.0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rPr>
                <w:i/>
                <w:iCs/>
              </w:rPr>
              <w:t>Common areas</w:t>
            </w:r>
            <w:r>
              <w:t xml:space="preserve"> </w:t>
            </w:r>
            <w:r>
              <w:rPr>
                <w:vertAlign w:val="subscript"/>
              </w:rPr>
              <w:t>(4)</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4.0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 xml:space="preserve">Storerooms, archives, </w:t>
            </w:r>
            <w:r>
              <w:rPr>
                <w:i/>
              </w:rPr>
              <w:t>technical rooms</w:t>
            </w:r>
            <w:r>
              <w:t xml:space="preserve"> and kitchens</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4.0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Car parks</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4.0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tcPr>
          <w:p w:rsidR="00FB4F09" w:rsidRPr="00937C8B" w:rsidRDefault="00FB4F09" w:rsidP="003E38D0">
            <w:pPr>
              <w:pStyle w:val="CTEtabla-texto"/>
              <w:jc w:val="left"/>
              <w:rPr>
                <w:rFonts w:cs="Arial"/>
              </w:rPr>
            </w:pPr>
            <w:r>
              <w:t xml:space="preserve">Sport spaces </w:t>
            </w:r>
            <w:r>
              <w:rPr>
                <w:vertAlign w:val="subscript"/>
              </w:rPr>
              <w:t>(5)</w:t>
            </w:r>
          </w:p>
        </w:tc>
        <w:tc>
          <w:tcPr>
            <w:tcW w:w="1004" w:type="dxa"/>
            <w:tcBorders>
              <w:top w:val="nil"/>
              <w:left w:val="single" w:sz="4" w:space="0" w:color="000000"/>
              <w:bottom w:val="nil"/>
              <w:right w:val="nil"/>
            </w:tcBorders>
            <w:shd w:val="clear" w:color="auto" w:fill="FFFFFF"/>
          </w:tcPr>
          <w:p w:rsidR="00FB4F09" w:rsidRPr="00937C8B" w:rsidRDefault="00FB4F09" w:rsidP="003E38D0">
            <w:pPr>
              <w:pStyle w:val="CTEtabla-texto"/>
              <w:rPr>
                <w:rFonts w:cs="Arial"/>
              </w:rPr>
            </w:pPr>
            <w:r>
              <w:t>4.0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 xml:space="preserve">Transport stations </w:t>
            </w:r>
            <w:r>
              <w:rPr>
                <w:vertAlign w:val="subscript"/>
              </w:rPr>
              <w:t>(6)</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5.0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Supermarkets, hypermarkets and department stores</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5.0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Libraries, museums and art galleries</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5.0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rPr>
                <w:i/>
                <w:iCs/>
              </w:rPr>
              <w:t>Common areas</w:t>
            </w:r>
            <w:r>
              <w:t xml:space="preserve"> in non-residential buildings</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6.0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 xml:space="preserve">Shopping centres (excluding shops) </w:t>
            </w:r>
            <w:r>
              <w:rPr>
                <w:vertAlign w:val="subscript"/>
              </w:rPr>
              <w:t>(7)</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6.0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 xml:space="preserve">Hotels and restaurants </w:t>
            </w:r>
            <w:r>
              <w:rPr>
                <w:vertAlign w:val="subscript"/>
              </w:rPr>
              <w:t>(8)</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8.0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General religious buildings</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8.0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 xml:space="preserve">Assembly halls, auditoriums, multipurpose and convention halls, rooms for leisure activities or shows, meeting rooms and conference rooms </w:t>
            </w:r>
            <w:r>
              <w:rPr>
                <w:vertAlign w:val="subscript"/>
              </w:rPr>
              <w:t>(9)</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8.0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Shops and small businesses</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8.0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Rooms in hotels, hostels, etc.</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10.0</w:t>
            </w:r>
          </w:p>
        </w:tc>
      </w:tr>
      <w:tr w:rsidR="00FB4F09" w:rsidRPr="00937C8B" w:rsidTr="00935676">
        <w:trPr>
          <w:cantSplit/>
          <w:jc w:val="center"/>
        </w:trPr>
        <w:tc>
          <w:tcPr>
            <w:tcW w:w="6797" w:type="dxa"/>
            <w:tcBorders>
              <w:top w:val="nil"/>
              <w:left w:val="nil"/>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Spaces with illumination exceeding 600 lux</w:t>
            </w:r>
          </w:p>
        </w:tc>
        <w:tc>
          <w:tcPr>
            <w:tcW w:w="1004" w:type="dxa"/>
            <w:tcBorders>
              <w:top w:val="nil"/>
              <w:left w:val="single" w:sz="4" w:space="0" w:color="000000"/>
              <w:bottom w:val="nil"/>
              <w:right w:val="nil"/>
            </w:tcBorders>
            <w:shd w:val="clear" w:color="auto" w:fill="FFFFFF"/>
            <w:vAlign w:val="center"/>
          </w:tcPr>
          <w:p w:rsidR="00FB4F09" w:rsidRPr="00937C8B" w:rsidRDefault="00FB4F09" w:rsidP="003E38D0">
            <w:pPr>
              <w:pStyle w:val="CTEtabla-texto"/>
              <w:rPr>
                <w:rFonts w:cs="Arial"/>
              </w:rPr>
            </w:pPr>
            <w:r>
              <w:t>2.5</w:t>
            </w:r>
          </w:p>
        </w:tc>
      </w:tr>
    </w:tbl>
    <w:p w:rsidR="00FB4F09" w:rsidRPr="00937C8B" w:rsidRDefault="00FB4F09" w:rsidP="00FB4F09">
      <w:pPr>
        <w:pStyle w:val="Standard"/>
      </w:pPr>
    </w:p>
    <w:p w:rsidR="00FB4F09" w:rsidRPr="00937C8B" w:rsidRDefault="00FB4F09" w:rsidP="00FB4F09">
      <w:pPr>
        <w:pStyle w:val="notapietablafigura"/>
        <w:jc w:val="both"/>
      </w:pPr>
      <w:r>
        <w:rPr>
          <w:vertAlign w:val="superscript"/>
        </w:rPr>
        <w:t>(1)</w:t>
      </w:r>
      <w:r>
        <w:t xml:space="preserve"> Includes</w:t>
      </w:r>
      <w:r>
        <w:rPr>
          <w:b/>
        </w:rPr>
        <w:t xml:space="preserve"> </w:t>
      </w:r>
      <w:r>
        <w:t>lighting installations in general examination rooms, emergency rooms, scanner and radiology rooms, rooms for eye tests and hearing tests, and treatment rooms. However, this does not include spaces such as operating rooms or theatres, intensive care units, dentistry rooms, decontamination rooms, autopsy rooms or mortuaries, or other rooms considered special due to the activity performed in them.</w:t>
      </w:r>
    </w:p>
    <w:p w:rsidR="00FB4F09" w:rsidRPr="00937C8B" w:rsidRDefault="00FB4F09" w:rsidP="00FB4F09">
      <w:pPr>
        <w:pStyle w:val="notapietablafigura"/>
        <w:jc w:val="both"/>
      </w:pPr>
      <w:r>
        <w:rPr>
          <w:vertAlign w:val="superscript"/>
        </w:rPr>
        <w:lastRenderedPageBreak/>
        <w:t xml:space="preserve"> (2) </w:t>
      </w:r>
      <w:r>
        <w:t>Includes the lighting installation in the classroom and the blackboards in teaching classrooms, computer rooms, music rooms, language labs, technical drawing rooms, laboratories and practical rooms, craft rooms, teaching workshops and art rooms, workshops and preparation rooms, common study rooms and meeting rooms, classrooms for evening classes and adult education, reading rooms, nurseries, nursery games rooms and craft rooms.</w:t>
      </w:r>
    </w:p>
    <w:p w:rsidR="00FB4F09" w:rsidRPr="00937C8B" w:rsidRDefault="00FB4F09" w:rsidP="00FB4F09">
      <w:pPr>
        <w:pStyle w:val="notapietablafigura"/>
        <w:jc w:val="both"/>
      </w:pPr>
      <w:r>
        <w:rPr>
          <w:vertAlign w:val="superscript"/>
        </w:rPr>
        <w:t xml:space="preserve"> (3) </w:t>
      </w:r>
      <w:r>
        <w:t>Includes the indoor lighting installation for the room and bathroom, comprising general lighting, reading lights and lighting for basic examinations.</w:t>
      </w:r>
    </w:p>
    <w:p w:rsidR="00FB4F09" w:rsidRPr="00937C8B" w:rsidRDefault="00FB4F09" w:rsidP="00FB4F09">
      <w:pPr>
        <w:pStyle w:val="notapietablafigura"/>
        <w:jc w:val="both"/>
      </w:pPr>
      <w:r>
        <w:rPr>
          <w:vertAlign w:val="superscript"/>
        </w:rPr>
        <w:t>(4)</w:t>
      </w:r>
      <w:r>
        <w:t xml:space="preserve"> Spaces used by any person or user, such as reception rooms, halls, corridors, stairways, pedestrian thoroughfares, public toilets, etc.</w:t>
      </w:r>
    </w:p>
    <w:p w:rsidR="00FB4F09" w:rsidRPr="00937C8B" w:rsidRDefault="00FB4F09" w:rsidP="00FB4F09">
      <w:pPr>
        <w:pStyle w:val="notapietablafigura"/>
        <w:tabs>
          <w:tab w:val="left" w:pos="0"/>
        </w:tabs>
        <w:ind w:firstLine="12"/>
        <w:jc w:val="both"/>
      </w:pPr>
      <w:r>
        <w:rPr>
          <w:vertAlign w:val="superscript"/>
        </w:rPr>
        <w:t xml:space="preserve"> (5)</w:t>
      </w:r>
      <w:r>
        <w:t xml:space="preserve"> Includes lighting installations for playing fields and stands/terracing in sport spaces, both for training and competition, but does not include lighting installations required for television broadcasting.</w:t>
      </w:r>
    </w:p>
    <w:p w:rsidR="00FB4F09" w:rsidRPr="00937C8B" w:rsidRDefault="00FB4F09" w:rsidP="00FB4F09">
      <w:pPr>
        <w:pStyle w:val="notapietablafigura"/>
        <w:tabs>
          <w:tab w:val="left" w:pos="0"/>
        </w:tabs>
        <w:jc w:val="both"/>
      </w:pPr>
      <w:r>
        <w:t xml:space="preserve"> Stands and terracing shall be considered </w:t>
      </w:r>
      <w:r>
        <w:rPr>
          <w:i/>
          <w:iCs/>
        </w:rPr>
        <w:t>common areas</w:t>
      </w:r>
      <w:r>
        <w:t>.</w:t>
      </w:r>
    </w:p>
    <w:p w:rsidR="00FB4F09" w:rsidRPr="00937C8B" w:rsidRDefault="00FB4F09" w:rsidP="00FB4F09">
      <w:pPr>
        <w:pStyle w:val="notapietablafigura"/>
        <w:jc w:val="both"/>
      </w:pPr>
      <w:r>
        <w:rPr>
          <w:vertAlign w:val="superscript"/>
        </w:rPr>
        <w:t xml:space="preserve">(6) </w:t>
      </w:r>
      <w:r>
        <w:t>Spaces designed for passenger traffic such as terminal reception areas, passenger departure and arrivals lounges, baggage reclaim rooms, connection areas, lifts, areas with booking offices, check-in desks and information points, waiting rooms, left luggage rooms, etc.</w:t>
      </w:r>
    </w:p>
    <w:p w:rsidR="00FB4F09" w:rsidRPr="00937C8B" w:rsidRDefault="00FB4F09" w:rsidP="00FB4F09">
      <w:pPr>
        <w:pStyle w:val="notapietablafigura"/>
        <w:jc w:val="both"/>
      </w:pPr>
      <w:r>
        <w:rPr>
          <w:vertAlign w:val="superscript"/>
        </w:rPr>
        <w:t xml:space="preserve">(7) </w:t>
      </w:r>
      <w:r>
        <w:t>Includes spaces in halls, reception areas, corridors, stairways, dressing rooms and toilets in shopping centres.</w:t>
      </w:r>
    </w:p>
    <w:p w:rsidR="00FB4F09" w:rsidRPr="00937C8B" w:rsidRDefault="00FB4F09" w:rsidP="00FB4F09">
      <w:pPr>
        <w:pStyle w:val="notapietablafigura"/>
        <w:jc w:val="both"/>
      </w:pPr>
      <w:r>
        <w:rPr>
          <w:vertAlign w:val="superscript"/>
        </w:rPr>
        <w:t xml:space="preserve">(8) </w:t>
      </w:r>
      <w:r>
        <w:t>Includes spaces intended for public service activities, such as halls, reception areas, restaurants, bars, dining rooms, self-service areas, corridors, stairways, dressing rooms, bathrooms, toilets, etc.</w:t>
      </w:r>
    </w:p>
    <w:p w:rsidR="00FB4F09" w:rsidRPr="00937C8B" w:rsidRDefault="00FB4F09" w:rsidP="00FB4F09">
      <w:pPr>
        <w:pStyle w:val="notapietablafigura"/>
        <w:jc w:val="both"/>
      </w:pPr>
      <w:r>
        <w:rPr>
          <w:vertAlign w:val="superscript"/>
        </w:rPr>
        <w:t xml:space="preserve">(9) </w:t>
      </w:r>
      <w:r>
        <w:t>In cinemas, theatres, concert halls, etc., this does not include lighting used for show purposes, such as performance and scene lighting.</w:t>
      </w:r>
    </w:p>
    <w:p w:rsidR="00FB4F09" w:rsidRPr="00937C8B" w:rsidRDefault="00FB4F09" w:rsidP="00FB4F09">
      <w:pPr>
        <w:pStyle w:val="notapietablafigura"/>
      </w:pPr>
    </w:p>
    <w:p w:rsidR="00FB4F09" w:rsidRPr="00937C8B" w:rsidRDefault="00FB4F09" w:rsidP="009467D5">
      <w:pPr>
        <w:pStyle w:val="CteTtulo3"/>
      </w:pPr>
      <w:bookmarkStart w:id="204" w:name="Sección_HE3_Cuantificacion_Potencia"/>
      <w:bookmarkStart w:id="205" w:name="_Toc530395273"/>
      <w:bookmarkStart w:id="206" w:name="_Toc39157944"/>
      <w:bookmarkStart w:id="207" w:name="_Toc44876267"/>
      <w:bookmarkEnd w:id="204"/>
      <w:r>
        <w:t>3.2</w:t>
      </w:r>
      <w:r>
        <w:tab/>
        <w:t>Installed power</w:t>
      </w:r>
      <w:bookmarkEnd w:id="205"/>
      <w:bookmarkEnd w:id="206"/>
      <w:bookmarkEnd w:id="207"/>
    </w:p>
    <w:p w:rsidR="00FB4F09" w:rsidRPr="00937C8B" w:rsidRDefault="00FB4F09" w:rsidP="00D27646">
      <w:pPr>
        <w:pStyle w:val="CTENormal"/>
        <w:keepNext/>
        <w:ind w:left="340" w:hanging="340"/>
        <w:jc w:val="both"/>
      </w:pPr>
      <w:r>
        <w:t>1.</w:t>
      </w:r>
      <w:r>
        <w:tab/>
        <w:t xml:space="preserve">The total power of the </w:t>
      </w:r>
      <w:r>
        <w:rPr>
          <w:i/>
        </w:rPr>
        <w:t>lamps</w:t>
      </w:r>
      <w:r>
        <w:t xml:space="preserve"> and auxiliary equipment by illuminated floor area (P</w:t>
      </w:r>
      <w:r>
        <w:rPr>
          <w:vertAlign w:val="subscript"/>
        </w:rPr>
        <w:t>TOT</w:t>
      </w:r>
      <w:r>
        <w:t xml:space="preserve"> / S</w:t>
      </w:r>
      <w:r>
        <w:rPr>
          <w:vertAlign w:val="subscript"/>
        </w:rPr>
        <w:t>TOT</w:t>
      </w:r>
      <w:r>
        <w:t>) shall not exceed the maximum value given in Table 3.2-HE3.</w:t>
      </w:r>
    </w:p>
    <w:p w:rsidR="00FB4F09" w:rsidRPr="00937C8B" w:rsidRDefault="00FB4F09" w:rsidP="00D27646">
      <w:pPr>
        <w:pStyle w:val="CTEtabla-Titulo"/>
      </w:pPr>
      <w:r>
        <w:t>Table 3.2-HE3 Maximum power by illuminated floor area (P</w:t>
      </w:r>
      <w:r>
        <w:rPr>
          <w:vertAlign w:val="subscript"/>
        </w:rPr>
        <w:t>TOT,lim</w:t>
      </w:r>
      <w:r>
        <w:t>/S</w:t>
      </w:r>
      <w:r>
        <w:rPr>
          <w:vertAlign w:val="subscript"/>
        </w:rPr>
        <w:t>TOT</w:t>
      </w:r>
      <w:r>
        <w:t>)</w:t>
      </w:r>
    </w:p>
    <w:tbl>
      <w:tblPr>
        <w:tblW w:w="6658" w:type="dxa"/>
        <w:jc w:val="center"/>
        <w:tblBorders>
          <w:insideH w:val="single" w:sz="4" w:space="0" w:color="000000"/>
          <w:insideV w:val="single" w:sz="4" w:space="0" w:color="000000"/>
        </w:tblBorders>
        <w:tblCellMar>
          <w:top w:w="108" w:type="dxa"/>
          <w:left w:w="103" w:type="dxa"/>
          <w:bottom w:w="108" w:type="dxa"/>
        </w:tblCellMar>
        <w:tblLook w:val="04A0" w:firstRow="1" w:lastRow="0" w:firstColumn="1" w:lastColumn="0" w:noHBand="0" w:noVBand="1"/>
      </w:tblPr>
      <w:tblGrid>
        <w:gridCol w:w="1412"/>
        <w:gridCol w:w="2552"/>
        <w:gridCol w:w="2694"/>
      </w:tblGrid>
      <w:tr w:rsidR="00FB4F09" w:rsidRPr="00937C8B" w:rsidTr="00935676">
        <w:trPr>
          <w:jc w:val="center"/>
        </w:trPr>
        <w:tc>
          <w:tcPr>
            <w:tcW w:w="1412" w:type="dxa"/>
            <w:tcBorders>
              <w:bottom w:val="single" w:sz="4" w:space="0" w:color="000000"/>
            </w:tcBorders>
            <w:shd w:val="clear" w:color="auto" w:fill="FFFFFF"/>
            <w:vAlign w:val="center"/>
          </w:tcPr>
          <w:p w:rsidR="00FB4F09" w:rsidRPr="00937C8B" w:rsidRDefault="00FB4F09" w:rsidP="00D27646">
            <w:pPr>
              <w:pStyle w:val="CTEtabla-texto"/>
              <w:keepNext/>
              <w:rPr>
                <w:rFonts w:cs="Arial"/>
                <w:b/>
                <w:bCs/>
              </w:rPr>
            </w:pPr>
            <w:r>
              <w:rPr>
                <w:b/>
              </w:rPr>
              <w:t>Use</w:t>
            </w:r>
          </w:p>
        </w:tc>
        <w:tc>
          <w:tcPr>
            <w:tcW w:w="2552" w:type="dxa"/>
            <w:tcBorders>
              <w:top w:val="nil"/>
              <w:bottom w:val="single" w:sz="4" w:space="0" w:color="000000"/>
              <w:right w:val="nil"/>
            </w:tcBorders>
            <w:shd w:val="clear" w:color="auto" w:fill="FFFFFF"/>
            <w:tcMar>
              <w:top w:w="0" w:type="dxa"/>
              <w:left w:w="0" w:type="dxa"/>
              <w:bottom w:w="0" w:type="dxa"/>
              <w:right w:w="10" w:type="dxa"/>
            </w:tcMar>
            <w:vAlign w:val="center"/>
          </w:tcPr>
          <w:p w:rsidR="00FB4F09" w:rsidRPr="00937C8B" w:rsidRDefault="00FB4F09" w:rsidP="00D27646">
            <w:pPr>
              <w:pStyle w:val="CTEtabla-texto"/>
              <w:keepNext/>
              <w:rPr>
                <w:rFonts w:cs="Arial"/>
                <w:b/>
                <w:bCs/>
              </w:rPr>
            </w:pPr>
            <w:r>
              <w:rPr>
                <w:b/>
              </w:rPr>
              <w:t>E</w:t>
            </w:r>
          </w:p>
          <w:p w:rsidR="00FB4F09" w:rsidRPr="00937C8B" w:rsidRDefault="00FB4F09" w:rsidP="00D27646">
            <w:pPr>
              <w:pStyle w:val="CTEtabla-texto"/>
              <w:keepNext/>
              <w:rPr>
                <w:rFonts w:cs="Arial"/>
                <w:b/>
                <w:bCs/>
              </w:rPr>
            </w:pPr>
            <w:r>
              <w:rPr>
                <w:rStyle w:val="CteAnejo-DefinicionCar"/>
              </w:rPr>
              <w:t xml:space="preserve">Average illuminance in the horizontal plane </w:t>
            </w:r>
            <w:r>
              <w:rPr>
                <w:rStyle w:val="CteAnejo-DefinicionCar"/>
                <w:i w:val="0"/>
              </w:rPr>
              <w:t>(lux)</w:t>
            </w:r>
          </w:p>
        </w:tc>
        <w:tc>
          <w:tcPr>
            <w:tcW w:w="2694" w:type="dxa"/>
            <w:tcBorders>
              <w:top w:val="nil"/>
              <w:left w:val="nil"/>
              <w:bottom w:val="single" w:sz="4" w:space="0" w:color="000000"/>
            </w:tcBorders>
            <w:shd w:val="clear" w:color="auto" w:fill="FFFFFF"/>
            <w:vAlign w:val="center"/>
          </w:tcPr>
          <w:p w:rsidR="00FB4F09" w:rsidRPr="00937C8B" w:rsidRDefault="00FB4F09" w:rsidP="00D27646">
            <w:pPr>
              <w:pStyle w:val="CTEtabla-texto"/>
              <w:keepNext/>
              <w:rPr>
                <w:rFonts w:cs="Arial"/>
                <w:b/>
                <w:bCs/>
              </w:rPr>
            </w:pPr>
            <w:r>
              <w:rPr>
                <w:b/>
              </w:rPr>
              <w:t>Maximum installed power (W/m</w:t>
            </w:r>
            <w:r>
              <w:rPr>
                <w:b/>
                <w:vertAlign w:val="superscript"/>
              </w:rPr>
              <w:t>2</w:t>
            </w:r>
            <w:r>
              <w:rPr>
                <w:b/>
              </w:rPr>
              <w:t>)</w:t>
            </w:r>
          </w:p>
        </w:tc>
      </w:tr>
      <w:tr w:rsidR="00FB4F09" w:rsidRPr="00937C8B" w:rsidTr="00935676">
        <w:trPr>
          <w:jc w:val="center"/>
        </w:trPr>
        <w:tc>
          <w:tcPr>
            <w:tcW w:w="1412" w:type="dxa"/>
            <w:tcBorders>
              <w:top w:val="single" w:sz="4" w:space="0" w:color="000000"/>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Car parks</w:t>
            </w:r>
          </w:p>
        </w:tc>
        <w:tc>
          <w:tcPr>
            <w:tcW w:w="2552" w:type="dxa"/>
            <w:tcBorders>
              <w:top w:val="single" w:sz="4" w:space="0" w:color="000000"/>
              <w:left w:val="single" w:sz="4" w:space="0" w:color="000000"/>
              <w:bottom w:val="single" w:sz="4" w:space="0" w:color="auto"/>
              <w:right w:val="nil"/>
            </w:tcBorders>
            <w:shd w:val="clear" w:color="auto" w:fill="FFFFFF"/>
            <w:tcMar>
              <w:top w:w="0" w:type="dxa"/>
              <w:left w:w="0" w:type="dxa"/>
              <w:bottom w:w="0" w:type="dxa"/>
              <w:right w:w="10" w:type="dxa"/>
            </w:tcMar>
            <w:vAlign w:val="center"/>
          </w:tcPr>
          <w:p w:rsidR="00FB4F09" w:rsidRPr="00937C8B" w:rsidRDefault="00FB4F09" w:rsidP="003E38D0">
            <w:pPr>
              <w:pStyle w:val="CTEtabla-texto"/>
              <w:rPr>
                <w:rFonts w:cs="Arial"/>
                <w:strike/>
              </w:rPr>
            </w:pPr>
          </w:p>
        </w:tc>
        <w:tc>
          <w:tcPr>
            <w:tcW w:w="2694" w:type="dxa"/>
            <w:tcBorders>
              <w:top w:val="single" w:sz="4" w:space="0" w:color="000000"/>
              <w:left w:val="nil"/>
              <w:bottom w:val="single" w:sz="4" w:space="0" w:color="auto"/>
            </w:tcBorders>
            <w:shd w:val="clear" w:color="auto" w:fill="FFFFFF"/>
            <w:vAlign w:val="center"/>
          </w:tcPr>
          <w:p w:rsidR="00FB4F09" w:rsidRPr="00937C8B" w:rsidRDefault="00FB4F09" w:rsidP="003E38D0">
            <w:pPr>
              <w:pStyle w:val="CTEtabla-texto"/>
              <w:rPr>
                <w:rFonts w:cs="Arial"/>
              </w:rPr>
            </w:pPr>
            <w:r>
              <w:t>5</w:t>
            </w:r>
          </w:p>
        </w:tc>
      </w:tr>
      <w:tr w:rsidR="00FB4F09" w:rsidRPr="00937C8B" w:rsidTr="00935676">
        <w:trPr>
          <w:jc w:val="center"/>
        </w:trPr>
        <w:tc>
          <w:tcPr>
            <w:tcW w:w="1412" w:type="dxa"/>
            <w:vMerge w:val="restart"/>
            <w:tcBorders>
              <w:top w:val="single" w:sz="4" w:space="0" w:color="auto"/>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r>
              <w:t>Other uses</w:t>
            </w:r>
          </w:p>
        </w:tc>
        <w:tc>
          <w:tcPr>
            <w:tcW w:w="2552" w:type="dxa"/>
            <w:tcBorders>
              <w:top w:val="single" w:sz="4" w:space="0" w:color="auto"/>
              <w:left w:val="single" w:sz="4" w:space="0" w:color="000000"/>
              <w:bottom w:val="nil"/>
              <w:right w:val="nil"/>
            </w:tcBorders>
            <w:shd w:val="clear" w:color="auto" w:fill="FFFFFF"/>
            <w:tcMar>
              <w:top w:w="0" w:type="dxa"/>
              <w:left w:w="0" w:type="dxa"/>
              <w:bottom w:w="0" w:type="dxa"/>
              <w:right w:w="10" w:type="dxa"/>
            </w:tcMar>
            <w:vAlign w:val="center"/>
          </w:tcPr>
          <w:p w:rsidR="00FB4F09" w:rsidRPr="00937C8B" w:rsidRDefault="00FB4F09" w:rsidP="003E38D0">
            <w:pPr>
              <w:pStyle w:val="CTEtabla-texto"/>
              <w:rPr>
                <w:rFonts w:cs="Arial"/>
              </w:rPr>
            </w:pPr>
            <w:r>
              <w:t xml:space="preserve">≤ 600 </w:t>
            </w:r>
          </w:p>
        </w:tc>
        <w:tc>
          <w:tcPr>
            <w:tcW w:w="2694" w:type="dxa"/>
            <w:tcBorders>
              <w:top w:val="single" w:sz="4" w:space="0" w:color="auto"/>
              <w:left w:val="nil"/>
              <w:bottom w:val="nil"/>
            </w:tcBorders>
            <w:shd w:val="clear" w:color="auto" w:fill="FFFFFF"/>
            <w:vAlign w:val="center"/>
          </w:tcPr>
          <w:p w:rsidR="00FB4F09" w:rsidRPr="00937C8B" w:rsidRDefault="00FB4F09" w:rsidP="003E38D0">
            <w:pPr>
              <w:pStyle w:val="CTEtabla-texto"/>
              <w:rPr>
                <w:rFonts w:cs="Arial"/>
              </w:rPr>
            </w:pPr>
            <w:r>
              <w:t>10</w:t>
            </w:r>
          </w:p>
        </w:tc>
      </w:tr>
      <w:tr w:rsidR="00FB4F09" w:rsidRPr="00937C8B" w:rsidTr="00935676">
        <w:trPr>
          <w:jc w:val="center"/>
        </w:trPr>
        <w:tc>
          <w:tcPr>
            <w:tcW w:w="1412" w:type="dxa"/>
            <w:vMerge/>
            <w:tcBorders>
              <w:top w:val="single" w:sz="4" w:space="0" w:color="auto"/>
              <w:bottom w:val="nil"/>
              <w:right w:val="single" w:sz="4" w:space="0" w:color="000000"/>
            </w:tcBorders>
            <w:shd w:val="clear" w:color="auto" w:fill="FFFFFF"/>
            <w:vAlign w:val="center"/>
          </w:tcPr>
          <w:p w:rsidR="00FB4F09" w:rsidRPr="00937C8B" w:rsidRDefault="00FB4F09" w:rsidP="003E38D0">
            <w:pPr>
              <w:pStyle w:val="CTEtabla-texto"/>
              <w:jc w:val="left"/>
              <w:rPr>
                <w:rFonts w:cs="Arial"/>
              </w:rPr>
            </w:pPr>
          </w:p>
        </w:tc>
        <w:tc>
          <w:tcPr>
            <w:tcW w:w="2552" w:type="dxa"/>
            <w:tcBorders>
              <w:top w:val="nil"/>
              <w:left w:val="single" w:sz="4" w:space="0" w:color="000000"/>
              <w:bottom w:val="nil"/>
              <w:right w:val="nil"/>
            </w:tcBorders>
            <w:shd w:val="clear" w:color="auto" w:fill="FFFFFF"/>
            <w:tcMar>
              <w:top w:w="0" w:type="dxa"/>
              <w:left w:w="0" w:type="dxa"/>
              <w:bottom w:w="0" w:type="dxa"/>
              <w:right w:w="10" w:type="dxa"/>
            </w:tcMar>
            <w:vAlign w:val="center"/>
          </w:tcPr>
          <w:p w:rsidR="00FB4F09" w:rsidRPr="00937C8B" w:rsidRDefault="00FB4F09" w:rsidP="003E38D0">
            <w:pPr>
              <w:pStyle w:val="CTEtabla-texto"/>
              <w:rPr>
                <w:rFonts w:cs="Arial"/>
              </w:rPr>
            </w:pPr>
            <w:r>
              <w:t xml:space="preserve">&gt; 600 </w:t>
            </w:r>
          </w:p>
        </w:tc>
        <w:tc>
          <w:tcPr>
            <w:tcW w:w="2694" w:type="dxa"/>
            <w:tcBorders>
              <w:top w:val="nil"/>
              <w:left w:val="nil"/>
              <w:bottom w:val="nil"/>
            </w:tcBorders>
            <w:shd w:val="clear" w:color="auto" w:fill="FFFFFF"/>
            <w:vAlign w:val="center"/>
          </w:tcPr>
          <w:p w:rsidR="00FB4F09" w:rsidRPr="00937C8B" w:rsidRDefault="00FB4F09" w:rsidP="003E38D0">
            <w:pPr>
              <w:pStyle w:val="CTEtabla-texto"/>
              <w:rPr>
                <w:rFonts w:cs="Arial"/>
              </w:rPr>
            </w:pPr>
            <w:r>
              <w:t>25</w:t>
            </w:r>
          </w:p>
        </w:tc>
      </w:tr>
    </w:tbl>
    <w:p w:rsidR="00FB4F09" w:rsidRPr="00937C8B" w:rsidRDefault="00FB4F09" w:rsidP="009467D5">
      <w:pPr>
        <w:pStyle w:val="CteTtulo3"/>
      </w:pPr>
      <w:bookmarkStart w:id="208" w:name="_Toc530395274"/>
      <w:bookmarkStart w:id="209" w:name="_Toc530396153"/>
      <w:bookmarkStart w:id="210" w:name="_Toc39157945"/>
      <w:bookmarkStart w:id="211" w:name="_Toc44876268"/>
      <w:r>
        <w:t>3.3</w:t>
      </w:r>
      <w:r>
        <w:tab/>
        <w:t>Control and regulation systems</w:t>
      </w:r>
      <w:bookmarkEnd w:id="208"/>
      <w:bookmarkEnd w:id="209"/>
      <w:bookmarkEnd w:id="210"/>
      <w:bookmarkEnd w:id="211"/>
    </w:p>
    <w:p w:rsidR="00FB4F09" w:rsidRPr="00937C8B" w:rsidRDefault="00FB4F09" w:rsidP="00D27646">
      <w:pPr>
        <w:pStyle w:val="CTENumeracion"/>
        <w:keepNext/>
        <w:rPr>
          <w:rFonts w:cs="Arial"/>
          <w:sz w:val="22"/>
          <w:szCs w:val="22"/>
        </w:rPr>
      </w:pPr>
      <w:r>
        <w:rPr>
          <w:sz w:val="22"/>
        </w:rPr>
        <w:t>1.</w:t>
      </w:r>
      <w:r>
        <w:rPr>
          <w:sz w:val="22"/>
        </w:rPr>
        <w:tab/>
        <w:t>The lighting installations in each zone shall feature a control and regulation system, including:</w:t>
      </w:r>
    </w:p>
    <w:p w:rsidR="00FB4F09" w:rsidRPr="00937C8B" w:rsidRDefault="00FB4F09" w:rsidP="00FB4F09">
      <w:pPr>
        <w:pStyle w:val="CTENumeracion"/>
        <w:ind w:left="426" w:firstLine="0"/>
        <w:rPr>
          <w:rFonts w:cs="Arial"/>
          <w:sz w:val="22"/>
          <w:szCs w:val="22"/>
        </w:rPr>
      </w:pPr>
      <w:r>
        <w:rPr>
          <w:sz w:val="22"/>
        </w:rPr>
        <w:t>a) a manual activation and deactivation system outside the electrical panel; and</w:t>
      </w:r>
    </w:p>
    <w:p w:rsidR="00FB4F09" w:rsidRPr="00937C8B" w:rsidRDefault="00FB4F09" w:rsidP="00FB4F09">
      <w:pPr>
        <w:pStyle w:val="CTENumeracion"/>
        <w:ind w:left="426" w:firstLine="0"/>
        <w:rPr>
          <w:rFonts w:cs="Arial"/>
          <w:sz w:val="22"/>
          <w:szCs w:val="22"/>
        </w:rPr>
      </w:pPr>
      <w:r>
        <w:rPr>
          <w:sz w:val="22"/>
        </w:rPr>
        <w:t>b) a centralised timed activation system in each electrical panel.</w:t>
      </w:r>
    </w:p>
    <w:p w:rsidR="00FB4F09" w:rsidRPr="00937C8B" w:rsidRDefault="00FB4F09" w:rsidP="00D27646">
      <w:pPr>
        <w:pStyle w:val="CTENumeracion"/>
        <w:keepNext/>
        <w:spacing w:before="240"/>
        <w:rPr>
          <w:rFonts w:cs="Arial"/>
          <w:sz w:val="22"/>
          <w:szCs w:val="22"/>
        </w:rPr>
      </w:pPr>
      <w:r>
        <w:rPr>
          <w:sz w:val="22"/>
        </w:rPr>
        <w:t>2.</w:t>
      </w:r>
      <w:r>
        <w:rPr>
          <w:sz w:val="22"/>
        </w:rPr>
        <w:tab/>
        <w:t>In occasional use zones (toilets, corridors, stairways, traffic areas, car parks, etc.) the system as per subparagraph b) may be replaced with one of the following options:</w:t>
      </w:r>
    </w:p>
    <w:p w:rsidR="00FB4F09" w:rsidRPr="00937C8B" w:rsidRDefault="00FB4F09" w:rsidP="00425ADA">
      <w:pPr>
        <w:pStyle w:val="CTENumeracion"/>
        <w:numPr>
          <w:ilvl w:val="0"/>
          <w:numId w:val="11"/>
        </w:numPr>
        <w:ind w:left="851" w:hanging="142"/>
        <w:rPr>
          <w:rFonts w:cs="Arial"/>
          <w:sz w:val="22"/>
          <w:szCs w:val="22"/>
        </w:rPr>
      </w:pPr>
      <w:r>
        <w:rPr>
          <w:sz w:val="22"/>
        </w:rPr>
        <w:t>activation and deactivation control by a timed presence detection system; or</w:t>
      </w:r>
    </w:p>
    <w:p w:rsidR="00FB4F09" w:rsidRPr="00937C8B" w:rsidRDefault="00FB4F09" w:rsidP="00425ADA">
      <w:pPr>
        <w:pStyle w:val="CTENumeracion"/>
        <w:numPr>
          <w:ilvl w:val="0"/>
          <w:numId w:val="11"/>
        </w:numPr>
        <w:ind w:left="851" w:hanging="142"/>
        <w:rPr>
          <w:rFonts w:cs="Arial"/>
          <w:sz w:val="22"/>
          <w:szCs w:val="22"/>
        </w:rPr>
      </w:pPr>
      <w:r>
        <w:rPr>
          <w:sz w:val="22"/>
        </w:rPr>
        <w:t>a timer switch system.</w:t>
      </w:r>
    </w:p>
    <w:p w:rsidR="00FB4F09" w:rsidRPr="00937C8B" w:rsidRDefault="00FB4F09" w:rsidP="009467D5">
      <w:pPr>
        <w:pStyle w:val="CteTtulo3"/>
      </w:pPr>
      <w:bookmarkStart w:id="212" w:name="Sección_HE3_Cuantificacion_SistemasLuzNa"/>
      <w:bookmarkStart w:id="213" w:name="_Toc530395275"/>
      <w:bookmarkStart w:id="214" w:name="_Toc39157946"/>
      <w:bookmarkStart w:id="215" w:name="_Toc44876269"/>
      <w:bookmarkEnd w:id="212"/>
      <w:r>
        <w:t>3.4</w:t>
      </w:r>
      <w:r>
        <w:tab/>
        <w:t>Natural lighting systems</w:t>
      </w:r>
      <w:bookmarkEnd w:id="213"/>
      <w:bookmarkEnd w:id="214"/>
      <w:bookmarkEnd w:id="215"/>
    </w:p>
    <w:p w:rsidR="00FB4F09" w:rsidRPr="00937C8B" w:rsidRDefault="00FB4F09" w:rsidP="00D27646">
      <w:pPr>
        <w:pStyle w:val="CTENumeracion"/>
        <w:keepNext/>
        <w:rPr>
          <w:rFonts w:cs="Arial"/>
        </w:rPr>
      </w:pPr>
      <w:r>
        <w:t>1.</w:t>
      </w:r>
      <w:r>
        <w:tab/>
      </w:r>
      <w:r>
        <w:rPr>
          <w:i/>
        </w:rPr>
        <w:t>Natural lighting systems</w:t>
      </w:r>
      <w:r>
        <w:t xml:space="preserve"> shall be installed to automatically regulate the output from </w:t>
      </w:r>
      <w:r>
        <w:rPr>
          <w:i/>
          <w:iCs/>
        </w:rPr>
        <w:t>light fixtures</w:t>
      </w:r>
      <w:r>
        <w:t xml:space="preserve"> located within 5 metres of a window and those located under a skylight according to the available natural light, where T(A</w:t>
      </w:r>
      <w:r>
        <w:rPr>
          <w:vertAlign w:val="subscript"/>
        </w:rPr>
        <w:t xml:space="preserve">w </w:t>
      </w:r>
      <w:r>
        <w:t>/ A) &gt; 0.11 and any of the following conditions applies:</w:t>
      </w:r>
    </w:p>
    <w:p w:rsidR="00FB4F09" w:rsidRPr="00937C8B" w:rsidRDefault="00FB4F09" w:rsidP="00D27646">
      <w:pPr>
        <w:pStyle w:val="CTENumeracion"/>
        <w:keepNext/>
        <w:spacing w:before="240"/>
        <w:ind w:left="709" w:hanging="283"/>
        <w:rPr>
          <w:rFonts w:cs="Arial"/>
          <w:b/>
          <w:bCs/>
          <w:sz w:val="18"/>
          <w:szCs w:val="18"/>
        </w:rPr>
      </w:pPr>
      <w:r>
        <w:t xml:space="preserve">a) </w:t>
      </w:r>
      <w:r>
        <w:tab/>
        <w:t>zones with exterior glazed enclosures where the angle θ is greater than 65 degrees (θ &gt; 65º):</w:t>
      </w:r>
    </w:p>
    <w:p w:rsidR="00FB4F09" w:rsidRPr="00937C8B" w:rsidRDefault="00FB4F09" w:rsidP="00D27646">
      <w:pPr>
        <w:pStyle w:val="Standard"/>
        <w:keepNext/>
        <w:jc w:val="both"/>
        <w:rPr>
          <w:b/>
          <w:bCs/>
          <w:sz w:val="18"/>
          <w:szCs w:val="18"/>
        </w:rPr>
      </w:pPr>
    </w:p>
    <w:p w:rsidR="00FB4F09" w:rsidRPr="00937C8B" w:rsidRDefault="00A03C86" w:rsidP="00FB4F09">
      <w:pPr>
        <w:pStyle w:val="Standard"/>
        <w:jc w:val="center"/>
        <w:rPr>
          <w:sz w:val="16"/>
          <w:szCs w:val="16"/>
        </w:rPr>
      </w:pPr>
      <w:r>
        <w:rPr>
          <w:noProof/>
          <w:lang w:val="en-US" w:eastAsia="en-US" w:bidi="ar-SA"/>
        </w:rPr>
        <w:drawing>
          <wp:anchor distT="0" distB="5715" distL="114300" distR="114935" simplePos="0" relativeHeight="251658752" behindDoc="0" locked="0" layoutInCell="1" allowOverlap="1">
            <wp:simplePos x="0" y="0"/>
            <wp:positionH relativeFrom="column">
              <wp:align>center</wp:align>
            </wp:positionH>
            <wp:positionV relativeFrom="paragraph">
              <wp:posOffset>635</wp:posOffset>
            </wp:positionV>
            <wp:extent cx="3599815" cy="1670685"/>
            <wp:effectExtent l="0" t="0" r="635" b="5715"/>
            <wp:wrapTopAndBottom/>
            <wp:docPr id="3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99815" cy="1670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F09" w:rsidRPr="00937C8B" w:rsidRDefault="00FB4F09" w:rsidP="00FB4F09">
      <w:pPr>
        <w:pStyle w:val="CTEfigura-pie"/>
        <w:spacing w:before="0" w:after="240"/>
      </w:pPr>
      <w:r>
        <w:rPr>
          <w:shd w:val="clear" w:color="auto" w:fill="FFFFFF"/>
        </w:rPr>
        <w:t>Figure 3.4.a-HE3</w:t>
      </w:r>
    </w:p>
    <w:p w:rsidR="00FB4F09" w:rsidRPr="00937C8B" w:rsidRDefault="00FB4F09" w:rsidP="00D27646">
      <w:pPr>
        <w:pStyle w:val="CTENumeracion"/>
        <w:keepNext/>
        <w:spacing w:before="240"/>
        <w:ind w:left="709" w:hanging="283"/>
        <w:rPr>
          <w:rFonts w:cs="Arial"/>
        </w:rPr>
      </w:pPr>
      <w:r>
        <w:t xml:space="preserve">b) </w:t>
      </w:r>
      <w:r>
        <w:tab/>
        <w:t>zones with glazed enclosures opening onto uncovered courtyards or atria that are wider than twice the distance between the floor of the storey of the zone in question and the building roof: a</w:t>
      </w:r>
      <w:r>
        <w:rPr>
          <w:vertAlign w:val="subscript"/>
        </w:rPr>
        <w:t>i</w:t>
      </w:r>
      <w:r>
        <w:t xml:space="preserve"> &gt; 2 h</w:t>
      </w:r>
      <w:r>
        <w:rPr>
          <w:vertAlign w:val="subscript"/>
        </w:rPr>
        <w:t>i</w:t>
      </w:r>
    </w:p>
    <w:p w:rsidR="00FB4F09" w:rsidRPr="00937C8B" w:rsidRDefault="00FB4F09" w:rsidP="00D27646">
      <w:pPr>
        <w:pStyle w:val="CTENumeracion"/>
        <w:keepNext/>
        <w:rPr>
          <w:rFonts w:cs="Arial"/>
        </w:rPr>
      </w:pPr>
    </w:p>
    <w:p w:rsidR="00FB4F09" w:rsidRPr="00937C8B" w:rsidRDefault="00A03C86" w:rsidP="00FB4F09">
      <w:pPr>
        <w:pStyle w:val="CTEfigura-pie"/>
      </w:pPr>
      <w:r>
        <w:rPr>
          <w:noProof/>
          <w:lang w:val="en-US" w:eastAsia="en-US" w:bidi="ar-SA"/>
        </w:rPr>
        <w:drawing>
          <wp:anchor distT="0" distB="0" distL="114300" distR="114935" simplePos="0" relativeHeight="251657728" behindDoc="0" locked="0" layoutInCell="1" allowOverlap="1">
            <wp:simplePos x="0" y="0"/>
            <wp:positionH relativeFrom="column">
              <wp:posOffset>1054100</wp:posOffset>
            </wp:positionH>
            <wp:positionV relativeFrom="paragraph">
              <wp:posOffset>-24130</wp:posOffset>
            </wp:positionV>
            <wp:extent cx="3599815" cy="1703070"/>
            <wp:effectExtent l="0" t="0" r="635" b="0"/>
            <wp:wrapTopAndBottom/>
            <wp:docPr id="32" name="Imagen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99815" cy="1703070"/>
                    </a:xfrm>
                    <a:prstGeom prst="rect">
                      <a:avLst/>
                    </a:prstGeom>
                    <a:noFill/>
                    <a:ln>
                      <a:noFill/>
                    </a:ln>
                  </pic:spPr>
                </pic:pic>
              </a:graphicData>
            </a:graphic>
            <wp14:sizeRelH relativeFrom="page">
              <wp14:pctWidth>0</wp14:pctWidth>
            </wp14:sizeRelH>
            <wp14:sizeRelV relativeFrom="page">
              <wp14:pctHeight>0</wp14:pctHeight>
            </wp14:sizeRelV>
          </wp:anchor>
        </w:drawing>
      </w:r>
      <w:r>
        <w:rPr>
          <w:shd w:val="clear" w:color="auto" w:fill="FFFFFF"/>
        </w:rPr>
        <w:t>Figure 3.4.b-HE3</w:t>
      </w:r>
    </w:p>
    <w:p w:rsidR="00FB4F09" w:rsidRDefault="00FB4F09" w:rsidP="00D27646">
      <w:pPr>
        <w:pStyle w:val="CTENumeracion"/>
        <w:keepNext/>
        <w:spacing w:before="240"/>
        <w:ind w:left="709" w:hanging="283"/>
        <w:rPr>
          <w:rFonts w:cs="Arial"/>
        </w:rPr>
      </w:pPr>
      <w:r>
        <w:t xml:space="preserve">c) </w:t>
      </w:r>
      <w:r>
        <w:tab/>
        <w:t>zones with glazed enclosures at courtyards or atria covered by glazing where the width of the atrium in this zone is greater than 2/T</w:t>
      </w:r>
      <w:r>
        <w:rPr>
          <w:vertAlign w:val="subscript"/>
        </w:rPr>
        <w:t>c</w:t>
      </w:r>
      <w:r>
        <w:t xml:space="preserve"> times the distance H</w:t>
      </w:r>
      <w:r>
        <w:rPr>
          <w:vertAlign w:val="subscript"/>
        </w:rPr>
        <w:t>i</w:t>
      </w:r>
      <w:r>
        <w:t xml:space="preserve"> (a</w:t>
      </w:r>
      <w:r>
        <w:rPr>
          <w:sz w:val="13"/>
          <w:vertAlign w:val="subscript"/>
        </w:rPr>
        <w:t>i</w:t>
      </w:r>
      <w:r>
        <w:t xml:space="preserve"> &gt; 2·h</w:t>
      </w:r>
      <w:r>
        <w:rPr>
          <w:vertAlign w:val="subscript"/>
        </w:rPr>
        <w:t xml:space="preserve">i </w:t>
      </w:r>
      <w:r>
        <w:t>/ T</w:t>
      </w:r>
      <w:r>
        <w:rPr>
          <w:vertAlign w:val="subscript"/>
        </w:rPr>
        <w:t>c</w:t>
      </w:r>
      <w:r>
        <w:t xml:space="preserve">): </w:t>
      </w:r>
    </w:p>
    <w:p w:rsidR="00D27646" w:rsidRPr="00937C8B" w:rsidRDefault="00D27646" w:rsidP="00D27646">
      <w:pPr>
        <w:pStyle w:val="CTENumeracion"/>
        <w:keepNext/>
        <w:spacing w:before="240"/>
        <w:ind w:left="709" w:hanging="283"/>
        <w:rPr>
          <w:rFonts w:cs="Arial"/>
        </w:rPr>
      </w:pPr>
    </w:p>
    <w:p w:rsidR="00FB4F09" w:rsidRPr="00937C8B" w:rsidRDefault="00A03C86" w:rsidP="00FB4F09">
      <w:pPr>
        <w:pStyle w:val="CTENumeracion"/>
        <w:jc w:val="center"/>
        <w:rPr>
          <w:rFonts w:cs="Arial"/>
          <w:sz w:val="16"/>
          <w:szCs w:val="16"/>
        </w:rPr>
      </w:pPr>
      <w:r>
        <w:rPr>
          <w:noProof/>
          <w:lang w:val="en-US" w:eastAsia="en-US"/>
        </w:rPr>
        <w:drawing>
          <wp:anchor distT="0" distB="2540" distL="114300" distR="114935" simplePos="0" relativeHeight="251656704" behindDoc="0" locked="0" layoutInCell="1" allowOverlap="1">
            <wp:simplePos x="0" y="0"/>
            <wp:positionH relativeFrom="column">
              <wp:align>center</wp:align>
            </wp:positionH>
            <wp:positionV relativeFrom="paragraph">
              <wp:posOffset>635</wp:posOffset>
            </wp:positionV>
            <wp:extent cx="3599815" cy="1540510"/>
            <wp:effectExtent l="0" t="0" r="635" b="2540"/>
            <wp:wrapTopAndBottom/>
            <wp:docPr id="31" name="Imagen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99815" cy="1540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4F09" w:rsidRPr="00937C8B" w:rsidRDefault="00FB4F09" w:rsidP="00FB4F09">
      <w:pPr>
        <w:pStyle w:val="CTEfigura-pie"/>
        <w:spacing w:before="0" w:after="240"/>
      </w:pPr>
      <w:r>
        <w:t>Figure 3.4.c-HE3</w:t>
      </w:r>
    </w:p>
    <w:p w:rsidR="00FB4F09" w:rsidRPr="00937C8B" w:rsidRDefault="00FB4F09" w:rsidP="00D27646">
      <w:pPr>
        <w:pStyle w:val="CTENumeracion"/>
        <w:keepNext/>
        <w:ind w:left="426" w:firstLine="0"/>
        <w:rPr>
          <w:rFonts w:cs="Arial"/>
        </w:rPr>
      </w:pPr>
      <w:r>
        <w:t>where:</w:t>
      </w:r>
    </w:p>
    <w:p w:rsidR="00FB4F09" w:rsidRPr="00937C8B" w:rsidRDefault="00FB4F09" w:rsidP="00FB4F09">
      <w:pPr>
        <w:pStyle w:val="NumeracinCTE"/>
        <w:tabs>
          <w:tab w:val="left" w:pos="1134"/>
        </w:tabs>
        <w:ind w:left="1134" w:hanging="397"/>
        <w:jc w:val="both"/>
      </w:pPr>
      <w:r>
        <w:t>T</w:t>
      </w:r>
      <w:r>
        <w:tab/>
        <w:t xml:space="preserve">is the </w:t>
      </w:r>
      <w:r>
        <w:rPr>
          <w:i/>
        </w:rPr>
        <w:t>light transmission factor of the glass</w:t>
      </w:r>
      <w:r>
        <w:t xml:space="preserve"> of the window of the space on a per-unit basis;</w:t>
      </w:r>
    </w:p>
    <w:p w:rsidR="00FB4F09" w:rsidRPr="00937C8B" w:rsidRDefault="00FB4F09" w:rsidP="00FB4F09">
      <w:pPr>
        <w:pStyle w:val="NumeracinCTE"/>
        <w:tabs>
          <w:tab w:val="left" w:pos="1134"/>
        </w:tabs>
        <w:ind w:left="1134" w:hanging="397"/>
        <w:jc w:val="both"/>
      </w:pPr>
      <w:r>
        <w:t>A</w:t>
      </w:r>
      <w:r>
        <w:rPr>
          <w:sz w:val="13"/>
        </w:rPr>
        <w:t>w</w:t>
      </w:r>
      <w:r>
        <w:rPr>
          <w:sz w:val="13"/>
        </w:rPr>
        <w:tab/>
      </w:r>
      <w:r>
        <w:t>is the glazed area of the window of the zone [m²];</w:t>
      </w:r>
    </w:p>
    <w:p w:rsidR="00FB4F09" w:rsidRPr="00937C8B" w:rsidRDefault="00FB4F09" w:rsidP="00FB4F09">
      <w:pPr>
        <w:pStyle w:val="CTENumeracion"/>
        <w:ind w:left="1134"/>
        <w:rPr>
          <w:rFonts w:cs="Arial"/>
          <w:szCs w:val="20"/>
        </w:rPr>
      </w:pPr>
      <w:r>
        <w:t>A</w:t>
      </w:r>
      <w:r>
        <w:tab/>
        <w:t>is the total area of the façades of the zone, with windows facing the outside or an interior courtyard or atrium [m²], in cases of zones with exterior glazed enclosures, or the total area of the indoor surfaces of the space (floor + ceiling + walls + windows) [m²], in cases of zone with glazed enclosures at courtyards or atria;</w:t>
      </w:r>
    </w:p>
    <w:p w:rsidR="00FB4F09" w:rsidRPr="00937C8B" w:rsidRDefault="00FB4F09" w:rsidP="00FB4F09">
      <w:pPr>
        <w:pStyle w:val="CTENumeracion"/>
        <w:ind w:left="1134"/>
        <w:rPr>
          <w:rFonts w:cs="Arial"/>
        </w:rPr>
      </w:pPr>
      <w:r>
        <w:t>θ</w:t>
      </w:r>
      <w:r>
        <w:tab/>
        <w:t>is the angle from the centre of the glazing to the maximum height of the obstructing building [degrees];</w:t>
      </w:r>
    </w:p>
    <w:p w:rsidR="00FB4F09" w:rsidRPr="00937C8B" w:rsidRDefault="00FB4F09" w:rsidP="00FB4F09">
      <w:pPr>
        <w:pStyle w:val="CTENumeracion"/>
        <w:ind w:left="1134"/>
        <w:rPr>
          <w:rFonts w:cs="Arial"/>
        </w:rPr>
      </w:pPr>
      <w:r>
        <w:t>a</w:t>
      </w:r>
      <w:r>
        <w:rPr>
          <w:vertAlign w:val="subscript"/>
        </w:rPr>
        <w:t>i</w:t>
      </w:r>
      <w:r>
        <w:tab/>
        <w:t>is the width of the courtyard or atrium at the height of the zone [m];</w:t>
      </w:r>
    </w:p>
    <w:p w:rsidR="00FB4F09" w:rsidRPr="00937C8B" w:rsidRDefault="00FB4F09" w:rsidP="00FB4F09">
      <w:pPr>
        <w:pStyle w:val="CTENumeracion"/>
        <w:ind w:left="1134"/>
        <w:rPr>
          <w:rFonts w:cs="Arial"/>
        </w:rPr>
      </w:pPr>
      <w:r>
        <w:t>h</w:t>
      </w:r>
      <w:r>
        <w:rPr>
          <w:vertAlign w:val="subscript"/>
        </w:rPr>
        <w:t>i</w:t>
      </w:r>
      <w:r>
        <w:tab/>
        <w:t>is the distance between the floor of the zone in question and the building roof [m];</w:t>
      </w:r>
    </w:p>
    <w:p w:rsidR="00FB4F09" w:rsidRPr="00937C8B" w:rsidRDefault="00FB4F09" w:rsidP="00FB4F09">
      <w:pPr>
        <w:pStyle w:val="NumeracinCTE"/>
        <w:spacing w:before="60"/>
        <w:ind w:left="1134" w:hanging="397"/>
        <w:jc w:val="both"/>
      </w:pPr>
      <w:r>
        <w:t>T</w:t>
      </w:r>
      <w:r>
        <w:rPr>
          <w:vertAlign w:val="subscript"/>
        </w:rPr>
        <w:t>c</w:t>
      </w:r>
      <w:r>
        <w:t xml:space="preserve"> </w:t>
      </w:r>
      <w:r>
        <w:tab/>
        <w:t xml:space="preserve">is the </w:t>
      </w:r>
      <w:r>
        <w:rPr>
          <w:i/>
        </w:rPr>
        <w:t>light transmission factor of the glass</w:t>
      </w:r>
      <w:r>
        <w:t xml:space="preserve"> of the courtyard enclosure, expressed as a percentage.</w:t>
      </w:r>
    </w:p>
    <w:p w:rsidR="00FB4F09" w:rsidRPr="00937C8B" w:rsidRDefault="00FB4F09" w:rsidP="00FB4F09">
      <w:pPr>
        <w:pStyle w:val="CTENumeracion"/>
        <w:spacing w:before="240"/>
        <w:rPr>
          <w:rFonts w:cs="Arial"/>
        </w:rPr>
      </w:pPr>
      <w:r>
        <w:t>2.</w:t>
      </w:r>
      <w:r>
        <w:tab/>
        <w:t xml:space="preserve">The </w:t>
      </w:r>
      <w:r>
        <w:rPr>
          <w:i/>
        </w:rPr>
        <w:t>common areas</w:t>
      </w:r>
      <w:r>
        <w:t xml:space="preserve"> of residential buildings, hospital, hotel and hostel rooms, etc., as well as shops and small businesses shall not be required to feature natural lighting systems.</w:t>
      </w:r>
    </w:p>
    <w:p w:rsidR="00FB4F09" w:rsidRPr="00937C8B" w:rsidRDefault="00FB4F09" w:rsidP="00FB4F09">
      <w:pPr>
        <w:pStyle w:val="CTENumeracion"/>
        <w:rPr>
          <w:rFonts w:cs="Arial"/>
        </w:rPr>
      </w:pPr>
    </w:p>
    <w:p w:rsidR="00FB4F09" w:rsidRPr="00937C8B" w:rsidRDefault="00FB4F09" w:rsidP="00FB4F09">
      <w:pPr>
        <w:pStyle w:val="CteTtulo2"/>
        <w:spacing w:before="60" w:after="60"/>
        <w:ind w:left="397" w:hanging="397"/>
        <w:rPr>
          <w:rFonts w:cs="Arial"/>
        </w:rPr>
      </w:pPr>
      <w:bookmarkStart w:id="216" w:name="_Toc530395276"/>
      <w:bookmarkStart w:id="217" w:name="_Toc530396155"/>
      <w:bookmarkStart w:id="218" w:name="_Toc39157947"/>
      <w:bookmarkStart w:id="219" w:name="_Toc39158127"/>
      <w:bookmarkStart w:id="220" w:name="_Toc44876270"/>
      <w:r>
        <w:t>4.</w:t>
      </w:r>
      <w:r>
        <w:tab/>
        <w:t>Demonstration of compliance</w:t>
      </w:r>
      <w:bookmarkEnd w:id="216"/>
      <w:bookmarkEnd w:id="217"/>
      <w:bookmarkEnd w:id="218"/>
      <w:bookmarkEnd w:id="219"/>
      <w:bookmarkEnd w:id="220"/>
    </w:p>
    <w:p w:rsidR="00FB4F09" w:rsidRPr="00937C8B" w:rsidRDefault="00FB4F09" w:rsidP="00D27646">
      <w:pPr>
        <w:pStyle w:val="CTENormal"/>
        <w:keepNext/>
        <w:ind w:left="426" w:hanging="426"/>
        <w:jc w:val="both"/>
      </w:pPr>
      <w:r>
        <w:t>1.</w:t>
      </w:r>
      <w:r>
        <w:tab/>
        <w:t>To demonstrate that a building meets the requirements of this DB, the design documents shall include the following information on the building or relevant part thereof:</w:t>
      </w:r>
    </w:p>
    <w:p w:rsidR="00FB4F09" w:rsidRPr="00937C8B" w:rsidRDefault="00FB4F09" w:rsidP="00FB4F09">
      <w:pPr>
        <w:pStyle w:val="CTENumeracion"/>
        <w:ind w:left="702" w:hanging="345"/>
        <w:rPr>
          <w:rFonts w:cs="Arial"/>
        </w:rPr>
      </w:pPr>
      <w:r>
        <w:t>a)</w:t>
      </w:r>
      <w:r>
        <w:tab/>
        <w:t xml:space="preserve">for lighting systems, the values for </w:t>
      </w:r>
      <w:r>
        <w:rPr>
          <w:i/>
        </w:rPr>
        <w:t xml:space="preserve">total installed power in lamp and auxiliary equipment assemblies </w:t>
      </w:r>
      <w:r>
        <w:t>(P</w:t>
      </w:r>
      <w:r>
        <w:rPr>
          <w:vertAlign w:val="subscript"/>
        </w:rPr>
        <w:t>TOT</w:t>
      </w:r>
      <w:r>
        <w:t>), total illuminated floor area (S</w:t>
      </w:r>
      <w:r>
        <w:rPr>
          <w:vertAlign w:val="subscript"/>
        </w:rPr>
        <w:t>TOT</w:t>
      </w:r>
      <w:r>
        <w:t>), and total installed power per unit of illuminated floor area (P</w:t>
      </w:r>
      <w:r>
        <w:rPr>
          <w:vertAlign w:val="subscript"/>
        </w:rPr>
        <w:t>TOT</w:t>
      </w:r>
      <w:r>
        <w:t>/S</w:t>
      </w:r>
      <w:r>
        <w:rPr>
          <w:vertAlign w:val="subscript"/>
        </w:rPr>
        <w:t>TOT</w:t>
      </w:r>
      <w:r>
        <w:t>), as well as any applicable limit values;</w:t>
      </w:r>
    </w:p>
    <w:p w:rsidR="00FB4F09" w:rsidRPr="00937C8B" w:rsidRDefault="00FB4F09" w:rsidP="00FB4F09">
      <w:pPr>
        <w:pStyle w:val="CTENumeracion"/>
        <w:ind w:left="702" w:hanging="345"/>
        <w:rPr>
          <w:rFonts w:cs="Arial"/>
        </w:rPr>
      </w:pPr>
      <w:r>
        <w:t>b)</w:t>
      </w:r>
      <w:r>
        <w:tab/>
        <w:t xml:space="preserve">for each illuminated zone, the values for the planned </w:t>
      </w:r>
      <w:r>
        <w:rPr>
          <w:i/>
        </w:rPr>
        <w:t xml:space="preserve">maintenance factor </w:t>
      </w:r>
      <w:r>
        <w:t>(F</w:t>
      </w:r>
      <w:r>
        <w:rPr>
          <w:vertAlign w:val="subscript"/>
        </w:rPr>
        <w:t>m</w:t>
      </w:r>
      <w:r>
        <w:t>), the</w:t>
      </w:r>
      <w:r>
        <w:rPr>
          <w:i/>
        </w:rPr>
        <w:t xml:space="preserve"> average continuous horizontal illuminance</w:t>
      </w:r>
      <w:r>
        <w:t xml:space="preserve"> (E</w:t>
      </w:r>
      <w:r>
        <w:rPr>
          <w:vertAlign w:val="subscript"/>
        </w:rPr>
        <w:t>m</w:t>
      </w:r>
      <w:r>
        <w:t xml:space="preserve">) obtained, the </w:t>
      </w:r>
      <w:r>
        <w:rPr>
          <w:i/>
        </w:rPr>
        <w:t xml:space="preserve">unified glare rating </w:t>
      </w:r>
      <w:r>
        <w:t xml:space="preserve">(UGR) achieved, the </w:t>
      </w:r>
      <w:r>
        <w:rPr>
          <w:i/>
        </w:rPr>
        <w:t>colour rendering ratings</w:t>
      </w:r>
      <w:r>
        <w:t xml:space="preserve"> (R</w:t>
      </w:r>
      <w:r>
        <w:rPr>
          <w:vertAlign w:val="subscript"/>
        </w:rPr>
        <w:t>a</w:t>
      </w:r>
      <w:r>
        <w:t xml:space="preserve">) of the selected </w:t>
      </w:r>
      <w:r>
        <w:rPr>
          <w:i/>
        </w:rPr>
        <w:t>lamps</w:t>
      </w:r>
      <w:r>
        <w:t xml:space="preserve">, the resulting </w:t>
      </w:r>
      <w:r>
        <w:rPr>
          <w:i/>
        </w:rPr>
        <w:t>installation energy efficiency value</w:t>
      </w:r>
      <w:r>
        <w:t xml:space="preserve"> [VEEI] in the calculation, the </w:t>
      </w:r>
      <w:r>
        <w:rPr>
          <w:i/>
        </w:rPr>
        <w:t xml:space="preserve">power ratings of the lamp and auxiliary equipment assemblies (P), </w:t>
      </w:r>
      <w:r>
        <w:t xml:space="preserve">the efficiency of the </w:t>
      </w:r>
      <w:r>
        <w:rPr>
          <w:i/>
        </w:rPr>
        <w:t>lamps</w:t>
      </w:r>
      <w:r>
        <w:t xml:space="preserve"> used (in lum/W), and any limit values applicable to any of these;</w:t>
      </w:r>
    </w:p>
    <w:p w:rsidR="00FB4F09" w:rsidRPr="00937C8B" w:rsidRDefault="00FB4F09" w:rsidP="00FB4F09">
      <w:pPr>
        <w:pStyle w:val="CTENumeracion"/>
        <w:ind w:left="702" w:hanging="345"/>
        <w:rPr>
          <w:rFonts w:cs="Arial"/>
        </w:rPr>
      </w:pPr>
      <w:r>
        <w:t>c)</w:t>
      </w:r>
      <w:r>
        <w:tab/>
        <w:t xml:space="preserve">the </w:t>
      </w:r>
      <w:r>
        <w:rPr>
          <w:i/>
        </w:rPr>
        <w:t>control and regulation system</w:t>
      </w:r>
      <w:r>
        <w:t xml:space="preserve"> corresponding to each illuminated zone.</w:t>
      </w:r>
    </w:p>
    <w:p w:rsidR="00FB4F09" w:rsidRPr="00937C8B" w:rsidRDefault="00FB4F09" w:rsidP="00FB4F09">
      <w:pPr>
        <w:pStyle w:val="CteTtulo2"/>
        <w:ind w:left="340" w:hanging="340"/>
        <w:rPr>
          <w:rFonts w:cs="Arial"/>
        </w:rPr>
      </w:pPr>
      <w:bookmarkStart w:id="221" w:name="_Toc530395277"/>
      <w:bookmarkStart w:id="222" w:name="_Toc39157948"/>
      <w:bookmarkStart w:id="223" w:name="_Toc39158128"/>
      <w:bookmarkStart w:id="224" w:name="_Toc44876271"/>
      <w:r>
        <w:t>5.</w:t>
      </w:r>
      <w:r>
        <w:tab/>
        <w:t>Construction, maintenance and preservation</w:t>
      </w:r>
      <w:bookmarkEnd w:id="221"/>
      <w:bookmarkEnd w:id="222"/>
      <w:bookmarkEnd w:id="223"/>
      <w:bookmarkEnd w:id="224"/>
    </w:p>
    <w:p w:rsidR="00FB4F09" w:rsidRPr="00937C8B" w:rsidRDefault="00FB4F09" w:rsidP="009467D5">
      <w:pPr>
        <w:pStyle w:val="CteTtulo3"/>
      </w:pPr>
      <w:bookmarkStart w:id="225" w:name="_Toc530395278"/>
      <w:bookmarkStart w:id="226" w:name="_Toc530396157"/>
      <w:bookmarkStart w:id="227" w:name="_Toc39157949"/>
      <w:bookmarkStart w:id="228" w:name="_Toc44876272"/>
      <w:r>
        <w:t>5.1</w:t>
      </w:r>
      <w:r>
        <w:tab/>
        <w:t>Execution</w:t>
      </w:r>
      <w:bookmarkEnd w:id="225"/>
      <w:bookmarkEnd w:id="226"/>
      <w:bookmarkEnd w:id="227"/>
      <w:bookmarkEnd w:id="228"/>
    </w:p>
    <w:p w:rsidR="00FB4F09" w:rsidRPr="00937C8B" w:rsidRDefault="00FB4F09" w:rsidP="00FB4F09">
      <w:pPr>
        <w:pStyle w:val="CTENumeracion"/>
        <w:rPr>
          <w:rFonts w:cs="Arial"/>
        </w:rPr>
      </w:pPr>
      <w:r>
        <w:t>1.</w:t>
      </w:r>
      <w:r>
        <w:tab/>
        <w:t>The building construction work shall be performed according to the design and any design amendments approved by the site manager, with the prior approval of the developer and in accordance with applicable legislation, best practices in construction and the instructions of the site manager and the project manager, as per Article 7 of Part I of the CTE.</w:t>
      </w:r>
    </w:p>
    <w:p w:rsidR="00FB4F09" w:rsidRPr="00937C8B" w:rsidRDefault="00FB4F09" w:rsidP="009467D5">
      <w:pPr>
        <w:pStyle w:val="CteTtulo3"/>
      </w:pPr>
      <w:bookmarkStart w:id="229" w:name="Sección_HE3_ControlEjecucion"/>
      <w:bookmarkStart w:id="230" w:name="_Toc530395279"/>
      <w:bookmarkStart w:id="231" w:name="_Toc39157950"/>
      <w:bookmarkStart w:id="232" w:name="_Toc44876273"/>
      <w:bookmarkEnd w:id="229"/>
      <w:r>
        <w:t>5.2</w:t>
      </w:r>
      <w:r>
        <w:tab/>
        <w:t>Work execution verification</w:t>
      </w:r>
      <w:bookmarkEnd w:id="230"/>
      <w:bookmarkEnd w:id="231"/>
      <w:bookmarkEnd w:id="232"/>
    </w:p>
    <w:p w:rsidR="00FB4F09" w:rsidRPr="00937C8B" w:rsidRDefault="00FB4F09" w:rsidP="00FB4F09">
      <w:pPr>
        <w:pStyle w:val="CTENumeracion"/>
        <w:spacing w:before="120"/>
        <w:rPr>
          <w:rFonts w:cs="Arial"/>
        </w:rPr>
      </w:pPr>
      <w:r>
        <w:t>1.</w:t>
      </w:r>
      <w:r>
        <w:tab/>
        <w:t>Execution of the work shall be checked against the design specifications, annexes and any amendments approved by the site manager and the instructions of the project manager, as per Article 7.3 of Part I of the CTE and other applicable prevailing regulations.</w:t>
      </w:r>
    </w:p>
    <w:p w:rsidR="00FB4F09" w:rsidRPr="00937C8B" w:rsidRDefault="00FB4F09" w:rsidP="00FB4F09">
      <w:pPr>
        <w:pStyle w:val="CTENumeracion"/>
        <w:spacing w:before="120"/>
        <w:rPr>
          <w:rFonts w:cs="Arial"/>
        </w:rPr>
      </w:pPr>
      <w:r>
        <w:t>2.</w:t>
      </w:r>
      <w:r>
        <w:tab/>
        <w:t>Execution of the work shall be checked to ensure performance of inspections at the required frequency, as per the project specifications.</w:t>
      </w:r>
    </w:p>
    <w:p w:rsidR="00FB4F09" w:rsidRPr="00937C8B" w:rsidRDefault="00FB4F09" w:rsidP="00FB4F09">
      <w:pPr>
        <w:pStyle w:val="CTENumeracion"/>
        <w:spacing w:before="120"/>
        <w:rPr>
          <w:rFonts w:cs="Arial"/>
        </w:rPr>
      </w:pPr>
      <w:r>
        <w:t>3.</w:t>
      </w:r>
      <w:r>
        <w:tab/>
        <w:t>Any changes introduced during execution of the works shall be recorded in the as-built documents, and shall always be in accordance with the minimum conditions set out in this Basic Document.</w:t>
      </w:r>
    </w:p>
    <w:p w:rsidR="00FB4F09" w:rsidRPr="00937C8B" w:rsidRDefault="00FB4F09" w:rsidP="00FB4F09">
      <w:pPr>
        <w:pStyle w:val="CTENumeracion"/>
        <w:spacing w:before="120"/>
        <w:rPr>
          <w:rFonts w:cs="Arial"/>
        </w:rPr>
      </w:pPr>
      <w:r>
        <w:t>4.</w:t>
      </w:r>
      <w:r>
        <w:tab/>
        <w:t>The Building Book shall include documentation on the characteristics of the products, equipment and systems included in the work.</w:t>
      </w:r>
    </w:p>
    <w:p w:rsidR="00FB4F09" w:rsidRPr="00937C8B" w:rsidRDefault="00FB4F09" w:rsidP="009467D5">
      <w:pPr>
        <w:pStyle w:val="CteTtulo3"/>
      </w:pPr>
      <w:bookmarkStart w:id="233" w:name="_Toc530395280"/>
      <w:bookmarkStart w:id="234" w:name="_Toc530396159"/>
      <w:bookmarkStart w:id="235" w:name="_Toc39157951"/>
      <w:bookmarkStart w:id="236" w:name="_Toc44876274"/>
      <w:r>
        <w:t>5.3</w:t>
      </w:r>
      <w:r>
        <w:tab/>
        <w:t>As-built verification</w:t>
      </w:r>
      <w:bookmarkEnd w:id="233"/>
      <w:bookmarkEnd w:id="234"/>
      <w:bookmarkEnd w:id="235"/>
      <w:bookmarkEnd w:id="236"/>
    </w:p>
    <w:p w:rsidR="00FB4F09" w:rsidRPr="00937C8B" w:rsidRDefault="00FB4F09" w:rsidP="00FB4F09">
      <w:pPr>
        <w:pStyle w:val="CTENumeracion"/>
        <w:spacing w:before="120"/>
        <w:rPr>
          <w:rFonts w:cs="Arial"/>
        </w:rPr>
      </w:pPr>
      <w:r>
        <w:t>1.</w:t>
      </w:r>
      <w:r>
        <w:tab/>
        <w:t>The as-built verification shall be based on the criteria provided in Article 7.4 of Part I of the CTE.</w:t>
      </w:r>
    </w:p>
    <w:p w:rsidR="00FB4F09" w:rsidRPr="00937C8B" w:rsidRDefault="00FB4F09" w:rsidP="00FB4F09">
      <w:pPr>
        <w:pStyle w:val="CTENumeracion"/>
        <w:spacing w:before="120"/>
        <w:rPr>
          <w:rFonts w:cs="Arial"/>
        </w:rPr>
      </w:pPr>
      <w:r>
        <w:t>2.</w:t>
      </w:r>
      <w:r>
        <w:tab/>
        <w:t>This Section of the Basic Document does not require final testing.</w:t>
      </w:r>
    </w:p>
    <w:p w:rsidR="00FB4F09" w:rsidRPr="00937C8B" w:rsidRDefault="00FB4F09" w:rsidP="009467D5">
      <w:pPr>
        <w:pStyle w:val="CteTtulo3"/>
      </w:pPr>
      <w:bookmarkStart w:id="237" w:name="_Toc530395281"/>
      <w:bookmarkStart w:id="238" w:name="_Toc39157952"/>
      <w:bookmarkStart w:id="239" w:name="_Toc44876275"/>
      <w:r>
        <w:t>5.4</w:t>
      </w:r>
      <w:r>
        <w:tab/>
        <w:t>Building maintenance and preservation</w:t>
      </w:r>
      <w:bookmarkEnd w:id="237"/>
      <w:bookmarkEnd w:id="238"/>
      <w:bookmarkEnd w:id="239"/>
    </w:p>
    <w:p w:rsidR="00FB4F09" w:rsidRPr="00937C8B" w:rsidRDefault="00FB4F09" w:rsidP="00FB4F09">
      <w:pPr>
        <w:pStyle w:val="CTENumeracion"/>
        <w:spacing w:before="120"/>
        <w:rPr>
          <w:rFonts w:cs="Arial"/>
        </w:rPr>
      </w:pPr>
      <w:r>
        <w:t>1.</w:t>
      </w:r>
      <w:r>
        <w:tab/>
        <w:t>The maintenance plan included in the Building Book shall indicate the work and intervals required to maintain the design and performance parameters of the lighting installations over time.</w:t>
      </w:r>
    </w:p>
    <w:p w:rsidR="00230F35" w:rsidRPr="00937C8B" w:rsidRDefault="00FB4F09" w:rsidP="00FB4F09">
      <w:pPr>
        <w:pStyle w:val="CTENumeracion"/>
        <w:spacing w:before="120"/>
        <w:rPr>
          <w:rFonts w:cs="Arial"/>
        </w:rPr>
      </w:pPr>
      <w:r>
        <w:t>2.</w:t>
      </w:r>
      <w:r>
        <w:tab/>
        <w:t>In addition, the Building Books shall log all work, whether for repair, renovation or restoration, over the service life of the building.</w:t>
      </w:r>
    </w:p>
    <w:p w:rsidR="00175E40" w:rsidRPr="00937C8B" w:rsidRDefault="00CA73D7" w:rsidP="0084739B">
      <w:pPr>
        <w:pStyle w:val="CTENumeracion"/>
        <w:pageBreakBefore/>
        <w:spacing w:before="120"/>
        <w:ind w:left="360" w:hanging="360"/>
        <w:rPr>
          <w:rFonts w:eastAsia="Arial" w:cs="Arial"/>
          <w:b/>
          <w:bCs/>
          <w:kern w:val="2"/>
          <w:sz w:val="32"/>
        </w:rPr>
      </w:pPr>
      <w:r>
        <w:rPr>
          <w:b/>
          <w:sz w:val="32"/>
        </w:rPr>
        <w:t>Section HE 4</w:t>
      </w:r>
    </w:p>
    <w:p w:rsidR="007A4FDC" w:rsidRPr="00937C8B" w:rsidRDefault="007A4FDC" w:rsidP="007A4FDC">
      <w:pPr>
        <w:pStyle w:val="CteTtuloSeccion"/>
        <w:rPr>
          <w:rFonts w:cs="Arial"/>
          <w:color w:val="auto"/>
        </w:rPr>
      </w:pPr>
      <w:bookmarkStart w:id="240" w:name="_Toc39157953"/>
      <w:bookmarkStart w:id="241" w:name="_Toc39158129"/>
      <w:bookmarkStart w:id="242" w:name="_Toc44876276"/>
      <w:r>
        <w:rPr>
          <w:color w:val="auto"/>
        </w:rPr>
        <w:t>Minimum contribution of renewable energy to cover domestic hot water demand</w:t>
      </w:r>
      <w:bookmarkEnd w:id="240"/>
      <w:bookmarkEnd w:id="241"/>
      <w:bookmarkEnd w:id="242"/>
    </w:p>
    <w:p w:rsidR="007A4FDC" w:rsidRPr="00937C8B" w:rsidRDefault="007A4FDC" w:rsidP="007A4FDC">
      <w:pPr>
        <w:pStyle w:val="CteTtulo2"/>
        <w:rPr>
          <w:rFonts w:cs="Arial"/>
        </w:rPr>
      </w:pPr>
      <w:bookmarkStart w:id="243" w:name="Sección_HE4_Ambito"/>
      <w:bookmarkStart w:id="244" w:name="_Toc530395283"/>
      <w:bookmarkStart w:id="245" w:name="_Toc39157954"/>
      <w:bookmarkStart w:id="246" w:name="_Toc39158130"/>
      <w:bookmarkStart w:id="247" w:name="_Toc44876277"/>
      <w:bookmarkEnd w:id="243"/>
      <w:r>
        <w:t>1.</w:t>
      </w:r>
      <w:r>
        <w:tab/>
        <w:t>Scope</w:t>
      </w:r>
      <w:bookmarkEnd w:id="244"/>
      <w:bookmarkEnd w:id="245"/>
      <w:bookmarkEnd w:id="246"/>
      <w:bookmarkEnd w:id="247"/>
    </w:p>
    <w:p w:rsidR="007A4FDC" w:rsidRPr="00937C8B" w:rsidRDefault="007A4FDC" w:rsidP="007A4FDC">
      <w:pPr>
        <w:pStyle w:val="CTENumeracion"/>
        <w:rPr>
          <w:rFonts w:cs="Arial"/>
          <w:sz w:val="22"/>
          <w:szCs w:val="22"/>
        </w:rPr>
      </w:pPr>
      <w:r>
        <w:rPr>
          <w:sz w:val="22"/>
        </w:rPr>
        <w:t>1.</w:t>
      </w:r>
      <w:r>
        <w:rPr>
          <w:sz w:val="22"/>
        </w:rPr>
        <w:tab/>
        <w:t>The conditions set out in this subsection shall apply to:</w:t>
      </w:r>
    </w:p>
    <w:p w:rsidR="007A4FDC" w:rsidRPr="00937C8B" w:rsidRDefault="007A4FDC" w:rsidP="007A4FDC">
      <w:pPr>
        <w:pStyle w:val="CTENumeracion"/>
        <w:ind w:left="624" w:hanging="283"/>
        <w:rPr>
          <w:rFonts w:cs="Arial"/>
          <w:sz w:val="22"/>
          <w:szCs w:val="22"/>
        </w:rPr>
      </w:pPr>
      <w:r>
        <w:rPr>
          <w:sz w:val="22"/>
        </w:rPr>
        <w:t>a) newly constructed buildings with a domestic hot water (DHW) demand of over 100 l/d, calculated as per Annex F;</w:t>
      </w:r>
    </w:p>
    <w:p w:rsidR="007A4FDC" w:rsidRPr="00937C8B" w:rsidRDefault="007A4FDC" w:rsidP="007A4FDC">
      <w:pPr>
        <w:pStyle w:val="CTENumeracion"/>
        <w:ind w:left="624" w:hanging="283"/>
        <w:rPr>
          <w:rFonts w:cs="Arial"/>
          <w:sz w:val="22"/>
          <w:szCs w:val="22"/>
        </w:rPr>
      </w:pPr>
      <w:r>
        <w:rPr>
          <w:sz w:val="22"/>
        </w:rPr>
        <w:t>b) existing buildings with a domestic hot water (DHW) demand of over 100 l/d, calculated according to Annex F, in cases of total renovation either of the building itself or of the heat production installation, or in those that undergo a change in their characteristic use;</w:t>
      </w:r>
    </w:p>
    <w:p w:rsidR="007A4FDC" w:rsidRPr="00937C8B" w:rsidRDefault="007A4FDC" w:rsidP="007A4FDC">
      <w:pPr>
        <w:pStyle w:val="CTENumeracion"/>
        <w:ind w:left="624" w:hanging="283"/>
        <w:rPr>
          <w:rFonts w:cs="Arial"/>
          <w:sz w:val="22"/>
          <w:szCs w:val="22"/>
        </w:rPr>
      </w:pPr>
      <w:r>
        <w:rPr>
          <w:sz w:val="22"/>
        </w:rPr>
        <w:t>c) extensions or work not covered by the previous point in existing buildings with an initial DHW demand of over 5,000 l/day, resulting in an increase of over 50% from the initial demand;</w:t>
      </w:r>
    </w:p>
    <w:p w:rsidR="007A4FDC" w:rsidRPr="00937C8B" w:rsidRDefault="007A4FDC" w:rsidP="007A4FDC">
      <w:pPr>
        <w:pStyle w:val="CTENumeracion"/>
        <w:ind w:left="624" w:hanging="283"/>
        <w:rPr>
          <w:rFonts w:cs="Arial"/>
          <w:sz w:val="22"/>
          <w:szCs w:val="22"/>
        </w:rPr>
      </w:pPr>
      <w:r>
        <w:rPr>
          <w:sz w:val="22"/>
        </w:rPr>
        <w:t>d) heating for: new indoor swimming pools, existing indoor swimming pools with a heat production installation undergoing renovations or existing outdoor swimming pools that will be enclosed.</w:t>
      </w:r>
    </w:p>
    <w:p w:rsidR="007A4FDC" w:rsidRPr="00937C8B" w:rsidRDefault="007A4FDC" w:rsidP="007A4FDC">
      <w:pPr>
        <w:pStyle w:val="CteTtulo2"/>
        <w:spacing w:before="480"/>
        <w:rPr>
          <w:rFonts w:cs="Arial"/>
        </w:rPr>
      </w:pPr>
      <w:bookmarkStart w:id="248" w:name="_Toc530395284"/>
      <w:bookmarkStart w:id="249" w:name="_Toc530396163"/>
      <w:bookmarkStart w:id="250" w:name="_Toc39157955"/>
      <w:bookmarkStart w:id="251" w:name="_Toc39158131"/>
      <w:bookmarkStart w:id="252" w:name="_Toc44876278"/>
      <w:r>
        <w:t>2.</w:t>
      </w:r>
      <w:r>
        <w:tab/>
        <w:t>Determination of the requirement</w:t>
      </w:r>
      <w:bookmarkEnd w:id="248"/>
      <w:bookmarkEnd w:id="249"/>
      <w:bookmarkEnd w:id="250"/>
      <w:bookmarkEnd w:id="251"/>
      <w:bookmarkEnd w:id="252"/>
    </w:p>
    <w:p w:rsidR="007A4FDC" w:rsidRPr="00937C8B" w:rsidRDefault="007A4FDC" w:rsidP="007A4FDC">
      <w:pPr>
        <w:pStyle w:val="CTENumeracion"/>
        <w:rPr>
          <w:rFonts w:cs="Arial"/>
          <w:sz w:val="22"/>
          <w:szCs w:val="22"/>
        </w:rPr>
      </w:pPr>
      <w:r>
        <w:rPr>
          <w:sz w:val="22"/>
        </w:rPr>
        <w:t>1.</w:t>
      </w:r>
      <w:r>
        <w:rPr>
          <w:sz w:val="22"/>
        </w:rPr>
        <w:tab/>
        <w:t xml:space="preserve">Buildings shall largely meet their DHW or indoor pool heating needs with energy from renewable sources or renewable cogeneration processes, or with energy generated in the building itself or from a connection to a </w:t>
      </w:r>
      <w:r>
        <w:rPr>
          <w:i/>
          <w:iCs/>
          <w:sz w:val="22"/>
        </w:rPr>
        <w:t>district heating system</w:t>
      </w:r>
      <w:r>
        <w:rPr>
          <w:sz w:val="22"/>
        </w:rPr>
        <w:t>.</w:t>
      </w:r>
    </w:p>
    <w:p w:rsidR="007A4FDC" w:rsidRPr="00937C8B" w:rsidRDefault="007A4FDC" w:rsidP="007A4FDC">
      <w:pPr>
        <w:pStyle w:val="CteTtulo2"/>
        <w:spacing w:before="480"/>
        <w:rPr>
          <w:rFonts w:cs="Arial"/>
        </w:rPr>
      </w:pPr>
      <w:bookmarkStart w:id="253" w:name="_Toc530395285"/>
      <w:bookmarkStart w:id="254" w:name="_Toc39157956"/>
      <w:bookmarkStart w:id="255" w:name="_Toc39158132"/>
      <w:bookmarkStart w:id="256" w:name="_Toc44876279"/>
      <w:r>
        <w:t>3.</w:t>
      </w:r>
      <w:r>
        <w:tab/>
        <w:t>Quantification of the requirement</w:t>
      </w:r>
      <w:bookmarkEnd w:id="253"/>
      <w:bookmarkEnd w:id="254"/>
      <w:bookmarkEnd w:id="255"/>
      <w:bookmarkEnd w:id="256"/>
    </w:p>
    <w:p w:rsidR="007A4FDC" w:rsidRPr="00937C8B" w:rsidRDefault="007A4FDC" w:rsidP="009467D5">
      <w:pPr>
        <w:pStyle w:val="CteTtulo3"/>
      </w:pPr>
      <w:bookmarkStart w:id="257" w:name="_Toc530395286"/>
      <w:bookmarkStart w:id="258" w:name="_Toc530396165"/>
      <w:bookmarkStart w:id="259" w:name="_Toc39157957"/>
      <w:bookmarkStart w:id="260" w:name="_Toc44876280"/>
      <w:r>
        <w:t>3.1</w:t>
      </w:r>
      <w:r>
        <w:tab/>
        <w:t>Minimum share of renewables for DHW and/or swimming pool heating</w:t>
      </w:r>
      <w:bookmarkEnd w:id="257"/>
      <w:bookmarkEnd w:id="258"/>
      <w:bookmarkEnd w:id="259"/>
      <w:bookmarkEnd w:id="260"/>
    </w:p>
    <w:p w:rsidR="005B7917" w:rsidRPr="00937C8B" w:rsidRDefault="005B7917" w:rsidP="00255D36">
      <w:pPr>
        <w:pStyle w:val="CTENumeracion"/>
        <w:numPr>
          <w:ilvl w:val="5"/>
          <w:numId w:val="6"/>
        </w:numPr>
        <w:spacing w:before="120"/>
        <w:rPr>
          <w:rFonts w:cs="Arial"/>
          <w:sz w:val="22"/>
          <w:szCs w:val="22"/>
        </w:rPr>
      </w:pPr>
      <w:r>
        <w:rPr>
          <w:sz w:val="22"/>
        </w:rPr>
        <w:t>The minimum share of energy from renewable sources shall cover at least 70% of the annual energy demand for DHW and for swimming pool heating, obtained based on monthly values, and including heat loss from distribution, storage and recirculation. This minimum contribution may be reduced to 60% if DHW demand is less than 5,000 l/d.</w:t>
      </w:r>
    </w:p>
    <w:p w:rsidR="005B7917" w:rsidRPr="00937C8B" w:rsidRDefault="005B7917" w:rsidP="005B7917">
      <w:pPr>
        <w:pStyle w:val="CTENumeracion"/>
        <w:spacing w:before="120"/>
        <w:ind w:firstLine="0"/>
        <w:rPr>
          <w:rFonts w:cs="Arial"/>
          <w:sz w:val="22"/>
          <w:szCs w:val="22"/>
        </w:rPr>
      </w:pPr>
      <w:r>
        <w:rPr>
          <w:sz w:val="22"/>
        </w:rPr>
        <w:t>This shall only count the share of renewable energy originating onsite or in the vicinity of the building, or from solid biomass.</w:t>
      </w:r>
    </w:p>
    <w:p w:rsidR="005B7917" w:rsidRPr="00937C8B" w:rsidRDefault="005B7917" w:rsidP="005B7917">
      <w:pPr>
        <w:pStyle w:val="CTENumeracion"/>
        <w:spacing w:before="120"/>
        <w:rPr>
          <w:rFonts w:cs="Arial"/>
          <w:sz w:val="22"/>
          <w:szCs w:val="22"/>
        </w:rPr>
      </w:pPr>
      <w:r>
        <w:rPr>
          <w:sz w:val="22"/>
        </w:rPr>
        <w:t>2.</w:t>
      </w:r>
      <w:r>
        <w:rPr>
          <w:sz w:val="22"/>
        </w:rPr>
        <w:tab/>
        <w:t>In the case of extensions or work on existing buildings, provided for in point 1(c) under ‘Scope’, the minimum share of renewables shall be determined for the increase in DHW demand over initial demand.</w:t>
      </w:r>
    </w:p>
    <w:p w:rsidR="007A4FDC" w:rsidRPr="00937C8B" w:rsidRDefault="007A4FDC" w:rsidP="007A4FDC">
      <w:pPr>
        <w:pStyle w:val="CTENumeracion"/>
        <w:spacing w:before="120"/>
        <w:rPr>
          <w:rFonts w:cs="Arial"/>
          <w:sz w:val="22"/>
          <w:szCs w:val="22"/>
        </w:rPr>
      </w:pPr>
      <w:r>
        <w:rPr>
          <w:sz w:val="22"/>
        </w:rPr>
        <w:t xml:space="preserve">3. </w:t>
      </w:r>
      <w:r>
        <w:rPr>
          <w:sz w:val="22"/>
        </w:rPr>
        <w:tab/>
        <w:t xml:space="preserve">Renewable sources that cover the minimum share of renewables for DHW and/or swimming pool heating may be integrated into the heat production of the building itself or may be accessible by a connection to a </w:t>
      </w:r>
      <w:r>
        <w:rPr>
          <w:i/>
          <w:iCs/>
          <w:sz w:val="22"/>
        </w:rPr>
        <w:t>district heating system</w:t>
      </w:r>
      <w:r>
        <w:rPr>
          <w:sz w:val="22"/>
        </w:rPr>
        <w:t>.</w:t>
      </w:r>
    </w:p>
    <w:p w:rsidR="007A4FDC" w:rsidRPr="00937C8B" w:rsidRDefault="007A4FDC" w:rsidP="007A4FDC">
      <w:pPr>
        <w:pStyle w:val="CTENumeracion"/>
        <w:spacing w:before="120"/>
        <w:rPr>
          <w:rFonts w:cs="Arial"/>
          <w:sz w:val="22"/>
          <w:szCs w:val="22"/>
        </w:rPr>
      </w:pPr>
      <w:r>
        <w:rPr>
          <w:sz w:val="22"/>
        </w:rPr>
        <w:t>4.</w:t>
      </w:r>
      <w:r>
        <w:rPr>
          <w:sz w:val="22"/>
        </w:rPr>
        <w:tab/>
        <w:t>In order to count their renewable energy for the purposes of this section, heat pumps intended for DHW production and/or swimming pool heating shall have a seasonal coefficient of performance (SCOP</w:t>
      </w:r>
      <w:r>
        <w:rPr>
          <w:sz w:val="22"/>
          <w:vertAlign w:val="subscript"/>
        </w:rPr>
        <w:t>dhw</w:t>
      </w:r>
      <w:r>
        <w:rPr>
          <w:sz w:val="22"/>
        </w:rPr>
        <w:t>) of over 2.5 if powered by electricity and over 1.15 if powered by thermal energy. SCOP</w:t>
      </w:r>
      <w:r>
        <w:rPr>
          <w:sz w:val="22"/>
          <w:vertAlign w:val="subscript"/>
        </w:rPr>
        <w:t>dhw</w:t>
      </w:r>
      <w:r>
        <w:rPr>
          <w:sz w:val="22"/>
        </w:rPr>
        <w:t xml:space="preserve"> shall be determined for the DHW preparation temperature, which shall be no less than 45ºC.</w:t>
      </w:r>
    </w:p>
    <w:p w:rsidR="007A4FDC" w:rsidRPr="00937C8B" w:rsidRDefault="007A4FDC" w:rsidP="007A4FDC">
      <w:pPr>
        <w:pStyle w:val="CTENumeracion"/>
        <w:spacing w:before="120"/>
        <w:rPr>
          <w:rFonts w:cs="Arial"/>
          <w:sz w:val="22"/>
          <w:szCs w:val="22"/>
        </w:rPr>
      </w:pPr>
      <w:r>
        <w:rPr>
          <w:sz w:val="22"/>
        </w:rPr>
        <w:t xml:space="preserve">5. </w:t>
      </w:r>
      <w:r>
        <w:rPr>
          <w:sz w:val="22"/>
        </w:rPr>
        <w:tab/>
        <w:t>The minimum share of renewables for DHW and/or indoor swimming pool heating may be replaced, in whole or in part, with residual energy from cooling equipment, dehumidifiers and residual combustion heat from the motors of thermally powered heat pumps, provided that recovery of this residual energy is effective and useful for DHW. The calculation shall only count the energy obtained from heat recovery by installing recuperators outside the heating installation of the building itself. In cases of residual energy recovery from cooling equipment in residential buildings, it shall not be permitted to count energy recovery at a rate of over 20% of that extracted.</w:t>
      </w:r>
    </w:p>
    <w:p w:rsidR="007A4FDC" w:rsidRPr="00937C8B" w:rsidRDefault="007A4FDC" w:rsidP="009467D5">
      <w:pPr>
        <w:pStyle w:val="CteTtulo3"/>
      </w:pPr>
      <w:bookmarkStart w:id="261" w:name="Sección_HE4_SistemasMedida"/>
      <w:bookmarkStart w:id="262" w:name="_Toc530395287"/>
      <w:bookmarkStart w:id="263" w:name="_Toc39157958"/>
      <w:bookmarkStart w:id="264" w:name="_Toc44876281"/>
      <w:bookmarkEnd w:id="261"/>
      <w:r>
        <w:t>3.2</w:t>
      </w:r>
      <w:r>
        <w:tab/>
        <w:t>Energy supply metering systems</w:t>
      </w:r>
      <w:bookmarkEnd w:id="262"/>
      <w:bookmarkEnd w:id="263"/>
      <w:bookmarkEnd w:id="264"/>
    </w:p>
    <w:p w:rsidR="007A4FDC" w:rsidRPr="00937C8B" w:rsidRDefault="007A4FDC" w:rsidP="007A4FDC">
      <w:pPr>
        <w:pStyle w:val="CTENumeracion"/>
        <w:spacing w:before="120"/>
        <w:rPr>
          <w:rFonts w:cs="Arial"/>
          <w:sz w:val="22"/>
          <w:szCs w:val="22"/>
        </w:rPr>
      </w:pPr>
      <w:r>
        <w:rPr>
          <w:sz w:val="22"/>
        </w:rPr>
        <w:t xml:space="preserve">1. </w:t>
      </w:r>
      <w:r>
        <w:rPr>
          <w:sz w:val="22"/>
        </w:rPr>
        <w:tab/>
        <w:t xml:space="preserve">Metering systems for energy supplied from renewable sources shall meet the applicable </w:t>
      </w:r>
      <w:r>
        <w:rPr>
          <w:i/>
          <w:sz w:val="22"/>
        </w:rPr>
        <w:t>Regulations on Thermal Installations in Buildings</w:t>
      </w:r>
      <w:r>
        <w:rPr>
          <w:sz w:val="22"/>
        </w:rPr>
        <w:t xml:space="preserve"> [RITE].</w:t>
      </w:r>
    </w:p>
    <w:p w:rsidR="007A4FDC" w:rsidRPr="00937C8B" w:rsidRDefault="007A4FDC" w:rsidP="007A4FDC">
      <w:pPr>
        <w:pStyle w:val="CteTtulo2"/>
        <w:spacing w:before="480" w:after="60"/>
        <w:ind w:left="397" w:hanging="397"/>
        <w:jc w:val="both"/>
        <w:rPr>
          <w:rFonts w:cs="Arial"/>
        </w:rPr>
      </w:pPr>
      <w:bookmarkStart w:id="265" w:name="_Toc530395288"/>
      <w:bookmarkStart w:id="266" w:name="_Toc530396167"/>
      <w:bookmarkStart w:id="267" w:name="_Toc39157959"/>
      <w:bookmarkStart w:id="268" w:name="_Toc39158133"/>
      <w:bookmarkStart w:id="269" w:name="_Toc44876282"/>
      <w:r>
        <w:t>4.</w:t>
      </w:r>
      <w:r>
        <w:tab/>
        <w:t>Demonstration of compliance</w:t>
      </w:r>
      <w:bookmarkEnd w:id="265"/>
      <w:bookmarkEnd w:id="266"/>
      <w:bookmarkEnd w:id="267"/>
      <w:bookmarkEnd w:id="268"/>
      <w:bookmarkEnd w:id="269"/>
    </w:p>
    <w:p w:rsidR="007A4FDC" w:rsidRPr="00937C8B" w:rsidRDefault="007A4FDC" w:rsidP="00D27646">
      <w:pPr>
        <w:pStyle w:val="CTENormal"/>
        <w:keepNext/>
        <w:spacing w:before="240"/>
        <w:jc w:val="both"/>
        <w:rPr>
          <w:szCs w:val="22"/>
        </w:rPr>
      </w:pPr>
      <w:r>
        <w:t>To demonstrate that a building meets the requirements of this DB, the design documents shall include the following information on the building or relevant part thereof:</w:t>
      </w:r>
    </w:p>
    <w:p w:rsidR="007A4FDC" w:rsidRPr="00937C8B" w:rsidRDefault="007A4FDC" w:rsidP="007A4FDC">
      <w:pPr>
        <w:pStyle w:val="CTENumeracion"/>
        <w:ind w:left="702" w:hanging="345"/>
        <w:rPr>
          <w:rFonts w:cs="Arial"/>
          <w:sz w:val="22"/>
          <w:szCs w:val="22"/>
        </w:rPr>
      </w:pPr>
      <w:r>
        <w:rPr>
          <w:sz w:val="22"/>
        </w:rPr>
        <w:t>a)</w:t>
      </w:r>
      <w:r>
        <w:rPr>
          <w:sz w:val="22"/>
        </w:rPr>
        <w:tab/>
        <w:t>the monthly demand for domestic hot water (DWS) and swimming pool heating, including heat loss from distribution, storage and recirculation;</w:t>
      </w:r>
    </w:p>
    <w:p w:rsidR="007A4FDC" w:rsidRPr="00937C8B" w:rsidRDefault="007A4FDC" w:rsidP="007A4FDC">
      <w:pPr>
        <w:pStyle w:val="CTENumeracion"/>
        <w:ind w:left="702" w:hanging="345"/>
        <w:rPr>
          <w:rFonts w:cs="Arial"/>
          <w:sz w:val="22"/>
          <w:szCs w:val="22"/>
        </w:rPr>
      </w:pPr>
      <w:r>
        <w:rPr>
          <w:sz w:val="22"/>
        </w:rPr>
        <w:t>b)</w:t>
      </w:r>
      <w:r>
        <w:rPr>
          <w:sz w:val="22"/>
        </w:rPr>
        <w:tab/>
        <w:t>the share of renewables used to meet the energy needs for DHW and swimming pool heating;</w:t>
      </w:r>
    </w:p>
    <w:p w:rsidR="007A4FDC" w:rsidRPr="00937C8B" w:rsidRDefault="007A4FDC" w:rsidP="007A4FDC">
      <w:pPr>
        <w:pStyle w:val="CTENumeracion"/>
        <w:ind w:left="702" w:hanging="345"/>
        <w:rPr>
          <w:rFonts w:cs="Arial"/>
          <w:sz w:val="22"/>
          <w:szCs w:val="22"/>
        </w:rPr>
      </w:pPr>
      <w:r>
        <w:rPr>
          <w:sz w:val="22"/>
        </w:rPr>
        <w:t xml:space="preserve">c) </w:t>
      </w:r>
      <w:r>
        <w:rPr>
          <w:sz w:val="22"/>
        </w:rPr>
        <w:tab/>
        <w:t>the share of any residual energy used for DHW;</w:t>
      </w:r>
    </w:p>
    <w:p w:rsidR="005B7917" w:rsidRPr="00937C8B" w:rsidRDefault="007A4FDC" w:rsidP="007A4FDC">
      <w:pPr>
        <w:pStyle w:val="CTENumeracion"/>
        <w:ind w:left="702" w:hanging="345"/>
        <w:rPr>
          <w:rFonts w:cs="Arial"/>
          <w:sz w:val="22"/>
          <w:szCs w:val="22"/>
        </w:rPr>
      </w:pPr>
      <w:r>
        <w:rPr>
          <w:sz w:val="22"/>
        </w:rPr>
        <w:t>d)</w:t>
      </w:r>
      <w:r>
        <w:rPr>
          <w:sz w:val="22"/>
        </w:rPr>
        <w:tab/>
        <w:t>verification that the share of renewables used to meet DHW needs meets the required percentage.</w:t>
      </w:r>
    </w:p>
    <w:p w:rsidR="007A4FDC" w:rsidRPr="00937C8B" w:rsidRDefault="007A4FDC" w:rsidP="009467D5">
      <w:pPr>
        <w:pStyle w:val="CteTtulo3"/>
      </w:pPr>
      <w:bookmarkStart w:id="270" w:name="_Toc530395290"/>
      <w:bookmarkStart w:id="271" w:name="_Toc530396169"/>
      <w:bookmarkStart w:id="272" w:name="_Toc39157960"/>
      <w:bookmarkStart w:id="273" w:name="_Toc44876283"/>
      <w:r>
        <w:t>5.1</w:t>
      </w:r>
      <w:r>
        <w:tab/>
        <w:t>Execution</w:t>
      </w:r>
      <w:bookmarkEnd w:id="270"/>
      <w:bookmarkEnd w:id="271"/>
      <w:bookmarkEnd w:id="272"/>
      <w:bookmarkEnd w:id="273"/>
    </w:p>
    <w:p w:rsidR="007A4FDC" w:rsidRPr="00937C8B" w:rsidRDefault="007A4FDC" w:rsidP="007A4FDC">
      <w:pPr>
        <w:pStyle w:val="CTENumeracion"/>
        <w:rPr>
          <w:rFonts w:cs="Arial"/>
          <w:sz w:val="22"/>
          <w:szCs w:val="22"/>
        </w:rPr>
      </w:pPr>
      <w:r>
        <w:rPr>
          <w:sz w:val="22"/>
        </w:rPr>
        <w:t>1.</w:t>
      </w:r>
      <w:r>
        <w:rPr>
          <w:sz w:val="22"/>
        </w:rPr>
        <w:tab/>
        <w:t>The building construction work shall be performed according to the design and any design amendments approved by the site manager, with the prior approval of the developer and in accordance with applicable legislation, best practices in construction and the instructions of the site manager and the project manager, as per Article 7 of Part I of the CTE.</w:t>
      </w:r>
    </w:p>
    <w:p w:rsidR="007A4FDC" w:rsidRPr="00937C8B" w:rsidRDefault="007A4FDC" w:rsidP="009467D5">
      <w:pPr>
        <w:pStyle w:val="CteTtulo3"/>
      </w:pPr>
      <w:bookmarkStart w:id="274" w:name="Sección_HE4_ControlEjecucion"/>
      <w:bookmarkStart w:id="275" w:name="_Toc530395291"/>
      <w:bookmarkStart w:id="276" w:name="_Toc39157961"/>
      <w:bookmarkStart w:id="277" w:name="_Toc44876284"/>
      <w:bookmarkEnd w:id="274"/>
      <w:r>
        <w:t>5.2</w:t>
      </w:r>
      <w:r>
        <w:tab/>
        <w:t>Work execution verification</w:t>
      </w:r>
      <w:bookmarkEnd w:id="275"/>
      <w:bookmarkEnd w:id="276"/>
      <w:bookmarkEnd w:id="277"/>
    </w:p>
    <w:p w:rsidR="007A4FDC" w:rsidRPr="00937C8B" w:rsidRDefault="007A4FDC" w:rsidP="007A4FDC">
      <w:pPr>
        <w:pStyle w:val="CTENumeracion"/>
        <w:spacing w:before="120"/>
        <w:rPr>
          <w:rFonts w:cs="Arial"/>
          <w:sz w:val="22"/>
          <w:szCs w:val="22"/>
        </w:rPr>
      </w:pPr>
      <w:r>
        <w:rPr>
          <w:sz w:val="22"/>
        </w:rPr>
        <w:t>1.</w:t>
      </w:r>
      <w:r>
        <w:rPr>
          <w:sz w:val="22"/>
        </w:rPr>
        <w:tab/>
        <w:t>Execution of the work shall be checked against the design specifications, annexes and any amendments approved by the site manager and the instructions of the project manager, as per Article 7.3 of Part I of the CTE and other applicable prevailing regulations.</w:t>
      </w:r>
    </w:p>
    <w:p w:rsidR="007A4FDC" w:rsidRPr="00937C8B" w:rsidRDefault="007A4FDC" w:rsidP="007A4FDC">
      <w:pPr>
        <w:pStyle w:val="CTENumeracion"/>
        <w:spacing w:before="120"/>
        <w:rPr>
          <w:rFonts w:cs="Arial"/>
          <w:sz w:val="22"/>
          <w:szCs w:val="22"/>
        </w:rPr>
      </w:pPr>
      <w:r>
        <w:rPr>
          <w:sz w:val="22"/>
        </w:rPr>
        <w:t>2.</w:t>
      </w:r>
      <w:r>
        <w:rPr>
          <w:sz w:val="22"/>
        </w:rPr>
        <w:tab/>
        <w:t>Execution of the work shall be checked to ensure performance of inspections at the required frequency, as per the project specifications.</w:t>
      </w:r>
    </w:p>
    <w:p w:rsidR="007A4FDC" w:rsidRPr="00937C8B" w:rsidRDefault="007A4FDC" w:rsidP="007A4FDC">
      <w:pPr>
        <w:pStyle w:val="CTENumeracion"/>
        <w:spacing w:before="120"/>
        <w:rPr>
          <w:rFonts w:cs="Arial"/>
          <w:sz w:val="22"/>
          <w:szCs w:val="22"/>
        </w:rPr>
      </w:pPr>
      <w:r>
        <w:rPr>
          <w:sz w:val="22"/>
        </w:rPr>
        <w:t>3.</w:t>
      </w:r>
      <w:r>
        <w:rPr>
          <w:sz w:val="22"/>
        </w:rPr>
        <w:tab/>
        <w:t>Any changes introduced during execution of the works shall be recorded in the as-built documents, and shall always be in accordance with the minimum conditions set out in this Basic Document.</w:t>
      </w:r>
    </w:p>
    <w:p w:rsidR="007A4FDC" w:rsidRPr="00937C8B" w:rsidRDefault="007A4FDC" w:rsidP="007A4FDC">
      <w:pPr>
        <w:pStyle w:val="CTENumeracion"/>
        <w:spacing w:before="120"/>
        <w:rPr>
          <w:rFonts w:cs="Arial"/>
          <w:sz w:val="22"/>
          <w:szCs w:val="22"/>
        </w:rPr>
      </w:pPr>
      <w:r>
        <w:rPr>
          <w:sz w:val="22"/>
        </w:rPr>
        <w:t>4.</w:t>
      </w:r>
      <w:r>
        <w:rPr>
          <w:sz w:val="22"/>
        </w:rPr>
        <w:tab/>
        <w:t>The Building Book shall include documentation on the characteristics of the products, equipment and systems included in the work.</w:t>
      </w:r>
    </w:p>
    <w:p w:rsidR="007A4FDC" w:rsidRPr="00937C8B" w:rsidRDefault="007A4FDC" w:rsidP="009467D5">
      <w:pPr>
        <w:pStyle w:val="CteTtulo3"/>
      </w:pPr>
      <w:bookmarkStart w:id="278" w:name="_Toc530395292"/>
      <w:bookmarkStart w:id="279" w:name="_Toc530396171"/>
      <w:bookmarkStart w:id="280" w:name="_Toc39157962"/>
      <w:bookmarkStart w:id="281" w:name="_Toc44876285"/>
      <w:r>
        <w:t>5.3</w:t>
      </w:r>
      <w:r>
        <w:tab/>
        <w:t>As-built verification</w:t>
      </w:r>
      <w:bookmarkEnd w:id="278"/>
      <w:bookmarkEnd w:id="279"/>
      <w:bookmarkEnd w:id="280"/>
      <w:bookmarkEnd w:id="281"/>
    </w:p>
    <w:p w:rsidR="007A4FDC" w:rsidRPr="00937C8B" w:rsidRDefault="007A4FDC" w:rsidP="007A4FDC">
      <w:pPr>
        <w:pStyle w:val="CTENumeracion"/>
        <w:spacing w:before="120"/>
        <w:rPr>
          <w:rFonts w:cs="Arial"/>
          <w:sz w:val="22"/>
          <w:szCs w:val="22"/>
        </w:rPr>
      </w:pPr>
      <w:r>
        <w:rPr>
          <w:sz w:val="22"/>
        </w:rPr>
        <w:t>1.</w:t>
      </w:r>
      <w:r>
        <w:rPr>
          <w:sz w:val="22"/>
        </w:rPr>
        <w:tab/>
        <w:t>The as-built verification shall be based on the criteria provided in Article 7.4 of Part I of the CTE.</w:t>
      </w:r>
    </w:p>
    <w:p w:rsidR="007A4FDC" w:rsidRPr="00937C8B" w:rsidRDefault="007A4FDC" w:rsidP="007A4FDC">
      <w:pPr>
        <w:pStyle w:val="CTENumeracion"/>
        <w:spacing w:before="120"/>
        <w:rPr>
          <w:rFonts w:cs="Arial"/>
          <w:sz w:val="22"/>
          <w:szCs w:val="22"/>
        </w:rPr>
      </w:pPr>
      <w:r>
        <w:rPr>
          <w:sz w:val="22"/>
        </w:rPr>
        <w:t>2.</w:t>
      </w:r>
      <w:r>
        <w:rPr>
          <w:sz w:val="22"/>
        </w:rPr>
        <w:tab/>
        <w:t>This Section of the Basic Document does not require final testing.</w:t>
      </w:r>
    </w:p>
    <w:p w:rsidR="007A4FDC" w:rsidRPr="00937C8B" w:rsidRDefault="007A4FDC" w:rsidP="009467D5">
      <w:pPr>
        <w:pStyle w:val="CteTtulo3"/>
      </w:pPr>
      <w:bookmarkStart w:id="282" w:name="Sección_HE4_Mantenimiento"/>
      <w:bookmarkStart w:id="283" w:name="_Toc530395293"/>
      <w:bookmarkStart w:id="284" w:name="_Toc39157963"/>
      <w:bookmarkStart w:id="285" w:name="_Toc44876286"/>
      <w:bookmarkEnd w:id="282"/>
      <w:r>
        <w:t>5.4</w:t>
      </w:r>
      <w:r>
        <w:tab/>
        <w:t>Building maintenance and preservation</w:t>
      </w:r>
      <w:bookmarkEnd w:id="283"/>
      <w:bookmarkEnd w:id="284"/>
      <w:bookmarkEnd w:id="285"/>
    </w:p>
    <w:p w:rsidR="007A4FDC" w:rsidRPr="00937C8B" w:rsidRDefault="007A4FDC" w:rsidP="007A4FDC">
      <w:pPr>
        <w:pStyle w:val="CTENumeracion"/>
        <w:spacing w:before="120"/>
        <w:rPr>
          <w:rFonts w:cs="Arial"/>
          <w:sz w:val="22"/>
          <w:szCs w:val="22"/>
        </w:rPr>
      </w:pPr>
      <w:r>
        <w:rPr>
          <w:sz w:val="22"/>
        </w:rPr>
        <w:t>1.</w:t>
      </w:r>
      <w:r>
        <w:rPr>
          <w:sz w:val="22"/>
        </w:rPr>
        <w:tab/>
        <w:t>The maintenance plan included in the Building Book shall indicate the work and intervals required to maintain the design and performance parameters of the installations for recovery of energy from renewable sources over time.</w:t>
      </w:r>
    </w:p>
    <w:p w:rsidR="00175E40" w:rsidRPr="00937C8B" w:rsidRDefault="007A4FDC" w:rsidP="005B7917">
      <w:pPr>
        <w:pStyle w:val="CTENumeracion"/>
        <w:spacing w:before="120"/>
        <w:rPr>
          <w:rFonts w:cs="Arial"/>
          <w:sz w:val="22"/>
          <w:szCs w:val="22"/>
        </w:rPr>
      </w:pPr>
      <w:r>
        <w:rPr>
          <w:sz w:val="22"/>
        </w:rPr>
        <w:t>2.</w:t>
      </w:r>
      <w:r>
        <w:rPr>
          <w:sz w:val="22"/>
        </w:rPr>
        <w:tab/>
        <w:t>In addition, the Building Books shall log all work, whether for repair, renovation or restoration, over the service life of the building.</w:t>
      </w:r>
    </w:p>
    <w:p w:rsidR="00175E40" w:rsidRPr="00937C8B" w:rsidRDefault="005B7917" w:rsidP="0084739B">
      <w:pPr>
        <w:pStyle w:val="CTENumeracion"/>
        <w:pageBreakBefore/>
        <w:spacing w:before="120"/>
        <w:ind w:left="360" w:hanging="360"/>
        <w:rPr>
          <w:rFonts w:eastAsia="Arial" w:cs="Arial"/>
          <w:b/>
          <w:bCs/>
          <w:kern w:val="2"/>
          <w:sz w:val="32"/>
        </w:rPr>
      </w:pPr>
      <w:r>
        <w:rPr>
          <w:b/>
          <w:sz w:val="32"/>
        </w:rPr>
        <w:t>Section HE 5</w:t>
      </w:r>
    </w:p>
    <w:p w:rsidR="00D358DC" w:rsidRPr="00937C8B" w:rsidRDefault="00D358DC" w:rsidP="00D358DC">
      <w:pPr>
        <w:pStyle w:val="CteTtuloSeccion"/>
        <w:rPr>
          <w:rFonts w:cs="Arial"/>
          <w:color w:val="auto"/>
        </w:rPr>
      </w:pPr>
      <w:bookmarkStart w:id="286" w:name="_Toc39157964"/>
      <w:bookmarkStart w:id="287" w:name="_Toc39158134"/>
      <w:bookmarkStart w:id="288" w:name="_Toc44876287"/>
      <w:r>
        <w:rPr>
          <w:color w:val="auto"/>
        </w:rPr>
        <w:t>Minimum electricity generation</w:t>
      </w:r>
      <w:bookmarkEnd w:id="286"/>
      <w:bookmarkEnd w:id="287"/>
      <w:bookmarkEnd w:id="288"/>
    </w:p>
    <w:p w:rsidR="00D358DC" w:rsidRPr="00937C8B" w:rsidRDefault="00D358DC" w:rsidP="00D358DC">
      <w:pPr>
        <w:pStyle w:val="CteTtulo2"/>
        <w:jc w:val="both"/>
        <w:rPr>
          <w:rFonts w:cs="Arial"/>
        </w:rPr>
      </w:pPr>
      <w:bookmarkStart w:id="289" w:name="Sección_HE5_Ambito"/>
      <w:bookmarkStart w:id="290" w:name="_Toc530395295"/>
      <w:bookmarkStart w:id="291" w:name="_Toc39157965"/>
      <w:bookmarkStart w:id="292" w:name="_Toc39158135"/>
      <w:bookmarkStart w:id="293" w:name="_Toc44876288"/>
      <w:bookmarkEnd w:id="289"/>
      <w:r>
        <w:t>1.</w:t>
      </w:r>
      <w:r>
        <w:tab/>
        <w:t>Scope</w:t>
      </w:r>
      <w:bookmarkEnd w:id="290"/>
      <w:bookmarkEnd w:id="291"/>
      <w:bookmarkEnd w:id="292"/>
      <w:bookmarkEnd w:id="293"/>
    </w:p>
    <w:p w:rsidR="00D358DC" w:rsidRPr="00937C8B" w:rsidRDefault="00D358DC" w:rsidP="00D358DC">
      <w:pPr>
        <w:pStyle w:val="CTENumeracion"/>
        <w:rPr>
          <w:rFonts w:cs="Arial"/>
          <w:sz w:val="22"/>
          <w:szCs w:val="22"/>
        </w:rPr>
      </w:pPr>
      <w:r>
        <w:rPr>
          <w:sz w:val="22"/>
        </w:rPr>
        <w:t>1.</w:t>
      </w:r>
      <w:r>
        <w:rPr>
          <w:sz w:val="22"/>
        </w:rPr>
        <w:tab/>
        <w:t>This section shall apply to buildings with uses other than private residential, in the following cases:</w:t>
      </w:r>
    </w:p>
    <w:p w:rsidR="00D358DC" w:rsidRPr="00937C8B" w:rsidRDefault="00D358DC" w:rsidP="00D358DC">
      <w:pPr>
        <w:pStyle w:val="CTENumeracion"/>
        <w:ind w:left="737" w:hanging="283"/>
        <w:rPr>
          <w:rFonts w:cs="Arial"/>
          <w:sz w:val="22"/>
          <w:szCs w:val="22"/>
        </w:rPr>
      </w:pPr>
      <w:r>
        <w:rPr>
          <w:sz w:val="22"/>
        </w:rPr>
        <w:t>a) newly constructed buildings and extensions of existing buildings that exceed or increase the gross floor area by over 3,000 m</w:t>
      </w:r>
      <w:r>
        <w:rPr>
          <w:sz w:val="22"/>
          <w:vertAlign w:val="superscript"/>
        </w:rPr>
        <w:t>2</w:t>
      </w:r>
      <w:r>
        <w:rPr>
          <w:sz w:val="22"/>
        </w:rPr>
        <w:t>;</w:t>
      </w:r>
    </w:p>
    <w:p w:rsidR="00D358DC" w:rsidRPr="00937C8B" w:rsidRDefault="00D358DC" w:rsidP="00D358DC">
      <w:pPr>
        <w:pStyle w:val="CTENumeracion"/>
        <w:ind w:left="737" w:hanging="283"/>
        <w:rPr>
          <w:rFonts w:cs="Arial"/>
          <w:sz w:val="22"/>
          <w:szCs w:val="22"/>
        </w:rPr>
      </w:pPr>
      <w:r>
        <w:rPr>
          <w:sz w:val="22"/>
        </w:rPr>
        <w:t>b) existing buildings in cases of total renovation or a change in their characteristic use, if the gross floor area exceeds 3,000 m</w:t>
      </w:r>
      <w:r>
        <w:rPr>
          <w:sz w:val="22"/>
          <w:vertAlign w:val="superscript"/>
        </w:rPr>
        <w:t>2</w:t>
      </w:r>
      <w:r>
        <w:rPr>
          <w:sz w:val="22"/>
        </w:rPr>
        <w:t>.</w:t>
      </w:r>
    </w:p>
    <w:p w:rsidR="00D358DC" w:rsidRPr="00937C8B" w:rsidRDefault="00D358DC" w:rsidP="00D27646">
      <w:pPr>
        <w:pStyle w:val="CTENumeracion"/>
        <w:ind w:firstLine="3"/>
        <w:rPr>
          <w:rFonts w:cs="Arial"/>
          <w:sz w:val="22"/>
          <w:szCs w:val="22"/>
        </w:rPr>
      </w:pPr>
      <w:r>
        <w:rPr>
          <w:sz w:val="22"/>
        </w:rPr>
        <w:t>Gross floor area is deemed to include the area of any underground car parks and to exclude outdoor common areas.</w:t>
      </w:r>
    </w:p>
    <w:p w:rsidR="00D358DC" w:rsidRPr="00937C8B" w:rsidRDefault="00D358DC" w:rsidP="00D358DC">
      <w:pPr>
        <w:pStyle w:val="CTENumeracion"/>
        <w:spacing w:before="240"/>
        <w:rPr>
          <w:rFonts w:cs="Arial"/>
          <w:sz w:val="22"/>
          <w:szCs w:val="22"/>
        </w:rPr>
      </w:pPr>
      <w:r>
        <w:rPr>
          <w:sz w:val="22"/>
        </w:rPr>
        <w:t>2.</w:t>
      </w:r>
      <w:r>
        <w:rPr>
          <w:sz w:val="22"/>
        </w:rPr>
        <w:tab/>
        <w:t>In cases of buildings in which the required capacity cannot be installed due to urban planning or architectural reasons, or because the building is officially protected, where the authority that granted official protection shall determine the inalterable elements, this situation shall be demonstrated, with analysis of the various alternatives, and the solution that is the closest to meeting the maximum production conditions shall be adopted.</w:t>
      </w:r>
    </w:p>
    <w:p w:rsidR="00D358DC" w:rsidRPr="00937C8B" w:rsidRDefault="00D358DC" w:rsidP="00D358DC">
      <w:pPr>
        <w:pStyle w:val="CteTtulo2"/>
        <w:rPr>
          <w:rFonts w:cs="Arial"/>
        </w:rPr>
      </w:pPr>
      <w:bookmarkStart w:id="294" w:name="_Toc530395296"/>
      <w:bookmarkStart w:id="295" w:name="_Toc530396175"/>
      <w:bookmarkStart w:id="296" w:name="_Toc39157966"/>
      <w:bookmarkStart w:id="297" w:name="_Toc39158136"/>
      <w:bookmarkStart w:id="298" w:name="_Toc44876289"/>
      <w:r>
        <w:t>2.</w:t>
      </w:r>
      <w:r>
        <w:tab/>
        <w:t>Determination of the requirement</w:t>
      </w:r>
      <w:bookmarkEnd w:id="294"/>
      <w:bookmarkEnd w:id="295"/>
      <w:bookmarkEnd w:id="296"/>
      <w:bookmarkEnd w:id="297"/>
      <w:bookmarkEnd w:id="298"/>
    </w:p>
    <w:p w:rsidR="00D358DC" w:rsidRPr="00937C8B" w:rsidRDefault="00D358DC" w:rsidP="00D358DC">
      <w:pPr>
        <w:pStyle w:val="CTENumeracion"/>
        <w:rPr>
          <w:rFonts w:cs="Arial"/>
          <w:sz w:val="22"/>
          <w:szCs w:val="22"/>
        </w:rPr>
      </w:pPr>
      <w:r>
        <w:rPr>
          <w:sz w:val="22"/>
        </w:rPr>
        <w:t>1.</w:t>
      </w:r>
      <w:r>
        <w:rPr>
          <w:sz w:val="22"/>
        </w:rPr>
        <w:tab/>
        <w:t>The buildings referred to in this section shall incorporate systems for generating electricity from renewable sources for internal use or for supplying to the grid.</w:t>
      </w:r>
    </w:p>
    <w:p w:rsidR="00D358DC" w:rsidRPr="00937C8B" w:rsidRDefault="00D358DC" w:rsidP="00D358DC">
      <w:pPr>
        <w:pStyle w:val="CteTtulo2"/>
        <w:jc w:val="both"/>
        <w:rPr>
          <w:rFonts w:cs="Arial"/>
        </w:rPr>
      </w:pPr>
      <w:bookmarkStart w:id="299" w:name="Sección_HE5_Cuantificacion"/>
      <w:bookmarkStart w:id="300" w:name="_Toc530395297"/>
      <w:bookmarkStart w:id="301" w:name="_Toc39157967"/>
      <w:bookmarkStart w:id="302" w:name="_Toc39158137"/>
      <w:bookmarkStart w:id="303" w:name="_Toc44876290"/>
      <w:bookmarkEnd w:id="299"/>
      <w:r>
        <w:t>3.</w:t>
      </w:r>
      <w:r>
        <w:tab/>
        <w:t>Quantification of the requirement</w:t>
      </w:r>
      <w:bookmarkEnd w:id="300"/>
      <w:bookmarkEnd w:id="301"/>
      <w:bookmarkEnd w:id="302"/>
      <w:bookmarkEnd w:id="303"/>
    </w:p>
    <w:p w:rsidR="00D358DC" w:rsidRPr="00937C8B" w:rsidRDefault="00D358DC" w:rsidP="00D358DC">
      <w:pPr>
        <w:pStyle w:val="CTENumeracion"/>
        <w:rPr>
          <w:rFonts w:cs="Arial"/>
          <w:sz w:val="22"/>
          <w:szCs w:val="22"/>
        </w:rPr>
      </w:pPr>
      <w:r>
        <w:rPr>
          <w:sz w:val="22"/>
        </w:rPr>
        <w:t>1.</w:t>
      </w:r>
      <w:r>
        <w:rPr>
          <w:sz w:val="22"/>
        </w:rPr>
        <w:tab/>
        <w:t xml:space="preserve">The minimum </w:t>
      </w:r>
      <w:r>
        <w:rPr>
          <w:i/>
          <w:sz w:val="22"/>
        </w:rPr>
        <w:t>installed power</w:t>
      </w:r>
      <w:r>
        <w:rPr>
          <w:sz w:val="22"/>
        </w:rPr>
        <w:t xml:space="preserve"> P</w:t>
      </w:r>
      <w:r>
        <w:rPr>
          <w:sz w:val="22"/>
          <w:vertAlign w:val="subscript"/>
        </w:rPr>
        <w:t>min</w:t>
      </w:r>
      <w:r>
        <w:rPr>
          <w:sz w:val="22"/>
        </w:rPr>
        <w:t xml:space="preserve"> shall be obtained using the equation: </w:t>
      </w:r>
    </w:p>
    <w:p w:rsidR="00D358DC" w:rsidRPr="00937C8B" w:rsidRDefault="00D358DC" w:rsidP="00D358DC">
      <w:pPr>
        <w:pStyle w:val="CTENumeracion"/>
        <w:ind w:firstLine="0"/>
        <w:rPr>
          <w:rFonts w:cs="Arial"/>
          <w:sz w:val="22"/>
          <w:szCs w:val="22"/>
        </w:rPr>
      </w:pPr>
      <w:r>
        <w:rPr>
          <w:sz w:val="22"/>
        </w:rPr>
        <w:t>P</w:t>
      </w:r>
      <w:r>
        <w:rPr>
          <w:sz w:val="22"/>
          <w:vertAlign w:val="subscript"/>
        </w:rPr>
        <w:t>min</w:t>
      </w:r>
      <w:r>
        <w:rPr>
          <w:sz w:val="22"/>
        </w:rPr>
        <w:t xml:space="preserve"> = 0.01 · S</w:t>
      </w:r>
    </w:p>
    <w:p w:rsidR="00D358DC" w:rsidRPr="00937C8B" w:rsidRDefault="00D358DC" w:rsidP="00D358DC">
      <w:pPr>
        <w:pStyle w:val="CTENumeracion"/>
        <w:ind w:firstLine="0"/>
        <w:rPr>
          <w:rFonts w:cs="Arial"/>
          <w:sz w:val="22"/>
          <w:szCs w:val="22"/>
        </w:rPr>
      </w:pPr>
      <w:r>
        <w:rPr>
          <w:sz w:val="22"/>
        </w:rPr>
        <w:t>Without exceeding the value of the equation:</w:t>
      </w:r>
    </w:p>
    <w:p w:rsidR="00D358DC" w:rsidRPr="00937C8B" w:rsidRDefault="00D358DC" w:rsidP="00D358DC">
      <w:pPr>
        <w:pStyle w:val="CTENumeracion"/>
        <w:ind w:firstLine="0"/>
        <w:rPr>
          <w:rFonts w:cs="Arial"/>
          <w:sz w:val="22"/>
          <w:szCs w:val="22"/>
        </w:rPr>
      </w:pPr>
      <w:r>
        <w:rPr>
          <w:sz w:val="22"/>
        </w:rPr>
        <w:t>P</w:t>
      </w:r>
      <w:r>
        <w:rPr>
          <w:sz w:val="22"/>
          <w:vertAlign w:val="subscript"/>
        </w:rPr>
        <w:t>lim</w:t>
      </w:r>
      <w:r>
        <w:rPr>
          <w:sz w:val="22"/>
        </w:rPr>
        <w:t xml:space="preserve"> = 0.05 · S</w:t>
      </w:r>
      <w:r>
        <w:rPr>
          <w:sz w:val="22"/>
          <w:vertAlign w:val="subscript"/>
        </w:rPr>
        <w:t>C</w:t>
      </w:r>
    </w:p>
    <w:p w:rsidR="00D358DC" w:rsidRPr="00937C8B" w:rsidRDefault="00D358DC" w:rsidP="00D27646">
      <w:pPr>
        <w:pStyle w:val="CTENumeracion"/>
        <w:keepNext/>
        <w:spacing w:before="0" w:after="0"/>
        <w:ind w:firstLine="3"/>
        <w:rPr>
          <w:rFonts w:cs="Arial"/>
          <w:sz w:val="22"/>
          <w:szCs w:val="22"/>
        </w:rPr>
      </w:pPr>
      <w:r>
        <w:rPr>
          <w:sz w:val="22"/>
        </w:rPr>
        <w:t>where:</w:t>
      </w:r>
    </w:p>
    <w:p w:rsidR="00D358DC" w:rsidRPr="00937C8B" w:rsidRDefault="00D358DC" w:rsidP="00D358DC">
      <w:pPr>
        <w:pStyle w:val="CTENumeracion"/>
        <w:spacing w:before="0" w:after="0"/>
        <w:ind w:left="851"/>
        <w:rPr>
          <w:rFonts w:cs="Arial"/>
          <w:sz w:val="22"/>
          <w:szCs w:val="22"/>
        </w:rPr>
      </w:pPr>
      <w:r>
        <w:rPr>
          <w:sz w:val="22"/>
        </w:rPr>
        <w:tab/>
        <w:t>P</w:t>
      </w:r>
      <w:r>
        <w:rPr>
          <w:sz w:val="22"/>
          <w:vertAlign w:val="subscript"/>
        </w:rPr>
        <w:t>min</w:t>
      </w:r>
      <w:r>
        <w:rPr>
          <w:sz w:val="22"/>
        </w:rPr>
        <w:t>, P</w:t>
      </w:r>
      <w:r>
        <w:rPr>
          <w:sz w:val="22"/>
          <w:vertAlign w:val="subscript"/>
        </w:rPr>
        <w:t xml:space="preserve">lim </w:t>
      </w:r>
      <w:r>
        <w:rPr>
          <w:sz w:val="22"/>
        </w:rPr>
        <w:tab/>
        <w:t xml:space="preserve">is the </w:t>
      </w:r>
      <w:r>
        <w:rPr>
          <w:i/>
          <w:sz w:val="22"/>
        </w:rPr>
        <w:t>installed power</w:t>
      </w:r>
      <w:r>
        <w:rPr>
          <w:sz w:val="22"/>
        </w:rPr>
        <w:t xml:space="preserve"> [kW];</w:t>
      </w:r>
    </w:p>
    <w:p w:rsidR="00D358DC" w:rsidRPr="00937C8B" w:rsidRDefault="00D358DC" w:rsidP="00D358DC">
      <w:pPr>
        <w:pStyle w:val="CTENumeracion"/>
        <w:spacing w:before="0" w:after="0"/>
        <w:ind w:left="851"/>
        <w:rPr>
          <w:rFonts w:cs="Arial"/>
          <w:sz w:val="22"/>
          <w:szCs w:val="22"/>
        </w:rPr>
      </w:pPr>
      <w:r>
        <w:rPr>
          <w:sz w:val="22"/>
        </w:rPr>
        <w:tab/>
        <w:t>S</w:t>
      </w:r>
      <w:r>
        <w:rPr>
          <w:sz w:val="22"/>
        </w:rPr>
        <w:tab/>
        <w:t>is the gross floor area of the building [m</w:t>
      </w:r>
      <w:r>
        <w:rPr>
          <w:sz w:val="22"/>
          <w:vertAlign w:val="superscript"/>
        </w:rPr>
        <w:t>2</w:t>
      </w:r>
      <w:r>
        <w:rPr>
          <w:sz w:val="22"/>
        </w:rPr>
        <w:t>];</w:t>
      </w:r>
    </w:p>
    <w:p w:rsidR="00D358DC" w:rsidRPr="00937C8B" w:rsidRDefault="00D358DC" w:rsidP="00D358DC">
      <w:pPr>
        <w:pStyle w:val="CTENumeracion"/>
        <w:spacing w:before="0" w:after="0"/>
        <w:ind w:left="851"/>
        <w:rPr>
          <w:rFonts w:cs="Arial"/>
          <w:sz w:val="22"/>
          <w:szCs w:val="22"/>
        </w:rPr>
      </w:pPr>
      <w:r>
        <w:rPr>
          <w:sz w:val="22"/>
        </w:rPr>
        <w:tab/>
        <w:t>S</w:t>
      </w:r>
      <w:r>
        <w:rPr>
          <w:sz w:val="22"/>
          <w:vertAlign w:val="subscript"/>
        </w:rPr>
        <w:t>C</w:t>
      </w:r>
      <w:r>
        <w:rPr>
          <w:sz w:val="22"/>
          <w:vertAlign w:val="subscript"/>
        </w:rPr>
        <w:tab/>
      </w:r>
      <w:r>
        <w:rPr>
          <w:sz w:val="22"/>
        </w:rPr>
        <w:t>is the gross floor area of the building roof [m</w:t>
      </w:r>
      <w:r>
        <w:rPr>
          <w:sz w:val="22"/>
          <w:vertAlign w:val="superscript"/>
        </w:rPr>
        <w:t>2</w:t>
      </w:r>
      <w:r>
        <w:rPr>
          <w:sz w:val="22"/>
        </w:rPr>
        <w:t>].</w:t>
      </w:r>
    </w:p>
    <w:p w:rsidR="00D358DC" w:rsidRPr="00937C8B" w:rsidRDefault="00D358DC" w:rsidP="00D358DC">
      <w:pPr>
        <w:pStyle w:val="CTENumeracion"/>
        <w:spacing w:before="240"/>
        <w:rPr>
          <w:rFonts w:cs="Arial"/>
          <w:sz w:val="22"/>
          <w:szCs w:val="22"/>
        </w:rPr>
      </w:pPr>
      <w:r>
        <w:rPr>
          <w:sz w:val="22"/>
        </w:rPr>
        <w:t>2.</w:t>
      </w:r>
      <w:r>
        <w:rPr>
          <w:sz w:val="22"/>
        </w:rPr>
        <w:tab/>
        <w:t>In any case, the required installed power shall be no less than 30 kW and no more than 100 kW.</w:t>
      </w:r>
    </w:p>
    <w:p w:rsidR="00D358DC" w:rsidRPr="00937C8B" w:rsidRDefault="00D358DC" w:rsidP="0084739B">
      <w:pPr>
        <w:pStyle w:val="CteTtulo2"/>
        <w:spacing w:before="360"/>
        <w:ind w:left="346" w:hanging="346"/>
        <w:jc w:val="both"/>
        <w:rPr>
          <w:rFonts w:cs="Arial"/>
        </w:rPr>
      </w:pPr>
      <w:bookmarkStart w:id="304" w:name="_Toc530395298"/>
      <w:bookmarkStart w:id="305" w:name="_Toc530396177"/>
      <w:bookmarkStart w:id="306" w:name="_Toc39157968"/>
      <w:bookmarkStart w:id="307" w:name="_Toc39158138"/>
      <w:bookmarkStart w:id="308" w:name="_Toc44876291"/>
      <w:r>
        <w:t>4.</w:t>
      </w:r>
      <w:r>
        <w:tab/>
        <w:t>Demonstration of compliance</w:t>
      </w:r>
      <w:bookmarkEnd w:id="304"/>
      <w:bookmarkEnd w:id="305"/>
      <w:bookmarkEnd w:id="306"/>
      <w:bookmarkEnd w:id="307"/>
      <w:bookmarkEnd w:id="308"/>
    </w:p>
    <w:p w:rsidR="00D358DC" w:rsidRPr="00937C8B" w:rsidRDefault="00D358DC" w:rsidP="00D27646">
      <w:pPr>
        <w:pStyle w:val="CTENormal"/>
        <w:keepNext/>
        <w:jc w:val="both"/>
        <w:rPr>
          <w:szCs w:val="22"/>
        </w:rPr>
      </w:pPr>
      <w:r>
        <w:t>To demonstrate that a building meets the requirements of this DB, the design documents shall include the following information on the building or relevant part thereof:</w:t>
      </w:r>
    </w:p>
    <w:p w:rsidR="00D358DC" w:rsidRPr="00937C8B" w:rsidRDefault="00D358DC" w:rsidP="00D358DC">
      <w:pPr>
        <w:pStyle w:val="CTENumeracion"/>
        <w:ind w:left="794"/>
        <w:rPr>
          <w:rFonts w:cs="Arial"/>
          <w:sz w:val="22"/>
          <w:szCs w:val="22"/>
        </w:rPr>
      </w:pPr>
      <w:r>
        <w:rPr>
          <w:sz w:val="22"/>
        </w:rPr>
        <w:t>a)</w:t>
      </w:r>
      <w:r>
        <w:rPr>
          <w:sz w:val="22"/>
        </w:rPr>
        <w:tab/>
        <w:t>the electrical generation capacity achieved;</w:t>
      </w:r>
    </w:p>
    <w:p w:rsidR="00D358DC" w:rsidRPr="00937C8B" w:rsidRDefault="00D358DC" w:rsidP="00D358DC">
      <w:pPr>
        <w:pStyle w:val="CTENumeracion"/>
        <w:ind w:left="794"/>
        <w:rPr>
          <w:rFonts w:cs="Arial"/>
          <w:sz w:val="22"/>
          <w:szCs w:val="22"/>
        </w:rPr>
      </w:pPr>
      <w:r>
        <w:rPr>
          <w:sz w:val="22"/>
        </w:rPr>
        <w:t>b)</w:t>
      </w:r>
      <w:r>
        <w:rPr>
          <w:sz w:val="22"/>
        </w:rPr>
        <w:tab/>
        <w:t xml:space="preserve">minimum required </w:t>
      </w:r>
      <w:r>
        <w:rPr>
          <w:i/>
          <w:iCs/>
          <w:sz w:val="22"/>
        </w:rPr>
        <w:t>installed power</w:t>
      </w:r>
      <w:r>
        <w:rPr>
          <w:sz w:val="22"/>
        </w:rPr>
        <w:t>;</w:t>
      </w:r>
    </w:p>
    <w:p w:rsidR="00D358DC" w:rsidRPr="00937C8B" w:rsidRDefault="00D358DC" w:rsidP="00D358DC">
      <w:pPr>
        <w:pStyle w:val="CteTtulo2"/>
        <w:spacing w:before="360"/>
        <w:ind w:left="340" w:hanging="340"/>
        <w:jc w:val="both"/>
        <w:rPr>
          <w:rFonts w:cs="Arial"/>
        </w:rPr>
      </w:pPr>
      <w:bookmarkStart w:id="309" w:name="_Toc530395299"/>
      <w:bookmarkStart w:id="310" w:name="_Toc39157969"/>
      <w:bookmarkStart w:id="311" w:name="_Toc39158139"/>
      <w:bookmarkStart w:id="312" w:name="_Toc44876292"/>
      <w:r>
        <w:t>5.</w:t>
      </w:r>
      <w:r>
        <w:tab/>
        <w:t>Construction, maintenance and preservation</w:t>
      </w:r>
      <w:bookmarkEnd w:id="309"/>
      <w:bookmarkEnd w:id="310"/>
      <w:bookmarkEnd w:id="311"/>
      <w:bookmarkEnd w:id="312"/>
    </w:p>
    <w:p w:rsidR="00D358DC" w:rsidRPr="00937C8B" w:rsidRDefault="00D358DC" w:rsidP="009467D5">
      <w:pPr>
        <w:pStyle w:val="CteTtulo3"/>
      </w:pPr>
      <w:bookmarkStart w:id="313" w:name="_Toc530395300"/>
      <w:bookmarkStart w:id="314" w:name="_Toc530396179"/>
      <w:bookmarkStart w:id="315" w:name="_Toc39157970"/>
      <w:bookmarkStart w:id="316" w:name="_Toc44876293"/>
      <w:r>
        <w:t>5.1</w:t>
      </w:r>
      <w:r>
        <w:tab/>
        <w:t>Execution</w:t>
      </w:r>
      <w:bookmarkEnd w:id="313"/>
      <w:bookmarkEnd w:id="314"/>
      <w:bookmarkEnd w:id="315"/>
      <w:bookmarkEnd w:id="316"/>
    </w:p>
    <w:p w:rsidR="00D358DC" w:rsidRPr="00937C8B" w:rsidRDefault="00D358DC" w:rsidP="00D358DC">
      <w:pPr>
        <w:pStyle w:val="CTENumeracion"/>
        <w:rPr>
          <w:rFonts w:cs="Arial"/>
          <w:sz w:val="22"/>
          <w:szCs w:val="22"/>
        </w:rPr>
      </w:pPr>
      <w:r>
        <w:rPr>
          <w:sz w:val="22"/>
        </w:rPr>
        <w:t>1.</w:t>
      </w:r>
      <w:r>
        <w:rPr>
          <w:sz w:val="22"/>
        </w:rPr>
        <w:tab/>
        <w:t>The building construction work shall be performed according to the design and any design amendments approved by the site manager, with the prior approval of the developer and in accordance with applicable legislation, best practices in construction and the instructions of the site manager and the project manager, as per Article 7 of Part I of the CTE.</w:t>
      </w:r>
    </w:p>
    <w:p w:rsidR="00D358DC" w:rsidRPr="00937C8B" w:rsidRDefault="00D358DC" w:rsidP="009467D5">
      <w:pPr>
        <w:pStyle w:val="CteTtulo3"/>
      </w:pPr>
      <w:bookmarkStart w:id="317" w:name="Sección_HE5_ControlEjecucion"/>
      <w:bookmarkStart w:id="318" w:name="_Toc530395301"/>
      <w:bookmarkStart w:id="319" w:name="_Toc39157971"/>
      <w:bookmarkStart w:id="320" w:name="_Toc44876294"/>
      <w:bookmarkEnd w:id="317"/>
      <w:r>
        <w:t>5.2</w:t>
      </w:r>
      <w:r>
        <w:tab/>
        <w:t>Work execution verification</w:t>
      </w:r>
      <w:bookmarkEnd w:id="318"/>
      <w:bookmarkEnd w:id="319"/>
      <w:bookmarkEnd w:id="320"/>
    </w:p>
    <w:p w:rsidR="00D358DC" w:rsidRPr="00937C8B" w:rsidRDefault="00D358DC" w:rsidP="00D358DC">
      <w:pPr>
        <w:pStyle w:val="CTENumeracion"/>
        <w:spacing w:before="120"/>
        <w:rPr>
          <w:rFonts w:cs="Arial"/>
          <w:sz w:val="22"/>
          <w:szCs w:val="22"/>
        </w:rPr>
      </w:pPr>
      <w:r>
        <w:rPr>
          <w:sz w:val="22"/>
        </w:rPr>
        <w:t>1.</w:t>
      </w:r>
      <w:r>
        <w:rPr>
          <w:sz w:val="22"/>
        </w:rPr>
        <w:tab/>
        <w:t>Execution of the work shall be checked against the design specifications, annexes and any amendments approved by the site manager and the instructions of the project manager, as per Article 7.3 of Part I of the CTE and other applicable prevailing regulations.</w:t>
      </w:r>
    </w:p>
    <w:p w:rsidR="00D358DC" w:rsidRPr="00937C8B" w:rsidRDefault="00D358DC" w:rsidP="00D358DC">
      <w:pPr>
        <w:pStyle w:val="CTENumeracion"/>
        <w:spacing w:before="120"/>
        <w:rPr>
          <w:rFonts w:cs="Arial"/>
          <w:sz w:val="22"/>
          <w:szCs w:val="22"/>
        </w:rPr>
      </w:pPr>
      <w:r>
        <w:rPr>
          <w:sz w:val="22"/>
        </w:rPr>
        <w:t>2.</w:t>
      </w:r>
      <w:r>
        <w:rPr>
          <w:sz w:val="22"/>
        </w:rPr>
        <w:tab/>
        <w:t>Execution of the work shall be checked to ensure performance of inspections at the required frequency, as per the project specifications.</w:t>
      </w:r>
    </w:p>
    <w:p w:rsidR="00D358DC" w:rsidRPr="00937C8B" w:rsidRDefault="00D358DC" w:rsidP="00D358DC">
      <w:pPr>
        <w:pStyle w:val="CTENumeracion"/>
        <w:spacing w:before="120"/>
        <w:rPr>
          <w:rFonts w:cs="Arial"/>
          <w:sz w:val="22"/>
          <w:szCs w:val="22"/>
        </w:rPr>
      </w:pPr>
      <w:r>
        <w:rPr>
          <w:sz w:val="22"/>
        </w:rPr>
        <w:t>3.</w:t>
      </w:r>
      <w:r>
        <w:rPr>
          <w:sz w:val="22"/>
        </w:rPr>
        <w:tab/>
        <w:t>Any changes introduced during execution of the works shall be recorded in the as-built documents, and shall always be in accordance with the minimum conditions set out in this Basic Document.</w:t>
      </w:r>
    </w:p>
    <w:p w:rsidR="00D358DC" w:rsidRPr="00937C8B" w:rsidRDefault="00D358DC" w:rsidP="00D358DC">
      <w:pPr>
        <w:pStyle w:val="CTENumeracion"/>
        <w:spacing w:before="120"/>
        <w:rPr>
          <w:rFonts w:cs="Arial"/>
          <w:sz w:val="22"/>
          <w:szCs w:val="22"/>
        </w:rPr>
      </w:pPr>
      <w:r>
        <w:rPr>
          <w:sz w:val="22"/>
        </w:rPr>
        <w:t>4.</w:t>
      </w:r>
      <w:r>
        <w:rPr>
          <w:sz w:val="22"/>
        </w:rPr>
        <w:tab/>
        <w:t>The Building Book shall include documentation on the characteristics of the products, equipment and systems included in the work.</w:t>
      </w:r>
    </w:p>
    <w:p w:rsidR="00D358DC" w:rsidRPr="00937C8B" w:rsidRDefault="00D358DC" w:rsidP="009467D5">
      <w:pPr>
        <w:pStyle w:val="CteTtulo3"/>
      </w:pPr>
      <w:bookmarkStart w:id="321" w:name="_Toc530395302"/>
      <w:bookmarkStart w:id="322" w:name="_Toc530396181"/>
      <w:bookmarkStart w:id="323" w:name="_Toc39157972"/>
      <w:bookmarkStart w:id="324" w:name="_Toc44876295"/>
      <w:r>
        <w:t>5.3</w:t>
      </w:r>
      <w:r>
        <w:tab/>
        <w:t>As-built verification</w:t>
      </w:r>
      <w:bookmarkEnd w:id="321"/>
      <w:bookmarkEnd w:id="322"/>
      <w:bookmarkEnd w:id="323"/>
      <w:bookmarkEnd w:id="324"/>
    </w:p>
    <w:p w:rsidR="00D358DC" w:rsidRPr="00937C8B" w:rsidRDefault="00D358DC" w:rsidP="00D358DC">
      <w:pPr>
        <w:pStyle w:val="CTENumeracion"/>
        <w:spacing w:before="120"/>
        <w:rPr>
          <w:rFonts w:cs="Arial"/>
          <w:sz w:val="22"/>
          <w:szCs w:val="22"/>
        </w:rPr>
      </w:pPr>
      <w:r>
        <w:rPr>
          <w:sz w:val="22"/>
        </w:rPr>
        <w:t>1.</w:t>
      </w:r>
      <w:r>
        <w:rPr>
          <w:sz w:val="22"/>
        </w:rPr>
        <w:tab/>
        <w:t>The as-built verification shall be based on the criteria provided in Article 7.4 of Part I of the CTE.</w:t>
      </w:r>
    </w:p>
    <w:p w:rsidR="00D358DC" w:rsidRPr="00937C8B" w:rsidRDefault="00D358DC" w:rsidP="00D358DC">
      <w:pPr>
        <w:pStyle w:val="CTENumeracion"/>
        <w:spacing w:before="120"/>
        <w:rPr>
          <w:rFonts w:cs="Arial"/>
          <w:sz w:val="22"/>
          <w:szCs w:val="22"/>
        </w:rPr>
      </w:pPr>
      <w:r>
        <w:rPr>
          <w:sz w:val="22"/>
        </w:rPr>
        <w:t>2.</w:t>
      </w:r>
      <w:r>
        <w:rPr>
          <w:sz w:val="22"/>
        </w:rPr>
        <w:tab/>
        <w:t>This Section of the Basic Document does not require final testing.</w:t>
      </w:r>
    </w:p>
    <w:p w:rsidR="00D358DC" w:rsidRPr="00937C8B" w:rsidRDefault="00D358DC" w:rsidP="009467D5">
      <w:pPr>
        <w:pStyle w:val="CteTtulo3"/>
      </w:pPr>
      <w:bookmarkStart w:id="325" w:name="Sección_HE5_Mantenimiento"/>
      <w:bookmarkStart w:id="326" w:name="_Toc530395303"/>
      <w:bookmarkStart w:id="327" w:name="_Toc39157973"/>
      <w:bookmarkStart w:id="328" w:name="_Toc44876296"/>
      <w:bookmarkEnd w:id="325"/>
      <w:r>
        <w:t>5.4</w:t>
      </w:r>
      <w:r>
        <w:tab/>
        <w:t>Building maintenance and preservation</w:t>
      </w:r>
      <w:bookmarkEnd w:id="326"/>
      <w:bookmarkEnd w:id="327"/>
      <w:bookmarkEnd w:id="328"/>
    </w:p>
    <w:p w:rsidR="00D358DC" w:rsidRPr="00937C8B" w:rsidRDefault="00D358DC" w:rsidP="00D358DC">
      <w:pPr>
        <w:pStyle w:val="CTENumeracion"/>
        <w:spacing w:before="120"/>
        <w:rPr>
          <w:rFonts w:cs="Arial"/>
          <w:sz w:val="22"/>
          <w:szCs w:val="22"/>
        </w:rPr>
      </w:pPr>
      <w:bookmarkStart w:id="329" w:name="__RefHeading___Toc23509_1942651498"/>
      <w:bookmarkEnd w:id="329"/>
      <w:r>
        <w:rPr>
          <w:sz w:val="22"/>
        </w:rPr>
        <w:t>1.</w:t>
      </w:r>
      <w:r>
        <w:rPr>
          <w:sz w:val="22"/>
        </w:rPr>
        <w:tab/>
        <w:t xml:space="preserve">The maintenance plan included in the Building Book shall indicate the work and intervals required to maintain the design and performance parameters of the installations for generation of electricity from renewable sources over time. </w:t>
      </w:r>
    </w:p>
    <w:p w:rsidR="00175E40" w:rsidRPr="00937C8B" w:rsidRDefault="00D358DC" w:rsidP="005B7917">
      <w:pPr>
        <w:pStyle w:val="CTENumeracion"/>
        <w:spacing w:before="120"/>
        <w:rPr>
          <w:rFonts w:cs="Arial"/>
          <w:sz w:val="22"/>
          <w:szCs w:val="22"/>
        </w:rPr>
      </w:pPr>
      <w:r>
        <w:rPr>
          <w:sz w:val="22"/>
        </w:rPr>
        <w:t>2.</w:t>
      </w:r>
      <w:r>
        <w:rPr>
          <w:sz w:val="22"/>
        </w:rPr>
        <w:tab/>
        <w:t>In addition, the Building Books shall log all work, whether for repair, renovation or restoration, over the service life of the building.</w:t>
      </w:r>
    </w:p>
    <w:p w:rsidR="005B7917" w:rsidRPr="00937C8B" w:rsidRDefault="005B7917" w:rsidP="0084739B">
      <w:pPr>
        <w:pStyle w:val="CteTtuloSeccion"/>
        <w:pageBreakBefore/>
        <w:rPr>
          <w:rFonts w:cs="Arial"/>
          <w:color w:val="auto"/>
        </w:rPr>
      </w:pPr>
      <w:bookmarkStart w:id="330" w:name="_Toc39157974"/>
      <w:bookmarkStart w:id="331" w:name="_Toc39158140"/>
      <w:bookmarkStart w:id="332" w:name="_Toc44876297"/>
      <w:r>
        <w:rPr>
          <w:color w:val="auto"/>
        </w:rPr>
        <w:t>Annex A.</w:t>
      </w:r>
      <w:r>
        <w:rPr>
          <w:color w:val="auto"/>
        </w:rPr>
        <w:tab/>
        <w:t>Terminology</w:t>
      </w:r>
      <w:bookmarkEnd w:id="330"/>
      <w:bookmarkEnd w:id="331"/>
      <w:bookmarkEnd w:id="332"/>
    </w:p>
    <w:p w:rsidR="00037CDA" w:rsidRPr="00937C8B" w:rsidRDefault="00037CDA" w:rsidP="00037CDA">
      <w:pPr>
        <w:pStyle w:val="CTENormal"/>
        <w:jc w:val="both"/>
      </w:pPr>
      <w:r>
        <w:rPr>
          <w:rStyle w:val="CteAnejo-DefinicionCar"/>
        </w:rPr>
        <w:t>Absorptivity</w:t>
      </w:r>
      <w:r>
        <w:rPr>
          <w:rStyle w:val="CteAnejo-DefinicionCar"/>
          <w:i w:val="0"/>
        </w:rPr>
        <w:t xml:space="preserve"> (α)</w:t>
      </w:r>
      <w:r>
        <w:t>: the fraction of incident solar radiation that a surface absorbs. This may take values from 0.0 (0% of radiation absorbed) to 1.0 (100% of radiation absorbed).</w:t>
      </w:r>
    </w:p>
    <w:p w:rsidR="00037CDA" w:rsidRPr="00937C8B" w:rsidRDefault="00037CDA" w:rsidP="00037CDA">
      <w:pPr>
        <w:pStyle w:val="CTENormal"/>
        <w:jc w:val="both"/>
      </w:pPr>
      <w:r>
        <w:rPr>
          <w:rStyle w:val="CteAnejo-DefinicionCar"/>
        </w:rPr>
        <w:t>Adiabatic</w:t>
      </w:r>
      <w:r>
        <w:t xml:space="preserve">: see </w:t>
      </w:r>
      <w:r>
        <w:rPr>
          <w:i/>
        </w:rPr>
        <w:t>Adiabatic enclosure</w:t>
      </w:r>
      <w:r>
        <w:t>.</w:t>
      </w:r>
    </w:p>
    <w:p w:rsidR="00037CDA" w:rsidRPr="00937C8B" w:rsidRDefault="00037CDA" w:rsidP="00037CDA">
      <w:pPr>
        <w:pStyle w:val="CTENormal"/>
        <w:jc w:val="both"/>
      </w:pPr>
      <w:r>
        <w:rPr>
          <w:rStyle w:val="CteAnejo-DefinicionCar"/>
        </w:rPr>
        <w:t>Thermal comfort</w:t>
      </w:r>
      <w:r>
        <w:t>: Indoor temperature, humidity and airspeed conditions set out in the regulations that are deemed to create a suitable and adequate feeling of comfort for occupants.</w:t>
      </w:r>
    </w:p>
    <w:p w:rsidR="00037CDA" w:rsidRPr="00937C8B" w:rsidRDefault="00037CDA" w:rsidP="005B7917">
      <w:pPr>
        <w:pStyle w:val="CTENormal"/>
        <w:spacing w:after="60"/>
        <w:jc w:val="both"/>
        <w:rPr>
          <w:szCs w:val="22"/>
        </w:rPr>
      </w:pPr>
      <w:r>
        <w:rPr>
          <w:rStyle w:val="CteAnejo-DefinicionCar"/>
        </w:rPr>
        <w:t>Internal load</w:t>
      </w:r>
      <w:r>
        <w:t>: all factors originating inside the building that essentially stem from energy supplied by internal sources (occupants, electrical equipment, lighting, etc.). This is expressed in W/m².</w:t>
      </w:r>
    </w:p>
    <w:p w:rsidR="005B7917" w:rsidRPr="00937C8B" w:rsidRDefault="00037CDA" w:rsidP="00D27646">
      <w:pPr>
        <w:pStyle w:val="CTEtabla-Titulo"/>
        <w:spacing w:before="0"/>
        <w:jc w:val="both"/>
        <w:rPr>
          <w:b w:val="0"/>
          <w:sz w:val="22"/>
          <w:szCs w:val="22"/>
        </w:rPr>
      </w:pPr>
      <w:r>
        <w:rPr>
          <w:b w:val="0"/>
          <w:sz w:val="22"/>
        </w:rPr>
        <w:t xml:space="preserve">The </w:t>
      </w:r>
      <w:r>
        <w:rPr>
          <w:b w:val="0"/>
          <w:i/>
          <w:sz w:val="22"/>
        </w:rPr>
        <w:t>average internal load</w:t>
      </w:r>
      <w:r>
        <w:rPr>
          <w:b w:val="0"/>
          <w:sz w:val="22"/>
        </w:rPr>
        <w:t xml:space="preserve"> (C</w:t>
      </w:r>
      <w:r>
        <w:rPr>
          <w:b w:val="0"/>
          <w:sz w:val="22"/>
          <w:vertAlign w:val="subscript"/>
        </w:rPr>
        <w:t>FI</w:t>
      </w:r>
      <w:r>
        <w:rPr>
          <w:b w:val="0"/>
          <w:sz w:val="22"/>
        </w:rPr>
        <w:t>) quantifies the internal load of the building or building zone over a typical week. This can be used to classify a space, zone or entire building according to Table a-Annex A:</w:t>
      </w:r>
    </w:p>
    <w:p w:rsidR="00037CDA" w:rsidRPr="00937C8B" w:rsidRDefault="00037CDA" w:rsidP="00D27646">
      <w:pPr>
        <w:pStyle w:val="CTEtabla-Titulo"/>
        <w:spacing w:before="0"/>
      </w:pPr>
      <w:r>
        <w:t>Table a-Annex A. Internal load level</w:t>
      </w:r>
    </w:p>
    <w:tbl>
      <w:tblPr>
        <w:tblW w:w="4678" w:type="dxa"/>
        <w:jc w:val="center"/>
        <w:tblBorders>
          <w:insideH w:val="single" w:sz="4" w:space="0" w:color="000000"/>
          <w:insideV w:val="single" w:sz="4" w:space="0" w:color="000000"/>
        </w:tblBorders>
        <w:tblCellMar>
          <w:left w:w="103" w:type="dxa"/>
        </w:tblCellMar>
        <w:tblLook w:val="04A0" w:firstRow="1" w:lastRow="0" w:firstColumn="1" w:lastColumn="0" w:noHBand="0" w:noVBand="1"/>
      </w:tblPr>
      <w:tblGrid>
        <w:gridCol w:w="2200"/>
        <w:gridCol w:w="2478"/>
      </w:tblGrid>
      <w:tr w:rsidR="00037CDA" w:rsidRPr="00937C8B" w:rsidTr="003E38D0">
        <w:trPr>
          <w:jc w:val="center"/>
        </w:trPr>
        <w:tc>
          <w:tcPr>
            <w:tcW w:w="2200" w:type="dxa"/>
            <w:tcBorders>
              <w:bottom w:val="single" w:sz="4" w:space="0" w:color="000000"/>
            </w:tcBorders>
            <w:shd w:val="clear" w:color="auto" w:fill="FFFFFF"/>
          </w:tcPr>
          <w:p w:rsidR="00037CDA" w:rsidRPr="00937C8B" w:rsidRDefault="00037CDA" w:rsidP="00D27646">
            <w:pPr>
              <w:pStyle w:val="CTEtabla-texto"/>
              <w:keepNext/>
              <w:snapToGrid w:val="0"/>
              <w:jc w:val="left"/>
              <w:rPr>
                <w:rFonts w:cs="Arial"/>
                <w:b/>
              </w:rPr>
            </w:pPr>
            <w:r>
              <w:rPr>
                <w:b/>
              </w:rPr>
              <w:t>Internal load level</w:t>
            </w:r>
          </w:p>
        </w:tc>
        <w:tc>
          <w:tcPr>
            <w:tcW w:w="2477" w:type="dxa"/>
            <w:tcBorders>
              <w:bottom w:val="single" w:sz="4" w:space="0" w:color="000000"/>
            </w:tcBorders>
            <w:shd w:val="clear" w:color="auto" w:fill="FFFFFF"/>
            <w:tcMar>
              <w:left w:w="78" w:type="dxa"/>
            </w:tcMar>
          </w:tcPr>
          <w:p w:rsidR="00037CDA" w:rsidRPr="00937C8B" w:rsidRDefault="00037CDA" w:rsidP="00D27646">
            <w:pPr>
              <w:pStyle w:val="CTEtabla-texto"/>
              <w:keepNext/>
              <w:snapToGrid w:val="0"/>
              <w:rPr>
                <w:rFonts w:cs="Arial"/>
              </w:rPr>
            </w:pPr>
            <w:r>
              <w:rPr>
                <w:b/>
              </w:rPr>
              <w:t>Internal load level, C</w:t>
            </w:r>
            <w:r>
              <w:rPr>
                <w:b/>
                <w:vertAlign w:val="subscript"/>
              </w:rPr>
              <w:t>FI</w:t>
            </w:r>
            <w:r>
              <w:rPr>
                <w:b/>
              </w:rPr>
              <w:t xml:space="preserve"> [W/m</w:t>
            </w:r>
            <w:r>
              <w:rPr>
                <w:b/>
                <w:vertAlign w:val="superscript"/>
              </w:rPr>
              <w:t>2</w:t>
            </w:r>
            <w:r>
              <w:rPr>
                <w:b/>
              </w:rPr>
              <w:t>]</w:t>
            </w:r>
          </w:p>
        </w:tc>
      </w:tr>
      <w:tr w:rsidR="00037CDA" w:rsidRPr="00937C8B" w:rsidTr="003E38D0">
        <w:trPr>
          <w:jc w:val="center"/>
        </w:trPr>
        <w:tc>
          <w:tcPr>
            <w:tcW w:w="2200" w:type="dxa"/>
            <w:tcBorders>
              <w:top w:val="single" w:sz="4" w:space="0" w:color="000000"/>
              <w:bottom w:val="nil"/>
            </w:tcBorders>
            <w:shd w:val="clear" w:color="auto" w:fill="FFFFFF"/>
            <w:tcMar>
              <w:top w:w="55" w:type="dxa"/>
              <w:left w:w="40" w:type="dxa"/>
              <w:bottom w:w="55" w:type="dxa"/>
              <w:right w:w="55" w:type="dxa"/>
            </w:tcMar>
          </w:tcPr>
          <w:p w:rsidR="00037CDA" w:rsidRPr="00937C8B" w:rsidRDefault="00037CDA" w:rsidP="003E38D0">
            <w:pPr>
              <w:pStyle w:val="CTEtabla-texto"/>
              <w:snapToGrid w:val="0"/>
              <w:jc w:val="left"/>
              <w:rPr>
                <w:rFonts w:cs="Arial"/>
              </w:rPr>
            </w:pPr>
            <w:r>
              <w:t>Low</w:t>
            </w:r>
          </w:p>
        </w:tc>
        <w:tc>
          <w:tcPr>
            <w:tcW w:w="2477" w:type="dxa"/>
            <w:tcBorders>
              <w:top w:val="single" w:sz="4" w:space="0" w:color="000000"/>
              <w:bottom w:val="nil"/>
            </w:tcBorders>
            <w:shd w:val="clear" w:color="auto" w:fill="FFFFFF"/>
            <w:tcMar>
              <w:top w:w="55" w:type="dxa"/>
              <w:left w:w="40" w:type="dxa"/>
              <w:bottom w:w="55" w:type="dxa"/>
              <w:right w:w="55" w:type="dxa"/>
            </w:tcMar>
          </w:tcPr>
          <w:p w:rsidR="00037CDA" w:rsidRPr="00937C8B" w:rsidRDefault="00037CDA" w:rsidP="003E38D0">
            <w:pPr>
              <w:pStyle w:val="CTEtabla-texto"/>
              <w:snapToGrid w:val="0"/>
              <w:rPr>
                <w:rFonts w:cs="Arial"/>
              </w:rPr>
            </w:pPr>
            <w:r>
              <w:t>C</w:t>
            </w:r>
            <w:r>
              <w:rPr>
                <w:vertAlign w:val="subscript"/>
              </w:rPr>
              <w:t xml:space="preserve">FI </w:t>
            </w:r>
            <w:r>
              <w:t>&lt; 6</w:t>
            </w:r>
          </w:p>
        </w:tc>
      </w:tr>
      <w:tr w:rsidR="00037CDA" w:rsidRPr="00937C8B" w:rsidTr="003E38D0">
        <w:trPr>
          <w:jc w:val="center"/>
        </w:trPr>
        <w:tc>
          <w:tcPr>
            <w:tcW w:w="2200" w:type="dxa"/>
            <w:tcBorders>
              <w:top w:val="nil"/>
              <w:bottom w:val="nil"/>
            </w:tcBorders>
            <w:shd w:val="clear" w:color="auto" w:fill="FFFFFF"/>
            <w:tcMar>
              <w:top w:w="55" w:type="dxa"/>
              <w:left w:w="40" w:type="dxa"/>
              <w:bottom w:w="55" w:type="dxa"/>
              <w:right w:w="55" w:type="dxa"/>
            </w:tcMar>
          </w:tcPr>
          <w:p w:rsidR="00037CDA" w:rsidRPr="00937C8B" w:rsidRDefault="00037CDA" w:rsidP="003E38D0">
            <w:pPr>
              <w:pStyle w:val="CTEtabla-texto"/>
              <w:snapToGrid w:val="0"/>
              <w:jc w:val="left"/>
              <w:rPr>
                <w:rFonts w:cs="Arial"/>
              </w:rPr>
            </w:pPr>
            <w:r>
              <w:t>Medium</w:t>
            </w:r>
          </w:p>
        </w:tc>
        <w:tc>
          <w:tcPr>
            <w:tcW w:w="2477" w:type="dxa"/>
            <w:tcBorders>
              <w:top w:val="nil"/>
              <w:bottom w:val="nil"/>
            </w:tcBorders>
            <w:shd w:val="clear" w:color="auto" w:fill="FFFFFF"/>
            <w:tcMar>
              <w:top w:w="55" w:type="dxa"/>
              <w:left w:w="40" w:type="dxa"/>
              <w:bottom w:w="55" w:type="dxa"/>
              <w:right w:w="55" w:type="dxa"/>
            </w:tcMar>
          </w:tcPr>
          <w:p w:rsidR="00037CDA" w:rsidRPr="00937C8B" w:rsidRDefault="00037CDA" w:rsidP="003E38D0">
            <w:pPr>
              <w:pStyle w:val="CTEtabla-texto"/>
              <w:snapToGrid w:val="0"/>
              <w:rPr>
                <w:rFonts w:cs="Arial"/>
              </w:rPr>
            </w:pPr>
            <w:r>
              <w:t>6 ≤ C</w:t>
            </w:r>
            <w:r>
              <w:rPr>
                <w:vertAlign w:val="subscript"/>
              </w:rPr>
              <w:t xml:space="preserve">FI </w:t>
            </w:r>
            <w:r>
              <w:t>&lt; 9</w:t>
            </w:r>
          </w:p>
        </w:tc>
      </w:tr>
      <w:tr w:rsidR="00037CDA" w:rsidRPr="00937C8B" w:rsidTr="003E38D0">
        <w:trPr>
          <w:jc w:val="center"/>
        </w:trPr>
        <w:tc>
          <w:tcPr>
            <w:tcW w:w="2200" w:type="dxa"/>
            <w:tcBorders>
              <w:top w:val="nil"/>
              <w:bottom w:val="nil"/>
            </w:tcBorders>
            <w:shd w:val="clear" w:color="auto" w:fill="FFFFFF"/>
            <w:tcMar>
              <w:top w:w="55" w:type="dxa"/>
              <w:left w:w="40" w:type="dxa"/>
              <w:bottom w:w="55" w:type="dxa"/>
              <w:right w:w="55" w:type="dxa"/>
            </w:tcMar>
          </w:tcPr>
          <w:p w:rsidR="00037CDA" w:rsidRPr="00937C8B" w:rsidRDefault="00037CDA" w:rsidP="003E38D0">
            <w:pPr>
              <w:pStyle w:val="CTEtabla-texto"/>
              <w:snapToGrid w:val="0"/>
              <w:jc w:val="left"/>
              <w:rPr>
                <w:rFonts w:cs="Arial"/>
              </w:rPr>
            </w:pPr>
            <w:r>
              <w:t>High</w:t>
            </w:r>
          </w:p>
        </w:tc>
        <w:tc>
          <w:tcPr>
            <w:tcW w:w="2477" w:type="dxa"/>
            <w:tcBorders>
              <w:top w:val="nil"/>
              <w:bottom w:val="nil"/>
            </w:tcBorders>
            <w:shd w:val="clear" w:color="auto" w:fill="FFFFFF"/>
            <w:tcMar>
              <w:top w:w="55" w:type="dxa"/>
              <w:left w:w="40" w:type="dxa"/>
              <w:bottom w:w="55" w:type="dxa"/>
              <w:right w:w="55" w:type="dxa"/>
            </w:tcMar>
          </w:tcPr>
          <w:p w:rsidR="00037CDA" w:rsidRPr="00937C8B" w:rsidRDefault="00037CDA" w:rsidP="003E38D0">
            <w:pPr>
              <w:pStyle w:val="CTEtabla-texto"/>
              <w:snapToGrid w:val="0"/>
              <w:rPr>
                <w:rFonts w:cs="Arial"/>
              </w:rPr>
            </w:pPr>
            <w:r>
              <w:t>9 ≤ C</w:t>
            </w:r>
            <w:r>
              <w:rPr>
                <w:vertAlign w:val="subscript"/>
              </w:rPr>
              <w:t xml:space="preserve">FI </w:t>
            </w:r>
            <w:r>
              <w:t>&lt; 12</w:t>
            </w:r>
          </w:p>
        </w:tc>
      </w:tr>
      <w:tr w:rsidR="00037CDA" w:rsidRPr="00937C8B" w:rsidTr="003E38D0">
        <w:trPr>
          <w:jc w:val="center"/>
        </w:trPr>
        <w:tc>
          <w:tcPr>
            <w:tcW w:w="2200" w:type="dxa"/>
            <w:tcBorders>
              <w:top w:val="nil"/>
              <w:bottom w:val="nil"/>
            </w:tcBorders>
            <w:shd w:val="clear" w:color="auto" w:fill="FFFFFF"/>
            <w:tcMar>
              <w:top w:w="55" w:type="dxa"/>
              <w:left w:w="40" w:type="dxa"/>
              <w:bottom w:w="55" w:type="dxa"/>
              <w:right w:w="55" w:type="dxa"/>
            </w:tcMar>
          </w:tcPr>
          <w:p w:rsidR="00037CDA" w:rsidRPr="00937C8B" w:rsidRDefault="00037CDA" w:rsidP="003E38D0">
            <w:pPr>
              <w:pStyle w:val="CTEtabla-texto"/>
              <w:snapToGrid w:val="0"/>
              <w:jc w:val="left"/>
              <w:rPr>
                <w:rFonts w:cs="Arial"/>
              </w:rPr>
            </w:pPr>
            <w:r>
              <w:t>Very high</w:t>
            </w:r>
          </w:p>
        </w:tc>
        <w:tc>
          <w:tcPr>
            <w:tcW w:w="2477" w:type="dxa"/>
            <w:tcBorders>
              <w:top w:val="nil"/>
              <w:bottom w:val="nil"/>
            </w:tcBorders>
            <w:shd w:val="clear" w:color="auto" w:fill="FFFFFF"/>
            <w:tcMar>
              <w:top w:w="55" w:type="dxa"/>
              <w:left w:w="40" w:type="dxa"/>
              <w:bottom w:w="55" w:type="dxa"/>
              <w:right w:w="55" w:type="dxa"/>
            </w:tcMar>
          </w:tcPr>
          <w:p w:rsidR="00037CDA" w:rsidRPr="00937C8B" w:rsidRDefault="00037CDA" w:rsidP="003E38D0">
            <w:pPr>
              <w:pStyle w:val="CTEtabla-texto"/>
              <w:snapToGrid w:val="0"/>
              <w:rPr>
                <w:rFonts w:cs="Arial"/>
              </w:rPr>
            </w:pPr>
            <w:r>
              <w:t>12 ≤ C</w:t>
            </w:r>
            <w:r>
              <w:rPr>
                <w:vertAlign w:val="subscript"/>
              </w:rPr>
              <w:t>FI</w:t>
            </w:r>
          </w:p>
        </w:tc>
      </w:tr>
    </w:tbl>
    <w:p w:rsidR="00037CDA" w:rsidRPr="00937C8B" w:rsidRDefault="00037CDA" w:rsidP="00037CDA">
      <w:pPr>
        <w:pStyle w:val="Standard"/>
      </w:pPr>
    </w:p>
    <w:p w:rsidR="00037CDA" w:rsidRPr="00937C8B" w:rsidRDefault="00037CDA" w:rsidP="00D27646">
      <w:pPr>
        <w:pStyle w:val="Standard"/>
        <w:keepNext/>
        <w:jc w:val="both"/>
      </w:pPr>
      <w:r>
        <w:rPr>
          <w:b/>
          <w:i/>
        </w:rPr>
        <w:t>Average internal load</w:t>
      </w:r>
      <w:r>
        <w:t xml:space="preserve"> </w:t>
      </w:r>
      <w:r>
        <w:rPr>
          <w:b/>
          <w:i/>
        </w:rPr>
        <w:t>(C</w:t>
      </w:r>
      <w:r>
        <w:rPr>
          <w:b/>
          <w:i/>
          <w:vertAlign w:val="subscript"/>
        </w:rPr>
        <w:t>FI</w:t>
      </w:r>
      <w:r>
        <w:rPr>
          <w:b/>
          <w:i/>
        </w:rPr>
        <w:t>)</w:t>
      </w:r>
      <w:r>
        <w:t>: hourly average load for a typical week, given by unit of floor area of the building or building zone, taking into account the sensible load from occupants, the load from lighting and the load from the equipment:</w:t>
      </w:r>
    </w:p>
    <w:p w:rsidR="00037CDA" w:rsidRPr="00937C8B" w:rsidRDefault="00037CDA" w:rsidP="00037CDA">
      <w:pPr>
        <w:pStyle w:val="CTENormal"/>
        <w:ind w:left="709"/>
        <w:jc w:val="both"/>
      </w:pPr>
      <w:r>
        <w:t>C</w:t>
      </w:r>
      <w:r>
        <w:rPr>
          <w:vertAlign w:val="subscript"/>
        </w:rPr>
        <w:t>FI</w:t>
      </w:r>
      <w:r>
        <w:t xml:space="preserve"> = ΣC</w:t>
      </w:r>
      <w:r>
        <w:rPr>
          <w:vertAlign w:val="subscript"/>
        </w:rPr>
        <w:t>oc</w:t>
      </w:r>
      <w:r>
        <w:t xml:space="preserve"> / (7·24) + ΣC</w:t>
      </w:r>
      <w:r>
        <w:rPr>
          <w:vertAlign w:val="subscript"/>
        </w:rPr>
        <w:t>il</w:t>
      </w:r>
      <w:r>
        <w:t xml:space="preserve"> / (7·24) + ΣC</w:t>
      </w:r>
      <w:r>
        <w:rPr>
          <w:vertAlign w:val="subscript"/>
        </w:rPr>
        <w:t>eq</w:t>
      </w:r>
      <w:r>
        <w:t xml:space="preserve"> / (7·24)</w:t>
      </w:r>
    </w:p>
    <w:p w:rsidR="00037CDA" w:rsidRPr="00937C8B" w:rsidRDefault="00037CDA" w:rsidP="00037CDA">
      <w:pPr>
        <w:pStyle w:val="CTETabla-nota"/>
        <w:ind w:left="942"/>
        <w:jc w:val="both"/>
      </w:pPr>
      <w:r>
        <w:t>ΣC</w:t>
      </w:r>
      <w:r>
        <w:rPr>
          <w:vertAlign w:val="subscript"/>
        </w:rPr>
        <w:t>oc</w:t>
      </w:r>
      <w:r>
        <w:t xml:space="preserve"> = sum of nominal sensible loads from occupants [W/m²], per hour over a typical week;</w:t>
      </w:r>
    </w:p>
    <w:p w:rsidR="00037CDA" w:rsidRPr="00937C8B" w:rsidRDefault="00037CDA" w:rsidP="00037CDA">
      <w:pPr>
        <w:pStyle w:val="CTETabla-nota"/>
        <w:ind w:left="942"/>
        <w:jc w:val="both"/>
      </w:pPr>
      <w:r>
        <w:t>ΣC</w:t>
      </w:r>
      <w:r>
        <w:rPr>
          <w:vertAlign w:val="subscript"/>
        </w:rPr>
        <w:t>il</w:t>
      </w:r>
      <w:r>
        <w:t xml:space="preserve"> = sum of nominal loads from lighting [W/m²], per hour over a typical week;</w:t>
      </w:r>
    </w:p>
    <w:p w:rsidR="00037CDA" w:rsidRPr="00937C8B" w:rsidRDefault="00037CDA" w:rsidP="00037CDA">
      <w:pPr>
        <w:pStyle w:val="CTETabla-nota"/>
        <w:ind w:left="942"/>
        <w:jc w:val="both"/>
      </w:pPr>
      <w:r>
        <w:t>ΣC</w:t>
      </w:r>
      <w:r>
        <w:rPr>
          <w:vertAlign w:val="subscript"/>
        </w:rPr>
        <w:t>eq</w:t>
      </w:r>
      <w:r>
        <w:t xml:space="preserve"> = sum of nominal loads from equipment [W/m²], per hour over a typical week;</w:t>
      </w:r>
    </w:p>
    <w:p w:rsidR="00037CDA" w:rsidRPr="00937C8B" w:rsidRDefault="00037CDA" w:rsidP="00037CDA">
      <w:pPr>
        <w:pStyle w:val="CTENormal"/>
        <w:jc w:val="both"/>
      </w:pPr>
      <w:r>
        <w:t xml:space="preserve">The </w:t>
      </w:r>
      <w:r>
        <w:rPr>
          <w:i/>
        </w:rPr>
        <w:t>average internal load</w:t>
      </w:r>
      <w:r>
        <w:t xml:space="preserve"> (C</w:t>
      </w:r>
      <w:r>
        <w:rPr>
          <w:vertAlign w:val="subscript"/>
        </w:rPr>
        <w:t>FI</w:t>
      </w:r>
      <w:r>
        <w:t xml:space="preserve">) of the building is obtained by weighting the </w:t>
      </w:r>
      <w:r>
        <w:rPr>
          <w:i/>
          <w:iCs/>
        </w:rPr>
        <w:t>average internal load</w:t>
      </w:r>
      <w:r>
        <w:t xml:space="preserve"> of each space by the usable area. This is expressed in W/m</w:t>
      </w:r>
      <w:r>
        <w:rPr>
          <w:vertAlign w:val="superscript"/>
        </w:rPr>
        <w:t>2</w:t>
      </w:r>
      <w:r>
        <w:t>.</w:t>
      </w:r>
    </w:p>
    <w:p w:rsidR="00037CDA" w:rsidRPr="00937C8B" w:rsidRDefault="00037CDA" w:rsidP="00037CDA">
      <w:pPr>
        <w:pStyle w:val="CTENormal"/>
        <w:spacing w:after="0"/>
        <w:jc w:val="both"/>
      </w:pPr>
      <w:r>
        <w:rPr>
          <w:rStyle w:val="CteAnejo-DefinicionCar"/>
        </w:rPr>
        <w:t>Enclosure</w:t>
      </w:r>
      <w:r>
        <w:t xml:space="preserve">: construction element of the building that separates it from the outside, whether from the air, ground or other buildings. This includes roofs, floors, </w:t>
      </w:r>
      <w:r>
        <w:rPr>
          <w:i/>
          <w:iCs/>
        </w:rPr>
        <w:t>openings</w:t>
      </w:r>
      <w:r>
        <w:t>, façades/walls and party walls.</w:t>
      </w:r>
    </w:p>
    <w:p w:rsidR="00037CDA" w:rsidRPr="00937C8B" w:rsidRDefault="00037CDA" w:rsidP="00037CDA">
      <w:pPr>
        <w:pStyle w:val="CTENormal"/>
        <w:spacing w:before="60" w:after="0"/>
        <w:jc w:val="both"/>
      </w:pPr>
      <w:r>
        <w:t>In work on existing buildings, if an enclosure element separates a zone extended in relation to another existing zone, it shall be deemed to belong to the extended zone.</w:t>
      </w:r>
    </w:p>
    <w:p w:rsidR="00B3445A" w:rsidRPr="00937C8B" w:rsidRDefault="00037CDA" w:rsidP="00037CDA">
      <w:pPr>
        <w:pStyle w:val="CTENormal"/>
        <w:jc w:val="both"/>
      </w:pPr>
      <w:r>
        <w:rPr>
          <w:rStyle w:val="CteAnejo-DefinicionCar"/>
        </w:rPr>
        <w:t>Adiabatic enclosure</w:t>
      </w:r>
      <w:r>
        <w:t xml:space="preserve">: </w:t>
      </w:r>
      <w:r>
        <w:rPr>
          <w:i/>
          <w:iCs/>
        </w:rPr>
        <w:t>enclosure</w:t>
      </w:r>
      <w:r>
        <w:t xml:space="preserve"> through which no heat exchange is deemed to occur.</w:t>
      </w:r>
    </w:p>
    <w:p w:rsidR="00037CDA" w:rsidRPr="00937C8B" w:rsidRDefault="00037CDA" w:rsidP="00037CDA">
      <w:pPr>
        <w:pStyle w:val="CTENormal"/>
        <w:jc w:val="both"/>
      </w:pPr>
      <w:r>
        <w:rPr>
          <w:rStyle w:val="CteAnejo-DefinicionCar"/>
        </w:rPr>
        <w:t>Reference climate</w:t>
      </w:r>
      <w:r>
        <w:t xml:space="preserve">: standardised climate that defines the climate parameters (temperature, solar radiation, etc.) representative of a specific </w:t>
      </w:r>
      <w:r>
        <w:rPr>
          <w:i/>
          <w:iCs/>
        </w:rPr>
        <w:t>climate zone</w:t>
      </w:r>
      <w:r>
        <w:t xml:space="preserve"> used to calculate demand. This enables standardisation of </w:t>
      </w:r>
      <w:r>
        <w:rPr>
          <w:i/>
        </w:rPr>
        <w:t>external factors</w:t>
      </w:r>
      <w:r>
        <w:t>.</w:t>
      </w:r>
    </w:p>
    <w:p w:rsidR="00037CDA" w:rsidRPr="00937C8B" w:rsidRDefault="00037CDA" w:rsidP="00037CDA">
      <w:pPr>
        <w:pStyle w:val="CTENormal"/>
        <w:jc w:val="both"/>
      </w:pPr>
      <w:r>
        <w:rPr>
          <w:rStyle w:val="CteAnejo-DefinicionCar"/>
        </w:rPr>
        <w:t>Light transmission factor of glass (T)</w:t>
      </w:r>
      <w:r>
        <w:t>: percentage of natural light in the visible spectrum that can pass through a pane of glass. This is expressed on a per-unit basis (fraction) or as a percentage (%).</w:t>
      </w:r>
    </w:p>
    <w:p w:rsidR="00037CDA" w:rsidRPr="00937C8B" w:rsidRDefault="00037CDA" w:rsidP="00D27646">
      <w:pPr>
        <w:pStyle w:val="CTENormal"/>
        <w:keepNext/>
        <w:jc w:val="both"/>
      </w:pPr>
      <w:r>
        <w:rPr>
          <w:rStyle w:val="CteAnejo-DefinicionCar"/>
        </w:rPr>
        <w:t>Total heat transfer coefficient (through the thermal envelope of the building) (K</w:t>
      </w:r>
      <w:r>
        <w:rPr>
          <w:b/>
          <w:i/>
        </w:rPr>
        <w:t>)</w:t>
      </w:r>
      <w:r>
        <w:t>: Average value of the heat transfer coefficient for the thermal exchange surface area of the envelope (</w:t>
      </w:r>
      <w:r>
        <w:rPr>
          <w:i/>
        </w:rPr>
        <w:t>A</w:t>
      </w:r>
      <w:r>
        <w:rPr>
          <w:i/>
          <w:vertAlign w:val="subscript"/>
        </w:rPr>
        <w:t>int</w:t>
      </w:r>
      <w:r>
        <w:t>). This is expressed in W/m</w:t>
      </w:r>
      <w:r>
        <w:rPr>
          <w:vertAlign w:val="superscript"/>
        </w:rPr>
        <w:t>2</w:t>
      </w:r>
      <w:r>
        <w:t>·K:</w:t>
      </w:r>
    </w:p>
    <w:p w:rsidR="00935676" w:rsidRDefault="00935676" w:rsidP="00935676">
      <w:pPr>
        <w:overflowPunct w:val="0"/>
        <w:ind w:left="720"/>
      </w:pPr>
      <w:r>
        <w:rPr>
          <w:rFonts w:ascii="Arial" w:hAnsi="Arial"/>
          <w:color w:val="000000"/>
        </w:rPr>
        <w:t>K= Σx Hx / Aint</w:t>
      </w:r>
    </w:p>
    <w:p w:rsidR="00935676" w:rsidRDefault="00935676" w:rsidP="00037CDA">
      <w:pPr>
        <w:pStyle w:val="Textopreformateado"/>
        <w:jc w:val="both"/>
        <w:rPr>
          <w:rStyle w:val="CteAnejo-DefinicionCar"/>
          <w:b w:val="0"/>
          <w:bCs w:val="0"/>
          <w:i w:val="0"/>
          <w:iCs w:val="0"/>
        </w:rPr>
      </w:pPr>
    </w:p>
    <w:p w:rsidR="00037CDA" w:rsidRPr="00937C8B" w:rsidRDefault="00037CDA" w:rsidP="00D27646">
      <w:pPr>
        <w:pStyle w:val="Textopreformateado"/>
        <w:keepNext/>
        <w:jc w:val="both"/>
      </w:pPr>
      <w:r>
        <w:rPr>
          <w:rStyle w:val="CteAnejo-DefinicionCar"/>
          <w:b w:val="0"/>
          <w:i w:val="0"/>
        </w:rPr>
        <w:t>where:</w:t>
      </w:r>
    </w:p>
    <w:p w:rsidR="00037CDA" w:rsidRPr="00937C8B" w:rsidRDefault="00037CDA" w:rsidP="00037CDA">
      <w:pPr>
        <w:pStyle w:val="Textopreformateado"/>
        <w:ind w:left="1247" w:hanging="527"/>
        <w:jc w:val="both"/>
      </w:pPr>
      <w:r>
        <w:rPr>
          <w:rStyle w:val="CteAnejo-DefinicionCar"/>
          <w:b w:val="0"/>
          <w:i w:val="0"/>
        </w:rPr>
        <w:t>H</w:t>
      </w:r>
      <w:r>
        <w:rPr>
          <w:rStyle w:val="CteAnejo-DefinicionCar"/>
          <w:b w:val="0"/>
          <w:i w:val="0"/>
          <w:vertAlign w:val="subscript"/>
        </w:rPr>
        <w:t>x</w:t>
      </w:r>
      <w:r>
        <w:rPr>
          <w:rStyle w:val="CteAnejo-DefinicionCar"/>
          <w:b w:val="0"/>
          <w:i w:val="0"/>
        </w:rPr>
        <w:tab/>
        <w:t xml:space="preserve">is the heat transfer coefficient of element </w:t>
      </w:r>
      <w:r>
        <w:rPr>
          <w:rStyle w:val="CteAnejo-DefinicionCar"/>
          <w:b w:val="0"/>
        </w:rPr>
        <w:t>x</w:t>
      </w:r>
      <w:r>
        <w:rPr>
          <w:rStyle w:val="CteAnejo-DefinicionCar"/>
          <w:b w:val="0"/>
          <w:i w:val="0"/>
        </w:rPr>
        <w:t xml:space="preserve"> belonging to the </w:t>
      </w:r>
      <w:r>
        <w:rPr>
          <w:rStyle w:val="CteAnejo-DefinicionCar"/>
          <w:b w:val="0"/>
        </w:rPr>
        <w:t>thermal envelope</w:t>
      </w:r>
      <w:r>
        <w:rPr>
          <w:rStyle w:val="CteAnejo-DefinicionCar"/>
          <w:b w:val="0"/>
          <w:i w:val="0"/>
        </w:rPr>
        <w:t xml:space="preserve"> (including its </w:t>
      </w:r>
      <w:r>
        <w:rPr>
          <w:rStyle w:val="CteAnejo-DefinicionCar"/>
          <w:b w:val="0"/>
        </w:rPr>
        <w:t>heat bridges</w:t>
      </w:r>
      <w:r>
        <w:rPr>
          <w:rStyle w:val="CteAnejo-DefinicionCar"/>
          <w:b w:val="0"/>
          <w:i w:val="0"/>
        </w:rPr>
        <w:t>). This includes elements in contact with the ground and the outdoors, and excludes those in contact with other buildings or other adjacent spaces;</w:t>
      </w:r>
    </w:p>
    <w:p w:rsidR="00037CDA" w:rsidRPr="00937C8B" w:rsidRDefault="00037CDA" w:rsidP="00037CDA">
      <w:pPr>
        <w:pStyle w:val="Textopreformateado"/>
        <w:ind w:left="1247" w:hanging="527"/>
        <w:jc w:val="both"/>
      </w:pPr>
      <w:r>
        <w:rPr>
          <w:rStyle w:val="CteAnejo-DefinicionCar"/>
          <w:b w:val="0"/>
          <w:i w:val="0"/>
        </w:rPr>
        <w:t>A</w:t>
      </w:r>
      <w:r>
        <w:rPr>
          <w:rStyle w:val="CteAnejo-DefinicionCar"/>
          <w:b w:val="0"/>
          <w:i w:val="0"/>
          <w:vertAlign w:val="subscript"/>
        </w:rPr>
        <w:t>int</w:t>
      </w:r>
      <w:r>
        <w:rPr>
          <w:rStyle w:val="CteAnejo-DefinicionCar"/>
          <w:b w:val="0"/>
          <w:i w:val="0"/>
        </w:rPr>
        <w:t xml:space="preserve"> </w:t>
      </w:r>
      <w:r>
        <w:rPr>
          <w:rStyle w:val="CteAnejo-DefinicionCar"/>
          <w:b w:val="0"/>
          <w:i w:val="0"/>
          <w:vertAlign w:val="subscript"/>
        </w:rPr>
        <w:tab/>
      </w:r>
      <w:r>
        <w:rPr>
          <w:rStyle w:val="CteAnejo-DefinicionCar"/>
          <w:b w:val="0"/>
          <w:i w:val="0"/>
        </w:rPr>
        <w:t xml:space="preserve">is the exchange area of the </w:t>
      </w:r>
      <w:r>
        <w:rPr>
          <w:rStyle w:val="CteAnejo-DefinicionCar"/>
          <w:b w:val="0"/>
        </w:rPr>
        <w:t>thermal envelope</w:t>
      </w:r>
      <w:r>
        <w:rPr>
          <w:rStyle w:val="CteAnejo-DefinicionCar"/>
          <w:b w:val="0"/>
          <w:i w:val="0"/>
        </w:rPr>
        <w:t xml:space="preserve"> obtained by adding together the different heat transfer components. Thus, it excludes areas of elements of the </w:t>
      </w:r>
      <w:r>
        <w:rPr>
          <w:rStyle w:val="CteAnejo-DefinicionCar"/>
          <w:b w:val="0"/>
        </w:rPr>
        <w:t>thermal envelope</w:t>
      </w:r>
      <w:r>
        <w:rPr>
          <w:rStyle w:val="CteAnejo-DefinicionCar"/>
          <w:b w:val="0"/>
          <w:i w:val="0"/>
        </w:rPr>
        <w:t xml:space="preserve"> that are in contact with buildings or adjacent spaces outside the </w:t>
      </w:r>
      <w:r>
        <w:rPr>
          <w:rStyle w:val="CteAnejo-DefinicionCar"/>
          <w:b w:val="0"/>
        </w:rPr>
        <w:t>thermal envelope</w:t>
      </w:r>
      <w:r>
        <w:rPr>
          <w:rStyle w:val="CteAnejo-DefinicionCar"/>
          <w:b w:val="0"/>
          <w:i w:val="0"/>
        </w:rPr>
        <w:t xml:space="preserve">. </w:t>
      </w:r>
    </w:p>
    <w:p w:rsidR="00037CDA" w:rsidRPr="00937C8B" w:rsidRDefault="00037CDA" w:rsidP="00D27646">
      <w:pPr>
        <w:pStyle w:val="CTENormal"/>
        <w:keepNext/>
        <w:jc w:val="both"/>
      </w:pPr>
      <w:r>
        <w:rPr>
          <w:rStyle w:val="CteAnejo-DefinicionCar"/>
          <w:b w:val="0"/>
          <w:i w:val="0"/>
        </w:rPr>
        <w:t xml:space="preserve">A simplified method can be used to calculate this parameter based on the </w:t>
      </w:r>
      <w:r>
        <w:rPr>
          <w:rStyle w:val="CteAnejo-DefinicionCar"/>
          <w:b w:val="0"/>
        </w:rPr>
        <w:t>thermal transmittances</w:t>
      </w:r>
      <w:r>
        <w:rPr>
          <w:rStyle w:val="CteAnejo-DefinicionCar"/>
          <w:b w:val="0"/>
          <w:i w:val="0"/>
        </w:rPr>
        <w:t xml:space="preserve"> and surface areas of the elements of the </w:t>
      </w:r>
      <w:r>
        <w:rPr>
          <w:rStyle w:val="CteAnejo-DefinicionCar"/>
          <w:b w:val="0"/>
        </w:rPr>
        <w:t>thermal envelope</w:t>
      </w:r>
      <w:r>
        <w:rPr>
          <w:rStyle w:val="CteAnejo-DefinicionCar"/>
          <w:b w:val="0"/>
          <w:i w:val="0"/>
        </w:rPr>
        <w:t xml:space="preserve"> and a correction factor: </w:t>
      </w:r>
    </w:p>
    <w:p w:rsidR="00037CDA" w:rsidRPr="00937C8B" w:rsidRDefault="00037CDA" w:rsidP="007B282B">
      <w:pPr>
        <w:pStyle w:val="Textopreformateado"/>
        <w:spacing w:after="60"/>
        <w:ind w:left="720"/>
        <w:jc w:val="both"/>
        <w:rPr>
          <w:rStyle w:val="CteAnejo-DefinicionCar"/>
          <w:b w:val="0"/>
          <w:bCs w:val="0"/>
          <w:i w:val="0"/>
          <w:iCs w:val="0"/>
        </w:rPr>
      </w:pPr>
      <w:r>
        <w:rPr>
          <w:rStyle w:val="CteAnejo-DefinicionCar"/>
          <w:b w:val="0"/>
          <w:i w:val="0"/>
        </w:rPr>
        <w:t>K= Σ</w:t>
      </w:r>
      <w:r>
        <w:rPr>
          <w:rStyle w:val="CteAnejo-DefinicionCar"/>
          <w:b w:val="0"/>
          <w:i w:val="0"/>
          <w:vertAlign w:val="subscript"/>
        </w:rPr>
        <w:t>x</w:t>
      </w:r>
      <w:r>
        <w:rPr>
          <w:rStyle w:val="CteAnejo-DefinicionCar"/>
          <w:b w:val="0"/>
          <w:i w:val="0"/>
        </w:rPr>
        <w:t xml:space="preserve"> b</w:t>
      </w:r>
      <w:r>
        <w:rPr>
          <w:rStyle w:val="CteAnejo-DefinicionCar"/>
          <w:b w:val="0"/>
          <w:i w:val="0"/>
          <w:vertAlign w:val="subscript"/>
        </w:rPr>
        <w:t xml:space="preserve">tr,x </w:t>
      </w:r>
      <w:r>
        <w:rPr>
          <w:rStyle w:val="CteAnejo-DefinicionCar"/>
          <w:b w:val="0"/>
          <w:i w:val="0"/>
        </w:rPr>
        <w:t>[ Σ</w:t>
      </w:r>
      <w:r>
        <w:rPr>
          <w:rStyle w:val="CteAnejo-DefinicionCar"/>
          <w:b w:val="0"/>
          <w:i w:val="0"/>
          <w:vertAlign w:val="subscript"/>
        </w:rPr>
        <w:t>i</w:t>
      </w:r>
      <w:r>
        <w:rPr>
          <w:rStyle w:val="CteAnejo-DefinicionCar"/>
          <w:b w:val="0"/>
          <w:i w:val="0"/>
        </w:rPr>
        <w:t xml:space="preserve"> A</w:t>
      </w:r>
      <w:r>
        <w:rPr>
          <w:rStyle w:val="CteAnejo-DefinicionCar"/>
          <w:b w:val="0"/>
          <w:i w:val="0"/>
          <w:vertAlign w:val="subscript"/>
        </w:rPr>
        <w:t xml:space="preserve">x,i </w:t>
      </w:r>
      <w:r>
        <w:rPr>
          <w:rStyle w:val="CteAnejo-DefinicionCar"/>
          <w:b w:val="0"/>
          <w:i w:val="0"/>
        </w:rPr>
        <w:t>U</w:t>
      </w:r>
      <w:r>
        <w:rPr>
          <w:rStyle w:val="CteAnejo-DefinicionCar"/>
          <w:b w:val="0"/>
          <w:i w:val="0"/>
          <w:vertAlign w:val="subscript"/>
        </w:rPr>
        <w:t xml:space="preserve">x,i </w:t>
      </w:r>
      <w:r>
        <w:rPr>
          <w:rStyle w:val="CteAnejo-DefinicionCar"/>
          <w:b w:val="0"/>
          <w:i w:val="0"/>
        </w:rPr>
        <w:t>+ Σ</w:t>
      </w:r>
      <w:r>
        <w:rPr>
          <w:rStyle w:val="CteAnejo-DefinicionCar"/>
          <w:b w:val="0"/>
          <w:i w:val="0"/>
          <w:vertAlign w:val="subscript"/>
        </w:rPr>
        <w:t>k</w:t>
      </w:r>
      <w:r>
        <w:rPr>
          <w:rStyle w:val="CteAnejo-DefinicionCar"/>
          <w:b w:val="0"/>
          <w:i w:val="0"/>
        </w:rPr>
        <w:t xml:space="preserve"> l</w:t>
      </w:r>
      <w:r>
        <w:rPr>
          <w:rStyle w:val="CteAnejo-DefinicionCar"/>
          <w:b w:val="0"/>
          <w:i w:val="0"/>
          <w:vertAlign w:val="subscript"/>
        </w:rPr>
        <w:t>x,k</w:t>
      </w:r>
      <w:r>
        <w:rPr>
          <w:rStyle w:val="CteAnejo-DefinicionCar"/>
          <w:b w:val="0"/>
          <w:i w:val="0"/>
        </w:rPr>
        <w:t xml:space="preserve"> ψ</w:t>
      </w:r>
      <w:r>
        <w:rPr>
          <w:rStyle w:val="CteAnejo-DefinicionCar"/>
          <w:b w:val="0"/>
          <w:i w:val="0"/>
          <w:vertAlign w:val="subscript"/>
        </w:rPr>
        <w:t xml:space="preserve">x,k </w:t>
      </w:r>
      <w:r>
        <w:rPr>
          <w:rStyle w:val="CteAnejo-DefinicionCar"/>
          <w:b w:val="0"/>
          <w:i w:val="0"/>
        </w:rPr>
        <w:t>+ Σ</w:t>
      </w:r>
      <w:r>
        <w:rPr>
          <w:rStyle w:val="CteAnejo-DefinicionCar"/>
          <w:b w:val="0"/>
          <w:i w:val="0"/>
          <w:vertAlign w:val="subscript"/>
        </w:rPr>
        <w:t>j</w:t>
      </w:r>
      <w:r>
        <w:rPr>
          <w:rStyle w:val="CteAnejo-DefinicionCar"/>
          <w:b w:val="0"/>
          <w:i w:val="0"/>
        </w:rPr>
        <w:t xml:space="preserve"> x</w:t>
      </w:r>
      <w:r>
        <w:rPr>
          <w:rStyle w:val="CteAnejo-DefinicionCar"/>
          <w:b w:val="0"/>
          <w:i w:val="0"/>
          <w:vertAlign w:val="subscript"/>
        </w:rPr>
        <w:t xml:space="preserve">x,j </w:t>
      </w:r>
      <w:r>
        <w:rPr>
          <w:rStyle w:val="CteAnejo-DefinicionCar"/>
          <w:b w:val="0"/>
          <w:i w:val="0"/>
        </w:rPr>
        <w:t>] / Σ</w:t>
      </w:r>
      <w:r>
        <w:rPr>
          <w:rStyle w:val="CteAnejo-DefinicionCar"/>
          <w:b w:val="0"/>
          <w:i w:val="0"/>
          <w:vertAlign w:val="subscript"/>
        </w:rPr>
        <w:t>x</w:t>
      </w:r>
      <w:r>
        <w:rPr>
          <w:rStyle w:val="CteAnejo-DefinicionCar"/>
          <w:b w:val="0"/>
          <w:i w:val="0"/>
        </w:rPr>
        <w:t xml:space="preserve"> Σ</w:t>
      </w:r>
      <w:r>
        <w:rPr>
          <w:rStyle w:val="CteAnejo-DefinicionCar"/>
          <w:b w:val="0"/>
          <w:i w:val="0"/>
          <w:vertAlign w:val="subscript"/>
        </w:rPr>
        <w:t>i</w:t>
      </w:r>
      <w:r>
        <w:rPr>
          <w:rStyle w:val="CteAnejo-DefinicionCar"/>
          <w:b w:val="0"/>
          <w:i w:val="0"/>
        </w:rPr>
        <w:t xml:space="preserve"> b</w:t>
      </w:r>
      <w:r>
        <w:rPr>
          <w:rStyle w:val="CteAnejo-DefinicionCar"/>
          <w:b w:val="0"/>
          <w:i w:val="0"/>
          <w:vertAlign w:val="subscript"/>
        </w:rPr>
        <w:t xml:space="preserve">tr,x </w:t>
      </w:r>
      <w:r>
        <w:rPr>
          <w:rStyle w:val="CteAnejo-DefinicionCar"/>
          <w:b w:val="0"/>
          <w:i w:val="0"/>
        </w:rPr>
        <w:t>A</w:t>
      </w:r>
      <w:r>
        <w:rPr>
          <w:rStyle w:val="CteAnejo-DefinicionCar"/>
          <w:b w:val="0"/>
          <w:i w:val="0"/>
          <w:vertAlign w:val="subscript"/>
        </w:rPr>
        <w:t>x,i</w:t>
      </w:r>
    </w:p>
    <w:p w:rsidR="00037CDA" w:rsidRPr="00937C8B" w:rsidRDefault="00037CDA" w:rsidP="00D27646">
      <w:pPr>
        <w:pStyle w:val="CTENormal"/>
        <w:keepNext/>
        <w:jc w:val="both"/>
      </w:pPr>
      <w:r>
        <w:rPr>
          <w:rStyle w:val="CteAnejo-DefinicionCar"/>
          <w:b w:val="0"/>
          <w:i w:val="0"/>
        </w:rPr>
        <w:t>where:</w:t>
      </w:r>
      <w:r>
        <w:t xml:space="preserve"> </w:t>
      </w:r>
    </w:p>
    <w:p w:rsidR="00037CDA" w:rsidRPr="00937C8B" w:rsidRDefault="00037CDA" w:rsidP="00037CDA">
      <w:pPr>
        <w:pStyle w:val="Textopreformateado"/>
        <w:spacing w:after="60"/>
        <w:ind w:left="1247" w:hanging="527"/>
        <w:jc w:val="both"/>
      </w:pPr>
      <w:r>
        <w:rPr>
          <w:rStyle w:val="CteAnejo-DefinicionCar"/>
          <w:b w:val="0"/>
          <w:i w:val="0"/>
        </w:rPr>
        <w:t>b</w:t>
      </w:r>
      <w:r>
        <w:rPr>
          <w:rStyle w:val="CteAnejo-DefinicionCar"/>
          <w:b w:val="0"/>
          <w:i w:val="0"/>
          <w:vertAlign w:val="subscript"/>
        </w:rPr>
        <w:t xml:space="preserve">tr,x </w:t>
      </w:r>
      <w:r>
        <w:rPr>
          <w:rStyle w:val="CteAnejo-DefinicionCar"/>
          <w:b w:val="0"/>
          <w:i w:val="0"/>
        </w:rPr>
        <w:tab/>
        <w:t xml:space="preserve">is the correction factor for the elements of the envelope. Its value is 1, except for elements in contact with buildings or adjacent spaces outside the </w:t>
      </w:r>
      <w:r>
        <w:rPr>
          <w:rStyle w:val="CteAnejo-DefinicionCar"/>
          <w:b w:val="0"/>
        </w:rPr>
        <w:t>thermal envelope</w:t>
      </w:r>
      <w:r>
        <w:rPr>
          <w:rStyle w:val="CteAnejo-DefinicionCar"/>
          <w:b w:val="0"/>
          <w:i w:val="0"/>
        </w:rPr>
        <w:t>, which take the value 0;</w:t>
      </w:r>
    </w:p>
    <w:p w:rsidR="00037CDA" w:rsidRPr="00937C8B" w:rsidRDefault="00037CDA" w:rsidP="00037CDA">
      <w:pPr>
        <w:pStyle w:val="Textopreformateado"/>
        <w:spacing w:after="60"/>
        <w:ind w:left="1247" w:hanging="527"/>
        <w:jc w:val="both"/>
      </w:pPr>
      <w:r>
        <w:t>A</w:t>
      </w:r>
      <w:r>
        <w:rPr>
          <w:vertAlign w:val="subscript"/>
        </w:rPr>
        <w:t>x,i</w:t>
      </w:r>
      <w:r>
        <w:tab/>
        <w:t xml:space="preserve">is the exchange area of the relevant element of the </w:t>
      </w:r>
      <w:r>
        <w:rPr>
          <w:i/>
          <w:iCs/>
        </w:rPr>
        <w:t>thermal envelope</w:t>
      </w:r>
      <w:r>
        <w:t>;</w:t>
      </w:r>
    </w:p>
    <w:p w:rsidR="00037CDA" w:rsidRPr="00937C8B" w:rsidRDefault="00037CDA" w:rsidP="00037CDA">
      <w:pPr>
        <w:pStyle w:val="Textopreformateado"/>
        <w:spacing w:after="60"/>
        <w:ind w:left="1276" w:hanging="556"/>
        <w:jc w:val="both"/>
        <w:rPr>
          <w:rStyle w:val="CteAnejo-DefinicionCar"/>
          <w:b w:val="0"/>
          <w:bCs w:val="0"/>
          <w:i w:val="0"/>
        </w:rPr>
      </w:pPr>
      <w:r>
        <w:rPr>
          <w:rStyle w:val="CteAnejo-DefinicionCar"/>
          <w:b w:val="0"/>
          <w:i w:val="0"/>
        </w:rPr>
        <w:t>U</w:t>
      </w:r>
      <w:r>
        <w:rPr>
          <w:vertAlign w:val="subscript"/>
        </w:rPr>
        <w:t>x,i</w:t>
      </w:r>
      <w:r>
        <w:rPr>
          <w:vertAlign w:val="subscript"/>
        </w:rPr>
        <w:tab/>
      </w:r>
      <w:r>
        <w:rPr>
          <w:rStyle w:val="CteAnejo-DefinicionCar"/>
          <w:b w:val="0"/>
          <w:i w:val="0"/>
        </w:rPr>
        <w:t xml:space="preserve">is the </w:t>
      </w:r>
      <w:r>
        <w:rPr>
          <w:rStyle w:val="CteAnejo-DefinicionCar"/>
          <w:b w:val="0"/>
        </w:rPr>
        <w:t>thermal transmittance</w:t>
      </w:r>
      <w:r>
        <w:rPr>
          <w:rStyle w:val="CteAnejo-DefinicionCar"/>
          <w:b w:val="0"/>
          <w:i w:val="0"/>
        </w:rPr>
        <w:t xml:space="preserve"> value of the relevant element of the </w:t>
      </w:r>
      <w:r>
        <w:rPr>
          <w:rStyle w:val="CteAnejo-DefinicionCar"/>
          <w:b w:val="0"/>
        </w:rPr>
        <w:t>thermal envelope</w:t>
      </w:r>
      <w:r>
        <w:rPr>
          <w:rStyle w:val="CteAnejo-DefinicionCar"/>
          <w:b w:val="0"/>
          <w:i w:val="0"/>
        </w:rPr>
        <w:t xml:space="preserve">; </w:t>
      </w:r>
    </w:p>
    <w:p w:rsidR="00037CDA" w:rsidRPr="00937C8B" w:rsidRDefault="00037CDA" w:rsidP="00037CDA">
      <w:pPr>
        <w:pStyle w:val="Textopreformateado"/>
        <w:spacing w:after="60"/>
        <w:ind w:left="1247" w:hanging="527"/>
        <w:jc w:val="both"/>
      </w:pPr>
      <w:r>
        <w:t>l</w:t>
      </w:r>
      <w:r>
        <w:rPr>
          <w:vertAlign w:val="subscript"/>
        </w:rPr>
        <w:t>x,k</w:t>
      </w:r>
      <w:r>
        <w:tab/>
        <w:t>is the length of the heat bridge in question;</w:t>
      </w:r>
    </w:p>
    <w:p w:rsidR="00037CDA" w:rsidRPr="00937C8B" w:rsidRDefault="00037CDA" w:rsidP="00037CDA">
      <w:pPr>
        <w:pStyle w:val="Textopreformateado"/>
        <w:spacing w:after="60"/>
        <w:ind w:left="1247" w:hanging="527"/>
        <w:jc w:val="both"/>
        <w:rPr>
          <w:rStyle w:val="CteAnejo-DefinicionCar"/>
          <w:b w:val="0"/>
          <w:bCs w:val="0"/>
          <w:i w:val="0"/>
        </w:rPr>
      </w:pPr>
      <w:r>
        <w:rPr>
          <w:rStyle w:val="CteAnejo-DefinicionCar"/>
          <w:b w:val="0"/>
          <w:i w:val="0"/>
        </w:rPr>
        <w:t>ψ</w:t>
      </w:r>
      <w:r>
        <w:rPr>
          <w:vertAlign w:val="subscript"/>
        </w:rPr>
        <w:t>x,k</w:t>
      </w:r>
      <w:r>
        <w:rPr>
          <w:vertAlign w:val="subscript"/>
        </w:rPr>
        <w:tab/>
      </w:r>
      <w:r>
        <w:rPr>
          <w:rStyle w:val="CteAnejo-DefinicionCar"/>
          <w:b w:val="0"/>
          <w:i w:val="0"/>
        </w:rPr>
        <w:t xml:space="preserve">is the </w:t>
      </w:r>
      <w:r>
        <w:rPr>
          <w:rStyle w:val="CteAnejo-DefinicionCar"/>
          <w:b w:val="0"/>
        </w:rPr>
        <w:t>linear thermal transmittance</w:t>
      </w:r>
      <w:r>
        <w:rPr>
          <w:rStyle w:val="CteAnejo-DefinicionCar"/>
          <w:b w:val="0"/>
          <w:i w:val="0"/>
        </w:rPr>
        <w:t xml:space="preserve"> value of the heat bridge in question;</w:t>
      </w:r>
    </w:p>
    <w:p w:rsidR="00037CDA" w:rsidRPr="00937C8B" w:rsidRDefault="00037CDA" w:rsidP="00037CDA">
      <w:pPr>
        <w:pStyle w:val="Textopreformateado"/>
        <w:spacing w:after="60"/>
        <w:ind w:left="1247" w:hanging="527"/>
        <w:jc w:val="both"/>
        <w:rPr>
          <w:rStyle w:val="CteAnejo-DefinicionCar"/>
          <w:b w:val="0"/>
          <w:bCs w:val="0"/>
          <w:i w:val="0"/>
          <w:iCs w:val="0"/>
        </w:rPr>
      </w:pPr>
      <w:r>
        <w:t>x</w:t>
      </w:r>
      <w:r>
        <w:rPr>
          <w:vertAlign w:val="subscript"/>
        </w:rPr>
        <w:t>x,j</w:t>
      </w:r>
      <w:r>
        <w:tab/>
        <w:t>is the one-time transmittance of the heat bridge in question</w:t>
      </w:r>
      <w:r>
        <w:rPr>
          <w:rStyle w:val="CteAnejo-DefinicionCar"/>
          <w:b w:val="0"/>
          <w:i w:val="0"/>
        </w:rPr>
        <w:t>.</w:t>
      </w:r>
    </w:p>
    <w:p w:rsidR="00037CDA" w:rsidRPr="00937C8B" w:rsidRDefault="00037CDA" w:rsidP="00037CDA">
      <w:pPr>
        <w:pStyle w:val="CTENormal"/>
        <w:jc w:val="both"/>
        <w:rPr>
          <w:szCs w:val="20"/>
        </w:rPr>
      </w:pPr>
      <w:r>
        <w:t>The simplified calculation does not factor in the transmittance or surface area of the construction solutions designed to reduce energy needs (lean-to green houses, parietodynamic walls, Trombe walls, etc.).</w:t>
      </w:r>
    </w:p>
    <w:p w:rsidR="00037CDA" w:rsidRPr="00937C8B" w:rsidRDefault="00037CDA" w:rsidP="00037CDA">
      <w:pPr>
        <w:pStyle w:val="CTENormal"/>
        <w:spacing w:after="60"/>
        <w:jc w:val="both"/>
      </w:pPr>
      <w:r>
        <w:rPr>
          <w:b/>
          <w:i/>
        </w:rPr>
        <w:t>Compactness (V/A)</w:t>
      </w:r>
      <w:r>
        <w:t xml:space="preserve">: Ratio of volume enclosed by the </w:t>
      </w:r>
      <w:r>
        <w:rPr>
          <w:i/>
        </w:rPr>
        <w:t>thermal envelope</w:t>
      </w:r>
      <w:r>
        <w:t xml:space="preserve"> (V) of the building (or part thereof) to the sum of the heat exchange areas with the outside air or the ground for said </w:t>
      </w:r>
      <w:r>
        <w:rPr>
          <w:i/>
        </w:rPr>
        <w:t>thermal envelope</w:t>
      </w:r>
      <w:r>
        <w:t xml:space="preserve"> (A = ΣA</w:t>
      </w:r>
      <w:r>
        <w:rPr>
          <w:vertAlign w:val="subscript"/>
        </w:rPr>
        <w:t>i</w:t>
      </w:r>
      <w:r>
        <w:t>). This is expressed in m³/m².</w:t>
      </w:r>
    </w:p>
    <w:p w:rsidR="00037CDA" w:rsidRPr="00937C8B" w:rsidRDefault="00037CDA" w:rsidP="00037CDA">
      <w:pPr>
        <w:pStyle w:val="CTENormal"/>
        <w:spacing w:before="0"/>
        <w:jc w:val="both"/>
      </w:pPr>
      <w:r>
        <w:t xml:space="preserve">Thus, the compactness calculation does not factor in the area of the </w:t>
      </w:r>
      <w:r>
        <w:rPr>
          <w:i/>
          <w:iCs/>
        </w:rPr>
        <w:t>enclosures</w:t>
      </w:r>
      <w:r>
        <w:t xml:space="preserve"> and </w:t>
      </w:r>
      <w:r>
        <w:rPr>
          <w:i/>
          <w:iCs/>
        </w:rPr>
        <w:t>interior partitions</w:t>
      </w:r>
      <w:r>
        <w:t xml:space="preserve"> in contact with other buildings or adjacent spaces outside the </w:t>
      </w:r>
      <w:r>
        <w:rPr>
          <w:i/>
          <w:iCs/>
        </w:rPr>
        <w:t>thermal envelope</w:t>
      </w:r>
      <w:r>
        <w:t>.</w:t>
      </w:r>
    </w:p>
    <w:p w:rsidR="00037CDA" w:rsidRPr="00937C8B" w:rsidRDefault="00037CDA" w:rsidP="00037CDA">
      <w:pPr>
        <w:pStyle w:val="CTENormal"/>
        <w:jc w:val="both"/>
      </w:pPr>
      <w:r>
        <w:rPr>
          <w:rStyle w:val="CteAnejo-DefinicionCar"/>
        </w:rPr>
        <w:t>Operating conditions:</w:t>
      </w:r>
      <w:r>
        <w:rPr>
          <w:rStyle w:val="CteAnejo-DefinicionCar"/>
          <w:i w:val="0"/>
        </w:rPr>
        <w:t xml:space="preserve"> </w:t>
      </w:r>
      <w:r>
        <w:rPr>
          <w:rStyle w:val="CteAnejo-DefinicionCar"/>
          <w:b w:val="0"/>
          <w:i w:val="0"/>
        </w:rPr>
        <w:t xml:space="preserve">all setpoint temperatures defined for a </w:t>
      </w:r>
      <w:r>
        <w:rPr>
          <w:rStyle w:val="CteAnejo-DefinicionCar"/>
          <w:b w:val="0"/>
        </w:rPr>
        <w:t>habitable conditioned space</w:t>
      </w:r>
      <w:r>
        <w:rPr>
          <w:rStyle w:val="CteAnejo-DefinicionCar"/>
          <w:b w:val="0"/>
          <w:i w:val="0"/>
        </w:rPr>
        <w:t xml:space="preserve">. These are a set of </w:t>
      </w:r>
      <w:r>
        <w:rPr>
          <w:rStyle w:val="CteAnejo-DefinicionCar"/>
          <w:b w:val="0"/>
        </w:rPr>
        <w:t>setpoint temperatures</w:t>
      </w:r>
      <w:r>
        <w:rPr>
          <w:rStyle w:val="CteAnejo-DefinicionCar"/>
          <w:b w:val="0"/>
          <w:i w:val="0"/>
        </w:rPr>
        <w:t xml:space="preserve"> that define the activation temperature of the heating equipment (low setpoint) and cooling equipment (high setpoint).</w:t>
      </w:r>
      <w:r>
        <w:t xml:space="preserve"> </w:t>
      </w:r>
      <w:r>
        <w:rPr>
          <w:rStyle w:val="CteAnejo-DefinicionCar"/>
          <w:b w:val="0"/>
          <w:i w:val="0"/>
        </w:rPr>
        <w:t xml:space="preserve">The </w:t>
      </w:r>
      <w:r>
        <w:rPr>
          <w:rStyle w:val="CteAnejo-DefinicionCar"/>
          <w:b w:val="0"/>
        </w:rPr>
        <w:t>operating conditions</w:t>
      </w:r>
      <w:r>
        <w:rPr>
          <w:rStyle w:val="CteAnejo-DefinicionCar"/>
          <w:b w:val="0"/>
          <w:i w:val="0"/>
        </w:rPr>
        <w:t xml:space="preserve"> for spaces for private residential use shall be those set out in Annex D.</w:t>
      </w:r>
    </w:p>
    <w:p w:rsidR="00037CDA" w:rsidRPr="00937C8B" w:rsidRDefault="00037CDA" w:rsidP="00037CDA">
      <w:pPr>
        <w:pStyle w:val="CTENormal"/>
        <w:spacing w:after="60"/>
        <w:jc w:val="both"/>
      </w:pPr>
      <w:r>
        <w:rPr>
          <w:rStyle w:val="CteAnejo-DefinicionCar"/>
        </w:rPr>
        <w:t>Consumption (of energy)</w:t>
      </w:r>
      <w:r>
        <w:t>: energy that must be supplied to the building systems (existing or planned) to cover the heating, cooling, ventilation, DHW and humidity control services and, in buildings for uses other than private residential, lighting as well, taking into account the efficiency of the systems used. This is expressed in units of kW·h/m</w:t>
      </w:r>
      <w:r>
        <w:rPr>
          <w:vertAlign w:val="superscript"/>
        </w:rPr>
        <w:t>2</w:t>
      </w:r>
      <w:r>
        <w:t>.year.</w:t>
      </w:r>
    </w:p>
    <w:p w:rsidR="00037CDA" w:rsidRPr="00937C8B" w:rsidRDefault="00037CDA" w:rsidP="00037CDA">
      <w:pPr>
        <w:pStyle w:val="CTENormal"/>
        <w:spacing w:after="60"/>
        <w:jc w:val="both"/>
      </w:pPr>
      <w:r>
        <w:t xml:space="preserve">It may be expressed as </w:t>
      </w:r>
      <w:r>
        <w:rPr>
          <w:i/>
          <w:iCs/>
        </w:rPr>
        <w:t>final energy consumption</w:t>
      </w:r>
      <w:r>
        <w:t xml:space="preserve"> (by energy vector) or </w:t>
      </w:r>
      <w:r>
        <w:rPr>
          <w:i/>
          <w:iCs/>
        </w:rPr>
        <w:t>primary energy consumption</w:t>
      </w:r>
      <w:r>
        <w:t>, and it may refer to all services (total) or one specific service.</w:t>
      </w:r>
    </w:p>
    <w:p w:rsidR="00037CDA" w:rsidRPr="00937C8B" w:rsidRDefault="00037CDA" w:rsidP="00037CDA">
      <w:pPr>
        <w:pStyle w:val="CTENormal"/>
        <w:jc w:val="both"/>
        <w:rPr>
          <w:bCs/>
        </w:rPr>
      </w:pPr>
      <w:r>
        <w:rPr>
          <w:rStyle w:val="CteAnejo-DefinicionCar"/>
        </w:rPr>
        <w:t>Non-renewable primary energy consumption</w:t>
      </w:r>
      <w:r>
        <w:rPr>
          <w:rStyle w:val="CteAnejo-DefinicionCar"/>
          <w:b w:val="0"/>
          <w:i w:val="0"/>
        </w:rPr>
        <w:t xml:space="preserve">: non-renewable share of the </w:t>
      </w:r>
      <w:r>
        <w:rPr>
          <w:rStyle w:val="CteAnejo-DefinicionCar"/>
          <w:b w:val="0"/>
        </w:rPr>
        <w:t>primary energy</w:t>
      </w:r>
      <w:r>
        <w:rPr>
          <w:rStyle w:val="CteAnejo-DefinicionCar"/>
          <w:b w:val="0"/>
          <w:i w:val="0"/>
        </w:rPr>
        <w:t xml:space="preserve"> </w:t>
      </w:r>
      <w:r>
        <w:t>that is needed to supply the systems. This is determined using the value of the conversion factor for the non-renewable share in each energy vector.</w:t>
      </w:r>
    </w:p>
    <w:p w:rsidR="00037CDA" w:rsidRPr="00937C8B" w:rsidRDefault="00037CDA" w:rsidP="00037CDA">
      <w:pPr>
        <w:pStyle w:val="CTENormal"/>
        <w:jc w:val="both"/>
        <w:rPr>
          <w:bCs/>
        </w:rPr>
      </w:pPr>
      <w:r>
        <w:rPr>
          <w:rStyle w:val="CteAnejo-DefinicionCar"/>
        </w:rPr>
        <w:t>Total primary energy consumption</w:t>
      </w:r>
      <w:r>
        <w:rPr>
          <w:rStyle w:val="CteAnejo-DefinicionCar"/>
          <w:b w:val="0"/>
          <w:i w:val="0"/>
        </w:rPr>
        <w:t xml:space="preserve">: total value of the </w:t>
      </w:r>
      <w:r>
        <w:rPr>
          <w:rStyle w:val="CteAnejo-DefinicionCar"/>
          <w:b w:val="0"/>
        </w:rPr>
        <w:t>primary energy</w:t>
      </w:r>
      <w:r>
        <w:rPr>
          <w:rStyle w:val="CteAnejo-DefinicionCar"/>
          <w:b w:val="0"/>
          <w:i w:val="0"/>
        </w:rPr>
        <w:t xml:space="preserve"> </w:t>
      </w:r>
      <w:r>
        <w:t>that is needed to supply the systems. This includes the energy supplied, the energy produced onsite and the energy drawn from the environment.</w:t>
      </w:r>
    </w:p>
    <w:p w:rsidR="00037CDA" w:rsidRPr="00937C8B" w:rsidRDefault="00037CDA" w:rsidP="00037CDA">
      <w:pPr>
        <w:pStyle w:val="CTENormal"/>
        <w:spacing w:after="0"/>
        <w:jc w:val="both"/>
      </w:pPr>
      <w:r>
        <w:rPr>
          <w:b/>
          <w:i/>
        </w:rPr>
        <w:t>Solar control (q</w:t>
      </w:r>
      <w:r>
        <w:rPr>
          <w:b/>
          <w:i/>
          <w:vertAlign w:val="subscript"/>
        </w:rPr>
        <w:t>sol;jul</w:t>
      </w:r>
      <w:r>
        <w:rPr>
          <w:b/>
          <w:i/>
        </w:rPr>
        <w:t>)</w:t>
      </w:r>
      <w:r>
        <w:t>: is the ratio of solar gain for the month of July (Q</w:t>
      </w:r>
      <w:r>
        <w:rPr>
          <w:vertAlign w:val="subscript"/>
        </w:rPr>
        <w:t>sol;jul</w:t>
      </w:r>
      <w:r>
        <w:t xml:space="preserve">) for the </w:t>
      </w:r>
      <w:r>
        <w:rPr>
          <w:i/>
        </w:rPr>
        <w:t>openings</w:t>
      </w:r>
      <w:r>
        <w:t xml:space="preserve"> belonging to the </w:t>
      </w:r>
      <w:r>
        <w:rPr>
          <w:i/>
        </w:rPr>
        <w:t>thermal envelope</w:t>
      </w:r>
      <w:r>
        <w:t xml:space="preserve"> with their mobile sun shades activated, to the usable floor area of the spaces included in the </w:t>
      </w:r>
      <w:r>
        <w:rPr>
          <w:i/>
        </w:rPr>
        <w:t>thermal envelope</w:t>
      </w:r>
      <w:r>
        <w:t xml:space="preserve"> (A</w:t>
      </w:r>
      <w:r>
        <w:rPr>
          <w:vertAlign w:val="subscript"/>
        </w:rPr>
        <w:t>util</w:t>
      </w:r>
      <w:r>
        <w:t>). This can be applied to the building or a part thereof.</w:t>
      </w:r>
    </w:p>
    <w:p w:rsidR="00037CDA" w:rsidRPr="00937C8B" w:rsidRDefault="00037CDA" w:rsidP="00037CDA">
      <w:pPr>
        <w:pStyle w:val="CTENormal"/>
        <w:spacing w:before="120"/>
        <w:jc w:val="both"/>
      </w:pPr>
      <w:r>
        <w:t>The simplified calculation assumes that zero energy is radiated back to the sky.</w:t>
      </w:r>
    </w:p>
    <w:p w:rsidR="00037CDA" w:rsidRPr="00937C8B" w:rsidRDefault="00037CDA" w:rsidP="00037CDA">
      <w:pPr>
        <w:spacing w:before="120" w:after="120"/>
        <w:jc w:val="center"/>
        <w:rPr>
          <w:rFonts w:ascii="Arial" w:hAnsi="Arial" w:cs="Arial"/>
        </w:rPr>
      </w:pPr>
      <w:r>
        <w:rPr>
          <w:rFonts w:ascii="Arial" w:hAnsi="Arial"/>
        </w:rPr>
        <w:t>q</w:t>
      </w:r>
      <w:r>
        <w:rPr>
          <w:rFonts w:ascii="Arial" w:hAnsi="Arial"/>
          <w:vertAlign w:val="subscript"/>
        </w:rPr>
        <w:t>sol;jul</w:t>
      </w:r>
      <w:r>
        <w:rPr>
          <w:rFonts w:ascii="Arial" w:hAnsi="Arial"/>
        </w:rPr>
        <w:t xml:space="preserve"> = Q</w:t>
      </w:r>
      <w:r>
        <w:rPr>
          <w:rFonts w:ascii="Arial" w:hAnsi="Arial"/>
          <w:vertAlign w:val="subscript"/>
        </w:rPr>
        <w:t>sol;jul</w:t>
      </w:r>
      <w:r>
        <w:rPr>
          <w:rFonts w:ascii="Arial" w:hAnsi="Arial"/>
        </w:rPr>
        <w:t xml:space="preserve"> / A</w:t>
      </w:r>
      <w:r>
        <w:rPr>
          <w:rFonts w:ascii="Arial" w:hAnsi="Arial"/>
          <w:vertAlign w:val="subscript"/>
        </w:rPr>
        <w:t>util</w:t>
      </w:r>
      <w:r>
        <w:rPr>
          <w:rFonts w:ascii="Arial" w:hAnsi="Arial"/>
        </w:rPr>
        <w:t>= (Σ</w:t>
      </w:r>
      <w:r>
        <w:rPr>
          <w:rFonts w:ascii="Arial" w:hAnsi="Arial"/>
          <w:vertAlign w:val="subscript"/>
        </w:rPr>
        <w:t>k</w:t>
      </w:r>
      <w:r>
        <w:rPr>
          <w:rFonts w:ascii="Arial" w:hAnsi="Arial"/>
        </w:rPr>
        <w:t xml:space="preserve"> F</w:t>
      </w:r>
      <w:r>
        <w:rPr>
          <w:rFonts w:ascii="Arial" w:hAnsi="Arial"/>
          <w:vertAlign w:val="subscript"/>
        </w:rPr>
        <w:t>sh;obst</w:t>
      </w:r>
      <w:r>
        <w:rPr>
          <w:rFonts w:ascii="Arial" w:hAnsi="Arial"/>
        </w:rPr>
        <w:t xml:space="preserve"> · g</w:t>
      </w:r>
      <w:r>
        <w:rPr>
          <w:rFonts w:ascii="Arial" w:hAnsi="Arial"/>
          <w:vertAlign w:val="subscript"/>
        </w:rPr>
        <w:t>gl;sh;wi</w:t>
      </w:r>
      <w:r>
        <w:rPr>
          <w:rFonts w:ascii="Arial" w:hAnsi="Arial"/>
        </w:rPr>
        <w:t xml:space="preserve"> · (1 − F</w:t>
      </w:r>
      <w:r>
        <w:rPr>
          <w:rFonts w:ascii="Arial" w:hAnsi="Arial"/>
          <w:vertAlign w:val="subscript"/>
        </w:rPr>
        <w:t>F</w:t>
      </w:r>
      <w:r>
        <w:rPr>
          <w:rFonts w:ascii="Arial" w:hAnsi="Arial"/>
        </w:rPr>
        <w:t xml:space="preserve"> ) · A</w:t>
      </w:r>
      <w:r>
        <w:rPr>
          <w:rFonts w:ascii="Arial" w:hAnsi="Arial"/>
          <w:vertAlign w:val="subscript"/>
        </w:rPr>
        <w:t>w;p</w:t>
      </w:r>
      <w:r>
        <w:rPr>
          <w:rFonts w:ascii="Arial" w:hAnsi="Arial"/>
        </w:rPr>
        <w:t xml:space="preserve"> · H</w:t>
      </w:r>
      <w:r>
        <w:rPr>
          <w:rFonts w:ascii="Arial" w:hAnsi="Arial"/>
          <w:vertAlign w:val="subscript"/>
        </w:rPr>
        <w:t>sol;jul</w:t>
      </w:r>
      <w:r>
        <w:rPr>
          <w:rFonts w:ascii="Arial" w:hAnsi="Arial"/>
        </w:rPr>
        <w:t>) / A</w:t>
      </w:r>
      <w:r>
        <w:rPr>
          <w:rFonts w:ascii="Arial" w:hAnsi="Arial"/>
          <w:vertAlign w:val="subscript"/>
        </w:rPr>
        <w:t>util</w:t>
      </w:r>
    </w:p>
    <w:p w:rsidR="00037CDA" w:rsidRPr="00937C8B" w:rsidRDefault="00037CDA" w:rsidP="00D27646">
      <w:pPr>
        <w:keepNext/>
        <w:jc w:val="both"/>
        <w:rPr>
          <w:rFonts w:ascii="Arial" w:hAnsi="Arial" w:cs="Arial"/>
        </w:rPr>
      </w:pPr>
      <w:r>
        <w:rPr>
          <w:rFonts w:ascii="Arial" w:hAnsi="Arial"/>
        </w:rPr>
        <w:t>where:</w:t>
      </w:r>
    </w:p>
    <w:p w:rsidR="00037CDA" w:rsidRPr="00937C8B" w:rsidRDefault="00037CDA" w:rsidP="00935676">
      <w:pPr>
        <w:pStyle w:val="Textopreformateado"/>
        <w:spacing w:before="60"/>
        <w:ind w:left="1560" w:hanging="993"/>
        <w:jc w:val="both"/>
      </w:pPr>
      <w:r>
        <w:t>F</w:t>
      </w:r>
      <w:r>
        <w:rPr>
          <w:vertAlign w:val="subscript"/>
        </w:rPr>
        <w:t>sh;obst</w:t>
      </w:r>
      <w:r>
        <w:t xml:space="preserve"> </w:t>
      </w:r>
      <w:r>
        <w:tab/>
        <w:t xml:space="preserve">is the reduction factor for shading from external obstacles (including all elements outside of the </w:t>
      </w:r>
      <w:r>
        <w:rPr>
          <w:i/>
        </w:rPr>
        <w:t>opening</w:t>
      </w:r>
      <w:r>
        <w:t xml:space="preserve"> such as overhangs, ledges, recesses, remote obstacles, etc.), for the month of July, of </w:t>
      </w:r>
      <w:r>
        <w:rPr>
          <w:i/>
        </w:rPr>
        <w:t>opening</w:t>
      </w:r>
      <w:r>
        <w:t xml:space="preserve"> k, and represents the reduction in incident solar radiation due to permanent shading from these obstacles.</w:t>
      </w:r>
    </w:p>
    <w:p w:rsidR="00037CDA" w:rsidRPr="00937C8B" w:rsidRDefault="00037CDA" w:rsidP="00935676">
      <w:pPr>
        <w:pStyle w:val="Textbody"/>
        <w:spacing w:before="60" w:after="0"/>
        <w:ind w:left="1560" w:hanging="993"/>
        <w:jc w:val="both"/>
      </w:pPr>
      <w:r>
        <w:t>g</w:t>
      </w:r>
      <w:r>
        <w:rPr>
          <w:vertAlign w:val="subscript"/>
        </w:rPr>
        <w:t>gl;sh;wi</w:t>
      </w:r>
      <w:r>
        <w:t xml:space="preserve"> </w:t>
      </w:r>
      <w:r>
        <w:tab/>
        <w:t>is the total solar energy transmittance of the glazing with the mobile shading device activated, for the month of July and</w:t>
      </w:r>
      <w:r>
        <w:rPr>
          <w:i/>
        </w:rPr>
        <w:t xml:space="preserve"> opening</w:t>
      </w:r>
      <w:r>
        <w:t xml:space="preserve"> k;</w:t>
      </w:r>
    </w:p>
    <w:p w:rsidR="00037CDA" w:rsidRPr="00937C8B" w:rsidRDefault="00037CDA" w:rsidP="00935676">
      <w:pPr>
        <w:pStyle w:val="Textbody"/>
        <w:spacing w:before="60" w:after="0"/>
        <w:ind w:left="1560" w:hanging="993"/>
        <w:jc w:val="both"/>
      </w:pPr>
      <w:r>
        <w:t>F</w:t>
      </w:r>
      <w:r>
        <w:rPr>
          <w:vertAlign w:val="subscript"/>
        </w:rPr>
        <w:t>F</w:t>
      </w:r>
      <w:r>
        <w:t xml:space="preserve"> </w:t>
      </w:r>
      <w:r>
        <w:tab/>
        <w:t>is the fraction of the frame of opening k (for a simplified calculation, the value 0.25 may be used);</w:t>
      </w:r>
    </w:p>
    <w:p w:rsidR="00037CDA" w:rsidRPr="00937C8B" w:rsidRDefault="00037CDA" w:rsidP="00935676">
      <w:pPr>
        <w:pStyle w:val="Textbody"/>
        <w:spacing w:before="60" w:after="0"/>
        <w:ind w:left="1560" w:hanging="993"/>
        <w:jc w:val="both"/>
      </w:pPr>
      <w:r>
        <w:t>A</w:t>
      </w:r>
      <w:r>
        <w:rPr>
          <w:vertAlign w:val="subscript"/>
        </w:rPr>
        <w:t>w;p</w:t>
      </w:r>
      <w:r>
        <w:tab/>
        <w:t>is the area (m</w:t>
      </w:r>
      <w:r>
        <w:rPr>
          <w:vertAlign w:val="superscript"/>
        </w:rPr>
        <w:t>2</w:t>
      </w:r>
      <w:r>
        <w:t xml:space="preserve">) of </w:t>
      </w:r>
      <w:r>
        <w:rPr>
          <w:i/>
        </w:rPr>
        <w:t>opening</w:t>
      </w:r>
      <w:r>
        <w:t xml:space="preserve"> k;</w:t>
      </w:r>
    </w:p>
    <w:p w:rsidR="00037CDA" w:rsidRPr="00937C8B" w:rsidRDefault="00037CDA" w:rsidP="00935676">
      <w:pPr>
        <w:pStyle w:val="Textopreformateado"/>
        <w:spacing w:before="60"/>
        <w:ind w:left="1560" w:hanging="993"/>
        <w:jc w:val="both"/>
      </w:pPr>
      <w:r>
        <w:t>H</w:t>
      </w:r>
      <w:r>
        <w:rPr>
          <w:vertAlign w:val="subscript"/>
        </w:rPr>
        <w:t xml:space="preserve">sol;jul </w:t>
      </w:r>
      <w:r>
        <w:tab/>
        <w:t xml:space="preserve">is the total average solar irradiance for the month of July (kWh/m²·month) for the climate in question and the inclination and orientation of </w:t>
      </w:r>
      <w:r>
        <w:rPr>
          <w:i/>
        </w:rPr>
        <w:t>opening</w:t>
      </w:r>
      <w:r>
        <w:t xml:space="preserve"> k.</w:t>
      </w:r>
    </w:p>
    <w:p w:rsidR="00037CDA" w:rsidRPr="00937C8B" w:rsidRDefault="00037CDA" w:rsidP="00037CDA">
      <w:pPr>
        <w:pStyle w:val="CTENormal"/>
        <w:jc w:val="both"/>
      </w:pPr>
      <w:r>
        <w:rPr>
          <w:rStyle w:val="CteAnejo-DefinicionCar"/>
        </w:rPr>
        <w:t>Roof</w:t>
      </w:r>
      <w:r>
        <w:t>: enclosure whose top side is in contact with the outside air or with the ground and whose inclination is less than 60º with respect to the horizontal plane.</w:t>
      </w:r>
    </w:p>
    <w:p w:rsidR="00037CDA" w:rsidRPr="00937C8B" w:rsidRDefault="00037CDA" w:rsidP="00037CDA">
      <w:pPr>
        <w:pStyle w:val="CTENormal"/>
        <w:jc w:val="both"/>
      </w:pPr>
      <w:r>
        <w:rPr>
          <w:rStyle w:val="CteAnejo-DefinicionCar"/>
        </w:rPr>
        <w:t>Demand (energy)</w:t>
      </w:r>
      <w:r>
        <w:t xml:space="preserve">: required usable energy that the technical systems must provide to maintain certain regulatory conditions inside the building. This may be divided into </w:t>
      </w:r>
      <w:r>
        <w:rPr>
          <w:i/>
          <w:iCs/>
        </w:rPr>
        <w:t>energy demand</w:t>
      </w:r>
      <w:r>
        <w:t xml:space="preserve"> for heating, cooling, domestic hot water (DHW), ventilation and humidity control and lighting, and is expressed in kW·h/m</w:t>
      </w:r>
      <w:r>
        <w:rPr>
          <w:vertAlign w:val="superscript"/>
        </w:rPr>
        <w:t>2</w:t>
      </w:r>
      <w:r>
        <w:t>.year.</w:t>
      </w:r>
    </w:p>
    <w:p w:rsidR="00037CDA" w:rsidRPr="00937C8B" w:rsidRDefault="00037CDA" w:rsidP="00037CDA">
      <w:pPr>
        <w:pStyle w:val="CTENormal"/>
        <w:jc w:val="both"/>
      </w:pPr>
      <w:r>
        <w:rPr>
          <w:rStyle w:val="CteAnejo-DefinicionCar"/>
        </w:rPr>
        <w:t>Nearly zero-energy building</w:t>
      </w:r>
      <w:r>
        <w:rPr>
          <w:rStyle w:val="CteAnejo-DefinicionCar"/>
          <w:b w:val="0"/>
          <w:i w:val="0"/>
        </w:rPr>
        <w:t>: a new or existing building that meets the regulatory requirements set out in this Basic Document ‘DB-HE Energy saving’ with regard to reducing energy consumption for newly constructed buildings.</w:t>
      </w:r>
    </w:p>
    <w:p w:rsidR="00037CDA" w:rsidRPr="00937C8B" w:rsidRDefault="00037CDA" w:rsidP="00037CDA">
      <w:pPr>
        <w:pStyle w:val="CTENormal"/>
        <w:jc w:val="both"/>
      </w:pPr>
      <w:r>
        <w:rPr>
          <w:rStyle w:val="CteAnejo-DefinicionCar"/>
        </w:rPr>
        <w:t>Luminous efficacy</w:t>
      </w:r>
      <w:r>
        <w:rPr>
          <w:rStyle w:val="CteAnejo-DefinicionCar"/>
          <w:b w:val="0"/>
          <w:i w:val="0"/>
        </w:rPr>
        <w:t>: quotient of the luminous flux emitted and the electrical power of the source. This is expressed in lm/W (lumens/watt).</w:t>
      </w:r>
    </w:p>
    <w:p w:rsidR="00255D36" w:rsidRPr="00937C8B" w:rsidRDefault="00037CDA" w:rsidP="00D27646">
      <w:pPr>
        <w:pStyle w:val="CTENormal"/>
        <w:keepNext/>
        <w:jc w:val="both"/>
        <w:rPr>
          <w:bCs/>
        </w:rPr>
      </w:pPr>
      <w:r>
        <w:rPr>
          <w:rStyle w:val="CteAnejo-DefinicionCar"/>
        </w:rPr>
        <w:t>Final energy</w:t>
      </w:r>
      <w:r>
        <w:t xml:space="preserve">: energy used at consumption points. This is the energy purchased by consumers in the form of electricity, motor fuel or other fuels used directly. According to the generation source, </w:t>
      </w:r>
      <w:r>
        <w:rPr>
          <w:i/>
          <w:iCs/>
        </w:rPr>
        <w:t>final energy</w:t>
      </w:r>
      <w:r>
        <w:t xml:space="preserve"> can be classified into:</w:t>
      </w:r>
    </w:p>
    <w:p w:rsidR="00037CDA" w:rsidRPr="00937C8B" w:rsidRDefault="00037CDA" w:rsidP="00425ADA">
      <w:pPr>
        <w:pStyle w:val="CTENormal"/>
        <w:numPr>
          <w:ilvl w:val="0"/>
          <w:numId w:val="13"/>
        </w:numPr>
        <w:spacing w:before="0" w:after="0"/>
        <w:ind w:left="714" w:hanging="357"/>
        <w:jc w:val="both"/>
      </w:pPr>
      <w:r>
        <w:rPr>
          <w:i/>
        </w:rPr>
        <w:t>onsite</w:t>
      </w:r>
      <w:r>
        <w:t>, which is energy generated in the building or on its parcel of land, whether solar photovoltaic, solar thermal, thermal energy drawn from the environment, etc.;</w:t>
      </w:r>
    </w:p>
    <w:p w:rsidR="00037CDA" w:rsidRPr="00937C8B" w:rsidRDefault="00037CDA" w:rsidP="00425ADA">
      <w:pPr>
        <w:pStyle w:val="CTENormal"/>
        <w:numPr>
          <w:ilvl w:val="0"/>
          <w:numId w:val="13"/>
        </w:numPr>
        <w:spacing w:before="0" w:after="0"/>
        <w:ind w:left="714" w:hanging="357"/>
        <w:jc w:val="both"/>
      </w:pPr>
      <w:r>
        <w:t>in the vicinity of the building, which includes local or district energy, such as solid biomass, district heating and cooling systems, electricity generated in the vicinity of the building, etc.;</w:t>
      </w:r>
    </w:p>
    <w:p w:rsidR="00037CDA" w:rsidRPr="00937C8B" w:rsidRDefault="00037CDA" w:rsidP="00425ADA">
      <w:pPr>
        <w:pStyle w:val="CTENormal"/>
        <w:numPr>
          <w:ilvl w:val="0"/>
          <w:numId w:val="13"/>
        </w:numPr>
        <w:spacing w:before="0" w:after="0"/>
        <w:ind w:left="714" w:hanging="357"/>
        <w:jc w:val="both"/>
      </w:pPr>
      <w:r>
        <w:t>remote, which covers the rest of the sources, such as fossil fuels or electricity from the grid.</w:t>
      </w:r>
    </w:p>
    <w:p w:rsidR="00037CDA" w:rsidRPr="00937C8B" w:rsidRDefault="00037CDA" w:rsidP="00D27646">
      <w:pPr>
        <w:pStyle w:val="CTENormal"/>
        <w:keepNext/>
        <w:jc w:val="both"/>
      </w:pPr>
      <w:r>
        <w:rPr>
          <w:rStyle w:val="CteAnejo-DefinicionCar"/>
        </w:rPr>
        <w:t>Primary energy</w:t>
      </w:r>
      <w:r>
        <w:t xml:space="preserve">: energy supplied to the building from renewable and non-renewable sources that has not undergone any prior conversion or transformation process. This is the energy contained in fuels and other energy sources and encompasses the energy required to generate the </w:t>
      </w:r>
      <w:r>
        <w:rPr>
          <w:i/>
          <w:iCs/>
        </w:rPr>
        <w:t>final energy</w:t>
      </w:r>
      <w:r>
        <w:t xml:space="preserve"> consumed, including losses from transport to the building, storage, etc.</w:t>
      </w:r>
    </w:p>
    <w:p w:rsidR="00037CDA" w:rsidRPr="00937C8B" w:rsidRDefault="00037CDA" w:rsidP="00037CDA">
      <w:pPr>
        <w:pStyle w:val="CTENormal"/>
        <w:jc w:val="center"/>
        <w:rPr>
          <w:bCs/>
        </w:rPr>
      </w:pPr>
      <w:r>
        <w:rPr>
          <w:i/>
          <w:iCs/>
        </w:rPr>
        <w:t>Primary energy</w:t>
      </w:r>
      <w:r>
        <w:t xml:space="preserve"> = </w:t>
      </w:r>
      <w:r>
        <w:rPr>
          <w:i/>
          <w:iCs/>
        </w:rPr>
        <w:t>Final energy</w:t>
      </w:r>
      <w:r>
        <w:t xml:space="preserve"> + Transformation losses + Transport losses</w:t>
      </w:r>
    </w:p>
    <w:p w:rsidR="00037CDA" w:rsidRPr="00937C8B" w:rsidRDefault="00A03C86" w:rsidP="00037CDA">
      <w:pPr>
        <w:pStyle w:val="CTENormal"/>
        <w:jc w:val="center"/>
      </w:pPr>
      <w:r>
        <w:rPr>
          <w:noProof/>
          <w:lang w:val="en-US" w:eastAsia="en-US" w:bidi="ar-SA"/>
        </w:rPr>
        <w:drawing>
          <wp:inline distT="0" distB="0" distL="0" distR="0">
            <wp:extent cx="5562600" cy="1000125"/>
            <wp:effectExtent l="0" t="0" r="0" b="952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2">
                      <a:extLst>
                        <a:ext uri="{28A0092B-C50C-407E-A947-70E740481C1C}">
                          <a14:useLocalDpi xmlns:a14="http://schemas.microsoft.com/office/drawing/2010/main" val="0"/>
                        </a:ext>
                      </a:extLst>
                    </a:blip>
                    <a:srcRect t="34576" b="41402"/>
                    <a:stretch>
                      <a:fillRect/>
                    </a:stretch>
                  </pic:blipFill>
                  <pic:spPr bwMode="auto">
                    <a:xfrm>
                      <a:off x="0" y="0"/>
                      <a:ext cx="5562600" cy="1000125"/>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5211"/>
        <w:gridCol w:w="5211"/>
      </w:tblGrid>
      <w:tr w:rsidR="007B282B" w:rsidRPr="00937C8B" w:rsidTr="007B282B">
        <w:trPr>
          <w:hidden/>
        </w:trPr>
        <w:tc>
          <w:tcPr>
            <w:tcW w:w="5211" w:type="dxa"/>
          </w:tcPr>
          <w:p w:rsidR="007B282B" w:rsidRPr="00937C8B" w:rsidRDefault="007B282B" w:rsidP="007B282B">
            <w:pPr>
              <w:pStyle w:val="CTENormal"/>
              <w:spacing w:before="0" w:after="0"/>
              <w:rPr>
                <w:bCs/>
                <w:vanish/>
              </w:rPr>
            </w:pPr>
            <w:r>
              <w:rPr>
                <w:bCs/>
                <w:vanish/>
              </w:rPr>
              <w:t>ENERGÍA PRIMARIA</w:t>
            </w:r>
          </w:p>
        </w:tc>
        <w:tc>
          <w:tcPr>
            <w:tcW w:w="5211" w:type="dxa"/>
          </w:tcPr>
          <w:p w:rsidR="007B282B" w:rsidRPr="00937C8B" w:rsidRDefault="007B282B" w:rsidP="007B282B">
            <w:pPr>
              <w:pStyle w:val="CTENormal"/>
              <w:spacing w:before="0" w:after="0"/>
              <w:rPr>
                <w:bCs/>
              </w:rPr>
            </w:pPr>
            <w:r>
              <w:t>PRIMARY ENERGY</w:t>
            </w:r>
          </w:p>
        </w:tc>
      </w:tr>
      <w:tr w:rsidR="007B282B" w:rsidRPr="00937C8B" w:rsidTr="007B282B">
        <w:trPr>
          <w:hidden/>
        </w:trPr>
        <w:tc>
          <w:tcPr>
            <w:tcW w:w="5211" w:type="dxa"/>
          </w:tcPr>
          <w:p w:rsidR="007B282B" w:rsidRPr="00937C8B" w:rsidRDefault="007B282B" w:rsidP="007B282B">
            <w:pPr>
              <w:pStyle w:val="CTENormal"/>
              <w:spacing w:before="0" w:after="0"/>
              <w:rPr>
                <w:bCs/>
                <w:vanish/>
              </w:rPr>
            </w:pPr>
            <w:r>
              <w:rPr>
                <w:bCs/>
                <w:vanish/>
              </w:rPr>
              <w:t>Pérdidas</w:t>
            </w:r>
          </w:p>
        </w:tc>
        <w:tc>
          <w:tcPr>
            <w:tcW w:w="5211" w:type="dxa"/>
          </w:tcPr>
          <w:p w:rsidR="007B282B" w:rsidRPr="00937C8B" w:rsidRDefault="007B282B" w:rsidP="007B282B">
            <w:pPr>
              <w:pStyle w:val="CTENormal"/>
              <w:spacing w:before="0" w:after="0"/>
              <w:rPr>
                <w:bCs/>
              </w:rPr>
            </w:pPr>
            <w:r>
              <w:t>Losses</w:t>
            </w:r>
          </w:p>
        </w:tc>
      </w:tr>
      <w:tr w:rsidR="007B282B" w:rsidRPr="00937C8B" w:rsidTr="007B282B">
        <w:trPr>
          <w:hidden/>
        </w:trPr>
        <w:tc>
          <w:tcPr>
            <w:tcW w:w="5211" w:type="dxa"/>
          </w:tcPr>
          <w:p w:rsidR="007B282B" w:rsidRPr="00937C8B" w:rsidRDefault="007B282B" w:rsidP="007B282B">
            <w:pPr>
              <w:pStyle w:val="CTENormal"/>
              <w:spacing w:before="0" w:after="0"/>
              <w:rPr>
                <w:bCs/>
                <w:vanish/>
              </w:rPr>
            </w:pPr>
            <w:r>
              <w:rPr>
                <w:bCs/>
                <w:vanish/>
              </w:rPr>
              <w:t>Procesos de:</w:t>
            </w:r>
          </w:p>
          <w:p w:rsidR="007B282B" w:rsidRPr="00937C8B" w:rsidRDefault="007B282B" w:rsidP="007B282B">
            <w:pPr>
              <w:pStyle w:val="CTENormal"/>
              <w:spacing w:before="0" w:after="0"/>
              <w:rPr>
                <w:bCs/>
                <w:vanish/>
              </w:rPr>
            </w:pPr>
            <w:r>
              <w:rPr>
                <w:bCs/>
                <w:vanish/>
              </w:rPr>
              <w:t>- Transformación</w:t>
            </w:r>
          </w:p>
          <w:p w:rsidR="007B282B" w:rsidRPr="00937C8B" w:rsidRDefault="007B282B" w:rsidP="007B282B">
            <w:pPr>
              <w:pStyle w:val="CTENormal"/>
              <w:spacing w:before="0" w:after="0"/>
              <w:rPr>
                <w:bCs/>
                <w:vanish/>
              </w:rPr>
            </w:pPr>
            <w:r>
              <w:rPr>
                <w:bCs/>
                <w:vanish/>
              </w:rPr>
              <w:t>- Transporte</w:t>
            </w:r>
          </w:p>
          <w:p w:rsidR="007B282B" w:rsidRPr="00937C8B" w:rsidRDefault="007B282B" w:rsidP="007B282B">
            <w:pPr>
              <w:pStyle w:val="CTENormal"/>
              <w:spacing w:before="0" w:after="0"/>
              <w:rPr>
                <w:bCs/>
                <w:vanish/>
              </w:rPr>
            </w:pPr>
            <w:r>
              <w:rPr>
                <w:bCs/>
                <w:vanish/>
              </w:rPr>
              <w:t>- Distribución</w:t>
            </w:r>
          </w:p>
        </w:tc>
        <w:tc>
          <w:tcPr>
            <w:tcW w:w="5211" w:type="dxa"/>
          </w:tcPr>
          <w:p w:rsidR="007B282B" w:rsidRPr="00937C8B" w:rsidRDefault="007B282B" w:rsidP="007B282B">
            <w:pPr>
              <w:pStyle w:val="CTENormal"/>
              <w:spacing w:before="0" w:after="0"/>
              <w:rPr>
                <w:bCs/>
              </w:rPr>
            </w:pPr>
            <w:r>
              <w:t>Processes for:</w:t>
            </w:r>
          </w:p>
          <w:p w:rsidR="007B282B" w:rsidRPr="00937C8B" w:rsidRDefault="007B282B" w:rsidP="007B282B">
            <w:pPr>
              <w:pStyle w:val="CTENormal"/>
              <w:spacing w:before="0" w:after="0"/>
              <w:rPr>
                <w:bCs/>
              </w:rPr>
            </w:pPr>
            <w:r>
              <w:t>- Transformation</w:t>
            </w:r>
          </w:p>
          <w:p w:rsidR="007B282B" w:rsidRPr="00937C8B" w:rsidRDefault="007B282B" w:rsidP="007B282B">
            <w:pPr>
              <w:pStyle w:val="CTENormal"/>
              <w:spacing w:before="0" w:after="0"/>
              <w:rPr>
                <w:bCs/>
              </w:rPr>
            </w:pPr>
            <w:r>
              <w:t>- Transport</w:t>
            </w:r>
          </w:p>
          <w:p w:rsidR="007B282B" w:rsidRPr="00937C8B" w:rsidRDefault="007B282B" w:rsidP="007B282B">
            <w:pPr>
              <w:pStyle w:val="CTENormal"/>
              <w:spacing w:before="0" w:after="0"/>
              <w:rPr>
                <w:bCs/>
              </w:rPr>
            </w:pPr>
            <w:r>
              <w:t>- Distribution</w:t>
            </w:r>
          </w:p>
        </w:tc>
      </w:tr>
      <w:tr w:rsidR="007B282B" w:rsidRPr="00937C8B" w:rsidTr="007B282B">
        <w:trPr>
          <w:hidden/>
        </w:trPr>
        <w:tc>
          <w:tcPr>
            <w:tcW w:w="5211" w:type="dxa"/>
          </w:tcPr>
          <w:p w:rsidR="007B282B" w:rsidRPr="00937C8B" w:rsidRDefault="007B282B" w:rsidP="007B282B">
            <w:pPr>
              <w:pStyle w:val="CTENormal"/>
              <w:spacing w:before="0" w:after="0"/>
              <w:rPr>
                <w:bCs/>
                <w:vanish/>
              </w:rPr>
            </w:pPr>
            <w:r>
              <w:rPr>
                <w:bCs/>
                <w:vanish/>
              </w:rPr>
              <w:t>ENERGÍAS FINALES</w:t>
            </w:r>
          </w:p>
        </w:tc>
        <w:tc>
          <w:tcPr>
            <w:tcW w:w="5211" w:type="dxa"/>
          </w:tcPr>
          <w:p w:rsidR="007B282B" w:rsidRPr="00937C8B" w:rsidRDefault="007B282B" w:rsidP="007B282B">
            <w:pPr>
              <w:pStyle w:val="CTENormal"/>
              <w:spacing w:before="0" w:after="0"/>
              <w:rPr>
                <w:bCs/>
              </w:rPr>
            </w:pPr>
            <w:r>
              <w:t>FINAL ENERGY</w:t>
            </w:r>
          </w:p>
        </w:tc>
      </w:tr>
      <w:tr w:rsidR="007B282B" w:rsidRPr="00937C8B" w:rsidTr="007B282B">
        <w:trPr>
          <w:hidden/>
        </w:trPr>
        <w:tc>
          <w:tcPr>
            <w:tcW w:w="5211" w:type="dxa"/>
          </w:tcPr>
          <w:p w:rsidR="007B282B" w:rsidRPr="00937C8B" w:rsidRDefault="007B282B" w:rsidP="007B282B">
            <w:pPr>
              <w:pStyle w:val="CTENormal"/>
              <w:spacing w:before="0" w:after="0"/>
              <w:rPr>
                <w:bCs/>
                <w:vanish/>
              </w:rPr>
            </w:pPr>
            <w:r>
              <w:rPr>
                <w:bCs/>
                <w:vanish/>
              </w:rPr>
              <w:t>Sistemas técnicos</w:t>
            </w:r>
          </w:p>
          <w:p w:rsidR="007B282B" w:rsidRPr="00937C8B" w:rsidRDefault="007B282B" w:rsidP="007B282B">
            <w:pPr>
              <w:pStyle w:val="CTENormal"/>
              <w:spacing w:before="0" w:after="0"/>
              <w:rPr>
                <w:bCs/>
                <w:vanish/>
              </w:rPr>
            </w:pPr>
            <w:r>
              <w:rPr>
                <w:bCs/>
                <w:vanish/>
              </w:rPr>
              <w:t>Demande de:</w:t>
            </w:r>
          </w:p>
          <w:p w:rsidR="007B282B" w:rsidRPr="00937C8B" w:rsidRDefault="007B282B" w:rsidP="007B282B">
            <w:pPr>
              <w:pStyle w:val="CTENormal"/>
              <w:spacing w:before="0" w:after="0"/>
              <w:rPr>
                <w:bCs/>
                <w:vanish/>
              </w:rPr>
            </w:pPr>
            <w:r>
              <w:rPr>
                <w:bCs/>
                <w:vanish/>
              </w:rPr>
              <w:t>- Calefacción</w:t>
            </w:r>
          </w:p>
          <w:p w:rsidR="007B282B" w:rsidRPr="00937C8B" w:rsidRDefault="007B282B" w:rsidP="007B282B">
            <w:pPr>
              <w:pStyle w:val="CTENormal"/>
              <w:spacing w:before="0" w:after="0"/>
              <w:rPr>
                <w:bCs/>
                <w:vanish/>
              </w:rPr>
            </w:pPr>
            <w:r>
              <w:rPr>
                <w:bCs/>
                <w:vanish/>
              </w:rPr>
              <w:t>- Refrigeración</w:t>
            </w:r>
          </w:p>
          <w:p w:rsidR="007B282B" w:rsidRPr="00937C8B" w:rsidRDefault="007B282B" w:rsidP="007B282B">
            <w:pPr>
              <w:pStyle w:val="CTENormal"/>
              <w:spacing w:before="0" w:after="0"/>
              <w:rPr>
                <w:bCs/>
                <w:vanish/>
              </w:rPr>
            </w:pPr>
            <w:r>
              <w:rPr>
                <w:bCs/>
                <w:vanish/>
              </w:rPr>
              <w:t>- ACS</w:t>
            </w:r>
          </w:p>
          <w:p w:rsidR="007B282B" w:rsidRPr="00937C8B" w:rsidRDefault="007B282B" w:rsidP="007B282B">
            <w:pPr>
              <w:pStyle w:val="CTENormal"/>
              <w:spacing w:before="0" w:after="0"/>
              <w:rPr>
                <w:bCs/>
                <w:vanish/>
              </w:rPr>
            </w:pPr>
            <w:r>
              <w:rPr>
                <w:bCs/>
                <w:vanish/>
              </w:rPr>
              <w:t>- Illminación</w:t>
            </w:r>
          </w:p>
          <w:p w:rsidR="007B282B" w:rsidRPr="00937C8B" w:rsidRDefault="007B282B" w:rsidP="007B282B">
            <w:pPr>
              <w:pStyle w:val="CTENormal"/>
              <w:spacing w:before="0" w:after="0"/>
              <w:rPr>
                <w:bCs/>
                <w:vanish/>
              </w:rPr>
            </w:pPr>
            <w:r>
              <w:rPr>
                <w:bCs/>
                <w:vanish/>
              </w:rPr>
              <w:t>- Ventilación</w:t>
            </w:r>
          </w:p>
          <w:p w:rsidR="007B282B" w:rsidRPr="00937C8B" w:rsidRDefault="007B282B" w:rsidP="007B282B">
            <w:pPr>
              <w:pStyle w:val="CTENormal"/>
              <w:spacing w:before="0" w:after="0"/>
              <w:rPr>
                <w:bCs/>
                <w:vanish/>
              </w:rPr>
            </w:pPr>
            <w:r>
              <w:rPr>
                <w:bCs/>
                <w:vanish/>
              </w:rPr>
              <w:t>- Control de humedad</w:t>
            </w:r>
          </w:p>
        </w:tc>
        <w:tc>
          <w:tcPr>
            <w:tcW w:w="5211" w:type="dxa"/>
          </w:tcPr>
          <w:p w:rsidR="007B282B" w:rsidRPr="00937C8B" w:rsidRDefault="007B282B" w:rsidP="007B282B">
            <w:pPr>
              <w:pStyle w:val="CTENormal"/>
              <w:spacing w:before="0" w:after="0"/>
              <w:rPr>
                <w:bCs/>
              </w:rPr>
            </w:pPr>
            <w:r>
              <w:t>Technical systems</w:t>
            </w:r>
          </w:p>
          <w:p w:rsidR="007B282B" w:rsidRPr="00937C8B" w:rsidRDefault="007B282B" w:rsidP="007B282B">
            <w:pPr>
              <w:pStyle w:val="CTENormal"/>
              <w:spacing w:before="0" w:after="0"/>
              <w:rPr>
                <w:bCs/>
              </w:rPr>
            </w:pPr>
            <w:r>
              <w:t>Demand for:</w:t>
            </w:r>
          </w:p>
          <w:p w:rsidR="007B282B" w:rsidRPr="00937C8B" w:rsidRDefault="007B282B" w:rsidP="007B282B">
            <w:pPr>
              <w:pStyle w:val="CTENormal"/>
              <w:spacing w:before="0" w:after="0"/>
              <w:rPr>
                <w:bCs/>
              </w:rPr>
            </w:pPr>
            <w:r>
              <w:t>- Heating</w:t>
            </w:r>
          </w:p>
          <w:p w:rsidR="007B282B" w:rsidRPr="00937C8B" w:rsidRDefault="007B282B" w:rsidP="007B282B">
            <w:pPr>
              <w:pStyle w:val="CTENormal"/>
              <w:spacing w:before="0" w:after="0"/>
              <w:rPr>
                <w:bCs/>
              </w:rPr>
            </w:pPr>
            <w:r>
              <w:t>- Cooling</w:t>
            </w:r>
          </w:p>
          <w:p w:rsidR="007B282B" w:rsidRPr="00937C8B" w:rsidRDefault="007B282B" w:rsidP="007B282B">
            <w:pPr>
              <w:pStyle w:val="CTENormal"/>
              <w:spacing w:before="0" w:after="0"/>
              <w:rPr>
                <w:bCs/>
              </w:rPr>
            </w:pPr>
            <w:r>
              <w:t>- DHW</w:t>
            </w:r>
          </w:p>
          <w:p w:rsidR="007B282B" w:rsidRPr="00937C8B" w:rsidRDefault="007B282B" w:rsidP="007B282B">
            <w:pPr>
              <w:pStyle w:val="CTENormal"/>
              <w:spacing w:before="0" w:after="0"/>
              <w:rPr>
                <w:bCs/>
              </w:rPr>
            </w:pPr>
            <w:r>
              <w:t>- Lighting</w:t>
            </w:r>
          </w:p>
          <w:p w:rsidR="007B282B" w:rsidRPr="00937C8B" w:rsidRDefault="007B282B" w:rsidP="007B282B">
            <w:pPr>
              <w:pStyle w:val="CTENormal"/>
              <w:spacing w:before="0" w:after="0"/>
              <w:rPr>
                <w:bCs/>
              </w:rPr>
            </w:pPr>
            <w:r>
              <w:t>- Ventilation</w:t>
            </w:r>
          </w:p>
          <w:p w:rsidR="007B282B" w:rsidRPr="00937C8B" w:rsidRDefault="007B282B" w:rsidP="007B282B">
            <w:pPr>
              <w:pStyle w:val="CTENormal"/>
              <w:spacing w:before="0" w:after="0"/>
              <w:rPr>
                <w:bCs/>
              </w:rPr>
            </w:pPr>
            <w:r>
              <w:t>- Humidity control</w:t>
            </w:r>
          </w:p>
        </w:tc>
      </w:tr>
      <w:tr w:rsidR="007B282B" w:rsidRPr="00937C8B" w:rsidTr="007B282B">
        <w:trPr>
          <w:hidden/>
        </w:trPr>
        <w:tc>
          <w:tcPr>
            <w:tcW w:w="5211" w:type="dxa"/>
          </w:tcPr>
          <w:p w:rsidR="007B282B" w:rsidRPr="00937C8B" w:rsidRDefault="007B282B" w:rsidP="007B282B">
            <w:pPr>
              <w:pStyle w:val="CTENormal"/>
              <w:spacing w:before="0" w:after="0"/>
              <w:rPr>
                <w:vanish/>
              </w:rPr>
            </w:pPr>
            <w:r>
              <w:rPr>
                <w:bCs/>
                <w:vanish/>
              </w:rPr>
              <w:t>ENERGÍA ÚTIL</w:t>
            </w:r>
          </w:p>
        </w:tc>
        <w:tc>
          <w:tcPr>
            <w:tcW w:w="5211" w:type="dxa"/>
          </w:tcPr>
          <w:p w:rsidR="007B282B" w:rsidRPr="00937C8B" w:rsidRDefault="007B282B" w:rsidP="007B282B">
            <w:pPr>
              <w:pStyle w:val="CTENormal"/>
              <w:spacing w:before="0" w:after="0"/>
            </w:pPr>
            <w:r>
              <w:t>USABLE ENERGY</w:t>
            </w:r>
          </w:p>
        </w:tc>
      </w:tr>
    </w:tbl>
    <w:p w:rsidR="00037CDA" w:rsidRPr="00937C8B" w:rsidRDefault="00037CDA" w:rsidP="00037CDA">
      <w:pPr>
        <w:pStyle w:val="CTENormal"/>
        <w:jc w:val="both"/>
        <w:rPr>
          <w:bCs/>
        </w:rPr>
      </w:pPr>
      <w:r>
        <w:t xml:space="preserve">The (total) </w:t>
      </w:r>
      <w:r>
        <w:rPr>
          <w:i/>
          <w:iCs/>
        </w:rPr>
        <w:t>primary energy</w:t>
      </w:r>
      <w:r>
        <w:t xml:space="preserve"> can be broken down into </w:t>
      </w:r>
      <w:r>
        <w:rPr>
          <w:i/>
          <w:iCs/>
        </w:rPr>
        <w:t>primary energy from renewable sources</w:t>
      </w:r>
      <w:r>
        <w:t xml:space="preserve">, or renewable </w:t>
      </w:r>
      <w:r>
        <w:rPr>
          <w:i/>
          <w:iCs/>
        </w:rPr>
        <w:t>primary energy</w:t>
      </w:r>
      <w:r>
        <w:t xml:space="preserve">, and </w:t>
      </w:r>
      <w:r>
        <w:rPr>
          <w:i/>
          <w:iCs/>
        </w:rPr>
        <w:t>primary energy</w:t>
      </w:r>
      <w:r>
        <w:t xml:space="preserve"> from non-renewable sources, or non-renewable </w:t>
      </w:r>
      <w:r>
        <w:rPr>
          <w:i/>
          <w:iCs/>
        </w:rPr>
        <w:t>primary energy</w:t>
      </w:r>
      <w:r>
        <w:t>, according to the Renewable Energy Directive (2009/28/EC).</w:t>
      </w:r>
    </w:p>
    <w:p w:rsidR="00037CDA" w:rsidRPr="00937C8B" w:rsidRDefault="00037CDA" w:rsidP="00037CDA">
      <w:pPr>
        <w:pStyle w:val="CTENormal"/>
        <w:spacing w:before="0"/>
        <w:jc w:val="both"/>
        <w:rPr>
          <w:bCs/>
        </w:rPr>
      </w:pPr>
      <w:r>
        <w:t xml:space="preserve">In simplified terms, the relationship between </w:t>
      </w:r>
      <w:r>
        <w:rPr>
          <w:i/>
          <w:iCs/>
        </w:rPr>
        <w:t>final</w:t>
      </w:r>
      <w:r>
        <w:t xml:space="preserve"> and </w:t>
      </w:r>
      <w:r>
        <w:rPr>
          <w:i/>
          <w:iCs/>
        </w:rPr>
        <w:t>primary energy</w:t>
      </w:r>
      <w:r>
        <w:t xml:space="preserve"> can be expressed with a conversion factor, which, for a defined geographic zone, describes the effect of transformation and transport losses for each component of the </w:t>
      </w:r>
      <w:r>
        <w:rPr>
          <w:i/>
          <w:iCs/>
        </w:rPr>
        <w:t>primary energy</w:t>
      </w:r>
      <w:r>
        <w:t xml:space="preserve"> (renewable and non-renewable) for each energy vector.</w:t>
      </w:r>
    </w:p>
    <w:p w:rsidR="00037CDA" w:rsidRPr="00937C8B" w:rsidRDefault="00037CDA" w:rsidP="00037CDA">
      <w:pPr>
        <w:pStyle w:val="Standard"/>
        <w:spacing w:after="120"/>
        <w:jc w:val="both"/>
      </w:pPr>
      <w:r>
        <w:rPr>
          <w:rStyle w:val="CteAnejo-DefinicionCar"/>
        </w:rPr>
        <w:t>Energy from renewable sources</w:t>
      </w:r>
      <w:r>
        <w:t>: energy from renewable, non-fossil sources, i.e. wind, solar, aerothermal, geothermal, hydrothermal and ocean thermal, hydraulic, biomass, landfill gas, sewage treatment plant gas and biogas energy. It should be noted that not all energy generated from renewable sources can be considered renewable. In certain cases, energy generated from renewable sources may include a non-renewable component, which must be treated as such in the energy calculation.</w:t>
      </w:r>
    </w:p>
    <w:p w:rsidR="00B3445A" w:rsidRPr="00937C8B" w:rsidRDefault="00037CDA" w:rsidP="00037CDA">
      <w:pPr>
        <w:pStyle w:val="Standard"/>
        <w:jc w:val="both"/>
      </w:pPr>
      <w:r>
        <w:rPr>
          <w:b/>
          <w:i/>
        </w:rPr>
        <w:t>Envelope (thermal)</w:t>
      </w:r>
      <w:r>
        <w:t>: see Annex C.</w:t>
      </w:r>
    </w:p>
    <w:p w:rsidR="00037CDA" w:rsidRPr="00937C8B" w:rsidRDefault="00037CDA" w:rsidP="00037CDA">
      <w:pPr>
        <w:pStyle w:val="CTENormal"/>
        <w:spacing w:after="120"/>
        <w:jc w:val="both"/>
      </w:pPr>
      <w:r>
        <w:rPr>
          <w:rStyle w:val="CteAnejo-DefinicionCar"/>
        </w:rPr>
        <w:t>Habitable space</w:t>
      </w:r>
      <w:r>
        <w:t xml:space="preserve">: space made up of one or more contiguous </w:t>
      </w:r>
      <w:r>
        <w:rPr>
          <w:i/>
          <w:iCs/>
        </w:rPr>
        <w:t>habitable areas</w:t>
      </w:r>
      <w:r>
        <w:t xml:space="preserve"> with the same use and equivalent thermal conditions, grouped together for the purposes of the energy calculation.</w:t>
      </w:r>
    </w:p>
    <w:p w:rsidR="00037CDA" w:rsidRPr="00937C8B" w:rsidRDefault="00037CDA" w:rsidP="00037CDA">
      <w:pPr>
        <w:pStyle w:val="CTENormal"/>
        <w:spacing w:before="0"/>
        <w:jc w:val="both"/>
      </w:pPr>
      <w:r>
        <w:t xml:space="preserve">Based on its </w:t>
      </w:r>
      <w:r>
        <w:rPr>
          <w:i/>
        </w:rPr>
        <w:t>internal load</w:t>
      </w:r>
      <w:r>
        <w:t xml:space="preserve">, a </w:t>
      </w:r>
      <w:r>
        <w:rPr>
          <w:i/>
        </w:rPr>
        <w:t>habitable space</w:t>
      </w:r>
      <w:r>
        <w:t xml:space="preserve"> is classified as a </w:t>
      </w:r>
      <w:r>
        <w:rPr>
          <w:i/>
        </w:rPr>
        <w:t xml:space="preserve">habitable space </w:t>
      </w:r>
      <w:r>
        <w:t xml:space="preserve">with low </w:t>
      </w:r>
      <w:r>
        <w:rPr>
          <w:i/>
        </w:rPr>
        <w:t>internal load</w:t>
      </w:r>
      <w:r>
        <w:t xml:space="preserve">, medium </w:t>
      </w:r>
      <w:r>
        <w:rPr>
          <w:i/>
        </w:rPr>
        <w:t>internal load</w:t>
      </w:r>
      <w:r>
        <w:t xml:space="preserve">, high </w:t>
      </w:r>
      <w:r>
        <w:rPr>
          <w:i/>
        </w:rPr>
        <w:t>internal load</w:t>
      </w:r>
      <w:r>
        <w:t xml:space="preserve"> or very high </w:t>
      </w:r>
      <w:r>
        <w:rPr>
          <w:i/>
        </w:rPr>
        <w:t>internal load</w:t>
      </w:r>
      <w:r>
        <w:t xml:space="preserve"> as per Table a-Annex A.</w:t>
      </w:r>
    </w:p>
    <w:p w:rsidR="00037CDA" w:rsidRPr="00937C8B" w:rsidRDefault="00037CDA" w:rsidP="00037CDA">
      <w:pPr>
        <w:pStyle w:val="CTENormal"/>
        <w:jc w:val="both"/>
      </w:pPr>
      <w:r>
        <w:rPr>
          <w:rStyle w:val="CteAnejo-DefinicionCar"/>
        </w:rPr>
        <w:t>Conditioned habitable</w:t>
      </w:r>
      <w:r>
        <w:rPr>
          <w:b/>
          <w:i/>
        </w:rPr>
        <w:t xml:space="preserve"> </w:t>
      </w:r>
      <w:r>
        <w:rPr>
          <w:rStyle w:val="CteAnejo-DefinicionCar"/>
        </w:rPr>
        <w:t>space</w:t>
      </w:r>
      <w:r>
        <w:t xml:space="preserve">: a </w:t>
      </w:r>
      <w:r>
        <w:rPr>
          <w:i/>
        </w:rPr>
        <w:t>habitable space</w:t>
      </w:r>
      <w:r>
        <w:t xml:space="preserve"> that requires maintenance of certain operating conditions for the thermal comfort of its occupants. In private residential use, all indoor spaces of dwellings are considered to be conditioned and must meet the operating conditions set out in Annex D.</w:t>
      </w:r>
    </w:p>
    <w:p w:rsidR="00037CDA" w:rsidRPr="00937C8B" w:rsidRDefault="00037CDA" w:rsidP="00037CDA">
      <w:pPr>
        <w:pStyle w:val="CTENormal"/>
        <w:spacing w:before="0"/>
        <w:jc w:val="both"/>
      </w:pPr>
      <w:r>
        <w:t xml:space="preserve">For simplified calculation, it is also permitted to consider other </w:t>
      </w:r>
      <w:r>
        <w:rPr>
          <w:i/>
          <w:iCs/>
        </w:rPr>
        <w:t>habitable spaces</w:t>
      </w:r>
      <w:r>
        <w:t>, such as corridors, stairways or other common areas, as conditioned.</w:t>
      </w:r>
    </w:p>
    <w:p w:rsidR="00037CDA" w:rsidRPr="00937C8B" w:rsidRDefault="00037CDA" w:rsidP="00037CDA">
      <w:pPr>
        <w:pStyle w:val="CTENormal"/>
        <w:jc w:val="both"/>
      </w:pPr>
      <w:r>
        <w:rPr>
          <w:rStyle w:val="CteAnejo-DefinicionCar"/>
        </w:rPr>
        <w:t>Unconditioned habitable</w:t>
      </w:r>
      <w:r>
        <w:rPr>
          <w:b/>
          <w:i/>
        </w:rPr>
        <w:t xml:space="preserve"> </w:t>
      </w:r>
      <w:r>
        <w:rPr>
          <w:rStyle w:val="CteAnejo-DefinicionCar"/>
        </w:rPr>
        <w:t>space</w:t>
      </w:r>
      <w:r>
        <w:t xml:space="preserve">: a </w:t>
      </w:r>
      <w:r>
        <w:rPr>
          <w:i/>
        </w:rPr>
        <w:t>habitable space</w:t>
      </w:r>
      <w:r>
        <w:t xml:space="preserve"> designated as not requiring maintenance of certain temperature conditions for the thermal comfort of its occupants, during the service life of the building. However, because it is habitable space, it contains internal sources (lighting, occupants and equipment).</w:t>
      </w:r>
    </w:p>
    <w:p w:rsidR="00037CDA" w:rsidRPr="00937C8B" w:rsidRDefault="00037CDA" w:rsidP="00037CDA">
      <w:pPr>
        <w:pStyle w:val="CTENormal"/>
        <w:jc w:val="both"/>
      </w:pPr>
      <w:r>
        <w:rPr>
          <w:rStyle w:val="CteAnejo-DefinicionCar"/>
        </w:rPr>
        <w:t>Non-habitable space</w:t>
      </w:r>
      <w:r>
        <w:t xml:space="preserve">: space made up of one or more contiguous non-habitable areas with the same use and equivalent thermal conditions, grouped together for the purposes of the </w:t>
      </w:r>
      <w:r>
        <w:rPr>
          <w:i/>
          <w:iCs/>
        </w:rPr>
        <w:t>energy demand</w:t>
      </w:r>
      <w:r>
        <w:t xml:space="preserve"> calculation. This category includes garages, car parks, store rooms, waste collection rooms and installation rooms (see </w:t>
      </w:r>
      <w:r>
        <w:rPr>
          <w:i/>
          <w:iCs/>
        </w:rPr>
        <w:t>habitable areas</w:t>
      </w:r>
      <w:r>
        <w:t>).</w:t>
      </w:r>
    </w:p>
    <w:p w:rsidR="00037CDA" w:rsidRPr="00937C8B" w:rsidRDefault="00037CDA" w:rsidP="00037CDA">
      <w:pPr>
        <w:pStyle w:val="CTENormal"/>
        <w:jc w:val="both"/>
      </w:pPr>
      <w:r>
        <w:rPr>
          <w:rStyle w:val="CteAnejo-DefinicionCar"/>
        </w:rPr>
        <w:t>Façade</w:t>
      </w:r>
      <w:r>
        <w:t>: enclosure in contact with the outside air whose inclination is greater than 60° with respect to the horizontal plane. This is made up an opaque part (wall) and another semi-transparent part (</w:t>
      </w:r>
      <w:r>
        <w:rPr>
          <w:i/>
          <w:iCs/>
        </w:rPr>
        <w:t>openings</w:t>
      </w:r>
      <w:r>
        <w:t>).</w:t>
      </w:r>
    </w:p>
    <w:p w:rsidR="00037CDA" w:rsidRPr="00937C8B" w:rsidRDefault="00037CDA" w:rsidP="00037CDA">
      <w:pPr>
        <w:pStyle w:val="CTENormal"/>
        <w:jc w:val="both"/>
      </w:pPr>
      <w:r>
        <w:rPr>
          <w:rStyle w:val="CteAnejo-DefinicionCar"/>
        </w:rPr>
        <w:t xml:space="preserve">Maintenance factor </w:t>
      </w:r>
      <w:r>
        <w:rPr>
          <w:rStyle w:val="CteAnejo-DefinicionCar"/>
          <w:i w:val="0"/>
        </w:rPr>
        <w:t>(F</w:t>
      </w:r>
      <w:r>
        <w:rPr>
          <w:rStyle w:val="CteAnejo-DefinicionCar"/>
          <w:i w:val="0"/>
          <w:vertAlign w:val="subscript"/>
        </w:rPr>
        <w:t>m</w:t>
      </w:r>
      <w:r>
        <w:rPr>
          <w:rStyle w:val="CteAnejo-DefinicionCar"/>
          <w:i w:val="0"/>
        </w:rPr>
        <w:t>)</w:t>
      </w:r>
      <w:r>
        <w:rPr>
          <w:rStyle w:val="CteAnejo-DefinicionCar"/>
          <w:b w:val="0"/>
          <w:i w:val="0"/>
        </w:rPr>
        <w:t xml:space="preserve">: quotient of the average </w:t>
      </w:r>
      <w:r>
        <w:rPr>
          <w:rStyle w:val="CteAnejo-DefinicionCar"/>
          <w:b w:val="0"/>
        </w:rPr>
        <w:t>illuminance</w:t>
      </w:r>
      <w:r>
        <w:rPr>
          <w:rStyle w:val="CteAnejo-DefinicionCar"/>
          <w:b w:val="0"/>
          <w:i w:val="0"/>
        </w:rPr>
        <w:t xml:space="preserve"> on the working plane after a lighting installation has been used for a certain period of time and the average </w:t>
      </w:r>
      <w:r>
        <w:rPr>
          <w:rStyle w:val="CteAnejo-DefinicionCar"/>
          <w:b w:val="0"/>
        </w:rPr>
        <w:t>illuminance</w:t>
      </w:r>
      <w:r>
        <w:rPr>
          <w:rStyle w:val="CteAnejo-DefinicionCar"/>
          <w:b w:val="0"/>
          <w:i w:val="0"/>
        </w:rPr>
        <w:t xml:space="preserve"> obtained under the same conditions for an installation considered new.</w:t>
      </w:r>
    </w:p>
    <w:p w:rsidR="00037CDA" w:rsidRPr="00937C8B" w:rsidRDefault="00037CDA" w:rsidP="00037CDA">
      <w:pPr>
        <w:pStyle w:val="CTENormal"/>
        <w:jc w:val="both"/>
      </w:pPr>
      <w:r>
        <w:rPr>
          <w:rStyle w:val="CteAnejo-DefinicionCar"/>
        </w:rPr>
        <w:t>Shade factor (F</w:t>
      </w:r>
      <w:r>
        <w:rPr>
          <w:rStyle w:val="CteAnejo-DefinicionCar"/>
          <w:vertAlign w:val="subscript"/>
        </w:rPr>
        <w:t>s</w:t>
      </w:r>
      <w:r>
        <w:rPr>
          <w:rStyle w:val="CteAnejo-DefinicionCar"/>
        </w:rPr>
        <w:t>)</w:t>
      </w:r>
      <w:r>
        <w:t xml:space="preserve">: fraction of the incident radiation on an </w:t>
      </w:r>
      <w:r>
        <w:rPr>
          <w:i/>
          <w:iCs/>
        </w:rPr>
        <w:t>opening</w:t>
      </w:r>
      <w:r>
        <w:t xml:space="preserve"> that is not blocked by the presence of façade obstacles, such as: recesses, overhangs, awnings, ledges, etc.</w:t>
      </w:r>
    </w:p>
    <w:p w:rsidR="00037CDA" w:rsidRPr="00937C8B" w:rsidRDefault="00037CDA" w:rsidP="00037CDA">
      <w:pPr>
        <w:pStyle w:val="CTENormal"/>
        <w:jc w:val="both"/>
      </w:pPr>
      <w:r>
        <w:rPr>
          <w:rStyle w:val="CteAnejo-DefinicionCar"/>
        </w:rPr>
        <w:t>Solar factor (g</w:t>
      </w:r>
      <w:r>
        <w:rPr>
          <w:rStyle w:val="CteAnejo-DefinicionCar"/>
          <w:vertAlign w:val="subscript"/>
        </w:rPr>
        <w:t>┴</w:t>
      </w:r>
      <w:r>
        <w:rPr>
          <w:rStyle w:val="CteAnejo-DefinicionCar"/>
        </w:rPr>
        <w:t>)</w:t>
      </w:r>
      <w:r>
        <w:t xml:space="preserve">: quotient of the normally incident solar radiation entering the building through glazing and the solar radiation that would enter the building if the glazing were replaced by a perfectly transparent </w:t>
      </w:r>
      <w:r>
        <w:rPr>
          <w:i/>
          <w:iCs/>
        </w:rPr>
        <w:t>opening</w:t>
      </w:r>
      <w:r>
        <w:t xml:space="preserve">. This only refers to the semi-transparent part of an </w:t>
      </w:r>
      <w:r>
        <w:rPr>
          <w:i/>
          <w:iCs/>
        </w:rPr>
        <w:t>opening</w:t>
      </w:r>
      <w:r>
        <w:t>.</w:t>
      </w:r>
    </w:p>
    <w:p w:rsidR="00037CDA" w:rsidRPr="00937C8B" w:rsidRDefault="00037CDA" w:rsidP="00037CDA">
      <w:pPr>
        <w:pStyle w:val="CTENumeracion"/>
        <w:ind w:left="0" w:firstLine="0"/>
        <w:rPr>
          <w:rFonts w:cs="Arial"/>
          <w:sz w:val="22"/>
          <w:szCs w:val="22"/>
        </w:rPr>
      </w:pPr>
      <w:r>
        <w:rPr>
          <w:rStyle w:val="CteAnejo-DefinicionCar"/>
          <w:sz w:val="22"/>
        </w:rPr>
        <w:t>Hours out of range</w:t>
      </w:r>
      <w:r>
        <w:rPr>
          <w:sz w:val="22"/>
        </w:rPr>
        <w:t xml:space="preserve">: number of hours during the year in which any of the </w:t>
      </w:r>
      <w:r>
        <w:rPr>
          <w:i/>
          <w:iCs/>
          <w:sz w:val="22"/>
        </w:rPr>
        <w:t>conditioned habitable spaces</w:t>
      </w:r>
      <w:r>
        <w:rPr>
          <w:sz w:val="22"/>
        </w:rPr>
        <w:t xml:space="preserve"> of the building – or where applicable, the building part – falls outside the setpoint temperature range for heating or cooling during periods of occupancy, by a margin of over one degree Celsius, as defined in its </w:t>
      </w:r>
      <w:r>
        <w:rPr>
          <w:i/>
          <w:iCs/>
          <w:sz w:val="22"/>
        </w:rPr>
        <w:t>operating conditions</w:t>
      </w:r>
      <w:r>
        <w:rPr>
          <w:sz w:val="22"/>
        </w:rPr>
        <w:t>.</w:t>
      </w:r>
    </w:p>
    <w:p w:rsidR="00037CDA" w:rsidRPr="00937C8B" w:rsidRDefault="00037CDA" w:rsidP="00037CDA">
      <w:pPr>
        <w:pStyle w:val="CTENormal"/>
        <w:jc w:val="both"/>
        <w:rPr>
          <w:szCs w:val="22"/>
        </w:rPr>
      </w:pPr>
      <w:r>
        <w:rPr>
          <w:rStyle w:val="CteAnejo-DefinicionCar"/>
        </w:rPr>
        <w:t>Opening</w:t>
      </w:r>
      <w:r>
        <w:t xml:space="preserve">: any transparent or semi-transparent element of the </w:t>
      </w:r>
      <w:r>
        <w:rPr>
          <w:i/>
        </w:rPr>
        <w:t>thermal envelope</w:t>
      </w:r>
      <w:r>
        <w:t xml:space="preserve"> of the building. This includes windows, skylights (roof </w:t>
      </w:r>
      <w:r>
        <w:rPr>
          <w:i/>
          <w:iCs/>
        </w:rPr>
        <w:t>openings</w:t>
      </w:r>
      <w:r>
        <w:t>) and glazed doors with a semi-transparent surface area of over 50%.</w:t>
      </w:r>
    </w:p>
    <w:p w:rsidR="00037CDA" w:rsidRPr="00937C8B" w:rsidRDefault="00037CDA" w:rsidP="00037CDA">
      <w:pPr>
        <w:pStyle w:val="CTENormal"/>
        <w:jc w:val="both"/>
      </w:pPr>
      <w:r>
        <w:rPr>
          <w:rStyle w:val="CteAnejo-DefinicionCar"/>
        </w:rPr>
        <w:t>Illuminance</w:t>
      </w:r>
      <w:r>
        <w:t>: quotient of the luminous flux d</w:t>
      </w:r>
      <w:r>
        <w:rPr>
          <w:rFonts w:ascii="Symbol" w:hAnsi="Symbol"/>
        </w:rPr>
        <w:t></w:t>
      </w:r>
      <w:r>
        <w:t xml:space="preserve"> incident on an element of the surface that contains the point, and the area dA of this element. The unit of measurement for this is the lux.</w:t>
      </w:r>
    </w:p>
    <w:p w:rsidR="00037CDA" w:rsidRPr="00937C8B" w:rsidRDefault="00037CDA" w:rsidP="00037CDA">
      <w:pPr>
        <w:pStyle w:val="CTENormal"/>
        <w:jc w:val="both"/>
      </w:pPr>
      <w:r>
        <w:rPr>
          <w:rStyle w:val="CteAnejo-DefinicionCar"/>
        </w:rPr>
        <w:t>Initial illuminance (E</w:t>
      </w:r>
      <w:r>
        <w:rPr>
          <w:rStyle w:val="CteAnejo-DefinicionCar"/>
          <w:vertAlign w:val="subscript"/>
        </w:rPr>
        <w:t>inicial</w:t>
      </w:r>
      <w:r>
        <w:rPr>
          <w:rStyle w:val="CteAnejo-DefinicionCar"/>
        </w:rPr>
        <w:t>)</w:t>
      </w:r>
      <w:r>
        <w:t xml:space="preserve">: average </w:t>
      </w:r>
      <w:r>
        <w:rPr>
          <w:i/>
        </w:rPr>
        <w:t>illuminance</w:t>
      </w:r>
      <w:r>
        <w:t xml:space="preserve"> when the installation is new. This is expressed in lux (lx).</w:t>
      </w:r>
    </w:p>
    <w:p w:rsidR="00037CDA" w:rsidRPr="00937C8B" w:rsidRDefault="00037CDA" w:rsidP="00037CDA">
      <w:pPr>
        <w:pStyle w:val="CTENormal"/>
        <w:jc w:val="both"/>
      </w:pPr>
      <w:r>
        <w:rPr>
          <w:rStyle w:val="CteAnejo-DefinicionCar"/>
        </w:rPr>
        <w:t>Average illuminance in the horizontal plane (E)</w:t>
      </w:r>
      <w:r>
        <w:t>: average</w:t>
      </w:r>
      <w:r>
        <w:rPr>
          <w:i/>
        </w:rPr>
        <w:t xml:space="preserve"> illuminance</w:t>
      </w:r>
      <w:r>
        <w:t xml:space="preserve"> on the area specified. This is expressed in lux (lx).</w:t>
      </w:r>
    </w:p>
    <w:p w:rsidR="00037CDA" w:rsidRPr="00937C8B" w:rsidRDefault="00037CDA" w:rsidP="00037CDA">
      <w:pPr>
        <w:pStyle w:val="CTENormal"/>
        <w:jc w:val="both"/>
      </w:pPr>
      <w:r>
        <w:t>The minimum number of points used in the calculation shall depend on the rating (K) of the space and on obtaining a symmetrical grid distribution.</w:t>
      </w:r>
    </w:p>
    <w:p w:rsidR="004A742D" w:rsidRPr="00937C8B" w:rsidRDefault="00037CDA" w:rsidP="00935676">
      <w:pPr>
        <w:pStyle w:val="CTENormal"/>
        <w:spacing w:before="0" w:after="0"/>
        <w:ind w:left="630" w:hanging="346"/>
      </w:pPr>
      <w:r>
        <w:t>a)</w:t>
      </w:r>
      <w:r>
        <w:tab/>
        <w:t>4 points if K &lt; 1</w:t>
      </w:r>
    </w:p>
    <w:p w:rsidR="004A742D" w:rsidRPr="00937C8B" w:rsidRDefault="00037CDA" w:rsidP="00935676">
      <w:pPr>
        <w:pStyle w:val="CTENormal"/>
        <w:spacing w:before="0" w:after="0"/>
        <w:ind w:left="630" w:hanging="346"/>
      </w:pPr>
      <w:r>
        <w:t>b)</w:t>
      </w:r>
      <w:r>
        <w:tab/>
        <w:t>9 points if 1 ≤ K &lt; 2</w:t>
      </w:r>
    </w:p>
    <w:p w:rsidR="004A742D" w:rsidRPr="00937C8B" w:rsidRDefault="00037CDA" w:rsidP="00935676">
      <w:pPr>
        <w:pStyle w:val="CTENormal"/>
        <w:spacing w:before="0" w:after="0"/>
        <w:ind w:left="630" w:hanging="346"/>
      </w:pPr>
      <w:r>
        <w:t>c)</w:t>
      </w:r>
      <w:r>
        <w:tab/>
        <w:t>16 points if 2 ≤ K &lt; 3</w:t>
      </w:r>
    </w:p>
    <w:p w:rsidR="00037CDA" w:rsidRPr="00937C8B" w:rsidRDefault="00037CDA" w:rsidP="00935676">
      <w:pPr>
        <w:pStyle w:val="CTENormal"/>
        <w:spacing w:before="0" w:after="0"/>
        <w:ind w:left="630" w:hanging="346"/>
      </w:pPr>
      <w:r>
        <w:t>d)</w:t>
      </w:r>
      <w:r>
        <w:tab/>
        <w:t>25 points if K ≥ 3</w:t>
      </w:r>
    </w:p>
    <w:p w:rsidR="00037CDA" w:rsidRPr="00937C8B" w:rsidRDefault="00037CDA" w:rsidP="00037CDA">
      <w:pPr>
        <w:pStyle w:val="CTENormal"/>
        <w:spacing w:before="0" w:after="0"/>
        <w:ind w:left="284"/>
      </w:pPr>
    </w:p>
    <w:p w:rsidR="00037CDA" w:rsidRPr="00937C8B" w:rsidRDefault="00037CDA" w:rsidP="00D27646">
      <w:pPr>
        <w:pStyle w:val="CTENormal"/>
        <w:keepNext/>
        <w:spacing w:before="0" w:after="0"/>
      </w:pPr>
      <w:r>
        <w:t>where:</w:t>
      </w:r>
    </w:p>
    <w:p w:rsidR="00037CDA" w:rsidRPr="00937C8B" w:rsidRDefault="00037CDA" w:rsidP="004A742D">
      <w:pPr>
        <w:pStyle w:val="CTENormal"/>
        <w:spacing w:before="0" w:after="0"/>
        <w:ind w:left="709"/>
      </w:pPr>
      <w:r>
        <w:t>K = L · A / (H · (L + A))</w:t>
      </w:r>
    </w:p>
    <w:p w:rsidR="00037CDA" w:rsidRPr="00937C8B" w:rsidRDefault="00037CDA" w:rsidP="00D27646">
      <w:pPr>
        <w:pStyle w:val="CTENormal"/>
        <w:keepNext/>
        <w:spacing w:before="0" w:after="0"/>
      </w:pPr>
      <w:r>
        <w:t>where:</w:t>
      </w:r>
    </w:p>
    <w:p w:rsidR="004A742D" w:rsidRPr="00937C8B" w:rsidRDefault="00037CDA" w:rsidP="00935676">
      <w:pPr>
        <w:pStyle w:val="CTENormal"/>
        <w:spacing w:before="0" w:after="0"/>
        <w:ind w:left="1170" w:hanging="461"/>
      </w:pPr>
      <w:r>
        <w:t xml:space="preserve">L </w:t>
      </w:r>
      <w:r>
        <w:tab/>
        <w:t>is the length of the space in metres;</w:t>
      </w:r>
    </w:p>
    <w:p w:rsidR="004A742D" w:rsidRPr="00937C8B" w:rsidRDefault="00037CDA" w:rsidP="00935676">
      <w:pPr>
        <w:pStyle w:val="CTENormal"/>
        <w:spacing w:before="0" w:after="0"/>
        <w:ind w:left="1170" w:hanging="461"/>
      </w:pPr>
      <w:r>
        <w:t xml:space="preserve">A </w:t>
      </w:r>
      <w:r>
        <w:tab/>
        <w:t>is the width of the space in metres;</w:t>
      </w:r>
    </w:p>
    <w:p w:rsidR="00037CDA" w:rsidRPr="00937C8B" w:rsidRDefault="00037CDA" w:rsidP="00935676">
      <w:pPr>
        <w:pStyle w:val="CTENormal"/>
        <w:spacing w:before="0" w:after="0"/>
        <w:ind w:left="1170" w:hanging="461"/>
      </w:pPr>
      <w:r>
        <w:t xml:space="preserve">H </w:t>
      </w:r>
      <w:r>
        <w:tab/>
        <w:t>is the distance from the working plane to the</w:t>
      </w:r>
      <w:r>
        <w:rPr>
          <w:i/>
        </w:rPr>
        <w:t xml:space="preserve"> light fixtures</w:t>
      </w:r>
      <w:r>
        <w:t xml:space="preserve"> in metres.</w:t>
      </w:r>
    </w:p>
    <w:p w:rsidR="00037CDA" w:rsidRPr="00937C8B" w:rsidRDefault="00037CDA" w:rsidP="00037CDA">
      <w:pPr>
        <w:pStyle w:val="CTENormal"/>
        <w:jc w:val="both"/>
      </w:pPr>
      <w:r>
        <w:rPr>
          <w:rStyle w:val="CteAnejo-DefinicionCar"/>
        </w:rPr>
        <w:t>Average continuous horizontal illuminance (E</w:t>
      </w:r>
      <w:r>
        <w:rPr>
          <w:rStyle w:val="CteAnejo-DefinicionCar"/>
          <w:vertAlign w:val="subscript"/>
        </w:rPr>
        <w:t>m</w:t>
      </w:r>
      <w:r>
        <w:rPr>
          <w:rStyle w:val="CteAnejo-DefinicionCar"/>
        </w:rPr>
        <w:t>)</w:t>
      </w:r>
      <w:r>
        <w:t xml:space="preserve">: minimum permissible average </w:t>
      </w:r>
      <w:r>
        <w:rPr>
          <w:i/>
        </w:rPr>
        <w:t>illuminance</w:t>
      </w:r>
      <w:r>
        <w:t xml:space="preserve"> value for the area in question. This is the average </w:t>
      </w:r>
      <w:r>
        <w:rPr>
          <w:i/>
        </w:rPr>
        <w:t>illuminance</w:t>
      </w:r>
      <w:r>
        <w:t xml:space="preserve"> during the required maintenance period. This is expressed in lux (lx).</w:t>
      </w:r>
    </w:p>
    <w:p w:rsidR="00037CDA" w:rsidRPr="00937C8B" w:rsidRDefault="00037CDA" w:rsidP="00037CDA">
      <w:pPr>
        <w:pStyle w:val="CTENormal"/>
        <w:jc w:val="both"/>
      </w:pPr>
      <w:r>
        <w:rPr>
          <w:rStyle w:val="CteAnejo-DefinicionCar"/>
        </w:rPr>
        <w:t>Unified glare rating (UGR)</w:t>
      </w:r>
      <w:r>
        <w:t xml:space="preserve">: this is an indicator of the distracting glare coming directly from </w:t>
      </w:r>
      <w:r>
        <w:rPr>
          <w:i/>
        </w:rPr>
        <w:t>light fixtures</w:t>
      </w:r>
      <w:r>
        <w:t xml:space="preserve"> in an indoor lighting installation, defined in CIE (International Commission on Illumination) publication 117.</w:t>
      </w:r>
    </w:p>
    <w:p w:rsidR="00037CDA" w:rsidRPr="00937C8B" w:rsidRDefault="00037CDA" w:rsidP="00037CDA">
      <w:pPr>
        <w:pStyle w:val="CTENormal"/>
        <w:jc w:val="both"/>
      </w:pPr>
      <w:r>
        <w:rPr>
          <w:rStyle w:val="CteAnejo-DefinicionCar"/>
        </w:rPr>
        <w:t>Colour rendering rating (R</w:t>
      </w:r>
      <w:r>
        <w:rPr>
          <w:rStyle w:val="CteAnejo-DefinicionCar"/>
          <w:vertAlign w:val="subscript"/>
        </w:rPr>
        <w:t>a</w:t>
      </w:r>
      <w:r>
        <w:rPr>
          <w:rStyle w:val="CteAnejo-DefinicionCar"/>
        </w:rPr>
        <w:t>)</w:t>
      </w:r>
      <w:r>
        <w:t xml:space="preserve">: effects of a light on the chromatic aspect of objects it illuminates compared to their appearance under a reference light. The manner in which the light from a </w:t>
      </w:r>
      <w:r>
        <w:rPr>
          <w:i/>
        </w:rPr>
        <w:t>lamp</w:t>
      </w:r>
      <w:r>
        <w:t xml:space="preserve"> reproduces the colours of illuminated objects is referred to as the </w:t>
      </w:r>
      <w:r>
        <w:rPr>
          <w:i/>
        </w:rPr>
        <w:t>colour rendering rating</w:t>
      </w:r>
      <w:r>
        <w:t xml:space="preserve"> (R</w:t>
      </w:r>
      <w:r>
        <w:rPr>
          <w:vertAlign w:val="subscript"/>
        </w:rPr>
        <w:t>a</w:t>
      </w:r>
      <w:r>
        <w:t>). The apparent colour of an object depends on the distribution of the spectral energy of the light illuminating it and the selective reflection characteristics of said object.</w:t>
      </w:r>
    </w:p>
    <w:p w:rsidR="00037CDA" w:rsidRPr="00937C8B" w:rsidRDefault="00037CDA" w:rsidP="00037CDA">
      <w:pPr>
        <w:pStyle w:val="CTENormal"/>
        <w:jc w:val="both"/>
      </w:pPr>
      <w:r>
        <w:rPr>
          <w:b/>
          <w:i/>
        </w:rPr>
        <w:t>Thermal inertia</w:t>
      </w:r>
      <w:r>
        <w:t xml:space="preserve">: building property of dampening and delaying the effects of outdoor temperature fluctuations on the building interior due to the heat conduction and storage capacities of the building. The amount of heat stored depends on the </w:t>
      </w:r>
      <w:r>
        <w:rPr>
          <w:i/>
          <w:iCs/>
        </w:rPr>
        <w:t>thermal mass</w:t>
      </w:r>
      <w:r>
        <w:t xml:space="preserve"> of the materials, while the rate of heat exchange with the environment depends on its thermal conductivity.</w:t>
      </w:r>
    </w:p>
    <w:p w:rsidR="00037CDA" w:rsidRPr="00937C8B" w:rsidRDefault="00037CDA" w:rsidP="00037CDA">
      <w:pPr>
        <w:pStyle w:val="CTENormal"/>
        <w:jc w:val="both"/>
      </w:pPr>
      <w:r>
        <w:rPr>
          <w:rStyle w:val="CteAnejo-DefinicionCar"/>
        </w:rPr>
        <w:t>Lean-to greenhouse</w:t>
      </w:r>
      <w:r>
        <w:t xml:space="preserve">: unconditioned area made up of an external </w:t>
      </w:r>
      <w:r>
        <w:rPr>
          <w:i/>
          <w:iCs/>
        </w:rPr>
        <w:t>enclosure</w:t>
      </w:r>
      <w:r>
        <w:t xml:space="preserve"> with a high percentage of glazed surface area, located adjacent to the façades of a building. The façade element that separates the greenhouse from the internal zones of the building may also include glazing. Air may be circulated through said area (usually forced), either by recirculating inside air or preheating outside air used for ventilation. This category also includes glazed balconies and galleries.</w:t>
      </w:r>
    </w:p>
    <w:p w:rsidR="00B3445A" w:rsidRPr="00937C8B" w:rsidRDefault="00037CDA" w:rsidP="00037CDA">
      <w:pPr>
        <w:pStyle w:val="CTENormal"/>
        <w:jc w:val="both"/>
      </w:pPr>
      <w:r>
        <w:rPr>
          <w:rStyle w:val="CteAnejo-DefinicionCar"/>
        </w:rPr>
        <w:t>Lamp</w:t>
      </w:r>
      <w:r>
        <w:t>: source built to produce optical radiation, usually visible.</w:t>
      </w:r>
    </w:p>
    <w:p w:rsidR="00037CDA" w:rsidRPr="00937C8B" w:rsidRDefault="00037CDA" w:rsidP="00037CDA">
      <w:pPr>
        <w:pStyle w:val="CTENormal"/>
        <w:jc w:val="both"/>
      </w:pPr>
      <w:r>
        <w:rPr>
          <w:rStyle w:val="CteAnejo-DefinicionCar"/>
        </w:rPr>
        <w:t>Light fixture</w:t>
      </w:r>
      <w:r>
        <w:t>: device that distributes, filters or transforms the light emitted by one or more</w:t>
      </w:r>
      <w:r>
        <w:rPr>
          <w:i/>
        </w:rPr>
        <w:t xml:space="preserve"> lamps</w:t>
      </w:r>
      <w:r>
        <w:t xml:space="preserve"> and containing not only the accessories required to mount and protect them and connect them to the electricity supply circuit, but also any auxiliary equipment required for their functioning, as defined and regulated in standard UNE EN 60598-1:2015.</w:t>
      </w:r>
    </w:p>
    <w:p w:rsidR="00037CDA" w:rsidRPr="00937C8B" w:rsidRDefault="00037CDA" w:rsidP="00037CDA">
      <w:pPr>
        <w:pStyle w:val="CTENormal"/>
        <w:jc w:val="both"/>
      </w:pPr>
      <w:r>
        <w:rPr>
          <w:rStyle w:val="CteAnejo-DefinicionCar"/>
        </w:rPr>
        <w:t>Thermal mass</w:t>
      </w:r>
      <w:r>
        <w:t xml:space="preserve">: heat storage capacity of </w:t>
      </w:r>
      <w:r>
        <w:rPr>
          <w:i/>
        </w:rPr>
        <w:t>materials</w:t>
      </w:r>
      <w:r>
        <w:t xml:space="preserve">. The amount of heat stored depends on the density and specific heat capacity of the </w:t>
      </w:r>
      <w:r>
        <w:rPr>
          <w:i/>
          <w:iCs/>
        </w:rPr>
        <w:t>material</w:t>
      </w:r>
      <w:r>
        <w:t>.</w:t>
      </w:r>
    </w:p>
    <w:p w:rsidR="00037CDA" w:rsidRPr="00937C8B" w:rsidRDefault="00037CDA" w:rsidP="00037CDA">
      <w:pPr>
        <w:pStyle w:val="CTENormal"/>
        <w:jc w:val="both"/>
      </w:pPr>
      <w:r>
        <w:rPr>
          <w:rStyle w:val="CteAnejo-DefinicionCar"/>
        </w:rPr>
        <w:t>Material</w:t>
      </w:r>
      <w:r>
        <w:t>: part of a product, regardless of its delivery method, shape or dimensions, without any coating or covering.</w:t>
      </w:r>
    </w:p>
    <w:p w:rsidR="00037CDA" w:rsidRPr="00937C8B" w:rsidRDefault="00037CDA" w:rsidP="00037CDA">
      <w:pPr>
        <w:pStyle w:val="CTENormal"/>
        <w:jc w:val="both"/>
      </w:pPr>
      <w:r>
        <w:rPr>
          <w:rStyle w:val="CteAnejo-DefinicionCar"/>
        </w:rPr>
        <w:t>Party wall</w:t>
      </w:r>
      <w:r>
        <w:t xml:space="preserve">: </w:t>
      </w:r>
      <w:r>
        <w:rPr>
          <w:i/>
          <w:iCs/>
        </w:rPr>
        <w:t>enclosure</w:t>
      </w:r>
      <w:r>
        <w:t xml:space="preserve"> that forms a boundary with another building that already exists or that is built simultaneously, serving as a shared partition. If the building is built subsequently, the </w:t>
      </w:r>
      <w:r>
        <w:rPr>
          <w:i/>
          <w:iCs/>
        </w:rPr>
        <w:t>enclosure</w:t>
      </w:r>
      <w:r>
        <w:t xml:space="preserve"> shall be considered to be a façade for heat purposes.</w:t>
      </w:r>
    </w:p>
    <w:p w:rsidR="00037CDA" w:rsidRPr="00937C8B" w:rsidRDefault="00037CDA" w:rsidP="00037CDA">
      <w:pPr>
        <w:pStyle w:val="CTENormal"/>
        <w:jc w:val="both"/>
      </w:pPr>
      <w:r>
        <w:rPr>
          <w:rStyle w:val="CteAnejo-DefinicionCar"/>
        </w:rPr>
        <w:t>Wall</w:t>
      </w:r>
      <w:r>
        <w:t xml:space="preserve">: opaque </w:t>
      </w:r>
      <w:r>
        <w:rPr>
          <w:i/>
          <w:iCs/>
        </w:rPr>
        <w:t>enclosure</w:t>
      </w:r>
      <w:r>
        <w:t xml:space="preserve"> in contact with the outside air or the ground, whose inclination is greater than 60° with respect to the horizontal plane (see </w:t>
      </w:r>
      <w:r>
        <w:rPr>
          <w:i/>
          <w:iCs/>
        </w:rPr>
        <w:t>Façade</w:t>
      </w:r>
      <w:r>
        <w:t>).</w:t>
      </w:r>
    </w:p>
    <w:p w:rsidR="00037CDA" w:rsidRPr="00937C8B" w:rsidRDefault="00037CDA" w:rsidP="00037CDA">
      <w:pPr>
        <w:pStyle w:val="CTENormal"/>
        <w:jc w:val="both"/>
      </w:pPr>
      <w:r>
        <w:rPr>
          <w:rStyle w:val="CteAnejo-DefinicionCar"/>
        </w:rPr>
        <w:t>Parietodynamic wall</w:t>
      </w:r>
      <w:r>
        <w:t xml:space="preserve">: </w:t>
      </w:r>
      <w:r>
        <w:rPr>
          <w:i/>
        </w:rPr>
        <w:t>enclosure</w:t>
      </w:r>
      <w:r>
        <w:t xml:space="preserve"> that recovers solar energy to pre-heat outside ventilation air. This is generally made up of an internal masonry layer, an air cavity and an external glazed or metal layer to absorb the solar radiation. Air circulation may be natural (thermosiphon) or forced.</w:t>
      </w:r>
    </w:p>
    <w:p w:rsidR="00037CDA" w:rsidRPr="00937C8B" w:rsidRDefault="00037CDA" w:rsidP="00037CDA">
      <w:pPr>
        <w:pStyle w:val="CTENormal"/>
        <w:jc w:val="both"/>
      </w:pPr>
      <w:r>
        <w:rPr>
          <w:rStyle w:val="CteAnejo-DefinicionCar"/>
        </w:rPr>
        <w:t>Trombe wall</w:t>
      </w:r>
      <w:r>
        <w:t xml:space="preserve">: </w:t>
      </w:r>
      <w:r>
        <w:rPr>
          <w:i/>
        </w:rPr>
        <w:t>enclosure</w:t>
      </w:r>
      <w:r>
        <w:t xml:space="preserve"> that recovers solar energy for heating by recirculating the air inside the building. This is generally made up of an internal masonry layer, an air cavity and an external glazed layer. Air circulation may be natural (thermosiphon) or forced. Also known as a ventilated solar wall.</w:t>
      </w:r>
    </w:p>
    <w:p w:rsidR="00037CDA" w:rsidRPr="00937C8B" w:rsidRDefault="00037CDA" w:rsidP="00037CDA">
      <w:pPr>
        <w:pStyle w:val="CTENormal"/>
        <w:jc w:val="both"/>
      </w:pPr>
      <w:r>
        <w:rPr>
          <w:rStyle w:val="CteAnejo-DefinicionCar"/>
        </w:rPr>
        <w:t>Interior partition</w:t>
      </w:r>
      <w:r>
        <w:t>: construction element of the building that divides its interior into separate areas. They may be vertical or horizontal (floors and ceilings).</w:t>
      </w:r>
    </w:p>
    <w:p w:rsidR="00037CDA" w:rsidRPr="00937C8B" w:rsidRDefault="00037CDA" w:rsidP="00037CDA">
      <w:pPr>
        <w:pStyle w:val="CTENormal"/>
        <w:spacing w:before="0"/>
        <w:jc w:val="both"/>
      </w:pPr>
      <w:r>
        <w:t xml:space="preserve">In work on existing buildings, if an </w:t>
      </w:r>
      <w:r>
        <w:rPr>
          <w:i/>
          <w:iCs/>
        </w:rPr>
        <w:t>enclosure</w:t>
      </w:r>
      <w:r>
        <w:t xml:space="preserve"> element separates a zone extended in relation to another existing zone, it shall be deemed to belong to the extended zone.</w:t>
      </w:r>
    </w:p>
    <w:p w:rsidR="00037CDA" w:rsidRPr="00937C8B" w:rsidRDefault="00037CDA" w:rsidP="00037CDA">
      <w:pPr>
        <w:pStyle w:val="CTENormal"/>
        <w:jc w:val="both"/>
      </w:pPr>
      <w:r>
        <w:rPr>
          <w:rStyle w:val="CteAnejo-DefinicionCar"/>
        </w:rPr>
        <w:t>Usage profile</w:t>
      </w:r>
      <w:r>
        <w:t>: hour-by-hour description of the</w:t>
      </w:r>
      <w:r>
        <w:rPr>
          <w:i/>
        </w:rPr>
        <w:t xml:space="preserve"> internal loads </w:t>
      </w:r>
      <w:r>
        <w:t>(sensible load due to occupants, latent load due to occupants, equipment, lighting and ventilation) for a typical year.</w:t>
      </w:r>
    </w:p>
    <w:p w:rsidR="00037CDA" w:rsidRPr="00937C8B" w:rsidRDefault="00037CDA" w:rsidP="00037CDA">
      <w:pPr>
        <w:pStyle w:val="CTENormal"/>
        <w:jc w:val="both"/>
      </w:pPr>
      <w:r>
        <w:rPr>
          <w:rStyle w:val="CteAnejo-DefinicionCar"/>
        </w:rPr>
        <w:t>Usage period</w:t>
      </w:r>
      <w:r>
        <w:t>: characteristic usage time of a</w:t>
      </w:r>
      <w:r>
        <w:rPr>
          <w:i/>
        </w:rPr>
        <w:t xml:space="preserve"> habitable space</w:t>
      </w:r>
      <w:r>
        <w:t xml:space="preserve"> or the building. For the purpose of defining</w:t>
      </w:r>
      <w:r>
        <w:rPr>
          <w:i/>
        </w:rPr>
        <w:t xml:space="preserve"> usage profiles</w:t>
      </w:r>
      <w:r>
        <w:t xml:space="preserve">, typical </w:t>
      </w:r>
      <w:r>
        <w:rPr>
          <w:i/>
          <w:iCs/>
        </w:rPr>
        <w:t>usage periods</w:t>
      </w:r>
      <w:r>
        <w:t xml:space="preserve"> of 8, 12, 16 and 24 hours are defined.</w:t>
      </w:r>
    </w:p>
    <w:p w:rsidR="00037CDA" w:rsidRPr="00937C8B" w:rsidRDefault="00037CDA" w:rsidP="00037CDA">
      <w:pPr>
        <w:pStyle w:val="CTENormal"/>
        <w:spacing w:before="0"/>
        <w:jc w:val="both"/>
      </w:pPr>
      <w:r>
        <w:t xml:space="preserve">A </w:t>
      </w:r>
      <w:r>
        <w:rPr>
          <w:i/>
          <w:iCs/>
        </w:rPr>
        <w:t>usage period</w:t>
      </w:r>
      <w:r>
        <w:t xml:space="preserve"> of 24 hours is defined for buildings for private residential use.</w:t>
      </w:r>
    </w:p>
    <w:p w:rsidR="00B3445A" w:rsidRPr="00937C8B" w:rsidRDefault="00037CDA" w:rsidP="00037CDA">
      <w:pPr>
        <w:pStyle w:val="CTENormal"/>
        <w:jc w:val="both"/>
      </w:pPr>
      <w:r>
        <w:rPr>
          <w:rStyle w:val="CteAnejo-DefinicionCar"/>
        </w:rPr>
        <w:t>Air permeability</w:t>
      </w:r>
      <w:r>
        <w:t xml:space="preserve">: property of a surface (e.g. of a window or door) for letting air pass through when subject to a differential pressure across its two sides. </w:t>
      </w:r>
      <w:r>
        <w:rPr>
          <w:i/>
          <w:iCs/>
        </w:rPr>
        <w:t>Air permeability</w:t>
      </w:r>
      <w:r>
        <w:t xml:space="preserve"> is characterised by air transfer capacity, expressed in m</w:t>
      </w:r>
      <w:r>
        <w:rPr>
          <w:vertAlign w:val="superscript"/>
        </w:rPr>
        <w:t>3</w:t>
      </w:r>
      <w:r>
        <w:t>/h·m</w:t>
      </w:r>
      <w:r>
        <w:rPr>
          <w:vertAlign w:val="superscript"/>
        </w:rPr>
        <w:t>2</w:t>
      </w:r>
      <w:r>
        <w:t>, as a function of the pressure difference.</w:t>
      </w:r>
    </w:p>
    <w:p w:rsidR="00037CDA" w:rsidRPr="00937C8B" w:rsidRDefault="00037CDA" w:rsidP="00037CDA">
      <w:pPr>
        <w:pStyle w:val="CTENormal"/>
        <w:jc w:val="both"/>
      </w:pPr>
      <w:r>
        <w:rPr>
          <w:b/>
          <w:i/>
        </w:rPr>
        <w:t>Installed power</w:t>
      </w:r>
      <w:r>
        <w:t>: the installed power shall be the maximum active power that a production unit can attain and shall be determined by the lowest of the power ratings given on the type plates of power units, turbines or generators installed in series, or where applicable, if the installation comprises multiple motors, turbines or generators in parallel, the lowest of the sums of the power ratings on the type plates of the motors, turbines or generators connected in parallel.</w:t>
      </w:r>
    </w:p>
    <w:p w:rsidR="00037CDA" w:rsidRPr="00937C8B" w:rsidRDefault="00037CDA" w:rsidP="00037CDA">
      <w:pPr>
        <w:pStyle w:val="CTENormal"/>
        <w:jc w:val="both"/>
      </w:pPr>
      <w:r>
        <w:t>In cases of photovoltaic installations, the installed power shall be the sum of the maximum power ratings of the photovoltaic modules making up the installation, measured under standard conditions as per UNE EN 61215:2006 for crystalline silicon modules or UNE EN 61646:2009 for thin-film modules.</w:t>
      </w:r>
    </w:p>
    <w:p w:rsidR="00037CDA" w:rsidRPr="00937C8B" w:rsidRDefault="00037CDA" w:rsidP="00037CDA">
      <w:pPr>
        <w:pStyle w:val="CTENormal"/>
        <w:jc w:val="both"/>
      </w:pPr>
      <w:r>
        <w:rPr>
          <w:rStyle w:val="CteAnejo-DefinicionCar"/>
        </w:rPr>
        <w:t>Power of the lamp and auxiliary equipment assembly</w:t>
      </w:r>
      <w:r>
        <w:rPr>
          <w:rStyle w:val="CteAnejo-DefinicionCar"/>
          <w:b w:val="0"/>
          <w:i w:val="0"/>
        </w:rPr>
        <w:t xml:space="preserve">: rated input power of the </w:t>
      </w:r>
      <w:r>
        <w:rPr>
          <w:rStyle w:val="CteAnejo-DefinicionCar"/>
          <w:b w:val="0"/>
        </w:rPr>
        <w:t>lamp/auxiliary equipment</w:t>
      </w:r>
      <w:r>
        <w:rPr>
          <w:rStyle w:val="CteAnejo-DefinicionCar"/>
          <w:b w:val="0"/>
          <w:i w:val="0"/>
        </w:rPr>
        <w:t xml:space="preserve"> assembly, where the auxiliary equipment is all electric and electronic equipment associated with the </w:t>
      </w:r>
      <w:r>
        <w:rPr>
          <w:rStyle w:val="CteAnejo-DefinicionCar"/>
          <w:b w:val="0"/>
        </w:rPr>
        <w:t>lamp</w:t>
      </w:r>
      <w:r>
        <w:rPr>
          <w:rStyle w:val="CteAnejo-DefinicionCar"/>
          <w:b w:val="0"/>
          <w:i w:val="0"/>
        </w:rPr>
        <w:t xml:space="preserve"> – which differs by </w:t>
      </w:r>
      <w:r>
        <w:rPr>
          <w:rStyle w:val="CteAnejo-DefinicionCar"/>
          <w:b w:val="0"/>
        </w:rPr>
        <w:t>lamp</w:t>
      </w:r>
      <w:r>
        <w:rPr>
          <w:rStyle w:val="CteAnejo-DefinicionCar"/>
          <w:b w:val="0"/>
          <w:i w:val="0"/>
        </w:rPr>
        <w:t xml:space="preserve"> type – intended to activate the </w:t>
      </w:r>
      <w:r>
        <w:rPr>
          <w:rStyle w:val="CteAnejo-DefinicionCar"/>
          <w:b w:val="0"/>
        </w:rPr>
        <w:t>lamp</w:t>
      </w:r>
      <w:r>
        <w:rPr>
          <w:rStyle w:val="CteAnejo-DefinicionCar"/>
          <w:b w:val="0"/>
          <w:i w:val="0"/>
        </w:rPr>
        <w:t xml:space="preserve"> and control its operating conditions.</w:t>
      </w:r>
    </w:p>
    <w:p w:rsidR="00037CDA" w:rsidRPr="00937C8B" w:rsidRDefault="00037CDA" w:rsidP="00037CDA">
      <w:pPr>
        <w:pStyle w:val="CTENormal"/>
        <w:jc w:val="both"/>
      </w:pPr>
      <w:r>
        <w:rPr>
          <w:rStyle w:val="CteAnejo-DefinicionCar"/>
        </w:rPr>
        <w:t>Total power of the lamp and auxiliary equipment assembly</w:t>
      </w:r>
      <w:r>
        <w:rPr>
          <w:rStyle w:val="CteAnejo-DefinicionCar"/>
          <w:b w:val="0"/>
          <w:i w:val="0"/>
        </w:rPr>
        <w:t xml:space="preserve">: maximum input power of the </w:t>
      </w:r>
      <w:r>
        <w:rPr>
          <w:rStyle w:val="CteAnejo-DefinicionCar"/>
          <w:b w:val="0"/>
        </w:rPr>
        <w:t>lamp/auxiliary equipment</w:t>
      </w:r>
      <w:r>
        <w:rPr>
          <w:rStyle w:val="CteAnejo-DefinicionCar"/>
          <w:b w:val="0"/>
          <w:i w:val="0"/>
        </w:rPr>
        <w:t xml:space="preserve"> circuits, measured under the conditions set out in standards UNE EN 50294:1999 and UNE EN 60923:2006.</w:t>
      </w:r>
    </w:p>
    <w:p w:rsidR="00037CDA" w:rsidRPr="00937C8B" w:rsidRDefault="00037CDA" w:rsidP="00037CDA">
      <w:pPr>
        <w:pStyle w:val="CTENormal"/>
        <w:jc w:val="both"/>
      </w:pPr>
      <w:r>
        <w:rPr>
          <w:rStyle w:val="CteAnejo-DefinicionCar"/>
        </w:rPr>
        <w:t>Product</w:t>
      </w:r>
      <w:r>
        <w:t>:</w:t>
      </w:r>
      <w:r>
        <w:rPr>
          <w:b/>
        </w:rPr>
        <w:t xml:space="preserve"> </w:t>
      </w:r>
      <w:r>
        <w:t xml:space="preserve">final form of a </w:t>
      </w:r>
      <w:r>
        <w:rPr>
          <w:i/>
          <w:iCs/>
        </w:rPr>
        <w:t>material</w:t>
      </w:r>
      <w:r>
        <w:t xml:space="preserve"> that is ready for use, with a specific shape and dimensions and including any covering or coating.</w:t>
      </w:r>
    </w:p>
    <w:p w:rsidR="00037CDA" w:rsidRPr="00937C8B" w:rsidRDefault="00037CDA" w:rsidP="00037CDA">
      <w:pPr>
        <w:pStyle w:val="CTENormal"/>
        <w:spacing w:after="60"/>
        <w:jc w:val="both"/>
      </w:pPr>
      <w:r>
        <w:rPr>
          <w:rStyle w:val="CteAnejo-DefinicionCar"/>
        </w:rPr>
        <w:t>Heat bridge</w:t>
      </w:r>
      <w:r>
        <w:t xml:space="preserve">: zone of the </w:t>
      </w:r>
      <w:r>
        <w:rPr>
          <w:i/>
        </w:rPr>
        <w:t>thermal envelope</w:t>
      </w:r>
      <w:r>
        <w:t xml:space="preserve"> of the building exhibiting a variation in structural uniformity – whether due to a change in the thickness of the </w:t>
      </w:r>
      <w:r>
        <w:rPr>
          <w:i/>
        </w:rPr>
        <w:t>enclosure</w:t>
      </w:r>
      <w:r>
        <w:t xml:space="preserve"> or </w:t>
      </w:r>
      <w:r>
        <w:rPr>
          <w:i/>
          <w:iCs/>
        </w:rPr>
        <w:t>materials</w:t>
      </w:r>
      <w:r>
        <w:t xml:space="preserve"> used, complete or partial penetration of construction elements of different conductivity, the difference between the external and internal surface areas of the element, etc. – resulting in reduced thermal resistance compared to the rest of the enclosure.</w:t>
      </w:r>
    </w:p>
    <w:p w:rsidR="00037CDA" w:rsidRPr="00937C8B" w:rsidRDefault="00037CDA" w:rsidP="00037CDA">
      <w:pPr>
        <w:pStyle w:val="CTENormal"/>
        <w:spacing w:before="0" w:after="0"/>
        <w:jc w:val="both"/>
      </w:pPr>
      <w:r>
        <w:t>Heat bridges are sensitive parts of buildings with an increased risk of condensation.</w:t>
      </w:r>
    </w:p>
    <w:p w:rsidR="00037CDA" w:rsidRPr="00937C8B" w:rsidRDefault="00037CDA" w:rsidP="00D27646">
      <w:pPr>
        <w:pStyle w:val="CTENormal"/>
        <w:keepNext/>
        <w:spacing w:before="120"/>
        <w:jc w:val="both"/>
      </w:pPr>
      <w:r>
        <w:t xml:space="preserve">The most common </w:t>
      </w:r>
      <w:r>
        <w:rPr>
          <w:i/>
          <w:iCs/>
        </w:rPr>
        <w:t>heat bridges</w:t>
      </w:r>
      <w:r>
        <w:t xml:space="preserve"> are:</w:t>
      </w:r>
    </w:p>
    <w:p w:rsidR="00037CDA" w:rsidRPr="00937C8B" w:rsidRDefault="00037CDA" w:rsidP="00D27646">
      <w:pPr>
        <w:pStyle w:val="CTENumeracion"/>
        <w:keepNext/>
        <w:ind w:left="567" w:hanging="283"/>
        <w:rPr>
          <w:rFonts w:cs="Arial"/>
          <w:sz w:val="22"/>
          <w:szCs w:val="22"/>
        </w:rPr>
      </w:pPr>
      <w:r>
        <w:rPr>
          <w:sz w:val="22"/>
        </w:rPr>
        <w:t>a)</w:t>
      </w:r>
      <w:r>
        <w:rPr>
          <w:sz w:val="22"/>
        </w:rPr>
        <w:tab/>
      </w:r>
      <w:r>
        <w:rPr>
          <w:i/>
          <w:iCs/>
          <w:sz w:val="22"/>
        </w:rPr>
        <w:t>heat bridges</w:t>
      </w:r>
      <w:r>
        <w:rPr>
          <w:sz w:val="22"/>
        </w:rPr>
        <w:t xml:space="preserve"> built into</w:t>
      </w:r>
      <w:r>
        <w:rPr>
          <w:i/>
          <w:sz w:val="22"/>
        </w:rPr>
        <w:t xml:space="preserve"> enclosures:</w:t>
      </w:r>
    </w:p>
    <w:p w:rsidR="00037CDA" w:rsidRPr="00937C8B" w:rsidRDefault="00037CDA" w:rsidP="00037CDA">
      <w:pPr>
        <w:pStyle w:val="CTENumeracion"/>
        <w:tabs>
          <w:tab w:val="left" w:pos="993"/>
        </w:tabs>
        <w:ind w:left="709" w:firstLine="0"/>
        <w:rPr>
          <w:rFonts w:cs="Arial"/>
          <w:sz w:val="22"/>
          <w:szCs w:val="22"/>
        </w:rPr>
      </w:pPr>
      <w:r>
        <w:rPr>
          <w:sz w:val="22"/>
        </w:rPr>
        <w:t>i)</w:t>
      </w:r>
      <w:r>
        <w:rPr>
          <w:sz w:val="22"/>
        </w:rPr>
        <w:tab/>
        <w:t>columns integrated into façade enclosures;</w:t>
      </w:r>
    </w:p>
    <w:p w:rsidR="00037CDA" w:rsidRPr="00937C8B" w:rsidRDefault="00037CDA" w:rsidP="00037CDA">
      <w:pPr>
        <w:pStyle w:val="CTENumeracion"/>
        <w:tabs>
          <w:tab w:val="left" w:pos="993"/>
        </w:tabs>
        <w:ind w:left="709" w:firstLine="0"/>
        <w:rPr>
          <w:rFonts w:cs="Arial"/>
          <w:sz w:val="22"/>
          <w:szCs w:val="22"/>
        </w:rPr>
      </w:pPr>
      <w:r>
        <w:rPr>
          <w:sz w:val="22"/>
        </w:rPr>
        <w:t>ii)</w:t>
      </w:r>
      <w:r>
        <w:rPr>
          <w:sz w:val="22"/>
        </w:rPr>
        <w:tab/>
        <w:t xml:space="preserve">edges of </w:t>
      </w:r>
      <w:r>
        <w:rPr>
          <w:i/>
          <w:iCs/>
          <w:sz w:val="22"/>
        </w:rPr>
        <w:t>openings</w:t>
      </w:r>
      <w:r>
        <w:rPr>
          <w:sz w:val="22"/>
        </w:rPr>
        <w:t xml:space="preserve"> and skylights;</w:t>
      </w:r>
    </w:p>
    <w:p w:rsidR="00037CDA" w:rsidRPr="00937C8B" w:rsidRDefault="00037CDA" w:rsidP="00037CDA">
      <w:pPr>
        <w:pStyle w:val="CTENumeracion"/>
        <w:tabs>
          <w:tab w:val="left" w:pos="993"/>
        </w:tabs>
        <w:ind w:left="709" w:firstLine="0"/>
        <w:rPr>
          <w:rFonts w:cs="Arial"/>
          <w:sz w:val="22"/>
          <w:szCs w:val="22"/>
        </w:rPr>
      </w:pPr>
      <w:r>
        <w:rPr>
          <w:sz w:val="22"/>
        </w:rPr>
        <w:t>iii)</w:t>
      </w:r>
      <w:r>
        <w:rPr>
          <w:sz w:val="22"/>
        </w:rPr>
        <w:tab/>
        <w:t>shutter boxes;</w:t>
      </w:r>
    </w:p>
    <w:p w:rsidR="00037CDA" w:rsidRPr="00937C8B" w:rsidRDefault="00037CDA" w:rsidP="00037CDA">
      <w:pPr>
        <w:pStyle w:val="CTENumeracion"/>
        <w:tabs>
          <w:tab w:val="left" w:pos="993"/>
        </w:tabs>
        <w:ind w:left="709" w:firstLine="0"/>
        <w:rPr>
          <w:rFonts w:cs="Arial"/>
          <w:sz w:val="22"/>
          <w:szCs w:val="22"/>
        </w:rPr>
      </w:pPr>
      <w:r>
        <w:rPr>
          <w:sz w:val="22"/>
        </w:rPr>
        <w:t>iv)</w:t>
      </w:r>
      <w:r>
        <w:rPr>
          <w:sz w:val="22"/>
        </w:rPr>
        <w:tab/>
        <w:t xml:space="preserve">other built-in </w:t>
      </w:r>
      <w:r>
        <w:rPr>
          <w:i/>
          <w:sz w:val="22"/>
        </w:rPr>
        <w:t>heat bridges</w:t>
      </w:r>
      <w:r>
        <w:rPr>
          <w:sz w:val="22"/>
        </w:rPr>
        <w:t>;</w:t>
      </w:r>
    </w:p>
    <w:p w:rsidR="00037CDA" w:rsidRPr="00937C8B" w:rsidRDefault="00037CDA" w:rsidP="00D27646">
      <w:pPr>
        <w:pStyle w:val="CTENumeracion"/>
        <w:keepNext/>
        <w:ind w:left="567" w:hanging="283"/>
        <w:rPr>
          <w:rFonts w:cs="Arial"/>
          <w:sz w:val="22"/>
          <w:szCs w:val="22"/>
        </w:rPr>
      </w:pPr>
      <w:r>
        <w:rPr>
          <w:sz w:val="22"/>
        </w:rPr>
        <w:t>b)</w:t>
      </w:r>
      <w:r>
        <w:rPr>
          <w:sz w:val="22"/>
        </w:rPr>
        <w:tab/>
      </w:r>
      <w:r>
        <w:rPr>
          <w:i/>
          <w:sz w:val="22"/>
        </w:rPr>
        <w:t>heat bridges</w:t>
      </w:r>
      <w:r>
        <w:rPr>
          <w:sz w:val="22"/>
        </w:rPr>
        <w:t xml:space="preserve"> created by </w:t>
      </w:r>
      <w:r>
        <w:rPr>
          <w:i/>
          <w:sz w:val="22"/>
        </w:rPr>
        <w:t>enclosure</w:t>
      </w:r>
      <w:r>
        <w:rPr>
          <w:sz w:val="22"/>
        </w:rPr>
        <w:t xml:space="preserve"> joints:</w:t>
      </w:r>
    </w:p>
    <w:p w:rsidR="00037CDA" w:rsidRPr="00937C8B" w:rsidRDefault="00037CDA" w:rsidP="00037CDA">
      <w:pPr>
        <w:pStyle w:val="CTENumeracion"/>
        <w:tabs>
          <w:tab w:val="left" w:pos="993"/>
        </w:tabs>
        <w:ind w:left="709" w:firstLine="0"/>
        <w:rPr>
          <w:rFonts w:cs="Arial"/>
          <w:sz w:val="22"/>
          <w:szCs w:val="22"/>
        </w:rPr>
      </w:pPr>
      <w:r>
        <w:rPr>
          <w:sz w:val="22"/>
        </w:rPr>
        <w:t>i)</w:t>
      </w:r>
      <w:r>
        <w:rPr>
          <w:sz w:val="22"/>
        </w:rPr>
        <w:tab/>
        <w:t>slab faces on façades;</w:t>
      </w:r>
    </w:p>
    <w:p w:rsidR="00037CDA" w:rsidRPr="00937C8B" w:rsidRDefault="00037CDA" w:rsidP="00037CDA">
      <w:pPr>
        <w:pStyle w:val="CTENumeracion"/>
        <w:tabs>
          <w:tab w:val="left" w:pos="993"/>
        </w:tabs>
        <w:ind w:left="709" w:firstLine="0"/>
        <w:rPr>
          <w:rFonts w:cs="Arial"/>
          <w:sz w:val="22"/>
          <w:szCs w:val="22"/>
        </w:rPr>
      </w:pPr>
      <w:r>
        <w:rPr>
          <w:sz w:val="22"/>
        </w:rPr>
        <w:t>ii)</w:t>
      </w:r>
      <w:r>
        <w:rPr>
          <w:sz w:val="22"/>
        </w:rPr>
        <w:tab/>
        <w:t>roof/façade joints;</w:t>
      </w:r>
    </w:p>
    <w:p w:rsidR="00037CDA" w:rsidRPr="00937C8B" w:rsidRDefault="00037CDA" w:rsidP="00037CDA">
      <w:pPr>
        <w:pStyle w:val="CTENumeracion"/>
        <w:tabs>
          <w:tab w:val="left" w:pos="993"/>
        </w:tabs>
        <w:ind w:left="709" w:firstLine="0"/>
        <w:rPr>
          <w:rFonts w:cs="Arial"/>
          <w:sz w:val="22"/>
          <w:szCs w:val="22"/>
        </w:rPr>
      </w:pPr>
      <w:r>
        <w:rPr>
          <w:sz w:val="22"/>
        </w:rPr>
        <w:t>iii)</w:t>
      </w:r>
      <w:r>
        <w:rPr>
          <w:sz w:val="22"/>
        </w:rPr>
        <w:tab/>
        <w:t>roofs with parapets;</w:t>
      </w:r>
    </w:p>
    <w:p w:rsidR="00037CDA" w:rsidRPr="00937C8B" w:rsidRDefault="00037CDA" w:rsidP="00037CDA">
      <w:pPr>
        <w:pStyle w:val="CTENumeracion"/>
        <w:tabs>
          <w:tab w:val="left" w:pos="993"/>
        </w:tabs>
        <w:ind w:left="709" w:firstLine="0"/>
        <w:rPr>
          <w:rFonts w:cs="Arial"/>
          <w:sz w:val="22"/>
          <w:szCs w:val="22"/>
        </w:rPr>
      </w:pPr>
      <w:r>
        <w:rPr>
          <w:sz w:val="22"/>
        </w:rPr>
        <w:t>iv)</w:t>
      </w:r>
      <w:r>
        <w:rPr>
          <w:sz w:val="22"/>
        </w:rPr>
        <w:tab/>
        <w:t>roofs without parapets;</w:t>
      </w:r>
    </w:p>
    <w:p w:rsidR="00037CDA" w:rsidRPr="00937C8B" w:rsidRDefault="00037CDA" w:rsidP="00037CDA">
      <w:pPr>
        <w:pStyle w:val="CTENumeracion"/>
        <w:tabs>
          <w:tab w:val="left" w:pos="993"/>
        </w:tabs>
        <w:ind w:left="709" w:firstLine="0"/>
        <w:rPr>
          <w:rFonts w:cs="Arial"/>
          <w:sz w:val="22"/>
          <w:szCs w:val="22"/>
        </w:rPr>
      </w:pPr>
      <w:r>
        <w:rPr>
          <w:sz w:val="22"/>
        </w:rPr>
        <w:t>v)</w:t>
      </w:r>
      <w:r>
        <w:rPr>
          <w:sz w:val="22"/>
        </w:rPr>
        <w:tab/>
        <w:t>joints between façades and enclosures in contact with the ground;</w:t>
      </w:r>
    </w:p>
    <w:p w:rsidR="00037CDA" w:rsidRPr="00937C8B" w:rsidRDefault="00037CDA" w:rsidP="00037CDA">
      <w:pPr>
        <w:pStyle w:val="CTENumeracion"/>
        <w:tabs>
          <w:tab w:val="left" w:pos="993"/>
        </w:tabs>
        <w:ind w:left="709" w:firstLine="0"/>
        <w:rPr>
          <w:rFonts w:cs="Arial"/>
          <w:sz w:val="22"/>
          <w:szCs w:val="22"/>
        </w:rPr>
      </w:pPr>
      <w:r>
        <w:rPr>
          <w:sz w:val="22"/>
        </w:rPr>
        <w:t>vi)</w:t>
      </w:r>
      <w:r>
        <w:rPr>
          <w:sz w:val="22"/>
        </w:rPr>
        <w:tab/>
        <w:t>joints between façades and flagstones;</w:t>
      </w:r>
    </w:p>
    <w:p w:rsidR="00037CDA" w:rsidRPr="00937C8B" w:rsidRDefault="00037CDA" w:rsidP="00037CDA">
      <w:pPr>
        <w:pStyle w:val="CTENumeracion"/>
        <w:tabs>
          <w:tab w:val="left" w:pos="993"/>
        </w:tabs>
        <w:ind w:left="709" w:firstLine="0"/>
        <w:rPr>
          <w:rFonts w:cs="Arial"/>
          <w:sz w:val="22"/>
          <w:szCs w:val="22"/>
        </w:rPr>
      </w:pPr>
      <w:r>
        <w:rPr>
          <w:sz w:val="22"/>
        </w:rPr>
        <w:t>vii)</w:t>
      </w:r>
      <w:r>
        <w:rPr>
          <w:sz w:val="22"/>
        </w:rPr>
        <w:tab/>
        <w:t>joints between façades and buried walls or screens;</w:t>
      </w:r>
    </w:p>
    <w:p w:rsidR="00037CDA" w:rsidRPr="00937C8B" w:rsidRDefault="00037CDA" w:rsidP="00D27646">
      <w:pPr>
        <w:pStyle w:val="CTENumeracion"/>
        <w:keepNext/>
        <w:ind w:left="567" w:hanging="283"/>
        <w:rPr>
          <w:rFonts w:cs="Arial"/>
          <w:sz w:val="22"/>
          <w:szCs w:val="22"/>
        </w:rPr>
      </w:pPr>
      <w:r>
        <w:rPr>
          <w:sz w:val="22"/>
        </w:rPr>
        <w:t>c)</w:t>
      </w:r>
      <w:r>
        <w:rPr>
          <w:sz w:val="22"/>
        </w:rPr>
        <w:tab/>
        <w:t>façade corners or joints which, depending on the position of the external environment, are divided into:</w:t>
      </w:r>
    </w:p>
    <w:p w:rsidR="00037CDA" w:rsidRPr="00831252" w:rsidRDefault="00037CDA" w:rsidP="00037CDA">
      <w:pPr>
        <w:pStyle w:val="CTENumeracion"/>
        <w:tabs>
          <w:tab w:val="left" w:pos="993"/>
        </w:tabs>
        <w:ind w:left="709" w:firstLine="0"/>
        <w:rPr>
          <w:rFonts w:cs="Arial"/>
          <w:sz w:val="22"/>
          <w:szCs w:val="22"/>
        </w:rPr>
      </w:pPr>
      <w:r>
        <w:rPr>
          <w:sz w:val="22"/>
        </w:rPr>
        <w:t>i)</w:t>
      </w:r>
      <w:r>
        <w:rPr>
          <w:sz w:val="22"/>
        </w:rPr>
        <w:tab/>
        <w:t>re-entrant corners;</w:t>
      </w:r>
    </w:p>
    <w:p w:rsidR="00037CDA" w:rsidRPr="00831252" w:rsidRDefault="00037CDA" w:rsidP="00037CDA">
      <w:pPr>
        <w:pStyle w:val="CTENumeracion"/>
        <w:tabs>
          <w:tab w:val="left" w:pos="993"/>
        </w:tabs>
        <w:ind w:left="709" w:firstLine="0"/>
        <w:rPr>
          <w:rFonts w:cs="Arial"/>
          <w:sz w:val="22"/>
          <w:szCs w:val="22"/>
        </w:rPr>
      </w:pPr>
      <w:r>
        <w:rPr>
          <w:sz w:val="22"/>
        </w:rPr>
        <w:t>ii)</w:t>
      </w:r>
      <w:r>
        <w:rPr>
          <w:sz w:val="22"/>
        </w:rPr>
        <w:tab/>
        <w:t>salient corners;</w:t>
      </w:r>
    </w:p>
    <w:p w:rsidR="00037CDA" w:rsidRPr="00937C8B" w:rsidRDefault="00037CDA" w:rsidP="00037CDA">
      <w:pPr>
        <w:pStyle w:val="CTENumeracion"/>
        <w:ind w:left="567" w:hanging="283"/>
        <w:rPr>
          <w:rFonts w:cs="Arial"/>
          <w:sz w:val="22"/>
          <w:szCs w:val="22"/>
        </w:rPr>
      </w:pPr>
      <w:r>
        <w:rPr>
          <w:sz w:val="22"/>
        </w:rPr>
        <w:t>d)</w:t>
      </w:r>
      <w:r>
        <w:rPr>
          <w:sz w:val="22"/>
        </w:rPr>
        <w:tab/>
        <w:t>joints between overhangs and façades;</w:t>
      </w:r>
    </w:p>
    <w:p w:rsidR="00037CDA" w:rsidRPr="00937C8B" w:rsidRDefault="00037CDA" w:rsidP="00037CDA">
      <w:pPr>
        <w:pStyle w:val="CTENumeracion"/>
        <w:ind w:left="567" w:hanging="283"/>
        <w:rPr>
          <w:rFonts w:cs="Arial"/>
          <w:sz w:val="22"/>
          <w:szCs w:val="22"/>
        </w:rPr>
      </w:pPr>
      <w:r>
        <w:rPr>
          <w:sz w:val="22"/>
        </w:rPr>
        <w:t>e)</w:t>
      </w:r>
      <w:r>
        <w:rPr>
          <w:sz w:val="22"/>
        </w:rPr>
        <w:tab/>
        <w:t xml:space="preserve">joints between internal partitions and external </w:t>
      </w:r>
      <w:r>
        <w:rPr>
          <w:i/>
          <w:sz w:val="22"/>
        </w:rPr>
        <w:t>enclosures</w:t>
      </w:r>
      <w:r>
        <w:rPr>
          <w:sz w:val="22"/>
        </w:rPr>
        <w:t>.</w:t>
      </w:r>
    </w:p>
    <w:p w:rsidR="00037CDA" w:rsidRPr="00937C8B" w:rsidRDefault="00037CDA" w:rsidP="00037CDA">
      <w:pPr>
        <w:pStyle w:val="CTENormal"/>
        <w:jc w:val="both"/>
      </w:pPr>
      <w:r>
        <w:rPr>
          <w:rStyle w:val="CteAnejo-DefinicionCar"/>
        </w:rPr>
        <w:t>Linear heat bridge</w:t>
      </w:r>
      <w:r>
        <w:t xml:space="preserve">: </w:t>
      </w:r>
      <w:r>
        <w:rPr>
          <w:i/>
          <w:iCs/>
        </w:rPr>
        <w:t>heat bridge</w:t>
      </w:r>
      <w:r>
        <w:t xml:space="preserve"> with a uniform cross-section in one direction.</w:t>
      </w:r>
    </w:p>
    <w:p w:rsidR="00037CDA" w:rsidRPr="00937C8B" w:rsidRDefault="00037CDA" w:rsidP="00037CDA">
      <w:pPr>
        <w:pStyle w:val="CTENormal"/>
        <w:jc w:val="both"/>
        <w:rPr>
          <w:rStyle w:val="CteAnejo-DefinicionCar"/>
          <w:b w:val="0"/>
          <w:i w:val="0"/>
        </w:rPr>
      </w:pPr>
      <w:r>
        <w:rPr>
          <w:rStyle w:val="CteAnejo-DefinicionCar"/>
        </w:rPr>
        <w:t xml:space="preserve">Area: </w:t>
      </w:r>
      <w:r>
        <w:rPr>
          <w:rStyle w:val="CteAnejo-DefinicionCar"/>
          <w:b w:val="0"/>
          <w:i w:val="0"/>
        </w:rPr>
        <w:t>space in the building demarcated by enclosures, partitions or any other separating element.</w:t>
      </w:r>
    </w:p>
    <w:p w:rsidR="00037CDA" w:rsidRPr="00937C8B" w:rsidRDefault="00037CDA" w:rsidP="00D27646">
      <w:pPr>
        <w:pStyle w:val="CTENormal"/>
        <w:keepNext/>
        <w:jc w:val="both"/>
        <w:rPr>
          <w:szCs w:val="22"/>
        </w:rPr>
      </w:pPr>
      <w:r>
        <w:rPr>
          <w:rStyle w:val="CteAnejo-DefinicionCar"/>
        </w:rPr>
        <w:t>Habitable area</w:t>
      </w:r>
      <w:r>
        <w:t xml:space="preserve">: indoor area intended for personal use whose occupation density and length of stay require suitable acoustic, thermal and hygiene conditions. The following are considered </w:t>
      </w:r>
      <w:r>
        <w:rPr>
          <w:i/>
          <w:iCs/>
        </w:rPr>
        <w:t>habitable areas</w:t>
      </w:r>
      <w:r>
        <w:t>:</w:t>
      </w:r>
    </w:p>
    <w:p w:rsidR="00037CDA" w:rsidRPr="00937C8B" w:rsidRDefault="00037CDA" w:rsidP="00037CDA">
      <w:pPr>
        <w:pStyle w:val="CTENumeracion"/>
        <w:ind w:left="567" w:hanging="283"/>
        <w:rPr>
          <w:rFonts w:cs="Arial"/>
          <w:sz w:val="22"/>
          <w:szCs w:val="22"/>
        </w:rPr>
      </w:pPr>
      <w:r>
        <w:rPr>
          <w:sz w:val="22"/>
        </w:rPr>
        <w:t>a)</w:t>
      </w:r>
      <w:r>
        <w:rPr>
          <w:sz w:val="22"/>
        </w:rPr>
        <w:tab/>
        <w:t>rooms (bedrooms, dining rooms, libraries, living rooms, etc.) in residential buildings;</w:t>
      </w:r>
    </w:p>
    <w:p w:rsidR="00037CDA" w:rsidRPr="00937C8B" w:rsidRDefault="00037CDA" w:rsidP="00037CDA">
      <w:pPr>
        <w:pStyle w:val="CTENumeracion"/>
        <w:ind w:left="567" w:hanging="283"/>
        <w:rPr>
          <w:rFonts w:cs="Arial"/>
          <w:sz w:val="22"/>
          <w:szCs w:val="22"/>
        </w:rPr>
      </w:pPr>
      <w:r>
        <w:rPr>
          <w:sz w:val="22"/>
        </w:rPr>
        <w:t>b)</w:t>
      </w:r>
      <w:r>
        <w:rPr>
          <w:sz w:val="22"/>
        </w:rPr>
        <w:tab/>
        <w:t>halls, libraries and offices in buildings for educational use;</w:t>
      </w:r>
    </w:p>
    <w:p w:rsidR="00037CDA" w:rsidRPr="00937C8B" w:rsidRDefault="00037CDA" w:rsidP="00037CDA">
      <w:pPr>
        <w:pStyle w:val="CTENumeracion"/>
        <w:ind w:left="567" w:hanging="283"/>
        <w:rPr>
          <w:rFonts w:cs="Arial"/>
          <w:sz w:val="22"/>
          <w:szCs w:val="22"/>
        </w:rPr>
      </w:pPr>
      <w:r>
        <w:rPr>
          <w:sz w:val="22"/>
        </w:rPr>
        <w:t>c)</w:t>
      </w:r>
      <w:r>
        <w:rPr>
          <w:sz w:val="22"/>
        </w:rPr>
        <w:tab/>
        <w:t>operating theatres, patient rooms and waiting rooms in buildings for healthcare use;</w:t>
      </w:r>
    </w:p>
    <w:p w:rsidR="00037CDA" w:rsidRPr="00937C8B" w:rsidRDefault="00037CDA" w:rsidP="00037CDA">
      <w:pPr>
        <w:pStyle w:val="CTENumeracion"/>
        <w:ind w:left="567" w:hanging="283"/>
        <w:rPr>
          <w:rFonts w:cs="Arial"/>
          <w:sz w:val="22"/>
          <w:szCs w:val="22"/>
        </w:rPr>
      </w:pPr>
      <w:r>
        <w:rPr>
          <w:sz w:val="22"/>
        </w:rPr>
        <w:t>d)</w:t>
      </w:r>
      <w:r>
        <w:rPr>
          <w:sz w:val="22"/>
        </w:rPr>
        <w:tab/>
        <w:t>offices, studies and meeting rooms in buildings for administrative use;</w:t>
      </w:r>
    </w:p>
    <w:p w:rsidR="00037CDA" w:rsidRPr="00937C8B" w:rsidRDefault="00037CDA" w:rsidP="00037CDA">
      <w:pPr>
        <w:pStyle w:val="CTENumeracion"/>
        <w:ind w:left="567" w:hanging="283"/>
        <w:rPr>
          <w:rFonts w:cs="Arial"/>
          <w:sz w:val="22"/>
          <w:szCs w:val="22"/>
        </w:rPr>
      </w:pPr>
      <w:r>
        <w:rPr>
          <w:sz w:val="22"/>
        </w:rPr>
        <w:t>e)</w:t>
      </w:r>
      <w:r>
        <w:rPr>
          <w:sz w:val="22"/>
        </w:rPr>
        <w:tab/>
        <w:t>kitchens, bathrooms, toilets, corridors and landings in buildings for any use;</w:t>
      </w:r>
    </w:p>
    <w:p w:rsidR="00037CDA" w:rsidRPr="00937C8B" w:rsidRDefault="00037CDA" w:rsidP="00037CDA">
      <w:pPr>
        <w:pStyle w:val="CTENumeracion"/>
        <w:ind w:left="567" w:hanging="283"/>
        <w:rPr>
          <w:rFonts w:cs="Arial"/>
          <w:sz w:val="22"/>
          <w:szCs w:val="22"/>
        </w:rPr>
      </w:pPr>
      <w:r>
        <w:rPr>
          <w:sz w:val="22"/>
        </w:rPr>
        <w:t>f)</w:t>
      </w:r>
      <w:r>
        <w:rPr>
          <w:sz w:val="22"/>
        </w:rPr>
        <w:tab/>
      </w:r>
      <w:r>
        <w:rPr>
          <w:i/>
          <w:sz w:val="22"/>
        </w:rPr>
        <w:t>common areas</w:t>
      </w:r>
      <w:r>
        <w:rPr>
          <w:sz w:val="22"/>
        </w:rPr>
        <w:t xml:space="preserve"> for traffic inside buildings;</w:t>
      </w:r>
    </w:p>
    <w:p w:rsidR="00037CDA" w:rsidRPr="00937C8B" w:rsidRDefault="00037CDA" w:rsidP="00037CDA">
      <w:pPr>
        <w:pStyle w:val="CTENumeracion"/>
        <w:ind w:left="567" w:hanging="283"/>
        <w:rPr>
          <w:rFonts w:cs="Arial"/>
          <w:sz w:val="22"/>
          <w:szCs w:val="22"/>
        </w:rPr>
      </w:pPr>
      <w:r>
        <w:rPr>
          <w:sz w:val="22"/>
        </w:rPr>
        <w:t>g)</w:t>
      </w:r>
      <w:r>
        <w:rPr>
          <w:sz w:val="22"/>
        </w:rPr>
        <w:tab/>
        <w:t>any other area with a use similar to any of the above.</w:t>
      </w:r>
    </w:p>
    <w:p w:rsidR="00037CDA" w:rsidRPr="00937C8B" w:rsidRDefault="00037CDA" w:rsidP="00037CDA">
      <w:pPr>
        <w:pStyle w:val="CTENormal"/>
        <w:jc w:val="both"/>
      </w:pPr>
      <w:r>
        <w:rPr>
          <w:rStyle w:val="CteAnejo-DefinicionCar"/>
          <w:b w:val="0"/>
          <w:i w:val="0"/>
        </w:rPr>
        <w:t xml:space="preserve">Areas </w:t>
      </w:r>
      <w:r>
        <w:t xml:space="preserve">not intended for permanent use by people, or whose occupation is occasional, exceptional or short-term and therefore only requires suitable hygiene conditions, shall be considered non-habitable areas. This category explicitly includes garages, store rooms, </w:t>
      </w:r>
      <w:r>
        <w:rPr>
          <w:i/>
          <w:iCs/>
        </w:rPr>
        <w:t>technical rooms</w:t>
      </w:r>
      <w:r>
        <w:t xml:space="preserve"> and unconditioned attics, and their </w:t>
      </w:r>
      <w:r>
        <w:rPr>
          <w:i/>
          <w:iCs/>
        </w:rPr>
        <w:t>common areas</w:t>
      </w:r>
      <w:r>
        <w:t>, as non-habitable areas.</w:t>
      </w:r>
    </w:p>
    <w:p w:rsidR="00037CDA" w:rsidRPr="00937C8B" w:rsidRDefault="00037CDA" w:rsidP="00037CDA">
      <w:pPr>
        <w:pStyle w:val="CTENormal"/>
        <w:jc w:val="both"/>
      </w:pPr>
      <w:r>
        <w:rPr>
          <w:rStyle w:val="CteAnejo-DefinicionCar"/>
        </w:rPr>
        <w:t>Reflectance</w:t>
      </w:r>
      <w:r>
        <w:t>: quotient of the reflective luminous or radiant flux and the incident flux under given conditions. This is expressed on a per-unit basis or as a percentage.</w:t>
      </w:r>
    </w:p>
    <w:p w:rsidR="00037CDA" w:rsidRPr="00937C8B" w:rsidRDefault="00037CDA" w:rsidP="00037CDA">
      <w:pPr>
        <w:pStyle w:val="CTENormal"/>
        <w:jc w:val="both"/>
      </w:pPr>
      <w:r>
        <w:rPr>
          <w:b/>
          <w:i/>
        </w:rPr>
        <w:t xml:space="preserve">Air exchange ratio: </w:t>
      </w:r>
      <w:r>
        <w:t xml:space="preserve">ratio of the air flow through the </w:t>
      </w:r>
      <w:r>
        <w:rPr>
          <w:i/>
          <w:iCs/>
        </w:rPr>
        <w:t>thermal envelope</w:t>
      </w:r>
      <w:r>
        <w:t xml:space="preserve"> of the structure to its internal volume. For the purposes of this DB, the value used is that obtained for a differential pressure of 50 Pa, n</w:t>
      </w:r>
      <w:r>
        <w:rPr>
          <w:vertAlign w:val="subscript"/>
        </w:rPr>
        <w:t>50</w:t>
      </w:r>
      <w:r>
        <w:t xml:space="preserve"> across the envelope.</w:t>
      </w:r>
    </w:p>
    <w:p w:rsidR="00037CDA" w:rsidRPr="00937C8B" w:rsidRDefault="00037CDA" w:rsidP="00037CDA">
      <w:pPr>
        <w:pStyle w:val="CTENormal"/>
        <w:jc w:val="both"/>
      </w:pPr>
      <w:r>
        <w:rPr>
          <w:rStyle w:val="CteAnejo-DefinicionCar"/>
        </w:rPr>
        <w:t>Technical rooms</w:t>
      </w:r>
      <w:r>
        <w:t>: rooms containing installations that serve the building, such as boiler rooms, pump rooms, transformer rooms, switchboard rooms, meter rooms, uninterruptible power supply rooms or any machine rooms, as well as reprographics or photocopier rooms, fax rooms, telephone switchboards, and post rooms.</w:t>
      </w:r>
    </w:p>
    <w:p w:rsidR="00037CDA" w:rsidRPr="00937C8B" w:rsidRDefault="00037CDA" w:rsidP="00D27646">
      <w:pPr>
        <w:pStyle w:val="CTENormal"/>
        <w:keepNext/>
        <w:jc w:val="both"/>
      </w:pPr>
      <w:r>
        <w:rPr>
          <w:rStyle w:val="CteAnejo-DefinicionCar"/>
        </w:rPr>
        <w:t>Control and regulation system</w:t>
      </w:r>
      <w:r>
        <w:t>: set of devices, cabling and components intended for automatic or manual control of the activation and deactivation or luminous flux of a lighting installation. These come in four basic types:</w:t>
      </w:r>
    </w:p>
    <w:p w:rsidR="00037CDA" w:rsidRPr="00937C8B" w:rsidRDefault="00037CDA" w:rsidP="00037CDA">
      <w:pPr>
        <w:pStyle w:val="CTENormal"/>
        <w:spacing w:before="0" w:after="0"/>
        <w:ind w:left="568" w:hanging="284"/>
        <w:jc w:val="both"/>
        <w:rPr>
          <w:szCs w:val="22"/>
        </w:rPr>
      </w:pPr>
      <w:r>
        <w:t>a)</w:t>
      </w:r>
      <w:r>
        <w:tab/>
        <w:t>user-requested control and regulation using manual switches, push-buttons, potentiometers or remote control;</w:t>
      </w:r>
    </w:p>
    <w:p w:rsidR="00037CDA" w:rsidRPr="00937C8B" w:rsidRDefault="00037CDA" w:rsidP="00037CDA">
      <w:pPr>
        <w:pStyle w:val="CTENormal"/>
        <w:spacing w:before="0" w:after="0"/>
        <w:ind w:left="568" w:hanging="284"/>
        <w:jc w:val="both"/>
        <w:rPr>
          <w:szCs w:val="22"/>
        </w:rPr>
      </w:pPr>
      <w:r>
        <w:t>b)</w:t>
      </w:r>
      <w:r>
        <w:tab/>
        <w:t>regulation of artificial lighting based on the available natural light from windows or skylights;</w:t>
      </w:r>
    </w:p>
    <w:p w:rsidR="00037CDA" w:rsidRPr="00937C8B" w:rsidRDefault="00037CDA" w:rsidP="00037CDA">
      <w:pPr>
        <w:pStyle w:val="CTENormal"/>
        <w:spacing w:before="0" w:after="0"/>
        <w:ind w:left="568" w:hanging="284"/>
        <w:jc w:val="both"/>
        <w:rPr>
          <w:szCs w:val="22"/>
        </w:rPr>
      </w:pPr>
      <w:r>
        <w:t>c)</w:t>
      </w:r>
      <w:r>
        <w:tab/>
        <w:t>presence-based activation and deactivation control;</w:t>
      </w:r>
    </w:p>
    <w:p w:rsidR="00037CDA" w:rsidRPr="00937C8B" w:rsidRDefault="00037CDA" w:rsidP="00037CDA">
      <w:pPr>
        <w:pStyle w:val="CTENormal"/>
        <w:spacing w:before="0" w:after="0"/>
        <w:ind w:left="568" w:hanging="284"/>
        <w:jc w:val="both"/>
        <w:rPr>
          <w:szCs w:val="22"/>
        </w:rPr>
      </w:pPr>
      <w:r>
        <w:t>d)</w:t>
      </w:r>
      <w:r>
        <w:tab/>
        <w:t>regulation and control by a centralised management system.</w:t>
      </w:r>
    </w:p>
    <w:p w:rsidR="00037CDA" w:rsidRPr="00937C8B" w:rsidRDefault="00037CDA" w:rsidP="00D27646">
      <w:pPr>
        <w:pStyle w:val="CTENormal"/>
        <w:keepNext/>
        <w:jc w:val="both"/>
      </w:pPr>
      <w:r>
        <w:rPr>
          <w:rStyle w:val="CteAnejo-DefinicionCar"/>
        </w:rPr>
        <w:t>Natural lighting system</w:t>
      </w:r>
      <w:r>
        <w:t>: set of devices, cabling and components intended for automatic regulation of the luminous flux of a lighting installation based on the luminous flux provided to the zone by natural light, so both fluxes provide a fixed level of illumination at a given point, where the light sensor is located. Regulation comes in two basic types:</w:t>
      </w:r>
    </w:p>
    <w:p w:rsidR="00037CDA" w:rsidRPr="00937C8B" w:rsidRDefault="00037CDA" w:rsidP="00037CDA">
      <w:pPr>
        <w:pStyle w:val="CTENormal"/>
        <w:spacing w:before="0" w:after="0"/>
        <w:ind w:left="568" w:hanging="284"/>
        <w:jc w:val="both"/>
      </w:pPr>
      <w:r>
        <w:t>a)</w:t>
      </w:r>
      <w:r>
        <w:tab/>
        <w:t>on/off regulation: lighting is turned on or off below or above a preset lighting level;</w:t>
      </w:r>
    </w:p>
    <w:p w:rsidR="00037CDA" w:rsidRPr="00937C8B" w:rsidRDefault="00037CDA" w:rsidP="00037CDA">
      <w:pPr>
        <w:pStyle w:val="CTENormal"/>
        <w:spacing w:before="0" w:after="0"/>
        <w:ind w:left="568" w:hanging="284"/>
        <w:jc w:val="both"/>
      </w:pPr>
      <w:r>
        <w:t>b)</w:t>
      </w:r>
      <w:r>
        <w:tab/>
        <w:t>continuous regulation: lighting is adjusted gradually based on the available natural light, up to a preset lighting level.</w:t>
      </w:r>
    </w:p>
    <w:p w:rsidR="00037CDA" w:rsidRPr="00937C8B" w:rsidRDefault="00037CDA" w:rsidP="00D27646">
      <w:pPr>
        <w:pStyle w:val="CTENormal"/>
        <w:keepNext/>
        <w:jc w:val="both"/>
      </w:pPr>
      <w:r>
        <w:rPr>
          <w:rStyle w:val="CteAnejo-DefinicionCar"/>
        </w:rPr>
        <w:t>Presence detection system</w:t>
      </w:r>
      <w:r>
        <w:t>: set of devices, cabling and components intended for automatic control of activation and deactivation of a lighting installation based on the presence or absence of people in the zone. The four basic types of detection are:</w:t>
      </w:r>
    </w:p>
    <w:p w:rsidR="00037CDA" w:rsidRPr="00937C8B" w:rsidRDefault="00037CDA" w:rsidP="00BE0B9A">
      <w:pPr>
        <w:pStyle w:val="CTENormal"/>
        <w:spacing w:before="0" w:after="0"/>
        <w:ind w:left="567" w:hanging="283"/>
        <w:jc w:val="both"/>
      </w:pPr>
      <w:r>
        <w:t>a)</w:t>
      </w:r>
      <w:r>
        <w:tab/>
        <w:t>infrared;</w:t>
      </w:r>
    </w:p>
    <w:p w:rsidR="00037CDA" w:rsidRPr="00937C8B" w:rsidRDefault="00037CDA" w:rsidP="00BE0B9A">
      <w:pPr>
        <w:pStyle w:val="CTENormal"/>
        <w:spacing w:before="0" w:after="0"/>
        <w:ind w:left="567" w:hanging="283"/>
        <w:jc w:val="both"/>
      </w:pPr>
      <w:r>
        <w:t>b)</w:t>
      </w:r>
      <w:r>
        <w:tab/>
        <w:t>ultrasound acoustic;</w:t>
      </w:r>
    </w:p>
    <w:p w:rsidR="00037CDA" w:rsidRPr="00937C8B" w:rsidRDefault="00037CDA" w:rsidP="00BE0B9A">
      <w:pPr>
        <w:pStyle w:val="CTENormal"/>
        <w:spacing w:before="0" w:after="0"/>
        <w:ind w:left="567" w:hanging="283"/>
        <w:jc w:val="both"/>
      </w:pPr>
      <w:r>
        <w:t>c)</w:t>
      </w:r>
      <w:r>
        <w:tab/>
        <w:t>microwave;</w:t>
      </w:r>
    </w:p>
    <w:p w:rsidR="00037CDA" w:rsidRPr="00937C8B" w:rsidRDefault="00037CDA" w:rsidP="00BE0B9A">
      <w:pPr>
        <w:pStyle w:val="CTENormal"/>
        <w:spacing w:before="0" w:after="0"/>
        <w:ind w:left="567" w:hanging="283"/>
        <w:jc w:val="both"/>
      </w:pPr>
      <w:r>
        <w:t>d)</w:t>
      </w:r>
      <w:r>
        <w:tab/>
        <w:t>combinations of the above.</w:t>
      </w:r>
    </w:p>
    <w:p w:rsidR="00037CDA" w:rsidRPr="00937C8B" w:rsidRDefault="00037CDA" w:rsidP="00037CDA">
      <w:pPr>
        <w:pStyle w:val="CTENormal"/>
        <w:jc w:val="both"/>
      </w:pPr>
      <w:r>
        <w:rPr>
          <w:rStyle w:val="CteAnejo-DefinicionCar"/>
        </w:rPr>
        <w:t>Timer system</w:t>
      </w:r>
      <w:r>
        <w:t>: set of devices, cabling and components intended for automatic control of deactivation of a lighting installation based on a preset activation time.</w:t>
      </w:r>
    </w:p>
    <w:p w:rsidR="00037CDA" w:rsidRPr="00937C8B" w:rsidRDefault="00037CDA" w:rsidP="00037CDA">
      <w:pPr>
        <w:pStyle w:val="CTENormal"/>
        <w:jc w:val="both"/>
      </w:pPr>
      <w:r>
        <w:rPr>
          <w:rStyle w:val="CteAnejo-DefinicionCar"/>
        </w:rPr>
        <w:t>Dimensional system</w:t>
      </w:r>
      <w:r>
        <w:t>: system used to determine the method for determining the characteristic length (or other magnitude) of a construction element.</w:t>
      </w:r>
    </w:p>
    <w:p w:rsidR="00037CDA" w:rsidRPr="00937C8B" w:rsidRDefault="00037CDA" w:rsidP="00037CDA">
      <w:pPr>
        <w:pStyle w:val="CTENormal"/>
        <w:jc w:val="both"/>
      </w:pPr>
      <w:r>
        <w:rPr>
          <w:rStyle w:val="CteAnejo-DefinicionCar"/>
        </w:rPr>
        <w:t>District heating system (or district cooling system)</w:t>
      </w:r>
      <w:r>
        <w:t>: distribution of thermal energy in the form of steam, hot water or coolants, from a central production source over a grid to multiple buildings or locations, to heat or cool spaces or processes.</w:t>
      </w:r>
    </w:p>
    <w:p w:rsidR="00037CDA" w:rsidRPr="00937C8B" w:rsidRDefault="00037CDA" w:rsidP="00037CDA">
      <w:pPr>
        <w:pStyle w:val="CTENormal"/>
        <w:jc w:val="both"/>
      </w:pPr>
      <w:r>
        <w:rPr>
          <w:rStyle w:val="CteAnejo-DefinicionCar"/>
        </w:rPr>
        <w:t>External factors</w:t>
      </w:r>
      <w:r>
        <w:t>: actions external to the building that affect its thermal behaviour. This essentially includes thermal loads due to climate.</w:t>
      </w:r>
    </w:p>
    <w:p w:rsidR="00037CDA" w:rsidRPr="00937C8B" w:rsidRDefault="00037CDA" w:rsidP="00037CDA">
      <w:pPr>
        <w:pStyle w:val="CTENormal"/>
        <w:jc w:val="both"/>
      </w:pPr>
      <w:r>
        <w:t xml:space="preserve">To describe these actions for the purposes of calculation, various </w:t>
      </w:r>
      <w:r>
        <w:rPr>
          <w:i/>
          <w:iCs/>
        </w:rPr>
        <w:t>climate zones</w:t>
      </w:r>
      <w:r>
        <w:t xml:space="preserve"> are defined based on certain conventional heating and cooling needs.</w:t>
      </w:r>
    </w:p>
    <w:p w:rsidR="00037CDA" w:rsidRPr="00937C8B" w:rsidRDefault="00037CDA" w:rsidP="00037CDA">
      <w:pPr>
        <w:pStyle w:val="CTENormal"/>
        <w:jc w:val="both"/>
      </w:pPr>
      <w:r>
        <w:rPr>
          <w:rStyle w:val="CteAnejo-DefinicionCar"/>
        </w:rPr>
        <w:t>Internal factors</w:t>
      </w:r>
      <w:r>
        <w:t>: actions internal to the building that affect its thermal behaviour. This essentially includes thermal loads, based on use, due to energy generated by occupants, equipment and lighting.</w:t>
      </w:r>
    </w:p>
    <w:p w:rsidR="00037CDA" w:rsidRPr="00937C8B" w:rsidRDefault="00037CDA" w:rsidP="00D27646">
      <w:pPr>
        <w:pStyle w:val="Standard"/>
        <w:keepNext/>
        <w:jc w:val="both"/>
      </w:pPr>
      <w:r>
        <w:t xml:space="preserve">This is described with a </w:t>
      </w:r>
      <w:r>
        <w:rPr>
          <w:i/>
          <w:iCs/>
        </w:rPr>
        <w:t>usage profile</w:t>
      </w:r>
      <w:r>
        <w:t>, which gives an hour-by-hour account of the following, for a typical year and for each type of space:</w:t>
      </w:r>
    </w:p>
    <w:p w:rsidR="00037CDA" w:rsidRPr="00937C8B" w:rsidRDefault="00037CDA" w:rsidP="00BE0B9A">
      <w:pPr>
        <w:pStyle w:val="Standard"/>
        <w:ind w:left="567" w:hanging="283"/>
        <w:jc w:val="both"/>
        <w:rPr>
          <w:bCs/>
          <w:szCs w:val="20"/>
        </w:rPr>
      </w:pPr>
      <w:r>
        <w:t>a)</w:t>
      </w:r>
      <w:r>
        <w:tab/>
        <w:t xml:space="preserve">the </w:t>
      </w:r>
      <w:r>
        <w:rPr>
          <w:i/>
        </w:rPr>
        <w:t>internal load</w:t>
      </w:r>
      <w:r>
        <w:t xml:space="preserve"> from occupants (only </w:t>
      </w:r>
      <w:r>
        <w:rPr>
          <w:i/>
        </w:rPr>
        <w:t>habitable spaces</w:t>
      </w:r>
      <w:r>
        <w:t>);</w:t>
      </w:r>
    </w:p>
    <w:p w:rsidR="00037CDA" w:rsidRPr="00937C8B" w:rsidRDefault="00037CDA" w:rsidP="00BE0B9A">
      <w:pPr>
        <w:pStyle w:val="Standard"/>
        <w:ind w:left="567" w:hanging="283"/>
        <w:jc w:val="both"/>
        <w:rPr>
          <w:bCs/>
          <w:szCs w:val="20"/>
        </w:rPr>
      </w:pPr>
      <w:r>
        <w:t>b)</w:t>
      </w:r>
      <w:r>
        <w:tab/>
        <w:t xml:space="preserve">the </w:t>
      </w:r>
      <w:r>
        <w:rPr>
          <w:i/>
        </w:rPr>
        <w:t>internal load</w:t>
      </w:r>
      <w:r>
        <w:t xml:space="preserve"> from lighting;</w:t>
      </w:r>
    </w:p>
    <w:p w:rsidR="00037CDA" w:rsidRPr="00937C8B" w:rsidRDefault="00037CDA" w:rsidP="00BE0B9A">
      <w:pPr>
        <w:pStyle w:val="Standard"/>
        <w:ind w:left="567" w:hanging="283"/>
        <w:jc w:val="both"/>
        <w:rPr>
          <w:szCs w:val="20"/>
        </w:rPr>
      </w:pPr>
      <w:r>
        <w:t>c)</w:t>
      </w:r>
      <w:r>
        <w:tab/>
        <w:t xml:space="preserve">the </w:t>
      </w:r>
      <w:r>
        <w:rPr>
          <w:i/>
        </w:rPr>
        <w:t>internal load</w:t>
      </w:r>
      <w:r>
        <w:t xml:space="preserve"> from equipment.</w:t>
      </w:r>
    </w:p>
    <w:p w:rsidR="00037CDA" w:rsidRPr="00937C8B" w:rsidRDefault="00037CDA" w:rsidP="00037CDA">
      <w:pPr>
        <w:pStyle w:val="CTENormal"/>
        <w:jc w:val="both"/>
      </w:pPr>
      <w:r>
        <w:rPr>
          <w:rStyle w:val="CteAnejo-DefinicionCar"/>
        </w:rPr>
        <w:t>Floor</w:t>
      </w:r>
      <w:r>
        <w:t xml:space="preserve">: horizontal or slightly inclined </w:t>
      </w:r>
      <w:r>
        <w:rPr>
          <w:i/>
        </w:rPr>
        <w:t>enclosure</w:t>
      </w:r>
      <w:r>
        <w:t xml:space="preserve"> whose underside is in contact with the air, the ground or a non-habitable space.</w:t>
      </w:r>
    </w:p>
    <w:p w:rsidR="00037CDA" w:rsidRPr="00937C8B" w:rsidRDefault="00037CDA" w:rsidP="00037CDA">
      <w:pPr>
        <w:pStyle w:val="CTENormal"/>
        <w:jc w:val="both"/>
      </w:pPr>
      <w:r>
        <w:rPr>
          <w:rStyle w:val="CteAnejo-DefinicionCar"/>
        </w:rPr>
        <w:t>Setpoint temperature</w:t>
      </w:r>
      <w:r>
        <w:t xml:space="preserve">: temperature or temperature range used to calculate the </w:t>
      </w:r>
      <w:r>
        <w:rPr>
          <w:i/>
        </w:rPr>
        <w:t>energy demand</w:t>
      </w:r>
      <w:r>
        <w:t xml:space="preserve"> that determines the internal temperature limit that activates the building conditioning systems, requiring energy.</w:t>
      </w:r>
    </w:p>
    <w:p w:rsidR="00037CDA" w:rsidRPr="00937C8B" w:rsidRDefault="00037CDA" w:rsidP="00037CDA">
      <w:pPr>
        <w:pStyle w:val="CTENormal"/>
        <w:jc w:val="both"/>
      </w:pPr>
      <w:r>
        <w:rPr>
          <w:rStyle w:val="CteAnejo-DefinicionCar"/>
        </w:rPr>
        <w:t xml:space="preserve">Thermal transmittance </w:t>
      </w:r>
      <w:r>
        <w:rPr>
          <w:rStyle w:val="CteAnejo-DefinicionCar"/>
          <w:i w:val="0"/>
        </w:rPr>
        <w:t>(U)</w:t>
      </w:r>
      <w:r>
        <w:t>: heat flow, in steady state, for an area and temperature difference per unit between the media located at either side of the element in question.</w:t>
      </w:r>
    </w:p>
    <w:p w:rsidR="00037CDA" w:rsidRPr="00937C8B" w:rsidRDefault="00037CDA" w:rsidP="00037CDA">
      <w:pPr>
        <w:pStyle w:val="CTENormal"/>
        <w:jc w:val="both"/>
      </w:pPr>
      <w:r>
        <w:rPr>
          <w:rStyle w:val="CteAnejo-DefinicionCar"/>
        </w:rPr>
        <w:t>Linear heat transmittance</w:t>
      </w:r>
      <w:r>
        <w:t>: heat flow, in steady state, for a length and temperature difference per unit between the media located at either side of the heat bridge in question.</w:t>
      </w:r>
    </w:p>
    <w:p w:rsidR="00037CDA" w:rsidRPr="00937C8B" w:rsidRDefault="00037CDA" w:rsidP="00D27646">
      <w:pPr>
        <w:pStyle w:val="CTENormal"/>
        <w:keepNext/>
        <w:jc w:val="both"/>
        <w:rPr>
          <w:szCs w:val="22"/>
        </w:rPr>
      </w:pPr>
      <w:r>
        <w:rPr>
          <w:rStyle w:val="CteAnejo-DefinicionCar"/>
        </w:rPr>
        <w:t>Usage unit</w:t>
      </w:r>
      <w:r>
        <w:t xml:space="preserve">: building or part thereof intended for a specific use, whose users are related to one another either as members of a single family unit, business or corporation, or as part of a group or organisation performing the same activity. This Basic Document distinguishes at least the following </w:t>
      </w:r>
      <w:r>
        <w:rPr>
          <w:i/>
          <w:iCs/>
        </w:rPr>
        <w:t>usage units</w:t>
      </w:r>
      <w:r>
        <w:t>:</w:t>
      </w:r>
    </w:p>
    <w:p w:rsidR="00037CDA" w:rsidRPr="00937C8B" w:rsidRDefault="00037CDA" w:rsidP="00BE0B9A">
      <w:pPr>
        <w:pStyle w:val="CTENumeracion"/>
        <w:numPr>
          <w:ilvl w:val="0"/>
          <w:numId w:val="12"/>
        </w:numPr>
        <w:ind w:left="567" w:hanging="283"/>
        <w:rPr>
          <w:rFonts w:cs="Arial"/>
          <w:sz w:val="22"/>
          <w:szCs w:val="22"/>
        </w:rPr>
      </w:pPr>
      <w:r>
        <w:rPr>
          <w:sz w:val="22"/>
        </w:rPr>
        <w:t>in residential buildings, each dwelling;</w:t>
      </w:r>
    </w:p>
    <w:p w:rsidR="00037CDA" w:rsidRPr="00937C8B" w:rsidRDefault="00037CDA" w:rsidP="00BE0B9A">
      <w:pPr>
        <w:pStyle w:val="CTENumeracion"/>
        <w:numPr>
          <w:ilvl w:val="0"/>
          <w:numId w:val="12"/>
        </w:numPr>
        <w:ind w:left="567" w:hanging="283"/>
        <w:rPr>
          <w:rFonts w:cs="Arial"/>
          <w:sz w:val="22"/>
          <w:szCs w:val="22"/>
        </w:rPr>
      </w:pPr>
      <w:r>
        <w:rPr>
          <w:sz w:val="22"/>
        </w:rPr>
        <w:t>in buildings for other uses, each independent commercial space or establishment.</w:t>
      </w:r>
    </w:p>
    <w:p w:rsidR="00037CDA" w:rsidRPr="00937C8B" w:rsidRDefault="00037CDA" w:rsidP="00037CDA">
      <w:pPr>
        <w:pStyle w:val="CTENumeracion"/>
        <w:spacing w:before="360"/>
        <w:ind w:left="0" w:firstLine="0"/>
        <w:rPr>
          <w:rFonts w:cs="Arial"/>
          <w:sz w:val="22"/>
          <w:szCs w:val="22"/>
        </w:rPr>
      </w:pPr>
      <w:r>
        <w:rPr>
          <w:rStyle w:val="CteAnejo-DefinicionCar"/>
          <w:sz w:val="22"/>
        </w:rPr>
        <w:t>Installation energy efficiency value (VEEI)</w:t>
      </w:r>
      <w:r>
        <w:rPr>
          <w:sz w:val="22"/>
        </w:rPr>
        <w:t xml:space="preserve">: value that rates the energy efficiency of a lighting installation of a space with a specific use, and thus also with certain corresponding lighting parameters. This efficiency value does not include lighting installations for display windows or spaces intended to display products to the public (display zones), those for emergency lighting or lighting for private residential </w:t>
      </w:r>
      <w:r>
        <w:rPr>
          <w:i/>
          <w:iCs/>
          <w:sz w:val="22"/>
        </w:rPr>
        <w:t>usage units</w:t>
      </w:r>
      <w:r>
        <w:rPr>
          <w:sz w:val="22"/>
        </w:rPr>
        <w:t>.</w:t>
      </w:r>
    </w:p>
    <w:p w:rsidR="00037CDA" w:rsidRPr="00937C8B" w:rsidRDefault="00037CDA" w:rsidP="00D27646">
      <w:pPr>
        <w:pStyle w:val="CTENormal"/>
        <w:keepNext/>
        <w:jc w:val="both"/>
      </w:pPr>
      <w:r>
        <w:t>This is expressed in W/m</w:t>
      </w:r>
      <w:r>
        <w:rPr>
          <w:vertAlign w:val="superscript"/>
        </w:rPr>
        <w:t>2</w:t>
      </w:r>
      <w:r>
        <w:t xml:space="preserve"> for each 100 lux and is obtained using the equation:</w:t>
      </w:r>
    </w:p>
    <w:p w:rsidR="00037CDA" w:rsidRPr="00937C8B" w:rsidRDefault="00037CDA" w:rsidP="00935676">
      <w:pPr>
        <w:pStyle w:val="CTENormal"/>
        <w:ind w:left="720"/>
        <w:jc w:val="both"/>
      </w:pPr>
      <w:r>
        <w:t>VEEI = 100 · P / (S · E</w:t>
      </w:r>
      <w:r>
        <w:rPr>
          <w:vertAlign w:val="subscript"/>
        </w:rPr>
        <w:t>m</w:t>
      </w:r>
      <w:r>
        <w:t>)</w:t>
      </w:r>
    </w:p>
    <w:p w:rsidR="00037CDA" w:rsidRPr="00937C8B" w:rsidRDefault="00037CDA" w:rsidP="00D27646">
      <w:pPr>
        <w:pStyle w:val="NumeracinCTE"/>
        <w:keepNext/>
        <w:jc w:val="both"/>
      </w:pPr>
      <w:r>
        <w:t xml:space="preserve">where </w:t>
      </w:r>
    </w:p>
    <w:p w:rsidR="00037CDA" w:rsidRPr="00937C8B" w:rsidRDefault="00037CDA" w:rsidP="00935676">
      <w:pPr>
        <w:pStyle w:val="NumeracinCTE"/>
        <w:ind w:left="720"/>
        <w:jc w:val="both"/>
      </w:pPr>
      <w:r>
        <w:t xml:space="preserve">P is the power of the </w:t>
      </w:r>
      <w:r>
        <w:rPr>
          <w:i/>
        </w:rPr>
        <w:t>lamp</w:t>
      </w:r>
      <w:r>
        <w:t xml:space="preserve"> plus the </w:t>
      </w:r>
      <w:r>
        <w:rPr>
          <w:i/>
        </w:rPr>
        <w:t>auxiliary equipment</w:t>
      </w:r>
      <w:r>
        <w:t xml:space="preserve"> [W]; </w:t>
      </w:r>
    </w:p>
    <w:p w:rsidR="00037CDA" w:rsidRPr="00937C8B" w:rsidRDefault="00037CDA" w:rsidP="00935676">
      <w:pPr>
        <w:pStyle w:val="NumeracinCTE"/>
        <w:ind w:left="720"/>
        <w:jc w:val="both"/>
      </w:pPr>
      <w:r>
        <w:t>S is the illuminated area [m²];</w:t>
      </w:r>
    </w:p>
    <w:p w:rsidR="00037CDA" w:rsidRPr="00937C8B" w:rsidRDefault="00037CDA" w:rsidP="00935676">
      <w:pPr>
        <w:pStyle w:val="NumeracinCTE"/>
        <w:ind w:left="720"/>
        <w:jc w:val="both"/>
      </w:pPr>
      <w:r>
        <w:t>E</w:t>
      </w:r>
      <w:r>
        <w:rPr>
          <w:vertAlign w:val="subscript"/>
        </w:rPr>
        <w:t>m</w:t>
      </w:r>
      <w:r>
        <w:rPr>
          <w:sz w:val="20"/>
        </w:rPr>
        <w:t xml:space="preserve"> is </w:t>
      </w:r>
      <w:r>
        <w:t xml:space="preserve">the </w:t>
      </w:r>
      <w:r>
        <w:rPr>
          <w:i/>
        </w:rPr>
        <w:t>average continuous horizontal illuminance</w:t>
      </w:r>
      <w:r>
        <w:t xml:space="preserve"> [lux].</w:t>
      </w:r>
    </w:p>
    <w:p w:rsidR="00037CDA" w:rsidRPr="00937C8B" w:rsidRDefault="00037CDA" w:rsidP="00037CDA">
      <w:pPr>
        <w:pStyle w:val="CTENormal"/>
        <w:jc w:val="both"/>
      </w:pPr>
      <w:r>
        <w:rPr>
          <w:rStyle w:val="CteAnejo-DefinicionCar"/>
        </w:rPr>
        <w:t>Climate zone</w:t>
      </w:r>
      <w:r>
        <w:t>: zone that defines common external factors. This is identified with a letter for the winter climate zone and a number for the summer climate zone.</w:t>
      </w:r>
    </w:p>
    <w:p w:rsidR="00037CDA" w:rsidRPr="00937C8B" w:rsidRDefault="00037CDA" w:rsidP="00037CDA">
      <w:pPr>
        <w:pStyle w:val="CTENormal"/>
        <w:jc w:val="both"/>
      </w:pPr>
      <w:r>
        <w:t xml:space="preserve">In addition to those indicated in the </w:t>
      </w:r>
      <w:r>
        <w:rPr>
          <w:i/>
          <w:iCs/>
        </w:rPr>
        <w:t>recognised documents</w:t>
      </w:r>
      <w:r>
        <w:t xml:space="preserve"> issued by the Autonomous Communities, Annex B can be used to determine the </w:t>
      </w:r>
      <w:r>
        <w:rPr>
          <w:i/>
          <w:iCs/>
        </w:rPr>
        <w:t>climate zone</w:t>
      </w:r>
      <w:r>
        <w:t xml:space="preserve"> for any location, and its </w:t>
      </w:r>
      <w:r>
        <w:rPr>
          <w:i/>
          <w:iCs/>
        </w:rPr>
        <w:t>reference climate</w:t>
      </w:r>
      <w:r>
        <w:t>.</w:t>
      </w:r>
    </w:p>
    <w:p w:rsidR="00037CDA" w:rsidRPr="00937C8B" w:rsidRDefault="00037CDA" w:rsidP="00037CDA">
      <w:pPr>
        <w:pStyle w:val="CTENormal"/>
        <w:jc w:val="both"/>
      </w:pPr>
      <w:r>
        <w:rPr>
          <w:rStyle w:val="CteAnejo-DefinicionCar"/>
        </w:rPr>
        <w:t>Common area</w:t>
      </w:r>
      <w:r>
        <w:t xml:space="preserve">: Zone(s) that serve multiple </w:t>
      </w:r>
      <w:r>
        <w:rPr>
          <w:i/>
        </w:rPr>
        <w:t>usage units</w:t>
      </w:r>
      <w:r>
        <w:t>.</w:t>
      </w:r>
    </w:p>
    <w:p w:rsidR="00230F35" w:rsidRPr="00937C8B" w:rsidRDefault="00037CDA" w:rsidP="00B3445A">
      <w:pPr>
        <w:pStyle w:val="CTENumeracion"/>
        <w:spacing w:before="120"/>
        <w:ind w:left="0" w:firstLine="0"/>
        <w:rPr>
          <w:rFonts w:cs="Arial"/>
        </w:rPr>
      </w:pPr>
      <w:r>
        <w:rPr>
          <w:b/>
          <w:i/>
          <w:sz w:val="22"/>
        </w:rPr>
        <w:t xml:space="preserve">Thermal zone: </w:t>
      </w:r>
      <w:r>
        <w:rPr>
          <w:sz w:val="22"/>
        </w:rPr>
        <w:t>space made up of one or more areas whose temperatures can be considered identical, and that are served by the same climate control subsystem. Each area may have control systems for adjusting thermal inputs.</w:t>
      </w:r>
    </w:p>
    <w:p w:rsidR="00B3445A" w:rsidRPr="00831252" w:rsidRDefault="00B3445A" w:rsidP="0084739B">
      <w:pPr>
        <w:pStyle w:val="CteTtuloSeccion"/>
        <w:pageBreakBefore/>
        <w:rPr>
          <w:rFonts w:cs="Arial"/>
          <w:color w:val="auto"/>
        </w:rPr>
      </w:pPr>
      <w:bookmarkStart w:id="333" w:name="_Toc39157975"/>
      <w:bookmarkStart w:id="334" w:name="_Toc39158141"/>
      <w:bookmarkStart w:id="335" w:name="_Toc44876298"/>
      <w:r>
        <w:rPr>
          <w:color w:val="auto"/>
        </w:rPr>
        <w:t>Annex B.</w:t>
      </w:r>
      <w:r>
        <w:rPr>
          <w:color w:val="auto"/>
        </w:rPr>
        <w:tab/>
        <w:t>Climate zones</w:t>
      </w:r>
      <w:bookmarkEnd w:id="333"/>
      <w:bookmarkEnd w:id="334"/>
      <w:bookmarkEnd w:id="335"/>
    </w:p>
    <w:p w:rsidR="008242B3" w:rsidRPr="00831252" w:rsidRDefault="008242B3" w:rsidP="00786EBA">
      <w:pPr>
        <w:spacing w:before="240" w:after="120"/>
        <w:rPr>
          <w:rFonts w:ascii="Arial" w:hAnsi="Arial" w:cs="Arial"/>
          <w:b/>
          <w:sz w:val="28"/>
          <w:szCs w:val="28"/>
        </w:rPr>
      </w:pPr>
      <w:bookmarkStart w:id="336" w:name="_Toc530395131"/>
      <w:bookmarkStart w:id="337" w:name="_Toc530395306"/>
      <w:bookmarkStart w:id="338" w:name="_Toc530396091"/>
      <w:bookmarkStart w:id="339" w:name="_Toc530396185"/>
      <w:bookmarkStart w:id="340" w:name="_Toc39157976"/>
      <w:bookmarkStart w:id="341" w:name="_Toc39158142"/>
      <w:r>
        <w:rPr>
          <w:rFonts w:ascii="Arial" w:hAnsi="Arial"/>
          <w:b/>
          <w:sz w:val="28"/>
        </w:rPr>
        <w:t>1.</w:t>
      </w:r>
      <w:r>
        <w:rPr>
          <w:rFonts w:ascii="Arial" w:hAnsi="Arial"/>
          <w:b/>
          <w:sz w:val="28"/>
        </w:rPr>
        <w:tab/>
        <w:t>Climate zones</w:t>
      </w:r>
      <w:bookmarkEnd w:id="336"/>
      <w:bookmarkEnd w:id="337"/>
      <w:bookmarkEnd w:id="338"/>
      <w:bookmarkEnd w:id="339"/>
      <w:bookmarkEnd w:id="340"/>
      <w:bookmarkEnd w:id="341"/>
    </w:p>
    <w:p w:rsidR="008242B3" w:rsidRPr="00937C8B" w:rsidRDefault="008242B3" w:rsidP="008242B3">
      <w:pPr>
        <w:pStyle w:val="CTENumeracion"/>
        <w:rPr>
          <w:rFonts w:cs="Arial"/>
          <w:sz w:val="22"/>
          <w:szCs w:val="22"/>
        </w:rPr>
      </w:pPr>
      <w:r>
        <w:rPr>
          <w:sz w:val="22"/>
        </w:rPr>
        <w:t>1</w:t>
      </w:r>
      <w:r>
        <w:rPr>
          <w:sz w:val="22"/>
        </w:rPr>
        <w:tab/>
        <w:t xml:space="preserve">Table a-Annex B indicates the </w:t>
      </w:r>
      <w:r>
        <w:rPr>
          <w:i/>
          <w:sz w:val="22"/>
        </w:rPr>
        <w:t>climate zone</w:t>
      </w:r>
      <w:r>
        <w:rPr>
          <w:sz w:val="22"/>
        </w:rPr>
        <w:t xml:space="preserve"> (CZ) of a location according to its province and elevation with respect to sea level (h):</w:t>
      </w:r>
    </w:p>
    <w:p w:rsidR="008242B3" w:rsidRPr="00937C8B" w:rsidRDefault="008242B3" w:rsidP="008242B3">
      <w:pPr>
        <w:pStyle w:val="CTENumeracion"/>
        <w:spacing w:before="120" w:after="120"/>
        <w:jc w:val="center"/>
        <w:rPr>
          <w:rFonts w:cs="Arial"/>
        </w:rPr>
      </w:pPr>
      <w:r>
        <w:rPr>
          <w:b/>
          <w:sz w:val="18"/>
        </w:rPr>
        <w:t>Table a-Annex B.</w:t>
      </w:r>
      <w:r>
        <w:rPr>
          <w:sz w:val="18"/>
        </w:rPr>
        <w:t xml:space="preserve"> Climate zones</w:t>
      </w:r>
    </w:p>
    <w:tbl>
      <w:tblPr>
        <w:tblW w:w="9627" w:type="dxa"/>
        <w:jc w:val="center"/>
        <w:tblBorders>
          <w:bottom w:val="single" w:sz="4" w:space="0" w:color="000000"/>
          <w:insideH w:val="single" w:sz="4" w:space="0" w:color="000000"/>
        </w:tblBorders>
        <w:tblCellMar>
          <w:left w:w="0" w:type="dxa"/>
          <w:right w:w="0" w:type="dxa"/>
        </w:tblCellMar>
        <w:tblLook w:val="0400" w:firstRow="0" w:lastRow="0" w:firstColumn="0" w:lastColumn="0" w:noHBand="0" w:noVBand="1"/>
      </w:tblPr>
      <w:tblGrid>
        <w:gridCol w:w="2274"/>
        <w:gridCol w:w="618"/>
        <w:gridCol w:w="23"/>
        <w:gridCol w:w="316"/>
        <w:gridCol w:w="29"/>
        <w:gridCol w:w="27"/>
        <w:gridCol w:w="268"/>
        <w:gridCol w:w="20"/>
        <w:gridCol w:w="268"/>
        <w:gridCol w:w="15"/>
        <w:gridCol w:w="273"/>
        <w:gridCol w:w="290"/>
        <w:gridCol w:w="290"/>
        <w:gridCol w:w="7"/>
        <w:gridCol w:w="280"/>
        <w:gridCol w:w="30"/>
        <w:gridCol w:w="257"/>
        <w:gridCol w:w="290"/>
        <w:gridCol w:w="289"/>
        <w:gridCol w:w="277"/>
        <w:gridCol w:w="11"/>
        <w:gridCol w:w="19"/>
        <w:gridCol w:w="255"/>
        <w:gridCol w:w="15"/>
        <w:gridCol w:w="287"/>
        <w:gridCol w:w="23"/>
        <w:gridCol w:w="266"/>
        <w:gridCol w:w="290"/>
        <w:gridCol w:w="289"/>
        <w:gridCol w:w="288"/>
        <w:gridCol w:w="287"/>
        <w:gridCol w:w="277"/>
        <w:gridCol w:w="283"/>
        <w:gridCol w:w="29"/>
        <w:gridCol w:w="292"/>
        <w:gridCol w:w="289"/>
        <w:gridCol w:w="286"/>
      </w:tblGrid>
      <w:tr w:rsidR="008242B3" w:rsidRPr="00937C8B" w:rsidTr="00935676">
        <w:trPr>
          <w:jc w:val="center"/>
        </w:trPr>
        <w:tc>
          <w:tcPr>
            <w:tcW w:w="2274" w:type="dxa"/>
            <w:tcBorders>
              <w:bottom w:val="single" w:sz="4" w:space="0" w:color="000000"/>
            </w:tcBorders>
            <w:shd w:val="clear" w:color="auto" w:fill="auto"/>
            <w:vAlign w:val="center"/>
          </w:tcPr>
          <w:p w:rsidR="008242B3" w:rsidRPr="00937C8B" w:rsidRDefault="008242B3" w:rsidP="003E38D0">
            <w:pPr>
              <w:rPr>
                <w:rFonts w:ascii="Arial" w:hAnsi="Arial" w:cs="Arial"/>
                <w:b/>
                <w:bCs/>
                <w:sz w:val="14"/>
                <w:szCs w:val="14"/>
              </w:rPr>
            </w:pPr>
          </w:p>
        </w:tc>
        <w:tc>
          <w:tcPr>
            <w:tcW w:w="7353" w:type="dxa"/>
            <w:gridSpan w:val="36"/>
            <w:tcBorders>
              <w:top w:val="single" w:sz="4" w:space="0" w:color="000000"/>
              <w:left w:val="single" w:sz="8" w:space="0" w:color="000000"/>
              <w:bottom w:val="single" w:sz="8" w:space="0" w:color="000000"/>
              <w:right w:val="single" w:sz="8" w:space="0" w:color="000000"/>
            </w:tcBorders>
            <w:shd w:val="clear" w:color="auto" w:fill="auto"/>
            <w:vAlign w:val="center"/>
          </w:tcPr>
          <w:p w:rsidR="008242B3" w:rsidRPr="00937C8B" w:rsidRDefault="008242B3" w:rsidP="003E38D0">
            <w:pPr>
              <w:jc w:val="center"/>
              <w:rPr>
                <w:rFonts w:ascii="Arial" w:hAnsi="Arial" w:cs="Arial"/>
                <w:b/>
                <w:bCs/>
                <w:sz w:val="12"/>
                <w:szCs w:val="12"/>
              </w:rPr>
            </w:pPr>
            <w:r>
              <w:rPr>
                <w:rFonts w:ascii="Arial" w:hAnsi="Arial"/>
                <w:b/>
                <w:sz w:val="12"/>
              </w:rPr>
              <w:t>Elevation with respect to sea level (h)</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242B3" w:rsidRPr="00937C8B" w:rsidRDefault="008242B3" w:rsidP="003E38D0">
            <w:pPr>
              <w:rPr>
                <w:rFonts w:ascii="Arial" w:hAnsi="Arial" w:cs="Arial"/>
              </w:rPr>
            </w:pPr>
            <w:r>
              <w:rPr>
                <w:rFonts w:ascii="Arial" w:hAnsi="Arial"/>
                <w:b/>
                <w:sz w:val="14"/>
              </w:rPr>
              <w:t>Province</w:t>
            </w:r>
          </w:p>
        </w:tc>
        <w:tc>
          <w:tcPr>
            <w:tcW w:w="641" w:type="dxa"/>
            <w:gridSpan w:val="2"/>
            <w:tcBorders>
              <w:top w:val="single" w:sz="8" w:space="0" w:color="000000"/>
              <w:left w:val="single" w:sz="8" w:space="0" w:color="000000"/>
              <w:bottom w:val="single" w:sz="8" w:space="0" w:color="000000"/>
              <w:right w:val="single" w:sz="4" w:space="0" w:color="000000"/>
            </w:tcBorders>
            <w:shd w:val="clear" w:color="auto" w:fill="D9D9D9"/>
            <w:vAlign w:val="center"/>
          </w:tcPr>
          <w:p w:rsidR="008242B3" w:rsidRPr="00937C8B" w:rsidRDefault="00447DB2" w:rsidP="00935676">
            <w:pPr>
              <w:jc w:val="center"/>
              <w:rPr>
                <w:rFonts w:ascii="Arial" w:hAnsi="Arial" w:cs="Arial"/>
                <w:b/>
                <w:bCs/>
                <w:sz w:val="12"/>
                <w:szCs w:val="12"/>
              </w:rPr>
            </w:pPr>
            <w:r>
              <w:rPr>
                <w:rFonts w:ascii="Arial" w:hAnsi="Arial"/>
                <w:b/>
                <w:sz w:val="12"/>
              </w:rPr>
              <w:t>≤ 50 m</w:t>
            </w:r>
          </w:p>
        </w:tc>
        <w:tc>
          <w:tcPr>
            <w:tcW w:w="345" w:type="dxa"/>
            <w:gridSpan w:val="2"/>
            <w:tcBorders>
              <w:top w:val="single" w:sz="8" w:space="0" w:color="000000"/>
              <w:left w:val="single" w:sz="8" w:space="0" w:color="000000"/>
              <w:bottom w:val="single" w:sz="8" w:space="0" w:color="000000"/>
              <w:right w:val="single" w:sz="4" w:space="0" w:color="000000"/>
            </w:tcBorders>
            <w:shd w:val="clear" w:color="auto" w:fill="D9D9D9"/>
            <w:vAlign w:val="center"/>
          </w:tcPr>
          <w:p w:rsidR="008242B3" w:rsidRPr="00937C8B" w:rsidRDefault="00AE2A37" w:rsidP="00935676">
            <w:pPr>
              <w:jc w:val="center"/>
              <w:rPr>
                <w:rFonts w:ascii="Arial" w:hAnsi="Arial" w:cs="Arial"/>
                <w:b/>
                <w:bCs/>
                <w:sz w:val="12"/>
                <w:szCs w:val="12"/>
              </w:rPr>
            </w:pPr>
            <w:r>
              <w:rPr>
                <w:rFonts w:ascii="Arial" w:hAnsi="Arial"/>
                <w:b/>
                <w:sz w:val="12"/>
              </w:rPr>
              <w:t>51 - 100 m</w:t>
            </w:r>
          </w:p>
        </w:tc>
        <w:tc>
          <w:tcPr>
            <w:tcW w:w="295"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101 - 150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111 - 200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 xml:space="preserve">201 - 250 m </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251 - 300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301 - 350 m</w:t>
            </w:r>
          </w:p>
        </w:tc>
        <w:tc>
          <w:tcPr>
            <w:tcW w:w="287"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351 - 400 m</w:t>
            </w:r>
          </w:p>
        </w:tc>
        <w:tc>
          <w:tcPr>
            <w:tcW w:w="287"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401 - 450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451 - 500 m</w:t>
            </w:r>
          </w:p>
        </w:tc>
        <w:tc>
          <w:tcPr>
            <w:tcW w:w="289"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501 - 550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551 - 600 m</w:t>
            </w:r>
          </w:p>
        </w:tc>
        <w:tc>
          <w:tcPr>
            <w:tcW w:w="289" w:type="dxa"/>
            <w:gridSpan w:val="3"/>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601 - 650 m</w:t>
            </w:r>
          </w:p>
        </w:tc>
        <w:tc>
          <w:tcPr>
            <w:tcW w:w="287"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651 - 700 m</w:t>
            </w:r>
          </w:p>
        </w:tc>
        <w:tc>
          <w:tcPr>
            <w:tcW w:w="289"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701 - 750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751 - 800 m</w:t>
            </w:r>
          </w:p>
        </w:tc>
        <w:tc>
          <w:tcPr>
            <w:tcW w:w="289"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801 - 850 m</w:t>
            </w:r>
          </w:p>
        </w:tc>
        <w:tc>
          <w:tcPr>
            <w:tcW w:w="288"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851 - 900 m</w:t>
            </w:r>
          </w:p>
        </w:tc>
        <w:tc>
          <w:tcPr>
            <w:tcW w:w="287"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901 - 950 m</w:t>
            </w:r>
          </w:p>
        </w:tc>
        <w:tc>
          <w:tcPr>
            <w:tcW w:w="277"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951 - 1000 m</w:t>
            </w:r>
          </w:p>
        </w:tc>
        <w:tc>
          <w:tcPr>
            <w:tcW w:w="312"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1001 - 1050 m</w:t>
            </w:r>
          </w:p>
        </w:tc>
        <w:tc>
          <w:tcPr>
            <w:tcW w:w="292"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1051 - 1250 m</w:t>
            </w:r>
          </w:p>
        </w:tc>
        <w:tc>
          <w:tcPr>
            <w:tcW w:w="289" w:type="dxa"/>
            <w:tcBorders>
              <w:top w:val="single" w:sz="8" w:space="0" w:color="000000"/>
              <w:bottom w:val="single" w:sz="8" w:space="0" w:color="000000"/>
            </w:tcBorders>
            <w:shd w:val="clear" w:color="auto" w:fill="D9D9D9"/>
            <w:vAlign w:val="center"/>
          </w:tcPr>
          <w:p w:rsidR="008242B3" w:rsidRPr="00937C8B" w:rsidRDefault="008242B3" w:rsidP="003E38D0">
            <w:pPr>
              <w:ind w:left="-54"/>
              <w:jc w:val="center"/>
              <w:rPr>
                <w:rFonts w:ascii="Arial" w:hAnsi="Arial" w:cs="Arial"/>
                <w:b/>
                <w:bCs/>
                <w:sz w:val="12"/>
                <w:szCs w:val="12"/>
              </w:rPr>
            </w:pPr>
            <w:r>
              <w:rPr>
                <w:rFonts w:ascii="Arial" w:hAnsi="Arial"/>
                <w:b/>
                <w:sz w:val="12"/>
              </w:rPr>
              <w:t>1251 - 1300 m</w:t>
            </w:r>
          </w:p>
        </w:tc>
        <w:tc>
          <w:tcPr>
            <w:tcW w:w="286"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 1301 m</w:t>
            </w:r>
          </w:p>
        </w:tc>
      </w:tr>
      <w:tr w:rsidR="008242B3" w:rsidRPr="00937C8B" w:rsidTr="00935676">
        <w:trPr>
          <w:jc w:val="center"/>
        </w:trPr>
        <w:tc>
          <w:tcPr>
            <w:tcW w:w="2274"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jc w:val="center"/>
              <w:rPr>
                <w:rFonts w:ascii="Arial" w:hAnsi="Arial" w:cs="Arial"/>
                <w:b/>
                <w:bCs/>
                <w:sz w:val="14"/>
                <w:szCs w:val="14"/>
              </w:rPr>
            </w:pPr>
          </w:p>
        </w:tc>
        <w:tc>
          <w:tcPr>
            <w:tcW w:w="641" w:type="dxa"/>
            <w:gridSpan w:val="2"/>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345" w:type="dxa"/>
            <w:gridSpan w:val="2"/>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95" w:type="dxa"/>
            <w:gridSpan w:val="2"/>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8" w:type="dxa"/>
            <w:gridSpan w:val="2"/>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8" w:type="dxa"/>
            <w:gridSpan w:val="2"/>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90"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90"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7" w:type="dxa"/>
            <w:gridSpan w:val="2"/>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7" w:type="dxa"/>
            <w:gridSpan w:val="2"/>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90"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9"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8" w:type="dxa"/>
            <w:gridSpan w:val="2"/>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9" w:type="dxa"/>
            <w:gridSpan w:val="3"/>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7"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9" w:type="dxa"/>
            <w:gridSpan w:val="2"/>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90"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9"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8"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7"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77"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312" w:type="dxa"/>
            <w:gridSpan w:val="2"/>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92"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9"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c>
          <w:tcPr>
            <w:tcW w:w="286" w:type="dxa"/>
            <w:tcBorders>
              <w:top w:val="single" w:sz="4" w:space="0" w:color="000000"/>
              <w:bottom w:val="single" w:sz="4" w:space="0" w:color="000000"/>
            </w:tcBorders>
            <w:shd w:val="clear" w:color="auto" w:fill="auto"/>
            <w:tcMar>
              <w:left w:w="70" w:type="dxa"/>
              <w:right w:w="70" w:type="dxa"/>
            </w:tcMar>
            <w:vAlign w:val="center"/>
          </w:tcPr>
          <w:p w:rsidR="008242B3" w:rsidRPr="00937C8B" w:rsidRDefault="008242B3" w:rsidP="003E38D0">
            <w:pPr>
              <w:rPr>
                <w:rFonts w:ascii="Arial" w:hAnsi="Arial" w:cs="Arial"/>
                <w:sz w:val="14"/>
                <w:szCs w:val="14"/>
              </w:rPr>
            </w:pP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rsidR="008242B3" w:rsidRPr="00937C8B" w:rsidRDefault="008242B3" w:rsidP="003E38D0">
            <w:pPr>
              <w:rPr>
                <w:rFonts w:ascii="Arial" w:hAnsi="Arial" w:cs="Arial"/>
                <w:sz w:val="14"/>
                <w:szCs w:val="14"/>
              </w:rPr>
            </w:pPr>
            <w:r>
              <w:rPr>
                <w:rFonts w:ascii="Arial" w:hAnsi="Arial"/>
                <w:sz w:val="14"/>
              </w:rPr>
              <w:t>Albacete</w:t>
            </w:r>
          </w:p>
        </w:tc>
        <w:tc>
          <w:tcPr>
            <w:tcW w:w="3011" w:type="dxa"/>
            <w:gridSpan w:val="16"/>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2886"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c>
          <w:tcPr>
            <w:tcW w:w="1456" w:type="dxa"/>
            <w:gridSpan w:val="6"/>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Alicante/Alacant</w:t>
            </w:r>
          </w:p>
        </w:tc>
        <w:tc>
          <w:tcPr>
            <w:tcW w:w="1857" w:type="dxa"/>
            <w:gridSpan w:val="10"/>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B4</w:t>
            </w:r>
          </w:p>
        </w:tc>
        <w:tc>
          <w:tcPr>
            <w:tcW w:w="2597"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2899" w:type="dxa"/>
            <w:gridSpan w:val="12"/>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rsidR="008242B3" w:rsidRPr="00937C8B" w:rsidRDefault="008242B3" w:rsidP="003E38D0">
            <w:pPr>
              <w:rPr>
                <w:rFonts w:ascii="Arial" w:hAnsi="Arial" w:cs="Arial"/>
                <w:sz w:val="14"/>
                <w:szCs w:val="14"/>
              </w:rPr>
            </w:pPr>
            <w:r>
              <w:rPr>
                <w:rFonts w:ascii="Arial" w:hAnsi="Arial"/>
                <w:sz w:val="14"/>
              </w:rPr>
              <w:t>Almería</w:t>
            </w:r>
          </w:p>
        </w:tc>
        <w:tc>
          <w:tcPr>
            <w:tcW w:w="986" w:type="dxa"/>
            <w:gridSpan w:val="4"/>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A4</w:t>
            </w:r>
          </w:p>
        </w:tc>
        <w:tc>
          <w:tcPr>
            <w:tcW w:w="871" w:type="dxa"/>
            <w:gridSpan w:val="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B4</w:t>
            </w:r>
          </w:p>
        </w:tc>
        <w:tc>
          <w:tcPr>
            <w:tcW w:w="867" w:type="dxa"/>
            <w:gridSpan w:val="4"/>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B3</w:t>
            </w:r>
          </w:p>
        </w:tc>
        <w:tc>
          <w:tcPr>
            <w:tcW w:w="2309" w:type="dxa"/>
            <w:gridSpan w:val="13"/>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BFBFBF"/>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Araba/Álava</w:t>
            </w:r>
          </w:p>
        </w:tc>
        <w:tc>
          <w:tcPr>
            <w:tcW w:w="3867" w:type="dxa"/>
            <w:gridSpan w:val="19"/>
            <w:tcBorders>
              <w:top w:val="single" w:sz="4" w:space="0" w:color="000000"/>
              <w:left w:val="single" w:sz="4" w:space="0" w:color="000000"/>
              <w:bottom w:val="single" w:sz="4" w:space="0" w:color="000000"/>
            </w:tcBorders>
            <w:shd w:val="clear" w:color="F2F2F2" w:fill="FFFFFF"/>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D1</w:t>
            </w:r>
          </w:p>
        </w:tc>
        <w:tc>
          <w:tcPr>
            <w:tcW w:w="3486" w:type="dxa"/>
            <w:gridSpan w:val="17"/>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8242B3" w:rsidRPr="00937C8B" w:rsidRDefault="008242B3" w:rsidP="003E38D0">
            <w:pPr>
              <w:rPr>
                <w:rFonts w:ascii="Arial" w:hAnsi="Arial" w:cs="Arial"/>
                <w:sz w:val="14"/>
                <w:szCs w:val="14"/>
              </w:rPr>
            </w:pPr>
            <w:r>
              <w:rPr>
                <w:rFonts w:ascii="Arial" w:hAnsi="Arial"/>
                <w:sz w:val="14"/>
              </w:rPr>
              <w:t>Asturias</w:t>
            </w:r>
          </w:p>
        </w:tc>
        <w:tc>
          <w:tcPr>
            <w:tcW w:w="618" w:type="dxa"/>
            <w:tcBorders>
              <w:top w:val="single" w:sz="4" w:space="0" w:color="000000"/>
              <w:left w:val="single" w:sz="4" w:space="0" w:color="000000"/>
              <w:bottom w:val="single" w:sz="4" w:space="0" w:color="000000"/>
            </w:tcBorders>
            <w:shd w:val="clear" w:color="F2F2F2" w:fill="FFFFFF"/>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C1</w:t>
            </w:r>
          </w:p>
        </w:tc>
        <w:tc>
          <w:tcPr>
            <w:tcW w:w="2972" w:type="dxa"/>
            <w:gridSpan w:val="17"/>
            <w:tcBorders>
              <w:top w:val="single" w:sz="4" w:space="0" w:color="000000"/>
              <w:left w:val="single" w:sz="4" w:space="0" w:color="000000"/>
              <w:bottom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D1</w:t>
            </w:r>
          </w:p>
        </w:tc>
        <w:tc>
          <w:tcPr>
            <w:tcW w:w="3763" w:type="dxa"/>
            <w:gridSpan w:val="18"/>
            <w:tcBorders>
              <w:top w:val="single" w:sz="4" w:space="0" w:color="000000"/>
              <w:left w:val="single" w:sz="4" w:space="0" w:color="000000"/>
              <w:bottom w:val="single" w:sz="4" w:space="0" w:color="000000"/>
              <w:right w:val="single" w:sz="4" w:space="0" w:color="000000"/>
            </w:tcBorders>
            <w:shd w:val="clear" w:color="auto" w:fill="D9D9D9"/>
            <w:tcMar>
              <w:left w:w="65"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Ávila</w:t>
            </w:r>
          </w:p>
        </w:tc>
        <w:tc>
          <w:tcPr>
            <w:tcW w:w="3590" w:type="dxa"/>
            <w:gridSpan w:val="18"/>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1732" w:type="dxa"/>
            <w:gridSpan w:val="10"/>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D1</w:t>
            </w:r>
          </w:p>
        </w:tc>
        <w:tc>
          <w:tcPr>
            <w:tcW w:w="2031" w:type="dxa"/>
            <w:gridSpan w:val="8"/>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rsidR="008242B3" w:rsidRPr="00937C8B" w:rsidRDefault="008242B3" w:rsidP="003E38D0">
            <w:pPr>
              <w:rPr>
                <w:rFonts w:ascii="Arial" w:hAnsi="Arial" w:cs="Arial"/>
                <w:sz w:val="14"/>
                <w:szCs w:val="14"/>
              </w:rPr>
            </w:pPr>
            <w:r>
              <w:rPr>
                <w:rFonts w:ascii="Arial" w:hAnsi="Arial"/>
                <w:sz w:val="14"/>
              </w:rPr>
              <w:t>Badajoz</w:t>
            </w:r>
          </w:p>
        </w:tc>
        <w:tc>
          <w:tcPr>
            <w:tcW w:w="2724" w:type="dxa"/>
            <w:gridSpan w:val="14"/>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C4</w:t>
            </w:r>
          </w:p>
        </w:tc>
        <w:tc>
          <w:tcPr>
            <w:tcW w:w="287" w:type="dxa"/>
            <w:gridSpan w:val="2"/>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4342" w:type="dxa"/>
            <w:gridSpan w:val="20"/>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rPr>
            </w:pPr>
            <w:r>
              <w:rPr>
                <w:rFonts w:ascii="Arial" w:hAnsi="Arial"/>
                <w:sz w:val="14"/>
              </w:rPr>
              <w:t>Balearic Islands</w:t>
            </w:r>
          </w:p>
        </w:tc>
        <w:tc>
          <w:tcPr>
            <w:tcW w:w="1857" w:type="dxa"/>
            <w:gridSpan w:val="10"/>
            <w:tcBorders>
              <w:top w:val="single" w:sz="4" w:space="0" w:color="000000"/>
              <w:left w:val="single" w:sz="4" w:space="0" w:color="000000"/>
              <w:bottom w:val="single" w:sz="4" w:space="0" w:color="000000"/>
            </w:tcBorders>
            <w:shd w:val="clear" w:color="F2F2F2" w:fill="FFFFFF"/>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B3</w:t>
            </w:r>
          </w:p>
        </w:tc>
        <w:tc>
          <w:tcPr>
            <w:tcW w:w="5496" w:type="dxa"/>
            <w:gridSpan w:val="2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C3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8242B3" w:rsidRPr="00937C8B" w:rsidRDefault="008242B3" w:rsidP="003E38D0">
            <w:pPr>
              <w:rPr>
                <w:rFonts w:ascii="Arial" w:hAnsi="Arial" w:cs="Arial"/>
                <w:sz w:val="14"/>
                <w:szCs w:val="14"/>
              </w:rPr>
            </w:pPr>
            <w:r>
              <w:rPr>
                <w:rFonts w:ascii="Arial" w:hAnsi="Arial"/>
                <w:sz w:val="14"/>
              </w:rPr>
              <w:t>Barcelona</w:t>
            </w:r>
          </w:p>
        </w:tc>
        <w:tc>
          <w:tcPr>
            <w:tcW w:w="1857" w:type="dxa"/>
            <w:gridSpan w:val="10"/>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C2</w:t>
            </w:r>
          </w:p>
        </w:tc>
        <w:tc>
          <w:tcPr>
            <w:tcW w:w="1154" w:type="dxa"/>
            <w:gridSpan w:val="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1732" w:type="dxa"/>
            <w:gridSpan w:val="10"/>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D1</w:t>
            </w:r>
          </w:p>
        </w:tc>
        <w:tc>
          <w:tcPr>
            <w:tcW w:w="2610" w:type="dxa"/>
            <w:gridSpan w:val="10"/>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rPr>
            </w:pPr>
            <w:r>
              <w:rPr>
                <w:rFonts w:ascii="Arial" w:hAnsi="Arial"/>
                <w:sz w:val="14"/>
              </w:rPr>
              <w:t>Biscay</w:t>
            </w:r>
          </w:p>
        </w:tc>
        <w:tc>
          <w:tcPr>
            <w:tcW w:w="1857" w:type="dxa"/>
            <w:gridSpan w:val="10"/>
            <w:tcBorders>
              <w:top w:val="single" w:sz="4" w:space="0" w:color="000000"/>
              <w:left w:val="single" w:sz="4" w:space="0" w:color="000000"/>
              <w:bottom w:val="single" w:sz="4" w:space="0" w:color="000000"/>
              <w:right w:val="single" w:sz="4" w:space="0" w:color="000000"/>
            </w:tcBorders>
            <w:shd w:val="clear" w:color="F2F2F2" w:fill="FFFFFF"/>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C1</w:t>
            </w:r>
          </w:p>
        </w:tc>
        <w:tc>
          <w:tcPr>
            <w:tcW w:w="5496" w:type="dxa"/>
            <w:gridSpan w:val="2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8242B3" w:rsidRPr="00937C8B" w:rsidRDefault="008242B3" w:rsidP="003E38D0">
            <w:pPr>
              <w:rPr>
                <w:rFonts w:ascii="Arial" w:hAnsi="Arial" w:cs="Arial"/>
                <w:sz w:val="14"/>
                <w:szCs w:val="14"/>
              </w:rPr>
            </w:pPr>
            <w:r>
              <w:rPr>
                <w:rFonts w:ascii="Arial" w:hAnsi="Arial"/>
                <w:sz w:val="14"/>
              </w:rPr>
              <w:t>Burgos</w:t>
            </w:r>
          </w:p>
        </w:tc>
        <w:tc>
          <w:tcPr>
            <w:tcW w:w="3878" w:type="dxa"/>
            <w:gridSpan w:val="20"/>
            <w:tcBorders>
              <w:top w:val="single" w:sz="4" w:space="0" w:color="000000"/>
              <w:left w:val="single" w:sz="4" w:space="0" w:color="000000"/>
              <w:bottom w:val="single" w:sz="4" w:space="0" w:color="000000"/>
              <w:right w:val="single" w:sz="4" w:space="0" w:color="000000"/>
            </w:tcBorders>
            <w:shd w:val="clear" w:color="auto" w:fill="auto"/>
            <w:tcMar>
              <w:left w:w="55"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D1</w:t>
            </w:r>
          </w:p>
        </w:tc>
        <w:tc>
          <w:tcPr>
            <w:tcW w:w="3475" w:type="dxa"/>
            <w:gridSpan w:val="1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Cáceres</w:t>
            </w:r>
          </w:p>
        </w:tc>
        <w:tc>
          <w:tcPr>
            <w:tcW w:w="3878" w:type="dxa"/>
            <w:gridSpan w:val="20"/>
            <w:tcBorders>
              <w:top w:val="single" w:sz="4" w:space="0" w:color="000000"/>
              <w:left w:val="single" w:sz="4" w:space="0" w:color="000000"/>
              <w:bottom w:val="single" w:sz="4" w:space="0" w:color="000000"/>
              <w:right w:val="single" w:sz="4" w:space="0" w:color="000000"/>
            </w:tcBorders>
            <w:shd w:val="clear" w:color="F2F2F2" w:fill="FFFFFF"/>
            <w:tcMar>
              <w:left w:w="55"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C4</w:t>
            </w:r>
          </w:p>
        </w:tc>
        <w:tc>
          <w:tcPr>
            <w:tcW w:w="2608" w:type="dxa"/>
            <w:gridSpan w:val="13"/>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c>
          <w:tcPr>
            <w:tcW w:w="867" w:type="dxa"/>
            <w:gridSpan w:val="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8242B3" w:rsidRPr="00937C8B" w:rsidRDefault="008242B3" w:rsidP="003E38D0">
            <w:pPr>
              <w:rPr>
                <w:rFonts w:ascii="Arial" w:hAnsi="Arial" w:cs="Arial"/>
                <w:sz w:val="14"/>
                <w:szCs w:val="14"/>
              </w:rPr>
            </w:pPr>
            <w:r>
              <w:rPr>
                <w:rFonts w:ascii="Arial" w:hAnsi="Arial"/>
                <w:sz w:val="14"/>
              </w:rPr>
              <w:t>Cádiz</w:t>
            </w:r>
          </w:p>
        </w:tc>
        <w:tc>
          <w:tcPr>
            <w:tcW w:w="1281" w:type="dxa"/>
            <w:gridSpan w:val="6"/>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A3</w:t>
            </w:r>
          </w:p>
        </w:tc>
        <w:tc>
          <w:tcPr>
            <w:tcW w:w="1730" w:type="dxa"/>
            <w:gridSpan w:val="10"/>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B3</w:t>
            </w:r>
          </w:p>
        </w:tc>
        <w:tc>
          <w:tcPr>
            <w:tcW w:w="867" w:type="dxa"/>
            <w:gridSpan w:val="4"/>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1444" w:type="dxa"/>
            <w:gridSpan w:val="8"/>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C2</w:t>
            </w:r>
          </w:p>
        </w:tc>
        <w:tc>
          <w:tcPr>
            <w:tcW w:w="2031" w:type="dxa"/>
            <w:gridSpan w:val="8"/>
            <w:tcBorders>
              <w:top w:val="single" w:sz="4" w:space="0" w:color="000000"/>
              <w:left w:val="single" w:sz="4" w:space="0" w:color="000000"/>
              <w:bottom w:val="single" w:sz="4" w:space="0" w:color="000000"/>
              <w:right w:val="single" w:sz="4" w:space="0" w:color="000000"/>
            </w:tcBorders>
            <w:shd w:val="clear" w:color="auto" w:fill="BFBFBF"/>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rPr>
            </w:pPr>
            <w:r>
              <w:rPr>
                <w:rFonts w:ascii="Arial" w:hAnsi="Arial"/>
                <w:sz w:val="14"/>
              </w:rPr>
              <w:t>Cantabria</w:t>
            </w:r>
          </w:p>
        </w:tc>
        <w:tc>
          <w:tcPr>
            <w:tcW w:w="1301" w:type="dxa"/>
            <w:gridSpan w:val="7"/>
            <w:tcBorders>
              <w:top w:val="single" w:sz="4" w:space="0" w:color="000000"/>
              <w:left w:val="single" w:sz="4" w:space="0" w:color="000000"/>
              <w:bottom w:val="single" w:sz="4" w:space="0" w:color="000000"/>
            </w:tcBorders>
            <w:shd w:val="clear" w:color="F2F2F2" w:fill="FFFFFF"/>
            <w:vAlign w:val="center"/>
          </w:tcPr>
          <w:p w:rsidR="008242B3" w:rsidRPr="00937C8B" w:rsidRDefault="008242B3" w:rsidP="003E38D0">
            <w:pPr>
              <w:jc w:val="center"/>
              <w:rPr>
                <w:rFonts w:ascii="Arial" w:hAnsi="Arial" w:cs="Arial"/>
              </w:rPr>
            </w:pPr>
            <w:r>
              <w:rPr>
                <w:rFonts w:ascii="Arial" w:hAnsi="Arial"/>
                <w:sz w:val="14"/>
              </w:rPr>
              <w:t>C1</w:t>
            </w:r>
          </w:p>
        </w:tc>
        <w:tc>
          <w:tcPr>
            <w:tcW w:w="2851" w:type="dxa"/>
            <w:gridSpan w:val="15"/>
            <w:tcBorders>
              <w:top w:val="single" w:sz="4" w:space="0" w:color="000000"/>
              <w:left w:val="single" w:sz="4" w:space="0" w:color="000000"/>
              <w:bottom w:val="single" w:sz="4" w:space="0" w:color="000000"/>
            </w:tcBorders>
            <w:shd w:val="clear" w:color="auto" w:fill="E7E6E6"/>
            <w:vAlign w:val="center"/>
          </w:tcPr>
          <w:p w:rsidR="008242B3" w:rsidRPr="00937C8B" w:rsidRDefault="008242B3" w:rsidP="003E38D0">
            <w:pPr>
              <w:jc w:val="center"/>
              <w:rPr>
                <w:rFonts w:ascii="Arial" w:hAnsi="Arial" w:cs="Arial"/>
              </w:rPr>
            </w:pPr>
            <w:r>
              <w:rPr>
                <w:rFonts w:ascii="Arial" w:hAnsi="Arial"/>
                <w:sz w:val="14"/>
              </w:rPr>
              <w:t>D1</w:t>
            </w:r>
          </w:p>
        </w:tc>
        <w:tc>
          <w:tcPr>
            <w:tcW w:w="3201" w:type="dxa"/>
            <w:gridSpan w:val="14"/>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rsidR="008242B3" w:rsidRPr="00937C8B" w:rsidRDefault="008242B3" w:rsidP="003E38D0">
            <w:pPr>
              <w:rPr>
                <w:rFonts w:ascii="Arial" w:hAnsi="Arial" w:cs="Arial"/>
              </w:rPr>
            </w:pPr>
            <w:r>
              <w:rPr>
                <w:rFonts w:ascii="Arial" w:hAnsi="Arial"/>
                <w:sz w:val="14"/>
              </w:rPr>
              <w:t>Castellón/Castelló</w:t>
            </w:r>
          </w:p>
        </w:tc>
        <w:tc>
          <w:tcPr>
            <w:tcW w:w="1013" w:type="dxa"/>
            <w:gridSpan w:val="5"/>
            <w:tcBorders>
              <w:top w:val="single" w:sz="4" w:space="0" w:color="000000"/>
              <w:left w:val="single" w:sz="4" w:space="0" w:color="000000"/>
              <w:bottom w:val="single" w:sz="4" w:space="0" w:color="000000"/>
            </w:tcBorders>
            <w:shd w:val="clear" w:color="F2F2F2" w:fill="FFFFFF"/>
            <w:vAlign w:val="center"/>
          </w:tcPr>
          <w:p w:rsidR="008242B3" w:rsidRPr="00937C8B" w:rsidRDefault="008242B3" w:rsidP="003E38D0">
            <w:pPr>
              <w:jc w:val="center"/>
              <w:rPr>
                <w:rFonts w:ascii="Arial" w:hAnsi="Arial" w:cs="Arial"/>
                <w:bCs/>
                <w:sz w:val="14"/>
                <w:szCs w:val="14"/>
              </w:rPr>
            </w:pPr>
            <w:r>
              <w:rPr>
                <w:rFonts w:ascii="Arial" w:hAnsi="Arial"/>
                <w:sz w:val="14"/>
              </w:rPr>
              <w:t>B3</w:t>
            </w:r>
          </w:p>
        </w:tc>
        <w:tc>
          <w:tcPr>
            <w:tcW w:w="2288" w:type="dxa"/>
            <w:gridSpan w:val="12"/>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C3</w:t>
            </w:r>
          </w:p>
        </w:tc>
        <w:tc>
          <w:tcPr>
            <w:tcW w:w="577" w:type="dxa"/>
            <w:gridSpan w:val="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c>
          <w:tcPr>
            <w:tcW w:w="2296" w:type="dxa"/>
            <w:gridSpan w:val="11"/>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BFBFBF"/>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Ceuta</w:t>
            </w:r>
          </w:p>
        </w:tc>
        <w:tc>
          <w:tcPr>
            <w:tcW w:w="7353" w:type="dxa"/>
            <w:gridSpan w:val="36"/>
            <w:tcBorders>
              <w:top w:val="single" w:sz="4" w:space="0" w:color="000000"/>
              <w:left w:val="single" w:sz="4" w:space="0" w:color="000000"/>
              <w:bottom w:val="single" w:sz="4" w:space="0" w:color="000000"/>
              <w:right w:val="single" w:sz="4" w:space="0" w:color="000000"/>
            </w:tcBorders>
            <w:shd w:val="clear" w:color="auto" w:fill="auto"/>
            <w:tcMar>
              <w:left w:w="55"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B3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rsidR="008242B3" w:rsidRPr="00937C8B" w:rsidRDefault="008242B3" w:rsidP="003E38D0">
            <w:pPr>
              <w:rPr>
                <w:rFonts w:ascii="Arial" w:hAnsi="Arial" w:cs="Arial"/>
                <w:sz w:val="14"/>
                <w:szCs w:val="14"/>
              </w:rPr>
            </w:pPr>
            <w:r>
              <w:rPr>
                <w:rFonts w:ascii="Arial" w:hAnsi="Arial"/>
                <w:sz w:val="14"/>
              </w:rPr>
              <w:t>Ciudad Real</w:t>
            </w:r>
          </w:p>
        </w:tc>
        <w:tc>
          <w:tcPr>
            <w:tcW w:w="3011" w:type="dxa"/>
            <w:gridSpan w:val="16"/>
            <w:tcBorders>
              <w:top w:val="single" w:sz="4" w:space="0" w:color="000000"/>
              <w:left w:val="single" w:sz="4" w:space="0" w:color="000000"/>
              <w:bottom w:val="single" w:sz="4" w:space="0" w:color="000000"/>
              <w:right w:val="single" w:sz="4" w:space="0" w:color="000000"/>
            </w:tcBorders>
            <w:shd w:val="clear" w:color="F2F2F2" w:fill="FFFFFF"/>
            <w:tcMar>
              <w:left w:w="55"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C4</w:t>
            </w:r>
          </w:p>
        </w:tc>
        <w:tc>
          <w:tcPr>
            <w:tcW w:w="29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4052" w:type="dxa"/>
            <w:gridSpan w:val="19"/>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Córdoba</w:t>
            </w:r>
          </w:p>
        </w:tc>
        <w:tc>
          <w:tcPr>
            <w:tcW w:w="1281" w:type="dxa"/>
            <w:gridSpan w:val="6"/>
            <w:tcBorders>
              <w:top w:val="single" w:sz="4" w:space="0" w:color="000000"/>
              <w:left w:val="single" w:sz="4" w:space="0" w:color="000000"/>
              <w:bottom w:val="single" w:sz="4" w:space="0" w:color="000000"/>
              <w:right w:val="single" w:sz="4" w:space="0" w:color="000000"/>
            </w:tcBorders>
            <w:shd w:val="clear" w:color="auto" w:fill="auto"/>
            <w:tcMar>
              <w:left w:w="55"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B4</w:t>
            </w:r>
          </w:p>
        </w:tc>
        <w:tc>
          <w:tcPr>
            <w:tcW w:w="2309" w:type="dxa"/>
            <w:gridSpan w:val="12"/>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C4</w:t>
            </w:r>
          </w:p>
        </w:tc>
        <w:tc>
          <w:tcPr>
            <w:tcW w:w="3763" w:type="dxa"/>
            <w:gridSpan w:val="18"/>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rsidR="008242B3" w:rsidRPr="00937C8B" w:rsidRDefault="008242B3" w:rsidP="003E38D0">
            <w:pPr>
              <w:rPr>
                <w:rFonts w:ascii="Arial" w:hAnsi="Arial" w:cs="Arial"/>
              </w:rPr>
            </w:pPr>
            <w:r>
              <w:rPr>
                <w:rFonts w:ascii="Arial" w:hAnsi="Arial"/>
                <w:sz w:val="14"/>
              </w:rPr>
              <w:t>Coruña, A</w:t>
            </w:r>
          </w:p>
        </w:tc>
        <w:tc>
          <w:tcPr>
            <w:tcW w:w="1569" w:type="dxa"/>
            <w:gridSpan w:val="8"/>
            <w:tcBorders>
              <w:top w:val="single" w:sz="4" w:space="0" w:color="000000"/>
              <w:left w:val="single" w:sz="4" w:space="0" w:color="000000"/>
              <w:bottom w:val="single" w:sz="4" w:space="0" w:color="000000"/>
              <w:right w:val="single" w:sz="4" w:space="0" w:color="000000"/>
            </w:tcBorders>
            <w:shd w:val="clear" w:color="F2F2F2" w:fill="FFFFFF"/>
            <w:tcMar>
              <w:left w:w="55"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C1</w:t>
            </w:r>
          </w:p>
        </w:tc>
        <w:tc>
          <w:tcPr>
            <w:tcW w:w="5784" w:type="dxa"/>
            <w:gridSpan w:val="28"/>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Cuenca</w:t>
            </w:r>
          </w:p>
        </w:tc>
        <w:tc>
          <w:tcPr>
            <w:tcW w:w="5033" w:type="dxa"/>
            <w:gridSpan w:val="27"/>
            <w:tcBorders>
              <w:top w:val="single" w:sz="4" w:space="0" w:color="000000"/>
              <w:left w:val="single" w:sz="4" w:space="0" w:color="000000"/>
              <w:bottom w:val="single" w:sz="4" w:space="0" w:color="000000"/>
              <w:right w:val="single" w:sz="4" w:space="0" w:color="000000"/>
            </w:tcBorders>
            <w:shd w:val="clear" w:color="auto" w:fill="auto"/>
            <w:tcMar>
              <w:left w:w="55"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c>
          <w:tcPr>
            <w:tcW w:w="1453" w:type="dxa"/>
            <w:gridSpan w:val="6"/>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867" w:type="dxa"/>
            <w:gridSpan w:val="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rsidR="008242B3" w:rsidRPr="00937C8B" w:rsidRDefault="008242B3" w:rsidP="003E38D0">
            <w:pPr>
              <w:rPr>
                <w:rFonts w:ascii="Arial" w:hAnsi="Arial" w:cs="Arial"/>
              </w:rPr>
            </w:pPr>
            <w:r>
              <w:rPr>
                <w:rFonts w:ascii="Arial" w:hAnsi="Arial"/>
                <w:sz w:val="14"/>
              </w:rPr>
              <w:t>Gipuzkoa</w:t>
            </w:r>
          </w:p>
        </w:tc>
        <w:tc>
          <w:tcPr>
            <w:tcW w:w="2754" w:type="dxa"/>
            <w:gridSpan w:val="15"/>
            <w:tcBorders>
              <w:top w:val="single" w:sz="4" w:space="0" w:color="000000"/>
              <w:left w:val="single" w:sz="4" w:space="0" w:color="000000"/>
              <w:bottom w:val="single" w:sz="4" w:space="0" w:color="000000"/>
            </w:tcBorders>
            <w:shd w:val="clear" w:color="auto" w:fill="auto"/>
            <w:vAlign w:val="center"/>
          </w:tcPr>
          <w:p w:rsidR="008242B3" w:rsidRPr="00937C8B" w:rsidRDefault="008242B3" w:rsidP="003E38D0">
            <w:pPr>
              <w:jc w:val="center"/>
              <w:rPr>
                <w:rFonts w:ascii="Arial" w:hAnsi="Arial" w:cs="Arial"/>
              </w:rPr>
            </w:pPr>
            <w:r>
              <w:rPr>
                <w:rFonts w:ascii="Arial" w:hAnsi="Arial"/>
                <w:sz w:val="14"/>
              </w:rPr>
              <w:t>D1</w:t>
            </w:r>
          </w:p>
        </w:tc>
        <w:tc>
          <w:tcPr>
            <w:tcW w:w="4599" w:type="dxa"/>
            <w:gridSpan w:val="21"/>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rPr>
            </w:pPr>
            <w:r>
              <w:rPr>
                <w:rFonts w:ascii="Arial" w:hAnsi="Arial"/>
                <w:sz w:val="14"/>
              </w:rPr>
              <w:t>Girona</w:t>
            </w:r>
          </w:p>
        </w:tc>
        <w:tc>
          <w:tcPr>
            <w:tcW w:w="1013" w:type="dxa"/>
            <w:gridSpan w:val="5"/>
            <w:tcBorders>
              <w:top w:val="single" w:sz="4" w:space="0" w:color="000000"/>
              <w:left w:val="single" w:sz="4" w:space="0" w:color="000000"/>
              <w:bottom w:val="single" w:sz="4" w:space="0" w:color="000000"/>
            </w:tcBorders>
            <w:shd w:val="clear" w:color="auto" w:fill="auto"/>
            <w:vAlign w:val="center"/>
          </w:tcPr>
          <w:p w:rsidR="008242B3" w:rsidRPr="00937C8B" w:rsidRDefault="008242B3" w:rsidP="003E38D0">
            <w:pPr>
              <w:jc w:val="center"/>
              <w:rPr>
                <w:rFonts w:ascii="Arial" w:hAnsi="Arial" w:cs="Arial"/>
              </w:rPr>
            </w:pPr>
            <w:r>
              <w:rPr>
                <w:rFonts w:ascii="Arial" w:hAnsi="Arial"/>
                <w:sz w:val="14"/>
              </w:rPr>
              <w:t>C2</w:t>
            </w:r>
          </w:p>
        </w:tc>
        <w:tc>
          <w:tcPr>
            <w:tcW w:w="2865" w:type="dxa"/>
            <w:gridSpan w:val="15"/>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D2</w:t>
            </w:r>
          </w:p>
        </w:tc>
        <w:tc>
          <w:tcPr>
            <w:tcW w:w="3475" w:type="dxa"/>
            <w:gridSpan w:val="16"/>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8242B3" w:rsidRPr="00937C8B" w:rsidRDefault="008242B3" w:rsidP="003E38D0">
            <w:pPr>
              <w:rPr>
                <w:rFonts w:ascii="Arial" w:hAnsi="Arial" w:cs="Arial"/>
                <w:sz w:val="14"/>
                <w:szCs w:val="14"/>
              </w:rPr>
            </w:pPr>
            <w:r>
              <w:rPr>
                <w:rFonts w:ascii="Arial" w:hAnsi="Arial"/>
                <w:sz w:val="14"/>
              </w:rPr>
              <w:t>Granada</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jc w:val="center"/>
              <w:rPr>
                <w:rFonts w:ascii="Arial" w:hAnsi="Arial" w:cs="Arial"/>
                <w:bCs/>
                <w:sz w:val="14"/>
                <w:szCs w:val="14"/>
              </w:rPr>
            </w:pPr>
            <w:r>
              <w:rPr>
                <w:rFonts w:ascii="Arial" w:hAnsi="Arial"/>
                <w:sz w:val="14"/>
              </w:rPr>
              <w:t>A4</w:t>
            </w:r>
          </w:p>
        </w:tc>
        <w:tc>
          <w:tcPr>
            <w:tcW w:w="1796" w:type="dxa"/>
            <w:gridSpan w:val="10"/>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B4</w:t>
            </w:r>
          </w:p>
        </w:tc>
        <w:tc>
          <w:tcPr>
            <w:tcW w:w="1441" w:type="dxa"/>
            <w:gridSpan w:val="8"/>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C4</w:t>
            </w:r>
          </w:p>
        </w:tc>
        <w:tc>
          <w:tcPr>
            <w:tcW w:w="1155" w:type="dxa"/>
            <w:gridSpan w:val="7"/>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2034" w:type="dxa"/>
            <w:gridSpan w:val="8"/>
            <w:tcBorders>
              <w:top w:val="single" w:sz="4" w:space="0" w:color="000000"/>
              <w:left w:val="single" w:sz="4" w:space="0" w:color="000000"/>
              <w:bottom w:val="single" w:sz="4" w:space="0" w:color="000000"/>
              <w:right w:val="single" w:sz="4" w:space="0" w:color="000000"/>
            </w:tcBorders>
            <w:shd w:val="clear" w:color="auto" w:fill="BFBFBF"/>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c>
          <w:tcPr>
            <w:tcW w:w="286" w:type="dxa"/>
            <w:tcBorders>
              <w:top w:val="single" w:sz="4" w:space="0" w:color="000000"/>
              <w:left w:val="single" w:sz="4" w:space="0" w:color="000000"/>
              <w:bottom w:val="single" w:sz="4" w:space="0" w:color="000000"/>
              <w:right w:val="single" w:sz="4" w:space="0" w:color="000000"/>
            </w:tcBorders>
            <w:shd w:val="clear" w:color="auto" w:fill="A6A6A6"/>
            <w:tcMar>
              <w:left w:w="60" w:type="dxa"/>
              <w:right w:w="70" w:type="dxa"/>
            </w:tcMar>
            <w:vAlign w:val="center"/>
          </w:tcPr>
          <w:p w:rsidR="008242B3" w:rsidRPr="00937C8B" w:rsidRDefault="008242B3" w:rsidP="003E38D0">
            <w:pPr>
              <w:ind w:left="-53"/>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Guadalajara</w:t>
            </w:r>
          </w:p>
        </w:tc>
        <w:tc>
          <w:tcPr>
            <w:tcW w:w="5897" w:type="dxa"/>
            <w:gridSpan w:val="30"/>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jc w:val="center"/>
              <w:rPr>
                <w:rFonts w:ascii="Arial" w:hAnsi="Arial" w:cs="Arial"/>
                <w:bCs/>
                <w:sz w:val="14"/>
                <w:szCs w:val="14"/>
              </w:rPr>
            </w:pPr>
            <w:r>
              <w:rPr>
                <w:rFonts w:ascii="Arial" w:hAnsi="Arial"/>
                <w:sz w:val="14"/>
              </w:rPr>
              <w:t>D3</w:t>
            </w:r>
          </w:p>
        </w:tc>
        <w:tc>
          <w:tcPr>
            <w:tcW w:w="27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8242B3" w:rsidRPr="00937C8B" w:rsidRDefault="008242B3" w:rsidP="003E38D0">
            <w:pPr>
              <w:rPr>
                <w:rFonts w:ascii="Arial" w:hAnsi="Arial" w:cs="Arial"/>
                <w:sz w:val="14"/>
                <w:szCs w:val="14"/>
              </w:rPr>
            </w:pPr>
            <w:r>
              <w:rPr>
                <w:rFonts w:ascii="Arial" w:hAnsi="Arial"/>
                <w:sz w:val="14"/>
              </w:rPr>
              <w:t>Huelva</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jc w:val="center"/>
              <w:rPr>
                <w:rFonts w:ascii="Arial" w:hAnsi="Arial" w:cs="Arial"/>
                <w:bCs/>
                <w:sz w:val="14"/>
                <w:szCs w:val="14"/>
              </w:rPr>
            </w:pPr>
            <w:r>
              <w:rPr>
                <w:rFonts w:ascii="Arial" w:hAnsi="Arial"/>
                <w:sz w:val="14"/>
              </w:rPr>
              <w:t>A4</w:t>
            </w:r>
          </w:p>
        </w:tc>
        <w:tc>
          <w:tcPr>
            <w:tcW w:w="640" w:type="dxa"/>
            <w:gridSpan w:val="4"/>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bCs/>
                <w:sz w:val="14"/>
                <w:szCs w:val="14"/>
              </w:rPr>
            </w:pPr>
            <w:r>
              <w:rPr>
                <w:rFonts w:ascii="Arial" w:hAnsi="Arial"/>
                <w:sz w:val="14"/>
              </w:rPr>
              <w:t>B4</w:t>
            </w:r>
          </w:p>
        </w:tc>
        <w:tc>
          <w:tcPr>
            <w:tcW w:w="1156"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Cs/>
                <w:sz w:val="14"/>
                <w:szCs w:val="14"/>
              </w:rPr>
            </w:pPr>
            <w:r>
              <w:rPr>
                <w:rFonts w:ascii="Arial" w:hAnsi="Arial"/>
                <w:sz w:val="14"/>
              </w:rPr>
              <w:t>B3</w:t>
            </w:r>
          </w:p>
        </w:tc>
        <w:tc>
          <w:tcPr>
            <w:tcW w:w="2596" w:type="dxa"/>
            <w:gridSpan w:val="15"/>
            <w:tcBorders>
              <w:top w:val="single" w:sz="4" w:space="0" w:color="000000"/>
              <w:left w:val="single" w:sz="4" w:space="0" w:color="000000"/>
              <w:bottom w:val="single" w:sz="4" w:space="0" w:color="000000"/>
              <w:right w:val="single" w:sz="4" w:space="0" w:color="000000"/>
            </w:tcBorders>
            <w:shd w:val="clear" w:color="auto" w:fill="D0CECE"/>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BFBFBF"/>
            <w:vAlign w:val="center"/>
          </w:tcPr>
          <w:p w:rsidR="008242B3" w:rsidRPr="00937C8B" w:rsidRDefault="008242B3" w:rsidP="003E38D0">
            <w:pPr>
              <w:jc w:val="center"/>
              <w:rPr>
                <w:rFonts w:ascii="Arial" w:hAnsi="Arial" w:cs="Arial"/>
                <w:bCs/>
                <w:sz w:val="14"/>
                <w:szCs w:val="14"/>
              </w:rPr>
            </w:pPr>
            <w:r>
              <w:rPr>
                <w:rFonts w:ascii="Arial" w:hAnsi="Arial"/>
                <w:sz w:val="14"/>
              </w:rPr>
              <w:t>D3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Huesca</w:t>
            </w:r>
          </w:p>
        </w:tc>
        <w:tc>
          <w:tcPr>
            <w:tcW w:w="1569"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1155" w:type="dxa"/>
            <w:gridSpan w:val="6"/>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bCs/>
                <w:sz w:val="14"/>
                <w:szCs w:val="14"/>
              </w:rPr>
            </w:pPr>
            <w:r>
              <w:rPr>
                <w:rFonts w:ascii="Arial" w:hAnsi="Arial"/>
                <w:sz w:val="14"/>
              </w:rPr>
              <w:t>D3</w:t>
            </w:r>
          </w:p>
        </w:tc>
        <w:tc>
          <w:tcPr>
            <w:tcW w:w="1730" w:type="dxa"/>
            <w:gridSpan w:val="10"/>
            <w:tcBorders>
              <w:top w:val="single" w:sz="4" w:space="0" w:color="000000"/>
              <w:left w:val="single" w:sz="4" w:space="0" w:color="000000"/>
              <w:bottom w:val="single" w:sz="4"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2899" w:type="dxa"/>
            <w:gridSpan w:val="12"/>
            <w:tcBorders>
              <w:top w:val="single" w:sz="4" w:space="0" w:color="000000"/>
              <w:left w:val="single" w:sz="4" w:space="0" w:color="000000"/>
              <w:bottom w:val="single" w:sz="4" w:space="0" w:color="000000"/>
              <w:right w:val="single" w:sz="4" w:space="0" w:color="000000"/>
            </w:tcBorders>
            <w:shd w:val="clear" w:color="auto" w:fill="D0CECE"/>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8242B3" w:rsidRPr="00937C8B" w:rsidRDefault="008242B3" w:rsidP="003E38D0">
            <w:pPr>
              <w:rPr>
                <w:rFonts w:ascii="Arial" w:hAnsi="Arial" w:cs="Arial"/>
                <w:sz w:val="14"/>
                <w:szCs w:val="14"/>
              </w:rPr>
            </w:pPr>
            <w:r>
              <w:rPr>
                <w:rFonts w:ascii="Arial" w:hAnsi="Arial"/>
                <w:sz w:val="14"/>
              </w:rPr>
              <w:t>Jaén</w:t>
            </w:r>
          </w:p>
        </w:tc>
        <w:tc>
          <w:tcPr>
            <w:tcW w:w="2437"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jc w:val="center"/>
              <w:rPr>
                <w:rFonts w:ascii="Arial" w:hAnsi="Arial" w:cs="Arial"/>
                <w:bCs/>
                <w:sz w:val="14"/>
                <w:szCs w:val="14"/>
              </w:rPr>
            </w:pPr>
            <w:r>
              <w:rPr>
                <w:rFonts w:ascii="Arial" w:hAnsi="Arial"/>
                <w:sz w:val="14"/>
              </w:rPr>
              <w:t>B4</w:t>
            </w:r>
          </w:p>
        </w:tc>
        <w:tc>
          <w:tcPr>
            <w:tcW w:w="2306" w:type="dxa"/>
            <w:gridSpan w:val="14"/>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bCs/>
                <w:sz w:val="14"/>
                <w:szCs w:val="14"/>
              </w:rPr>
            </w:pPr>
            <w:r>
              <w:rPr>
                <w:rFonts w:ascii="Arial" w:hAnsi="Arial"/>
                <w:sz w:val="14"/>
              </w:rPr>
              <w:t>C4</w:t>
            </w:r>
          </w:p>
        </w:tc>
        <w:tc>
          <w:tcPr>
            <w:tcW w:w="2035" w:type="dxa"/>
            <w:gridSpan w:val="8"/>
            <w:tcBorders>
              <w:top w:val="single" w:sz="4" w:space="0" w:color="000000"/>
              <w:left w:val="single" w:sz="4" w:space="0" w:color="000000"/>
              <w:bottom w:val="single" w:sz="4"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Cs/>
                <w:sz w:val="14"/>
                <w:szCs w:val="14"/>
              </w:rPr>
            </w:pPr>
            <w:r>
              <w:rPr>
                <w:rFonts w:ascii="Arial" w:hAnsi="Arial"/>
                <w:sz w:val="14"/>
              </w:rPr>
              <w:t>D3</w:t>
            </w:r>
          </w:p>
        </w:tc>
        <w:tc>
          <w:tcPr>
            <w:tcW w:w="575" w:type="dxa"/>
            <w:gridSpan w:val="2"/>
            <w:tcBorders>
              <w:top w:val="single" w:sz="4" w:space="0" w:color="000000"/>
              <w:left w:val="single" w:sz="4" w:space="0" w:color="000000"/>
              <w:bottom w:val="single" w:sz="4" w:space="0" w:color="000000"/>
              <w:right w:val="single" w:sz="4" w:space="0" w:color="000000"/>
            </w:tcBorders>
            <w:shd w:val="clear" w:color="auto" w:fill="D0CECE"/>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León</w:t>
            </w:r>
          </w:p>
        </w:tc>
        <w:tc>
          <w:tcPr>
            <w:tcW w:w="7353" w:type="dxa"/>
            <w:gridSpan w:val="36"/>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8242B3" w:rsidRPr="00937C8B" w:rsidRDefault="008242B3" w:rsidP="003E38D0">
            <w:pPr>
              <w:rPr>
                <w:rFonts w:ascii="Arial" w:hAnsi="Arial" w:cs="Arial"/>
                <w:sz w:val="14"/>
                <w:szCs w:val="14"/>
              </w:rPr>
            </w:pPr>
            <w:r>
              <w:rPr>
                <w:rFonts w:ascii="Arial" w:hAnsi="Arial"/>
                <w:sz w:val="14"/>
              </w:rPr>
              <w:t>Lleida</w:t>
            </w:r>
          </w:p>
        </w:tc>
        <w:tc>
          <w:tcPr>
            <w:tcW w:w="98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2892" w:type="dxa"/>
            <w:gridSpan w:val="16"/>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bCs/>
                <w:sz w:val="14"/>
                <w:szCs w:val="14"/>
              </w:rPr>
            </w:pPr>
            <w:r>
              <w:rPr>
                <w:rFonts w:ascii="Arial" w:hAnsi="Arial"/>
                <w:sz w:val="14"/>
              </w:rPr>
              <w:t>D3</w:t>
            </w:r>
          </w:p>
        </w:tc>
        <w:tc>
          <w:tcPr>
            <w:tcW w:w="3475" w:type="dxa"/>
            <w:gridSpan w:val="16"/>
            <w:tcBorders>
              <w:top w:val="single" w:sz="4" w:space="0" w:color="000000"/>
              <w:left w:val="single" w:sz="4" w:space="0" w:color="000000"/>
              <w:bottom w:val="single" w:sz="4"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rPr>
            </w:pPr>
            <w:r>
              <w:rPr>
                <w:rFonts w:ascii="Arial" w:hAnsi="Arial"/>
                <w:sz w:val="14"/>
              </w:rPr>
              <w:t>Lugo</w:t>
            </w:r>
          </w:p>
        </w:tc>
        <w:tc>
          <w:tcPr>
            <w:tcW w:w="3301"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jc w:val="center"/>
              <w:rPr>
                <w:rFonts w:ascii="Arial" w:hAnsi="Arial" w:cs="Arial"/>
                <w:bCs/>
                <w:sz w:val="14"/>
                <w:szCs w:val="14"/>
              </w:rPr>
            </w:pPr>
            <w:r>
              <w:rPr>
                <w:rFonts w:ascii="Arial" w:hAnsi="Arial"/>
                <w:sz w:val="14"/>
              </w:rPr>
              <w:t>D1</w:t>
            </w:r>
          </w:p>
        </w:tc>
        <w:tc>
          <w:tcPr>
            <w:tcW w:w="4052" w:type="dxa"/>
            <w:gridSpan w:val="19"/>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rsidR="008242B3" w:rsidRPr="00937C8B" w:rsidRDefault="008242B3" w:rsidP="003E38D0">
            <w:pPr>
              <w:rPr>
                <w:rFonts w:ascii="Arial" w:hAnsi="Arial" w:cs="Arial"/>
                <w:sz w:val="14"/>
                <w:szCs w:val="14"/>
              </w:rPr>
            </w:pPr>
            <w:r>
              <w:rPr>
                <w:rFonts w:ascii="Arial" w:hAnsi="Arial"/>
                <w:sz w:val="14"/>
              </w:rPr>
              <w:t>Madrid</w:t>
            </w:r>
          </w:p>
        </w:tc>
        <w:tc>
          <w:tcPr>
            <w:tcW w:w="3301"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2596" w:type="dxa"/>
            <w:gridSpan w:val="13"/>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bCs/>
                <w:sz w:val="14"/>
                <w:szCs w:val="14"/>
              </w:rPr>
            </w:pPr>
            <w:r>
              <w:rPr>
                <w:rFonts w:ascii="Arial" w:hAnsi="Arial"/>
                <w:sz w:val="14"/>
              </w:rPr>
              <w:t>D3</w:t>
            </w:r>
          </w:p>
        </w:tc>
        <w:tc>
          <w:tcPr>
            <w:tcW w:w="27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rPr>
            </w:pPr>
            <w:r>
              <w:rPr>
                <w:rFonts w:ascii="Arial" w:hAnsi="Arial"/>
                <w:sz w:val="14"/>
              </w:rPr>
              <w:t>Málaga</w:t>
            </w:r>
          </w:p>
        </w:tc>
        <w:tc>
          <w:tcPr>
            <w:tcW w:w="957" w:type="dxa"/>
            <w:gridSpan w:val="3"/>
            <w:tcBorders>
              <w:top w:val="single" w:sz="4" w:space="0" w:color="000000"/>
              <w:left w:val="single" w:sz="4" w:space="0" w:color="000000"/>
              <w:bottom w:val="single" w:sz="4" w:space="0" w:color="000000"/>
            </w:tcBorders>
            <w:shd w:val="clear" w:color="auto" w:fill="auto"/>
            <w:vAlign w:val="center"/>
          </w:tcPr>
          <w:p w:rsidR="008242B3" w:rsidRPr="00937C8B" w:rsidRDefault="008242B3" w:rsidP="003E38D0">
            <w:pPr>
              <w:jc w:val="center"/>
              <w:rPr>
                <w:rFonts w:ascii="Arial" w:hAnsi="Arial" w:cs="Arial"/>
                <w:bCs/>
                <w:sz w:val="14"/>
                <w:szCs w:val="14"/>
              </w:rPr>
            </w:pPr>
            <w:r>
              <w:rPr>
                <w:rFonts w:ascii="Arial" w:hAnsi="Arial"/>
                <w:sz w:val="14"/>
              </w:rPr>
              <w:t>A3</w:t>
            </w:r>
          </w:p>
        </w:tc>
        <w:tc>
          <w:tcPr>
            <w:tcW w:w="1190" w:type="dxa"/>
            <w:gridSpan w:val="8"/>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rPr>
            </w:pPr>
            <w:r>
              <w:rPr>
                <w:rFonts w:ascii="Arial" w:hAnsi="Arial"/>
                <w:sz w:val="14"/>
              </w:rPr>
              <w:t>B3</w:t>
            </w:r>
          </w:p>
        </w:tc>
        <w:tc>
          <w:tcPr>
            <w:tcW w:w="2307" w:type="dxa"/>
            <w:gridSpan w:val="13"/>
            <w:tcBorders>
              <w:top w:val="single" w:sz="4" w:space="0" w:color="000000"/>
              <w:left w:val="single" w:sz="4" w:space="0" w:color="000000"/>
              <w:bottom w:val="single" w:sz="4"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2899" w:type="dxa"/>
            <w:gridSpan w:val="12"/>
            <w:tcBorders>
              <w:top w:val="single" w:sz="4" w:space="0" w:color="000000"/>
              <w:left w:val="single" w:sz="4" w:space="0" w:color="000000"/>
              <w:bottom w:val="single" w:sz="4" w:space="0" w:color="000000"/>
              <w:right w:val="single" w:sz="4" w:space="0" w:color="000000"/>
            </w:tcBorders>
            <w:shd w:val="clear" w:color="auto" w:fill="D0CECE"/>
            <w:vAlign w:val="center"/>
          </w:tcPr>
          <w:p w:rsidR="008242B3" w:rsidRPr="00937C8B" w:rsidRDefault="008242B3" w:rsidP="003E38D0">
            <w:pPr>
              <w:jc w:val="center"/>
              <w:rPr>
                <w:rFonts w:ascii="Arial" w:hAnsi="Arial" w:cs="Arial"/>
                <w:bCs/>
                <w:sz w:val="14"/>
                <w:szCs w:val="14"/>
              </w:rPr>
            </w:pPr>
            <w:r>
              <w:rPr>
                <w:rFonts w:ascii="Arial" w:hAnsi="Arial"/>
                <w:sz w:val="14"/>
              </w:rPr>
              <w:t>D3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rsidR="008242B3" w:rsidRPr="00937C8B" w:rsidRDefault="008242B3" w:rsidP="003E38D0">
            <w:pPr>
              <w:rPr>
                <w:rFonts w:ascii="Arial" w:hAnsi="Arial" w:cs="Arial"/>
                <w:sz w:val="14"/>
                <w:szCs w:val="14"/>
              </w:rPr>
            </w:pPr>
            <w:r>
              <w:rPr>
                <w:rFonts w:ascii="Arial" w:hAnsi="Arial"/>
                <w:sz w:val="14"/>
              </w:rPr>
              <w:t>Melilla</w:t>
            </w:r>
          </w:p>
        </w:tc>
        <w:tc>
          <w:tcPr>
            <w:tcW w:w="7353" w:type="dxa"/>
            <w:gridSpan w:val="36"/>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A3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Murcia</w:t>
            </w:r>
          </w:p>
        </w:tc>
        <w:tc>
          <w:tcPr>
            <w:tcW w:w="986" w:type="dxa"/>
            <w:gridSpan w:val="4"/>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B3</w:t>
            </w:r>
          </w:p>
        </w:tc>
        <w:tc>
          <w:tcPr>
            <w:tcW w:w="2604"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3763" w:type="dxa"/>
            <w:gridSpan w:val="18"/>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8242B3" w:rsidRPr="00937C8B" w:rsidRDefault="008242B3" w:rsidP="003E38D0">
            <w:pPr>
              <w:rPr>
                <w:rFonts w:ascii="Arial" w:hAnsi="Arial" w:cs="Arial"/>
                <w:sz w:val="14"/>
                <w:szCs w:val="14"/>
              </w:rPr>
            </w:pPr>
            <w:r>
              <w:rPr>
                <w:rFonts w:ascii="Arial" w:hAnsi="Arial"/>
                <w:sz w:val="14"/>
              </w:rPr>
              <w:t>Navarre</w:t>
            </w:r>
          </w:p>
        </w:tc>
        <w:tc>
          <w:tcPr>
            <w:tcW w:w="986" w:type="dxa"/>
            <w:gridSpan w:val="4"/>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C2</w:t>
            </w:r>
          </w:p>
        </w:tc>
        <w:tc>
          <w:tcPr>
            <w:tcW w:w="1458" w:type="dxa"/>
            <w:gridSpan w:val="9"/>
            <w:tcBorders>
              <w:top w:val="single" w:sz="4" w:space="0" w:color="000000"/>
              <w:left w:val="single" w:sz="4" w:space="0" w:color="000000"/>
              <w:bottom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D2</w:t>
            </w:r>
          </w:p>
        </w:tc>
        <w:tc>
          <w:tcPr>
            <w:tcW w:w="1453" w:type="dxa"/>
            <w:gridSpan w:val="8"/>
            <w:tcBorders>
              <w:top w:val="single" w:sz="4" w:space="0" w:color="000000"/>
              <w:left w:val="single" w:sz="4" w:space="0" w:color="000000"/>
              <w:bottom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D1</w:t>
            </w:r>
          </w:p>
        </w:tc>
        <w:tc>
          <w:tcPr>
            <w:tcW w:w="3456" w:type="dxa"/>
            <w:gridSpan w:val="15"/>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rPr>
            </w:pPr>
            <w:r>
              <w:rPr>
                <w:rFonts w:ascii="Arial" w:hAnsi="Arial"/>
                <w:sz w:val="14"/>
              </w:rPr>
              <w:t>Ourense</w:t>
            </w:r>
          </w:p>
        </w:tc>
        <w:tc>
          <w:tcPr>
            <w:tcW w:w="1281" w:type="dxa"/>
            <w:gridSpan w:val="6"/>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866" w:type="dxa"/>
            <w:gridSpan w:val="5"/>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color w:val="000000"/>
                <w:sz w:val="14"/>
              </w:rPr>
              <w:t>C2</w:t>
            </w:r>
          </w:p>
        </w:tc>
        <w:tc>
          <w:tcPr>
            <w:tcW w:w="2886" w:type="dxa"/>
            <w:gridSpan w:val="16"/>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BFBFBF" w:fill="B3B3B3"/>
            <w:vAlign w:val="center"/>
          </w:tcPr>
          <w:p w:rsidR="008242B3" w:rsidRPr="00937C8B" w:rsidRDefault="008242B3" w:rsidP="003E38D0">
            <w:pPr>
              <w:rPr>
                <w:rFonts w:ascii="Arial" w:hAnsi="Arial" w:cs="Arial"/>
                <w:sz w:val="14"/>
                <w:szCs w:val="14"/>
              </w:rPr>
            </w:pPr>
            <w:r>
              <w:rPr>
                <w:rFonts w:ascii="Arial" w:hAnsi="Arial"/>
                <w:sz w:val="14"/>
              </w:rPr>
              <w:t>Palencia</w:t>
            </w:r>
          </w:p>
        </w:tc>
        <w:tc>
          <w:tcPr>
            <w:tcW w:w="5033" w:type="dxa"/>
            <w:gridSpan w:val="27"/>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D1</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rPr>
            </w:pPr>
            <w:r>
              <w:rPr>
                <w:rFonts w:ascii="Arial" w:hAnsi="Arial"/>
                <w:sz w:val="14"/>
              </w:rPr>
              <w:t>Palmas, Las</w:t>
            </w:r>
          </w:p>
        </w:tc>
        <w:tc>
          <w:tcPr>
            <w:tcW w:w="2437" w:type="dxa"/>
            <w:gridSpan w:val="12"/>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α3</w:t>
            </w:r>
          </w:p>
        </w:tc>
        <w:tc>
          <w:tcPr>
            <w:tcW w:w="2306"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A2</w:t>
            </w:r>
          </w:p>
        </w:tc>
        <w:tc>
          <w:tcPr>
            <w:tcW w:w="1431" w:type="dxa"/>
            <w:gridSpan w:val="5"/>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B2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C2</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937C8B" w:rsidRDefault="008242B3" w:rsidP="003E38D0">
            <w:pPr>
              <w:rPr>
                <w:rFonts w:ascii="Arial" w:hAnsi="Arial" w:cs="Arial"/>
                <w:sz w:val="14"/>
                <w:szCs w:val="14"/>
              </w:rPr>
            </w:pPr>
            <w:r>
              <w:rPr>
                <w:rFonts w:ascii="Arial" w:hAnsi="Arial"/>
                <w:sz w:val="14"/>
              </w:rPr>
              <w:t>Pontevedra</w:t>
            </w:r>
          </w:p>
        </w:tc>
        <w:tc>
          <w:tcPr>
            <w:tcW w:w="2437" w:type="dxa"/>
            <w:gridSpan w:val="12"/>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C1</w:t>
            </w:r>
          </w:p>
        </w:tc>
        <w:tc>
          <w:tcPr>
            <w:tcW w:w="4916" w:type="dxa"/>
            <w:gridSpan w:val="2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rPr>
            </w:pPr>
            <w:r>
              <w:rPr>
                <w:rFonts w:ascii="Arial" w:hAnsi="Arial"/>
                <w:sz w:val="14"/>
              </w:rPr>
              <w:t>Rioja</w:t>
            </w:r>
          </w:p>
        </w:tc>
        <w:tc>
          <w:tcPr>
            <w:tcW w:w="1584" w:type="dxa"/>
            <w:gridSpan w:val="9"/>
            <w:tcBorders>
              <w:top w:val="single" w:sz="4" w:space="0" w:color="000000"/>
              <w:left w:val="single" w:sz="4" w:space="0" w:color="000000"/>
              <w:bottom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C2</w:t>
            </w:r>
          </w:p>
        </w:tc>
        <w:tc>
          <w:tcPr>
            <w:tcW w:w="2893" w:type="dxa"/>
            <w:gridSpan w:val="16"/>
            <w:tcBorders>
              <w:top w:val="single" w:sz="4" w:space="0" w:color="000000"/>
              <w:left w:val="single" w:sz="4" w:space="0" w:color="000000"/>
              <w:bottom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D2</w:t>
            </w:r>
          </w:p>
        </w:tc>
        <w:tc>
          <w:tcPr>
            <w:tcW w:w="2876" w:type="dxa"/>
            <w:gridSpan w:val="11"/>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937C8B" w:rsidRDefault="008242B3" w:rsidP="003E38D0">
            <w:pPr>
              <w:rPr>
                <w:rFonts w:ascii="Arial" w:hAnsi="Arial" w:cs="Arial"/>
                <w:sz w:val="14"/>
                <w:szCs w:val="14"/>
              </w:rPr>
            </w:pPr>
            <w:r>
              <w:rPr>
                <w:rFonts w:ascii="Arial" w:hAnsi="Arial"/>
                <w:sz w:val="14"/>
              </w:rPr>
              <w:t>Salamanca</w:t>
            </w:r>
          </w:p>
        </w:tc>
        <w:tc>
          <w:tcPr>
            <w:tcW w:w="5322" w:type="dxa"/>
            <w:gridSpan w:val="28"/>
            <w:tcBorders>
              <w:top w:val="single" w:sz="4" w:space="0" w:color="000000"/>
              <w:left w:val="single" w:sz="4" w:space="0" w:color="000000"/>
              <w:bottom w:val="single" w:sz="4" w:space="0" w:color="000000"/>
            </w:tcBorders>
            <w:shd w:val="clear" w:color="F2F2F2" w:fill="FFFFFF"/>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2031" w:type="dxa"/>
            <w:gridSpan w:val="8"/>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Santa Cruz de Tenerife</w:t>
            </w:r>
          </w:p>
        </w:tc>
        <w:tc>
          <w:tcPr>
            <w:tcW w:w="2437" w:type="dxa"/>
            <w:gridSpan w:val="12"/>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α3</w:t>
            </w:r>
          </w:p>
        </w:tc>
        <w:tc>
          <w:tcPr>
            <w:tcW w:w="2306" w:type="dxa"/>
            <w:gridSpan w:val="1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A2</w:t>
            </w:r>
          </w:p>
        </w:tc>
        <w:tc>
          <w:tcPr>
            <w:tcW w:w="1431" w:type="dxa"/>
            <w:gridSpan w:val="5"/>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B2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C2</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937C8B" w:rsidRDefault="008242B3" w:rsidP="003E38D0">
            <w:pPr>
              <w:rPr>
                <w:rFonts w:ascii="Arial" w:hAnsi="Arial" w:cs="Arial"/>
                <w:sz w:val="14"/>
                <w:szCs w:val="14"/>
              </w:rPr>
            </w:pPr>
            <w:r>
              <w:rPr>
                <w:rFonts w:ascii="Arial" w:hAnsi="Arial"/>
                <w:sz w:val="14"/>
              </w:rPr>
              <w:t>Segovia</w:t>
            </w:r>
          </w:p>
        </w:tc>
        <w:tc>
          <w:tcPr>
            <w:tcW w:w="6457" w:type="dxa"/>
            <w:gridSpan w:val="32"/>
            <w:tcBorders>
              <w:top w:val="single" w:sz="4" w:space="0" w:color="000000"/>
              <w:left w:val="single" w:sz="4" w:space="0" w:color="000000"/>
              <w:bottom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896" w:type="dxa"/>
            <w:gridSpan w:val="4"/>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Seville</w:t>
            </w:r>
          </w:p>
        </w:tc>
        <w:tc>
          <w:tcPr>
            <w:tcW w:w="1569" w:type="dxa"/>
            <w:gridSpan w:val="8"/>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B4</w:t>
            </w:r>
          </w:p>
        </w:tc>
        <w:tc>
          <w:tcPr>
            <w:tcW w:w="5784" w:type="dxa"/>
            <w:gridSpan w:val="28"/>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C4</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937C8B" w:rsidRDefault="008242B3" w:rsidP="003E38D0">
            <w:pPr>
              <w:rPr>
                <w:rFonts w:ascii="Arial" w:hAnsi="Arial" w:cs="Arial"/>
                <w:sz w:val="14"/>
                <w:szCs w:val="14"/>
              </w:rPr>
            </w:pPr>
            <w:r>
              <w:rPr>
                <w:rFonts w:ascii="Arial" w:hAnsi="Arial"/>
                <w:sz w:val="14"/>
              </w:rPr>
              <w:t>Soria</w:t>
            </w:r>
          </w:p>
        </w:tc>
        <w:tc>
          <w:tcPr>
            <w:tcW w:w="4743" w:type="dxa"/>
            <w:gridSpan w:val="26"/>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29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bCs/>
                <w:sz w:val="14"/>
                <w:szCs w:val="14"/>
              </w:rPr>
            </w:pPr>
            <w:r>
              <w:rPr>
                <w:rFonts w:ascii="Arial" w:hAnsi="Arial"/>
                <w:sz w:val="14"/>
              </w:rPr>
              <w:t>D1</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Tarragona</w:t>
            </w:r>
          </w:p>
        </w:tc>
        <w:tc>
          <w:tcPr>
            <w:tcW w:w="986" w:type="dxa"/>
            <w:gridSpan w:val="4"/>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B3</w:t>
            </w:r>
          </w:p>
        </w:tc>
        <w:tc>
          <w:tcPr>
            <w:tcW w:w="2315" w:type="dxa"/>
            <w:gridSpan w:val="13"/>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4052" w:type="dxa"/>
            <w:gridSpan w:val="19"/>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937C8B" w:rsidRDefault="008242B3" w:rsidP="003E38D0">
            <w:pPr>
              <w:rPr>
                <w:rFonts w:ascii="Arial" w:hAnsi="Arial" w:cs="Arial"/>
                <w:sz w:val="14"/>
                <w:szCs w:val="14"/>
              </w:rPr>
            </w:pPr>
            <w:r>
              <w:rPr>
                <w:rFonts w:ascii="Arial" w:hAnsi="Arial"/>
                <w:sz w:val="14"/>
              </w:rPr>
              <w:t>Teruel</w:t>
            </w:r>
          </w:p>
        </w:tc>
        <w:tc>
          <w:tcPr>
            <w:tcW w:w="3011"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290"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bCs/>
                <w:sz w:val="14"/>
                <w:szCs w:val="14"/>
              </w:rPr>
            </w:pPr>
            <w:r>
              <w:rPr>
                <w:rFonts w:ascii="Arial" w:hAnsi="Arial"/>
                <w:sz w:val="14"/>
              </w:rPr>
              <w:t>C2</w:t>
            </w:r>
          </w:p>
        </w:tc>
        <w:tc>
          <w:tcPr>
            <w:tcW w:w="2873" w:type="dxa"/>
            <w:gridSpan w:val="14"/>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1179" w:type="dxa"/>
            <w:gridSpan w:val="5"/>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Toledo</w:t>
            </w:r>
          </w:p>
        </w:tc>
        <w:tc>
          <w:tcPr>
            <w:tcW w:w="3301"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jc w:val="center"/>
              <w:rPr>
                <w:rFonts w:ascii="Arial" w:hAnsi="Arial" w:cs="Arial"/>
                <w:bCs/>
                <w:sz w:val="14"/>
                <w:szCs w:val="14"/>
              </w:rPr>
            </w:pPr>
            <w:r>
              <w:rPr>
                <w:rFonts w:ascii="Arial" w:hAnsi="Arial"/>
                <w:sz w:val="14"/>
              </w:rPr>
              <w:t>C4</w:t>
            </w:r>
          </w:p>
        </w:tc>
        <w:tc>
          <w:tcPr>
            <w:tcW w:w="4052" w:type="dxa"/>
            <w:gridSpan w:val="19"/>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937C8B" w:rsidRDefault="008242B3" w:rsidP="003E38D0">
            <w:pPr>
              <w:rPr>
                <w:rFonts w:ascii="Arial" w:hAnsi="Arial" w:cs="Arial"/>
                <w:sz w:val="14"/>
                <w:szCs w:val="14"/>
              </w:rPr>
            </w:pPr>
            <w:r>
              <w:rPr>
                <w:rFonts w:ascii="Arial" w:hAnsi="Arial"/>
                <w:sz w:val="14"/>
              </w:rPr>
              <w:t>Valencia/València</w:t>
            </w:r>
          </w:p>
        </w:tc>
        <w:tc>
          <w:tcPr>
            <w:tcW w:w="64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jc w:val="center"/>
              <w:rPr>
                <w:rFonts w:ascii="Arial" w:hAnsi="Arial" w:cs="Arial"/>
                <w:bCs/>
                <w:sz w:val="14"/>
                <w:szCs w:val="14"/>
              </w:rPr>
            </w:pPr>
            <w:r>
              <w:rPr>
                <w:rFonts w:ascii="Arial" w:hAnsi="Arial"/>
                <w:sz w:val="14"/>
              </w:rPr>
              <w:t>B3</w:t>
            </w:r>
          </w:p>
        </w:tc>
        <w:tc>
          <w:tcPr>
            <w:tcW w:w="2660" w:type="dxa"/>
            <w:gridSpan w:val="15"/>
            <w:tcBorders>
              <w:top w:val="single" w:sz="4" w:space="0" w:color="000000"/>
              <w:left w:val="single" w:sz="4" w:space="0" w:color="000000"/>
              <w:bottom w:val="single" w:sz="4" w:space="0" w:color="000000"/>
              <w:right w:val="single" w:sz="4" w:space="0" w:color="000000"/>
            </w:tcBorders>
            <w:shd w:val="clear" w:color="auto" w:fill="E7E6E6"/>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2596" w:type="dxa"/>
            <w:gridSpan w:val="1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1456" w:type="dxa"/>
            <w:gridSpan w:val="6"/>
            <w:tcBorders>
              <w:top w:val="single" w:sz="4" w:space="0" w:color="000000"/>
              <w:left w:val="single" w:sz="4" w:space="0" w:color="000000"/>
              <w:bottom w:val="single" w:sz="4" w:space="0" w:color="000000"/>
              <w:right w:val="single" w:sz="4" w:space="0" w:color="000000"/>
            </w:tcBorders>
            <w:shd w:val="clear" w:color="auto" w:fill="D0CECE"/>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Valladolid</w:t>
            </w:r>
          </w:p>
        </w:tc>
        <w:tc>
          <w:tcPr>
            <w:tcW w:w="5033" w:type="dxa"/>
            <w:gridSpan w:val="27"/>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8242B3" w:rsidRPr="00937C8B" w:rsidRDefault="008242B3" w:rsidP="003E38D0">
            <w:pPr>
              <w:rPr>
                <w:rFonts w:ascii="Arial" w:hAnsi="Arial" w:cs="Arial"/>
                <w:sz w:val="14"/>
                <w:szCs w:val="14"/>
              </w:rPr>
            </w:pPr>
            <w:r>
              <w:rPr>
                <w:rFonts w:ascii="Arial" w:hAnsi="Arial"/>
                <w:sz w:val="14"/>
              </w:rPr>
              <w:t>Zamora</w:t>
            </w:r>
          </w:p>
        </w:tc>
        <w:tc>
          <w:tcPr>
            <w:tcW w:w="5033" w:type="dxa"/>
            <w:gridSpan w:val="27"/>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D2</w:t>
            </w:r>
          </w:p>
        </w:tc>
        <w:tc>
          <w:tcPr>
            <w:tcW w:w="2320" w:type="dxa"/>
            <w:gridSpan w:val="9"/>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42B3" w:rsidRPr="00937C8B" w:rsidRDefault="008242B3" w:rsidP="003E38D0">
            <w:pPr>
              <w:rPr>
                <w:rFonts w:ascii="Arial" w:hAnsi="Arial" w:cs="Arial"/>
                <w:sz w:val="14"/>
                <w:szCs w:val="14"/>
              </w:rPr>
            </w:pPr>
            <w:r>
              <w:rPr>
                <w:rFonts w:ascii="Arial" w:hAnsi="Arial"/>
                <w:sz w:val="14"/>
              </w:rPr>
              <w:t>Zaragoza</w:t>
            </w:r>
          </w:p>
        </w:tc>
        <w:tc>
          <w:tcPr>
            <w:tcW w:w="1569" w:type="dxa"/>
            <w:gridSpan w:val="8"/>
            <w:tcBorders>
              <w:top w:val="single" w:sz="4" w:space="0" w:color="000000"/>
              <w:left w:val="single" w:sz="4" w:space="0" w:color="000000"/>
              <w:bottom w:val="single" w:sz="4" w:space="0" w:color="000000"/>
              <w:right w:val="single" w:sz="4" w:space="0" w:color="000000"/>
            </w:tcBorders>
            <w:shd w:val="clear" w:color="auto" w:fill="auto"/>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C3</w:t>
            </w:r>
          </w:p>
        </w:tc>
        <w:tc>
          <w:tcPr>
            <w:tcW w:w="2598" w:type="dxa"/>
            <w:gridSpan w:val="15"/>
            <w:tcBorders>
              <w:top w:val="single" w:sz="4" w:space="0" w:color="000000"/>
              <w:left w:val="single" w:sz="4" w:space="0" w:color="000000"/>
              <w:bottom w:val="single" w:sz="4" w:space="0" w:color="000000"/>
              <w:right w:val="single" w:sz="4" w:space="0" w:color="000000"/>
            </w:tcBorders>
            <w:shd w:val="clear" w:color="auto" w:fill="E7E6E6"/>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D3</w:t>
            </w:r>
          </w:p>
        </w:tc>
        <w:tc>
          <w:tcPr>
            <w:tcW w:w="3186" w:type="dxa"/>
            <w:gridSpan w:val="13"/>
            <w:tcBorders>
              <w:top w:val="single" w:sz="4" w:space="0" w:color="000000"/>
              <w:left w:val="single" w:sz="4" w:space="0" w:color="000000"/>
              <w:bottom w:val="single" w:sz="4" w:space="0" w:color="000000"/>
              <w:right w:val="single" w:sz="4" w:space="0" w:color="000000"/>
            </w:tcBorders>
            <w:shd w:val="clear" w:color="auto" w:fill="D9D9D9"/>
            <w:tcMar>
              <w:left w:w="60" w:type="dxa"/>
              <w:right w:w="70" w:type="dxa"/>
            </w:tcMar>
            <w:vAlign w:val="center"/>
          </w:tcPr>
          <w:p w:rsidR="008242B3" w:rsidRPr="00937C8B" w:rsidRDefault="008242B3" w:rsidP="003E38D0">
            <w:pPr>
              <w:jc w:val="center"/>
              <w:rPr>
                <w:rFonts w:ascii="Arial" w:hAnsi="Arial" w:cs="Arial"/>
                <w:bCs/>
                <w:sz w:val="14"/>
                <w:szCs w:val="14"/>
              </w:rPr>
            </w:pPr>
            <w:r>
              <w:rPr>
                <w:rFonts w:ascii="Arial" w:hAnsi="Arial"/>
                <w:sz w:val="14"/>
              </w:rPr>
              <w:t>E1</w:t>
            </w:r>
          </w:p>
        </w:tc>
      </w:tr>
      <w:tr w:rsidR="008242B3" w:rsidRPr="00937C8B" w:rsidTr="00935676">
        <w:trPr>
          <w:jc w:val="center"/>
        </w:trPr>
        <w:tc>
          <w:tcPr>
            <w:tcW w:w="227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8242B3" w:rsidRPr="00937C8B" w:rsidRDefault="008242B3" w:rsidP="003E38D0">
            <w:pPr>
              <w:rPr>
                <w:rFonts w:ascii="Arial" w:hAnsi="Arial" w:cs="Arial"/>
                <w:b/>
                <w:bCs/>
                <w:sz w:val="14"/>
                <w:szCs w:val="14"/>
              </w:rPr>
            </w:pPr>
            <w:r>
              <w:rPr>
                <w:rFonts w:ascii="Arial" w:hAnsi="Arial"/>
                <w:b/>
                <w:sz w:val="14"/>
              </w:rPr>
              <w:t>Province</w:t>
            </w:r>
          </w:p>
        </w:tc>
        <w:tc>
          <w:tcPr>
            <w:tcW w:w="641" w:type="dxa"/>
            <w:gridSpan w:val="2"/>
            <w:tcBorders>
              <w:top w:val="single" w:sz="8" w:space="0" w:color="000000"/>
              <w:left w:val="single" w:sz="8" w:space="0" w:color="000000"/>
              <w:bottom w:val="single" w:sz="8" w:space="0" w:color="000000"/>
              <w:right w:val="single" w:sz="4" w:space="0" w:color="000000"/>
            </w:tcBorders>
            <w:shd w:val="clear" w:color="auto" w:fill="D9D9D9"/>
            <w:vAlign w:val="center"/>
          </w:tcPr>
          <w:p w:rsidR="008242B3" w:rsidRPr="00937C8B" w:rsidRDefault="00447DB2" w:rsidP="00935676">
            <w:pPr>
              <w:jc w:val="center"/>
              <w:rPr>
                <w:rFonts w:ascii="Arial" w:hAnsi="Arial" w:cs="Arial"/>
                <w:b/>
                <w:bCs/>
                <w:sz w:val="12"/>
                <w:szCs w:val="12"/>
              </w:rPr>
            </w:pPr>
            <w:r>
              <w:rPr>
                <w:rFonts w:ascii="Arial" w:hAnsi="Arial"/>
                <w:b/>
                <w:sz w:val="12"/>
              </w:rPr>
              <w:t>≤ 50m</w:t>
            </w:r>
          </w:p>
        </w:tc>
        <w:tc>
          <w:tcPr>
            <w:tcW w:w="345" w:type="dxa"/>
            <w:gridSpan w:val="2"/>
            <w:tcBorders>
              <w:top w:val="single" w:sz="8" w:space="0" w:color="000000"/>
              <w:left w:val="single" w:sz="8" w:space="0" w:color="000000"/>
              <w:bottom w:val="single" w:sz="8" w:space="0" w:color="000000"/>
              <w:right w:val="single" w:sz="4" w:space="0" w:color="000000"/>
            </w:tcBorders>
            <w:shd w:val="clear" w:color="auto" w:fill="D9D9D9"/>
            <w:vAlign w:val="center"/>
          </w:tcPr>
          <w:p w:rsidR="008242B3" w:rsidRPr="00937C8B" w:rsidRDefault="00AE2A37" w:rsidP="00935676">
            <w:pPr>
              <w:jc w:val="center"/>
              <w:rPr>
                <w:rFonts w:ascii="Arial" w:hAnsi="Arial" w:cs="Arial"/>
                <w:b/>
                <w:bCs/>
                <w:sz w:val="12"/>
                <w:szCs w:val="12"/>
              </w:rPr>
            </w:pPr>
            <w:r>
              <w:rPr>
                <w:rFonts w:ascii="Arial" w:hAnsi="Arial"/>
                <w:b/>
                <w:sz w:val="12"/>
              </w:rPr>
              <w:t>51 - 100 m</w:t>
            </w:r>
          </w:p>
        </w:tc>
        <w:tc>
          <w:tcPr>
            <w:tcW w:w="295"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101 - 150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111 - 200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 xml:space="preserve">201 - 250 m </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251 - 300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301 - 350 m</w:t>
            </w:r>
          </w:p>
        </w:tc>
        <w:tc>
          <w:tcPr>
            <w:tcW w:w="287"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351 - 400 m</w:t>
            </w:r>
          </w:p>
        </w:tc>
        <w:tc>
          <w:tcPr>
            <w:tcW w:w="287"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401 - 450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451 - 500 m</w:t>
            </w:r>
          </w:p>
        </w:tc>
        <w:tc>
          <w:tcPr>
            <w:tcW w:w="289"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501 - 550 m</w:t>
            </w:r>
          </w:p>
        </w:tc>
        <w:tc>
          <w:tcPr>
            <w:tcW w:w="288"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551 - 600 m</w:t>
            </w:r>
          </w:p>
        </w:tc>
        <w:tc>
          <w:tcPr>
            <w:tcW w:w="289" w:type="dxa"/>
            <w:gridSpan w:val="3"/>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601 - 650 m</w:t>
            </w:r>
          </w:p>
        </w:tc>
        <w:tc>
          <w:tcPr>
            <w:tcW w:w="287"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651 - 700 m</w:t>
            </w:r>
          </w:p>
        </w:tc>
        <w:tc>
          <w:tcPr>
            <w:tcW w:w="289"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701 - 750 m</w:t>
            </w:r>
          </w:p>
        </w:tc>
        <w:tc>
          <w:tcPr>
            <w:tcW w:w="290"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751 - 800 m</w:t>
            </w:r>
          </w:p>
        </w:tc>
        <w:tc>
          <w:tcPr>
            <w:tcW w:w="289"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801 - 850 m</w:t>
            </w:r>
          </w:p>
        </w:tc>
        <w:tc>
          <w:tcPr>
            <w:tcW w:w="288"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851 - 900 m</w:t>
            </w:r>
          </w:p>
        </w:tc>
        <w:tc>
          <w:tcPr>
            <w:tcW w:w="287"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901 - 950 m</w:t>
            </w:r>
          </w:p>
        </w:tc>
        <w:tc>
          <w:tcPr>
            <w:tcW w:w="277"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951 - 1000 m</w:t>
            </w:r>
          </w:p>
        </w:tc>
        <w:tc>
          <w:tcPr>
            <w:tcW w:w="312" w:type="dxa"/>
            <w:gridSpan w:val="2"/>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1001 - 1050 m</w:t>
            </w:r>
          </w:p>
        </w:tc>
        <w:tc>
          <w:tcPr>
            <w:tcW w:w="292"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1051 - 1250 m</w:t>
            </w:r>
          </w:p>
        </w:tc>
        <w:tc>
          <w:tcPr>
            <w:tcW w:w="289" w:type="dxa"/>
            <w:tcBorders>
              <w:top w:val="single" w:sz="8" w:space="0" w:color="000000"/>
              <w:bottom w:val="single" w:sz="8" w:space="0" w:color="000000"/>
            </w:tcBorders>
            <w:shd w:val="clear" w:color="auto" w:fill="D9D9D9"/>
            <w:vAlign w:val="center"/>
          </w:tcPr>
          <w:p w:rsidR="008242B3" w:rsidRPr="00937C8B" w:rsidRDefault="008242B3" w:rsidP="003E38D0">
            <w:pPr>
              <w:ind w:left="-54"/>
              <w:jc w:val="center"/>
              <w:rPr>
                <w:rFonts w:ascii="Arial" w:hAnsi="Arial" w:cs="Arial"/>
                <w:b/>
                <w:bCs/>
                <w:sz w:val="12"/>
                <w:szCs w:val="12"/>
              </w:rPr>
            </w:pPr>
            <w:r>
              <w:rPr>
                <w:rFonts w:ascii="Arial" w:hAnsi="Arial"/>
                <w:b/>
                <w:sz w:val="12"/>
              </w:rPr>
              <w:t>1251 - 1300 m</w:t>
            </w:r>
          </w:p>
        </w:tc>
        <w:tc>
          <w:tcPr>
            <w:tcW w:w="286" w:type="dxa"/>
            <w:tcBorders>
              <w:top w:val="single" w:sz="8" w:space="0" w:color="000000"/>
              <w:left w:val="single" w:sz="4" w:space="0" w:color="000000"/>
              <w:bottom w:val="single" w:sz="8" w:space="0" w:color="000000"/>
              <w:right w:val="single" w:sz="8" w:space="0" w:color="000000"/>
            </w:tcBorders>
            <w:shd w:val="clear" w:color="auto" w:fill="D9D9D9"/>
            <w:vAlign w:val="center"/>
          </w:tcPr>
          <w:p w:rsidR="008242B3" w:rsidRPr="00937C8B" w:rsidRDefault="008242B3" w:rsidP="003E38D0">
            <w:pPr>
              <w:jc w:val="center"/>
              <w:rPr>
                <w:rFonts w:ascii="Arial" w:hAnsi="Arial" w:cs="Arial"/>
                <w:b/>
                <w:bCs/>
                <w:sz w:val="12"/>
                <w:szCs w:val="12"/>
              </w:rPr>
            </w:pPr>
            <w:r>
              <w:rPr>
                <w:rFonts w:ascii="Arial" w:hAnsi="Arial"/>
                <w:b/>
                <w:sz w:val="12"/>
              </w:rPr>
              <w:t>≥ 1301 m</w:t>
            </w:r>
          </w:p>
        </w:tc>
      </w:tr>
    </w:tbl>
    <w:p w:rsidR="008242B3" w:rsidRPr="00786EBA" w:rsidRDefault="008242B3" w:rsidP="00786EBA">
      <w:pPr>
        <w:keepNext/>
        <w:spacing w:before="240" w:after="120"/>
        <w:rPr>
          <w:rFonts w:ascii="Arial" w:hAnsi="Arial" w:cs="Arial"/>
          <w:b/>
          <w:sz w:val="28"/>
          <w:szCs w:val="28"/>
        </w:rPr>
      </w:pPr>
      <w:bookmarkStart w:id="342" w:name="_Toc530395132"/>
      <w:bookmarkStart w:id="343" w:name="_Toc530395307"/>
      <w:bookmarkStart w:id="344" w:name="_Toc530396092"/>
      <w:bookmarkStart w:id="345" w:name="_Toc530396186"/>
      <w:bookmarkStart w:id="346" w:name="_Toc39157977"/>
      <w:bookmarkStart w:id="347" w:name="_Toc39158143"/>
      <w:r>
        <w:rPr>
          <w:rFonts w:ascii="Arial" w:hAnsi="Arial"/>
          <w:b/>
          <w:sz w:val="28"/>
        </w:rPr>
        <w:t>2.</w:t>
      </w:r>
      <w:r>
        <w:rPr>
          <w:rFonts w:ascii="Arial" w:hAnsi="Arial"/>
          <w:b/>
          <w:sz w:val="28"/>
        </w:rPr>
        <w:tab/>
        <w:t>Reference climate</w:t>
      </w:r>
      <w:bookmarkEnd w:id="342"/>
      <w:bookmarkEnd w:id="343"/>
      <w:bookmarkEnd w:id="344"/>
      <w:bookmarkEnd w:id="345"/>
      <w:bookmarkEnd w:id="346"/>
      <w:bookmarkEnd w:id="347"/>
    </w:p>
    <w:p w:rsidR="00AE2A37" w:rsidRPr="00937C8B" w:rsidRDefault="008242B3" w:rsidP="006C641F">
      <w:pPr>
        <w:pStyle w:val="CTENumeracion"/>
        <w:spacing w:before="120"/>
        <w:rPr>
          <w:rFonts w:cs="Arial"/>
          <w:sz w:val="22"/>
          <w:szCs w:val="22"/>
        </w:rPr>
      </w:pPr>
      <w:r>
        <w:rPr>
          <w:sz w:val="22"/>
        </w:rPr>
        <w:t>1.</w:t>
      </w:r>
      <w:r>
        <w:rPr>
          <w:sz w:val="22"/>
        </w:rPr>
        <w:tab/>
        <w:t xml:space="preserve">The Directorate General for Architecture, Housing and Land [DGAVS] of the Ministry of Public Works shall publish, in electronic format, the data defining the </w:t>
      </w:r>
      <w:r>
        <w:rPr>
          <w:i/>
          <w:sz w:val="22"/>
        </w:rPr>
        <w:t>reference climate</w:t>
      </w:r>
      <w:r>
        <w:rPr>
          <w:sz w:val="22"/>
        </w:rPr>
        <w:t xml:space="preserve"> for each </w:t>
      </w:r>
      <w:r>
        <w:rPr>
          <w:i/>
          <w:iCs/>
          <w:sz w:val="22"/>
        </w:rPr>
        <w:t>climate zone</w:t>
      </w:r>
      <w:r>
        <w:rPr>
          <w:sz w:val="22"/>
        </w:rPr>
        <w:t>, which provides the exterior calculation conditions.</w:t>
      </w:r>
    </w:p>
    <w:p w:rsidR="00AE2A37" w:rsidRPr="00937C8B" w:rsidRDefault="00AE2A37" w:rsidP="0084739B">
      <w:pPr>
        <w:pStyle w:val="CteTtuloSeccion"/>
        <w:pageBreakBefore/>
        <w:rPr>
          <w:rFonts w:cs="Arial"/>
        </w:rPr>
      </w:pPr>
      <w:bookmarkStart w:id="348" w:name="_Toc39157978"/>
      <w:bookmarkStart w:id="349" w:name="_Toc39158144"/>
      <w:bookmarkStart w:id="350" w:name="_Toc44876299"/>
      <w:r>
        <w:rPr>
          <w:color w:val="auto"/>
        </w:rPr>
        <w:t>Annex C.</w:t>
      </w:r>
      <w:r>
        <w:rPr>
          <w:color w:val="auto"/>
        </w:rPr>
        <w:tab/>
        <w:t xml:space="preserve">Factors in defining the </w:t>
      </w:r>
      <w:r>
        <w:rPr>
          <w:i/>
          <w:color w:val="auto"/>
        </w:rPr>
        <w:t>thermal envelope</w:t>
      </w:r>
      <w:bookmarkEnd w:id="348"/>
      <w:bookmarkEnd w:id="349"/>
      <w:bookmarkEnd w:id="350"/>
    </w:p>
    <w:p w:rsidR="00A32FE4" w:rsidRPr="00937C8B" w:rsidRDefault="00A32FE4" w:rsidP="00A32FE4">
      <w:pPr>
        <w:pStyle w:val="Standard"/>
        <w:ind w:left="397" w:hanging="397"/>
        <w:rPr>
          <w:rStyle w:val="CteAnejo-DefinicionCar"/>
          <w:b w:val="0"/>
          <w:i w:val="0"/>
          <w:iCs w:val="0"/>
          <w:szCs w:val="22"/>
        </w:rPr>
      </w:pPr>
    </w:p>
    <w:p w:rsidR="00A32FE4" w:rsidRPr="00937C8B" w:rsidRDefault="00AE2A37" w:rsidP="00AE2A37">
      <w:pPr>
        <w:pStyle w:val="CTENumeracion"/>
        <w:ind w:left="284" w:hanging="284"/>
        <w:rPr>
          <w:rStyle w:val="CteAnejo-DefinicionCar"/>
          <w:b w:val="0"/>
          <w:bCs w:val="0"/>
          <w:i w:val="0"/>
          <w:iCs w:val="0"/>
          <w:sz w:val="22"/>
          <w:szCs w:val="22"/>
        </w:rPr>
      </w:pPr>
      <w:r>
        <w:rPr>
          <w:rStyle w:val="CteAnejo-DefinicionCar"/>
          <w:b w:val="0"/>
          <w:i w:val="0"/>
          <w:sz w:val="22"/>
        </w:rPr>
        <w:t>1.</w:t>
      </w:r>
      <w:r>
        <w:rPr>
          <w:rStyle w:val="CteAnejo-DefinicionCar"/>
          <w:b w:val="0"/>
          <w:i w:val="0"/>
          <w:sz w:val="22"/>
        </w:rPr>
        <w:tab/>
        <w:t xml:space="preserve">The </w:t>
      </w:r>
      <w:r>
        <w:rPr>
          <w:rStyle w:val="CteAnejo-DefinicionCar"/>
          <w:b w:val="0"/>
          <w:sz w:val="22"/>
        </w:rPr>
        <w:t>thermal envelope</w:t>
      </w:r>
      <w:r>
        <w:rPr>
          <w:rStyle w:val="CteAnejo-DefinicionCar"/>
          <w:b w:val="0"/>
          <w:i w:val="0"/>
          <w:sz w:val="22"/>
        </w:rPr>
        <w:t xml:space="preserve"> is made up of </w:t>
      </w:r>
      <w:r>
        <w:rPr>
          <w:sz w:val="22"/>
        </w:rPr>
        <w:t xml:space="preserve">all </w:t>
      </w:r>
      <w:r>
        <w:rPr>
          <w:i/>
          <w:sz w:val="22"/>
        </w:rPr>
        <w:t>enclosures</w:t>
      </w:r>
      <w:r>
        <w:rPr>
          <w:sz w:val="22"/>
        </w:rPr>
        <w:t xml:space="preserve"> and </w:t>
      </w:r>
      <w:r>
        <w:rPr>
          <w:i/>
          <w:sz w:val="22"/>
        </w:rPr>
        <w:t>interior partitions</w:t>
      </w:r>
      <w:r>
        <w:rPr>
          <w:sz w:val="22"/>
        </w:rPr>
        <w:t xml:space="preserve">, including their </w:t>
      </w:r>
      <w:r>
        <w:rPr>
          <w:i/>
          <w:sz w:val="22"/>
        </w:rPr>
        <w:t>heat bridges</w:t>
      </w:r>
      <w:r>
        <w:rPr>
          <w:sz w:val="22"/>
        </w:rPr>
        <w:t xml:space="preserve">, which demarcate </w:t>
      </w:r>
      <w:r>
        <w:rPr>
          <w:rStyle w:val="CteAnejo-DefinicionCar"/>
          <w:b w:val="0"/>
          <w:i w:val="0"/>
          <w:sz w:val="22"/>
        </w:rPr>
        <w:t xml:space="preserve">all </w:t>
      </w:r>
      <w:r>
        <w:rPr>
          <w:rStyle w:val="CteAnejo-DefinicionCar"/>
          <w:b w:val="0"/>
          <w:sz w:val="22"/>
        </w:rPr>
        <w:t>habitable spaces</w:t>
      </w:r>
      <w:r>
        <w:rPr>
          <w:rStyle w:val="CteAnejo-DefinicionCar"/>
          <w:b w:val="0"/>
          <w:i w:val="0"/>
          <w:sz w:val="22"/>
        </w:rPr>
        <w:t xml:space="preserve"> of the building or part thereof. However, at the discretion of the designer:</w:t>
      </w:r>
    </w:p>
    <w:p w:rsidR="00A32FE4" w:rsidRPr="00937C8B" w:rsidRDefault="00A32FE4" w:rsidP="00425ADA">
      <w:pPr>
        <w:pStyle w:val="CTENormal"/>
        <w:numPr>
          <w:ilvl w:val="0"/>
          <w:numId w:val="15"/>
        </w:numPr>
        <w:spacing w:before="0" w:after="0"/>
        <w:ind w:left="567" w:hanging="283"/>
        <w:jc w:val="both"/>
        <w:rPr>
          <w:szCs w:val="22"/>
        </w:rPr>
      </w:pPr>
      <w:r>
        <w:rPr>
          <w:rStyle w:val="CteAnejo-DefinicionCar"/>
          <w:b w:val="0"/>
          <w:i w:val="0"/>
        </w:rPr>
        <w:t xml:space="preserve">it </w:t>
      </w:r>
      <w:r>
        <w:t>may include some or all of the non-habitable spaces;</w:t>
      </w:r>
    </w:p>
    <w:p w:rsidR="00A32FE4" w:rsidRPr="00937C8B" w:rsidRDefault="00A32FE4" w:rsidP="00425ADA">
      <w:pPr>
        <w:pStyle w:val="CTENormal"/>
        <w:numPr>
          <w:ilvl w:val="0"/>
          <w:numId w:val="15"/>
        </w:numPr>
        <w:spacing w:before="0" w:after="0"/>
        <w:ind w:left="567" w:hanging="283"/>
        <w:jc w:val="both"/>
        <w:rPr>
          <w:szCs w:val="22"/>
        </w:rPr>
      </w:pPr>
      <w:r>
        <w:rPr>
          <w:rStyle w:val="CteAnejo-DefinicionCar"/>
          <w:b w:val="0"/>
          <w:i w:val="0"/>
        </w:rPr>
        <w:t>it may exclude spaces such as:</w:t>
      </w:r>
    </w:p>
    <w:p w:rsidR="00A32FE4" w:rsidRPr="00937C8B" w:rsidRDefault="00A32FE4" w:rsidP="00A32FE4">
      <w:pPr>
        <w:pStyle w:val="Textbody"/>
        <w:spacing w:after="57" w:line="240" w:lineRule="auto"/>
        <w:ind w:left="993" w:hanging="284"/>
        <w:jc w:val="both"/>
        <w:rPr>
          <w:szCs w:val="22"/>
        </w:rPr>
      </w:pPr>
      <w:r>
        <w:t>i)</w:t>
      </w:r>
      <w:r>
        <w:tab/>
      </w:r>
      <w:r>
        <w:rPr>
          <w:i/>
        </w:rPr>
        <w:t>habitable spaces</w:t>
      </w:r>
      <w:r>
        <w:t xml:space="preserve"> that will remain unconditioned throughout the service life of the building, such as stairways, lifts or unconditioned corridors;</w:t>
      </w:r>
    </w:p>
    <w:p w:rsidR="00A32FE4" w:rsidRPr="00937C8B" w:rsidRDefault="00A32FE4" w:rsidP="00A32FE4">
      <w:pPr>
        <w:pStyle w:val="Textbody"/>
        <w:spacing w:after="57" w:line="240" w:lineRule="auto"/>
        <w:ind w:left="993" w:hanging="284"/>
        <w:jc w:val="both"/>
        <w:rPr>
          <w:szCs w:val="22"/>
        </w:rPr>
      </w:pPr>
      <w:r>
        <w:t>ii)</w:t>
      </w:r>
      <w:r>
        <w:tab/>
        <w:t>well-ventilated spaces, with a continuous ventilation rate of at least 10 dm</w:t>
      </w:r>
      <w:r>
        <w:rPr>
          <w:vertAlign w:val="superscript"/>
        </w:rPr>
        <w:t>3</w:t>
      </w:r>
      <w:r>
        <w:t>/s per m</w:t>
      </w:r>
      <w:r>
        <w:rPr>
          <w:vertAlign w:val="superscript"/>
        </w:rPr>
        <w:t>2</w:t>
      </w:r>
      <w:r>
        <w:t xml:space="preserve"> of usable area in said space;</w:t>
      </w:r>
    </w:p>
    <w:p w:rsidR="00037CDA" w:rsidRPr="00937C8B" w:rsidRDefault="00447DB2" w:rsidP="00447DB2">
      <w:pPr>
        <w:pStyle w:val="Textbody"/>
        <w:spacing w:after="57" w:line="240" w:lineRule="auto"/>
        <w:ind w:left="993" w:hanging="284"/>
        <w:jc w:val="both"/>
        <w:rPr>
          <w:szCs w:val="22"/>
        </w:rPr>
      </w:pPr>
      <w:r>
        <w:t>iii)</w:t>
      </w:r>
      <w:r>
        <w:tab/>
        <w:t>spaces with large permanent openings to the outside, measuring at least 0.003 m</w:t>
      </w:r>
      <w:r>
        <w:rPr>
          <w:vertAlign w:val="superscript"/>
        </w:rPr>
        <w:t>2</w:t>
      </w:r>
      <w:r>
        <w:t xml:space="preserve"> per m</w:t>
      </w:r>
      <w:r>
        <w:rPr>
          <w:vertAlign w:val="superscript"/>
        </w:rPr>
        <w:t>2</w:t>
      </w:r>
      <w:r>
        <w:t xml:space="preserve"> of usable area in said space.</w:t>
      </w:r>
    </w:p>
    <w:p w:rsidR="00AE2A37" w:rsidRPr="00937C8B" w:rsidRDefault="00AE2A37" w:rsidP="0084739B">
      <w:pPr>
        <w:pStyle w:val="CteTtuloSeccion"/>
        <w:pageBreakBefore/>
        <w:rPr>
          <w:rFonts w:cs="Arial"/>
          <w:color w:val="auto"/>
        </w:rPr>
      </w:pPr>
      <w:bookmarkStart w:id="351" w:name="_Toc39157979"/>
      <w:bookmarkStart w:id="352" w:name="_Toc39158145"/>
      <w:bookmarkStart w:id="353" w:name="_Toc44876300"/>
      <w:r>
        <w:rPr>
          <w:color w:val="auto"/>
        </w:rPr>
        <w:t>Annex D.</w:t>
      </w:r>
      <w:r>
        <w:rPr>
          <w:color w:val="auto"/>
        </w:rPr>
        <w:tab/>
        <w:t>Operating conditions and usage profiles</w:t>
      </w:r>
      <w:bookmarkEnd w:id="351"/>
      <w:bookmarkEnd w:id="352"/>
      <w:bookmarkEnd w:id="353"/>
    </w:p>
    <w:p w:rsidR="00CA4204" w:rsidRPr="00937C8B" w:rsidRDefault="00CA4204" w:rsidP="00CA4204">
      <w:pPr>
        <w:rPr>
          <w:rFonts w:ascii="Arial" w:hAnsi="Arial" w:cs="Arial"/>
        </w:rPr>
      </w:pPr>
    </w:p>
    <w:p w:rsidR="00CA4204" w:rsidRPr="00937C8B" w:rsidRDefault="00CA4204" w:rsidP="00CA4204">
      <w:pPr>
        <w:pStyle w:val="CTENumeracion"/>
        <w:spacing w:before="120"/>
        <w:rPr>
          <w:rFonts w:cs="Arial"/>
          <w:sz w:val="22"/>
          <w:szCs w:val="22"/>
        </w:rPr>
      </w:pPr>
      <w:r>
        <w:rPr>
          <w:sz w:val="22"/>
        </w:rPr>
        <w:t>1.</w:t>
      </w:r>
      <w:r>
        <w:rPr>
          <w:sz w:val="22"/>
        </w:rPr>
        <w:tab/>
        <w:t xml:space="preserve">The spaces in the thermal model shall be associated with certain </w:t>
      </w:r>
      <w:r>
        <w:rPr>
          <w:i/>
          <w:iCs/>
          <w:sz w:val="22"/>
        </w:rPr>
        <w:t>operating conditions</w:t>
      </w:r>
      <w:r>
        <w:rPr>
          <w:sz w:val="22"/>
        </w:rPr>
        <w:t xml:space="preserve"> and </w:t>
      </w:r>
      <w:r>
        <w:rPr>
          <w:i/>
          <w:iCs/>
          <w:sz w:val="22"/>
        </w:rPr>
        <w:t>usage profiles</w:t>
      </w:r>
      <w:r>
        <w:rPr>
          <w:sz w:val="22"/>
        </w:rPr>
        <w:t xml:space="preserve"> corresponding to the specific use of each space.</w:t>
      </w:r>
    </w:p>
    <w:p w:rsidR="00CA4204" w:rsidRPr="00937C8B" w:rsidRDefault="00CA4204" w:rsidP="00CA4204">
      <w:pPr>
        <w:pStyle w:val="CTENumeracion"/>
        <w:spacing w:before="120"/>
        <w:rPr>
          <w:rFonts w:cs="Arial"/>
          <w:sz w:val="22"/>
          <w:szCs w:val="22"/>
        </w:rPr>
      </w:pPr>
      <w:r>
        <w:rPr>
          <w:sz w:val="22"/>
        </w:rPr>
        <w:t>2.</w:t>
      </w:r>
      <w:r>
        <w:rPr>
          <w:sz w:val="22"/>
        </w:rPr>
        <w:tab/>
        <w:t xml:space="preserve">The </w:t>
      </w:r>
      <w:r>
        <w:rPr>
          <w:rStyle w:val="CteAnejo-DefinicionCar"/>
          <w:b w:val="0"/>
          <w:i w:val="0"/>
          <w:sz w:val="22"/>
        </w:rPr>
        <w:t>set of setpoint temperatures of th</w:t>
      </w:r>
      <w:r>
        <w:rPr>
          <w:sz w:val="22"/>
        </w:rPr>
        <w:t xml:space="preserve">e </w:t>
      </w:r>
      <w:r>
        <w:rPr>
          <w:i/>
          <w:sz w:val="22"/>
        </w:rPr>
        <w:t>operating conditions</w:t>
      </w:r>
      <w:r>
        <w:rPr>
          <w:sz w:val="22"/>
        </w:rPr>
        <w:t xml:space="preserve"> and the </w:t>
      </w:r>
      <w:r>
        <w:rPr>
          <w:i/>
          <w:sz w:val="22"/>
        </w:rPr>
        <w:t>usage profile</w:t>
      </w:r>
      <w:r>
        <w:rPr>
          <w:sz w:val="22"/>
        </w:rPr>
        <w:t xml:space="preserve"> for spaces for private residential use, for the purposes of calculating the </w:t>
      </w:r>
      <w:r>
        <w:rPr>
          <w:i/>
          <w:sz w:val="22"/>
        </w:rPr>
        <w:t>energy demand</w:t>
      </w:r>
      <w:r>
        <w:rPr>
          <w:sz w:val="22"/>
        </w:rPr>
        <w:t>, shall be those given in Table a-Annex D, Table b-Annex D and Table c-Annex D:</w:t>
      </w:r>
    </w:p>
    <w:p w:rsidR="00CA4204" w:rsidRPr="00937C8B" w:rsidRDefault="00CA4204" w:rsidP="00CA4204">
      <w:pPr>
        <w:pStyle w:val="CTEtabla-Titulo"/>
      </w:pPr>
      <w:r>
        <w:t xml:space="preserve">Table a-Annex D. </w:t>
      </w:r>
      <w:r>
        <w:rPr>
          <w:i/>
        </w:rPr>
        <w:t>Operating conditions</w:t>
      </w:r>
      <w:r>
        <w:t xml:space="preserve"> of conditioned spaces for private residential use</w:t>
      </w:r>
    </w:p>
    <w:tbl>
      <w:tblPr>
        <w:tblW w:w="8618" w:type="dxa"/>
        <w:jc w:val="center"/>
        <w:tblCellMar>
          <w:left w:w="15" w:type="dxa"/>
          <w:right w:w="10" w:type="dxa"/>
        </w:tblCellMar>
        <w:tblLook w:val="04A0" w:firstRow="1" w:lastRow="0" w:firstColumn="1" w:lastColumn="0" w:noHBand="0" w:noVBand="1"/>
      </w:tblPr>
      <w:tblGrid>
        <w:gridCol w:w="394"/>
        <w:gridCol w:w="1584"/>
        <w:gridCol w:w="2091"/>
        <w:gridCol w:w="1158"/>
        <w:gridCol w:w="1130"/>
        <w:gridCol w:w="1131"/>
        <w:gridCol w:w="1130"/>
      </w:tblGrid>
      <w:tr w:rsidR="00CA4204" w:rsidRPr="00937C8B" w:rsidTr="00935676">
        <w:trPr>
          <w:jc w:val="center"/>
        </w:trPr>
        <w:tc>
          <w:tcPr>
            <w:tcW w:w="1978" w:type="dxa"/>
            <w:gridSpan w:val="2"/>
            <w:shd w:val="clear" w:color="auto" w:fill="auto"/>
          </w:tcPr>
          <w:p w:rsidR="00CA4204" w:rsidRPr="00937C8B" w:rsidRDefault="00CA4204" w:rsidP="003E38D0">
            <w:pPr>
              <w:pStyle w:val="CTEtabla-texto"/>
              <w:jc w:val="left"/>
              <w:rPr>
                <w:rFonts w:cs="Arial"/>
                <w:b/>
                <w:bCs/>
                <w:i/>
                <w:iCs/>
              </w:rPr>
            </w:pPr>
          </w:p>
        </w:tc>
        <w:tc>
          <w:tcPr>
            <w:tcW w:w="2091" w:type="dxa"/>
            <w:vMerge w:val="restart"/>
            <w:tcBorders>
              <w:right w:val="single" w:sz="4" w:space="0" w:color="auto"/>
            </w:tcBorders>
            <w:shd w:val="clear" w:color="auto" w:fill="auto"/>
            <w:tcMar>
              <w:top w:w="55" w:type="dxa"/>
              <w:left w:w="45" w:type="dxa"/>
              <w:bottom w:w="55" w:type="dxa"/>
              <w:right w:w="55" w:type="dxa"/>
            </w:tcMar>
            <w:vAlign w:val="center"/>
          </w:tcPr>
          <w:p w:rsidR="00CA4204" w:rsidRPr="00937C8B" w:rsidRDefault="00CA4204" w:rsidP="003E38D0">
            <w:pPr>
              <w:pStyle w:val="CTEtabla-texto"/>
              <w:jc w:val="left"/>
              <w:rPr>
                <w:rFonts w:cs="Arial"/>
                <w:b/>
                <w:bCs/>
                <w:i/>
                <w:iCs/>
              </w:rPr>
            </w:pPr>
          </w:p>
        </w:tc>
        <w:tc>
          <w:tcPr>
            <w:tcW w:w="4549" w:type="dxa"/>
            <w:gridSpan w:val="4"/>
            <w:tcBorders>
              <w:left w:val="single" w:sz="4" w:space="0" w:color="auto"/>
            </w:tcBorders>
            <w:shd w:val="clear" w:color="auto" w:fill="auto"/>
            <w:tcMar>
              <w:top w:w="55" w:type="dxa"/>
              <w:left w:w="40" w:type="dxa"/>
              <w:bottom w:w="55" w:type="dxa"/>
              <w:right w:w="55" w:type="dxa"/>
            </w:tcMar>
            <w:vAlign w:val="center"/>
          </w:tcPr>
          <w:p w:rsidR="00CA4204" w:rsidRPr="00937C8B" w:rsidRDefault="00CA4204" w:rsidP="003E38D0">
            <w:pPr>
              <w:pStyle w:val="CTEtabla-texto"/>
              <w:rPr>
                <w:rFonts w:cs="Arial"/>
                <w:b/>
                <w:bCs/>
              </w:rPr>
            </w:pPr>
            <w:r>
              <w:rPr>
                <w:b/>
              </w:rPr>
              <w:t>Timetable (typical week)</w:t>
            </w:r>
          </w:p>
        </w:tc>
      </w:tr>
      <w:tr w:rsidR="00CA4204" w:rsidRPr="00937C8B" w:rsidTr="00935676">
        <w:trPr>
          <w:gridBefore w:val="1"/>
          <w:wBefore w:w="394" w:type="dxa"/>
          <w:jc w:val="center"/>
        </w:trPr>
        <w:tc>
          <w:tcPr>
            <w:tcW w:w="1584" w:type="dxa"/>
            <w:tcBorders>
              <w:bottom w:val="single" w:sz="4" w:space="0" w:color="000000"/>
            </w:tcBorders>
            <w:shd w:val="clear" w:color="auto" w:fill="auto"/>
          </w:tcPr>
          <w:p w:rsidR="00CA4204" w:rsidRPr="00937C8B" w:rsidRDefault="00CA4204" w:rsidP="003E38D0">
            <w:pPr>
              <w:rPr>
                <w:rFonts w:ascii="Arial" w:hAnsi="Arial" w:cs="Arial"/>
              </w:rPr>
            </w:pPr>
          </w:p>
        </w:tc>
        <w:tc>
          <w:tcPr>
            <w:tcW w:w="2091" w:type="dxa"/>
            <w:vMerge/>
            <w:tcBorders>
              <w:bottom w:val="single" w:sz="4" w:space="0" w:color="000000"/>
              <w:right w:val="single" w:sz="4" w:space="0" w:color="000000"/>
            </w:tcBorders>
            <w:shd w:val="clear" w:color="auto" w:fill="auto"/>
            <w:tcMar>
              <w:top w:w="55" w:type="dxa"/>
              <w:left w:w="45" w:type="dxa"/>
              <w:bottom w:w="55" w:type="dxa"/>
              <w:right w:w="55" w:type="dxa"/>
            </w:tcMar>
            <w:vAlign w:val="center"/>
          </w:tcPr>
          <w:p w:rsidR="00CA4204" w:rsidRPr="00937C8B" w:rsidRDefault="00CA4204" w:rsidP="003E38D0">
            <w:pPr>
              <w:rPr>
                <w:rFonts w:ascii="Arial" w:hAnsi="Arial" w:cs="Arial"/>
              </w:rPr>
            </w:pPr>
          </w:p>
        </w:tc>
        <w:tc>
          <w:tcPr>
            <w:tcW w:w="1158" w:type="dxa"/>
            <w:tcBorders>
              <w:left w:val="single" w:sz="4" w:space="0" w:color="000000"/>
              <w:bottom w:val="single" w:sz="4" w:space="0" w:color="000000"/>
            </w:tcBorders>
            <w:shd w:val="clear" w:color="auto" w:fill="auto"/>
            <w:tcMar>
              <w:top w:w="55" w:type="dxa"/>
              <w:left w:w="40" w:type="dxa"/>
              <w:bottom w:w="55" w:type="dxa"/>
              <w:right w:w="55" w:type="dxa"/>
            </w:tcMar>
            <w:vAlign w:val="center"/>
          </w:tcPr>
          <w:p w:rsidR="00CA4204" w:rsidRPr="00937C8B" w:rsidRDefault="00CA4204" w:rsidP="003E38D0">
            <w:pPr>
              <w:pStyle w:val="CTEtabla-texto"/>
              <w:rPr>
                <w:rFonts w:cs="Arial"/>
                <w:b/>
                <w:bCs/>
                <w:strike/>
              </w:rPr>
            </w:pPr>
            <w:r>
              <w:rPr>
                <w:b/>
              </w:rPr>
              <w:t>0.00-6.59</w:t>
            </w:r>
          </w:p>
        </w:tc>
        <w:tc>
          <w:tcPr>
            <w:tcW w:w="1130" w:type="dxa"/>
            <w:tcBorders>
              <w:bottom w:val="single" w:sz="4" w:space="0" w:color="000000"/>
            </w:tcBorders>
            <w:shd w:val="clear" w:color="auto" w:fill="auto"/>
            <w:tcMar>
              <w:top w:w="55" w:type="dxa"/>
              <w:left w:w="40" w:type="dxa"/>
              <w:bottom w:w="55" w:type="dxa"/>
              <w:right w:w="55" w:type="dxa"/>
            </w:tcMar>
            <w:vAlign w:val="center"/>
          </w:tcPr>
          <w:p w:rsidR="00CA4204" w:rsidRPr="00937C8B" w:rsidRDefault="00CA4204" w:rsidP="003E38D0">
            <w:pPr>
              <w:pStyle w:val="CTEtabla-texto"/>
              <w:rPr>
                <w:rFonts w:cs="Arial"/>
                <w:b/>
                <w:bCs/>
                <w:strike/>
              </w:rPr>
            </w:pPr>
            <w:r>
              <w:rPr>
                <w:b/>
              </w:rPr>
              <w:t>7.00-14.59</w:t>
            </w:r>
          </w:p>
        </w:tc>
        <w:tc>
          <w:tcPr>
            <w:tcW w:w="1131" w:type="dxa"/>
            <w:tcBorders>
              <w:bottom w:val="single" w:sz="4" w:space="0" w:color="000000"/>
            </w:tcBorders>
            <w:shd w:val="clear" w:color="auto" w:fill="auto"/>
            <w:tcMar>
              <w:top w:w="55" w:type="dxa"/>
              <w:left w:w="40" w:type="dxa"/>
              <w:bottom w:w="55" w:type="dxa"/>
              <w:right w:w="55" w:type="dxa"/>
            </w:tcMar>
            <w:vAlign w:val="center"/>
          </w:tcPr>
          <w:p w:rsidR="00CA4204" w:rsidRPr="00937C8B" w:rsidRDefault="00CA4204" w:rsidP="003E38D0">
            <w:pPr>
              <w:pStyle w:val="CTEtabla-texto"/>
              <w:rPr>
                <w:rFonts w:cs="Arial"/>
                <w:b/>
                <w:bCs/>
                <w:strike/>
              </w:rPr>
            </w:pPr>
            <w:r>
              <w:rPr>
                <w:b/>
              </w:rPr>
              <w:t>15.00-22.59</w:t>
            </w:r>
          </w:p>
        </w:tc>
        <w:tc>
          <w:tcPr>
            <w:tcW w:w="1130" w:type="dxa"/>
            <w:tcBorders>
              <w:bottom w:val="single" w:sz="4" w:space="0" w:color="000000"/>
            </w:tcBorders>
            <w:shd w:val="clear" w:color="auto" w:fill="auto"/>
            <w:tcMar>
              <w:top w:w="55" w:type="dxa"/>
              <w:left w:w="40" w:type="dxa"/>
              <w:bottom w:w="55" w:type="dxa"/>
              <w:right w:w="55" w:type="dxa"/>
            </w:tcMar>
            <w:vAlign w:val="center"/>
          </w:tcPr>
          <w:p w:rsidR="00CA4204" w:rsidRPr="00937C8B" w:rsidRDefault="00CA4204" w:rsidP="003E38D0">
            <w:pPr>
              <w:pStyle w:val="CTEtabla-texto"/>
              <w:rPr>
                <w:rFonts w:cs="Arial"/>
                <w:b/>
                <w:bCs/>
                <w:strike/>
              </w:rPr>
            </w:pPr>
            <w:r>
              <w:rPr>
                <w:b/>
              </w:rPr>
              <w:t>23.00-23.59</w:t>
            </w:r>
          </w:p>
        </w:tc>
      </w:tr>
      <w:tr w:rsidR="00804EB4" w:rsidRPr="00937C8B" w:rsidTr="00935676">
        <w:trPr>
          <w:jc w:val="center"/>
        </w:trPr>
        <w:tc>
          <w:tcPr>
            <w:tcW w:w="1978" w:type="dxa"/>
            <w:gridSpan w:val="2"/>
            <w:vMerge w:val="restart"/>
            <w:tcBorders>
              <w:top w:val="single" w:sz="4" w:space="0" w:color="000000"/>
            </w:tcBorders>
            <w:shd w:val="clear" w:color="auto" w:fill="auto"/>
            <w:vAlign w:val="center"/>
          </w:tcPr>
          <w:p w:rsidR="00804EB4" w:rsidRPr="00937C8B" w:rsidRDefault="00804EB4" w:rsidP="003E38D0">
            <w:pPr>
              <w:pStyle w:val="CTEtabla-texto"/>
              <w:jc w:val="left"/>
              <w:rPr>
                <w:rFonts w:cs="Arial"/>
                <w:iCs/>
              </w:rPr>
            </w:pPr>
            <w:r>
              <w:rPr>
                <w:b/>
              </w:rPr>
              <w:t>High setpoint temperature (°C)</w:t>
            </w:r>
          </w:p>
        </w:tc>
        <w:tc>
          <w:tcPr>
            <w:tcW w:w="2091" w:type="dxa"/>
            <w:tcBorders>
              <w:top w:val="single" w:sz="4" w:space="0" w:color="000000"/>
              <w:right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jc w:val="left"/>
              <w:rPr>
                <w:rFonts w:cs="Arial"/>
                <w:iCs/>
              </w:rPr>
            </w:pPr>
            <w:r>
              <w:t>January to May</w:t>
            </w:r>
          </w:p>
        </w:tc>
        <w:tc>
          <w:tcPr>
            <w:tcW w:w="1158" w:type="dxa"/>
            <w:tcBorders>
              <w:top w:val="single" w:sz="4" w:space="0" w:color="000000"/>
              <w:left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c>
          <w:tcPr>
            <w:tcW w:w="1130" w:type="dxa"/>
            <w:tcBorders>
              <w:top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c>
          <w:tcPr>
            <w:tcW w:w="1131" w:type="dxa"/>
            <w:tcBorders>
              <w:top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c>
          <w:tcPr>
            <w:tcW w:w="1130" w:type="dxa"/>
            <w:tcBorders>
              <w:top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r>
      <w:tr w:rsidR="00804EB4" w:rsidRPr="00937C8B" w:rsidTr="00935676">
        <w:trPr>
          <w:jc w:val="center"/>
        </w:trPr>
        <w:tc>
          <w:tcPr>
            <w:tcW w:w="1978" w:type="dxa"/>
            <w:gridSpan w:val="2"/>
            <w:vMerge/>
            <w:shd w:val="clear" w:color="auto" w:fill="auto"/>
          </w:tcPr>
          <w:p w:rsidR="00804EB4" w:rsidRPr="00937C8B" w:rsidRDefault="00804EB4" w:rsidP="003E38D0">
            <w:pPr>
              <w:pStyle w:val="CTEtabla-texto"/>
              <w:jc w:val="left"/>
              <w:rPr>
                <w:rFonts w:cs="Arial"/>
                <w:iCs/>
              </w:rPr>
            </w:pPr>
          </w:p>
        </w:tc>
        <w:tc>
          <w:tcPr>
            <w:tcW w:w="2091" w:type="dxa"/>
            <w:tcBorders>
              <w:right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jc w:val="left"/>
              <w:rPr>
                <w:rFonts w:cs="Arial"/>
                <w:iCs/>
              </w:rPr>
            </w:pPr>
            <w:r>
              <w:t>June to September</w:t>
            </w:r>
          </w:p>
        </w:tc>
        <w:tc>
          <w:tcPr>
            <w:tcW w:w="1158" w:type="dxa"/>
            <w:tcBorders>
              <w:left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27</w:t>
            </w:r>
          </w:p>
        </w:tc>
        <w:tc>
          <w:tcPr>
            <w:tcW w:w="1130" w:type="dxa"/>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c>
          <w:tcPr>
            <w:tcW w:w="1131" w:type="dxa"/>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25</w:t>
            </w:r>
          </w:p>
        </w:tc>
        <w:tc>
          <w:tcPr>
            <w:tcW w:w="1130" w:type="dxa"/>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27</w:t>
            </w:r>
          </w:p>
        </w:tc>
      </w:tr>
      <w:tr w:rsidR="00804EB4" w:rsidRPr="00937C8B" w:rsidTr="00935676">
        <w:trPr>
          <w:jc w:val="center"/>
        </w:trPr>
        <w:tc>
          <w:tcPr>
            <w:tcW w:w="1978" w:type="dxa"/>
            <w:gridSpan w:val="2"/>
            <w:vMerge/>
            <w:tcBorders>
              <w:bottom w:val="single" w:sz="4" w:space="0" w:color="000000"/>
            </w:tcBorders>
            <w:shd w:val="clear" w:color="auto" w:fill="auto"/>
          </w:tcPr>
          <w:p w:rsidR="00804EB4" w:rsidRPr="00937C8B" w:rsidRDefault="00804EB4" w:rsidP="003E38D0">
            <w:pPr>
              <w:pStyle w:val="CTEtabla-texto"/>
              <w:jc w:val="left"/>
              <w:rPr>
                <w:rFonts w:cs="Arial"/>
                <w:iCs/>
              </w:rPr>
            </w:pPr>
          </w:p>
        </w:tc>
        <w:tc>
          <w:tcPr>
            <w:tcW w:w="2091" w:type="dxa"/>
            <w:tcBorders>
              <w:bottom w:val="single" w:sz="4" w:space="0" w:color="000000"/>
              <w:right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jc w:val="left"/>
              <w:rPr>
                <w:rFonts w:cs="Arial"/>
                <w:iCs/>
              </w:rPr>
            </w:pPr>
            <w:r>
              <w:t>October to December</w:t>
            </w:r>
          </w:p>
        </w:tc>
        <w:tc>
          <w:tcPr>
            <w:tcW w:w="1158" w:type="dxa"/>
            <w:tcBorders>
              <w:left w:val="single" w:sz="4" w:space="0" w:color="000000"/>
              <w:bottom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c>
          <w:tcPr>
            <w:tcW w:w="1130" w:type="dxa"/>
            <w:tcBorders>
              <w:bottom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c>
          <w:tcPr>
            <w:tcW w:w="1131" w:type="dxa"/>
            <w:tcBorders>
              <w:bottom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c>
          <w:tcPr>
            <w:tcW w:w="1130" w:type="dxa"/>
            <w:tcBorders>
              <w:bottom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r>
      <w:tr w:rsidR="00804EB4" w:rsidRPr="00937C8B" w:rsidTr="00935676">
        <w:trPr>
          <w:jc w:val="center"/>
        </w:trPr>
        <w:tc>
          <w:tcPr>
            <w:tcW w:w="1978" w:type="dxa"/>
            <w:gridSpan w:val="2"/>
            <w:vMerge w:val="restart"/>
            <w:tcBorders>
              <w:top w:val="single" w:sz="4" w:space="0" w:color="000000"/>
            </w:tcBorders>
            <w:shd w:val="clear" w:color="auto" w:fill="auto"/>
            <w:vAlign w:val="center"/>
          </w:tcPr>
          <w:p w:rsidR="00804EB4" w:rsidRPr="00937C8B" w:rsidRDefault="00804EB4" w:rsidP="003E38D0">
            <w:pPr>
              <w:pStyle w:val="CTEtabla-texto"/>
              <w:jc w:val="left"/>
              <w:rPr>
                <w:rFonts w:cs="Arial"/>
                <w:b/>
                <w:bCs/>
                <w:iCs/>
              </w:rPr>
            </w:pPr>
            <w:r>
              <w:rPr>
                <w:b/>
              </w:rPr>
              <w:t>Low setpoint temperature (°C)</w:t>
            </w:r>
          </w:p>
        </w:tc>
        <w:tc>
          <w:tcPr>
            <w:tcW w:w="2091" w:type="dxa"/>
            <w:tcBorders>
              <w:top w:val="single" w:sz="4" w:space="0" w:color="000000"/>
              <w:left w:val="nil"/>
              <w:right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jc w:val="left"/>
              <w:rPr>
                <w:rFonts w:cs="Arial"/>
                <w:iCs/>
              </w:rPr>
            </w:pPr>
            <w:r>
              <w:t>January to May</w:t>
            </w:r>
          </w:p>
        </w:tc>
        <w:tc>
          <w:tcPr>
            <w:tcW w:w="1158" w:type="dxa"/>
            <w:tcBorders>
              <w:top w:val="single" w:sz="4" w:space="0" w:color="000000"/>
              <w:left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17</w:t>
            </w:r>
          </w:p>
        </w:tc>
        <w:tc>
          <w:tcPr>
            <w:tcW w:w="1130" w:type="dxa"/>
            <w:tcBorders>
              <w:top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bCs/>
                <w:iCs/>
              </w:rPr>
            </w:pPr>
            <w:r>
              <w:t>20</w:t>
            </w:r>
          </w:p>
        </w:tc>
        <w:tc>
          <w:tcPr>
            <w:tcW w:w="1131" w:type="dxa"/>
            <w:tcBorders>
              <w:top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bCs/>
                <w:iCs/>
              </w:rPr>
            </w:pPr>
            <w:r>
              <w:t>20</w:t>
            </w:r>
          </w:p>
        </w:tc>
        <w:tc>
          <w:tcPr>
            <w:tcW w:w="1130" w:type="dxa"/>
            <w:tcBorders>
              <w:top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bCs/>
                <w:iCs/>
              </w:rPr>
            </w:pPr>
            <w:r>
              <w:t>17</w:t>
            </w:r>
          </w:p>
        </w:tc>
      </w:tr>
      <w:tr w:rsidR="00804EB4" w:rsidRPr="00937C8B" w:rsidTr="00935676">
        <w:trPr>
          <w:jc w:val="center"/>
        </w:trPr>
        <w:tc>
          <w:tcPr>
            <w:tcW w:w="1978" w:type="dxa"/>
            <w:gridSpan w:val="2"/>
            <w:vMerge/>
            <w:shd w:val="clear" w:color="auto" w:fill="auto"/>
            <w:vAlign w:val="center"/>
          </w:tcPr>
          <w:p w:rsidR="00804EB4" w:rsidRPr="00937C8B" w:rsidRDefault="00804EB4" w:rsidP="003E38D0">
            <w:pPr>
              <w:pStyle w:val="CTEtabla-texto"/>
              <w:jc w:val="left"/>
              <w:rPr>
                <w:rFonts w:cs="Arial"/>
                <w:iCs/>
              </w:rPr>
            </w:pPr>
          </w:p>
        </w:tc>
        <w:tc>
          <w:tcPr>
            <w:tcW w:w="2091" w:type="dxa"/>
            <w:tcBorders>
              <w:left w:val="nil"/>
              <w:right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jc w:val="left"/>
              <w:rPr>
                <w:rFonts w:cs="Arial"/>
                <w:iCs/>
              </w:rPr>
            </w:pPr>
            <w:r>
              <w:t>June to September</w:t>
            </w:r>
          </w:p>
        </w:tc>
        <w:tc>
          <w:tcPr>
            <w:tcW w:w="1158" w:type="dxa"/>
            <w:tcBorders>
              <w:left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c>
          <w:tcPr>
            <w:tcW w:w="1130" w:type="dxa"/>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c>
          <w:tcPr>
            <w:tcW w:w="1131" w:type="dxa"/>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c>
          <w:tcPr>
            <w:tcW w:w="1130" w:type="dxa"/>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w:t>
            </w:r>
          </w:p>
        </w:tc>
      </w:tr>
      <w:tr w:rsidR="00804EB4" w:rsidRPr="00937C8B" w:rsidTr="00935676">
        <w:trPr>
          <w:jc w:val="center"/>
        </w:trPr>
        <w:tc>
          <w:tcPr>
            <w:tcW w:w="1978" w:type="dxa"/>
            <w:gridSpan w:val="2"/>
            <w:vMerge/>
            <w:shd w:val="clear" w:color="auto" w:fill="auto"/>
            <w:vAlign w:val="center"/>
          </w:tcPr>
          <w:p w:rsidR="00804EB4" w:rsidRPr="00937C8B" w:rsidRDefault="00804EB4" w:rsidP="003E38D0">
            <w:pPr>
              <w:pStyle w:val="CTEtabla-texto"/>
              <w:jc w:val="left"/>
              <w:rPr>
                <w:rFonts w:cs="Arial"/>
                <w:iCs/>
              </w:rPr>
            </w:pPr>
          </w:p>
        </w:tc>
        <w:tc>
          <w:tcPr>
            <w:tcW w:w="2091" w:type="dxa"/>
            <w:tcBorders>
              <w:left w:val="nil"/>
              <w:right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jc w:val="left"/>
              <w:rPr>
                <w:rFonts w:cs="Arial"/>
                <w:iCs/>
              </w:rPr>
            </w:pPr>
            <w:r>
              <w:t>October to December</w:t>
            </w:r>
          </w:p>
        </w:tc>
        <w:tc>
          <w:tcPr>
            <w:tcW w:w="1158" w:type="dxa"/>
            <w:tcBorders>
              <w:left w:val="single" w:sz="4" w:space="0" w:color="000000"/>
            </w:tcBorders>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17</w:t>
            </w:r>
          </w:p>
        </w:tc>
        <w:tc>
          <w:tcPr>
            <w:tcW w:w="1130" w:type="dxa"/>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20</w:t>
            </w:r>
          </w:p>
        </w:tc>
        <w:tc>
          <w:tcPr>
            <w:tcW w:w="1131" w:type="dxa"/>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20</w:t>
            </w:r>
          </w:p>
        </w:tc>
        <w:tc>
          <w:tcPr>
            <w:tcW w:w="1130" w:type="dxa"/>
            <w:shd w:val="clear" w:color="auto" w:fill="auto"/>
            <w:tcMar>
              <w:top w:w="55" w:type="dxa"/>
              <w:left w:w="40" w:type="dxa"/>
              <w:bottom w:w="55" w:type="dxa"/>
              <w:right w:w="55" w:type="dxa"/>
            </w:tcMar>
            <w:vAlign w:val="center"/>
          </w:tcPr>
          <w:p w:rsidR="00804EB4" w:rsidRPr="00937C8B" w:rsidRDefault="00804EB4" w:rsidP="003E38D0">
            <w:pPr>
              <w:pStyle w:val="CTEtabla-texto"/>
              <w:rPr>
                <w:rFonts w:cs="Arial"/>
              </w:rPr>
            </w:pPr>
            <w:r>
              <w:t>17</w:t>
            </w:r>
          </w:p>
        </w:tc>
      </w:tr>
    </w:tbl>
    <w:p w:rsidR="00CA4204" w:rsidRPr="00937C8B" w:rsidRDefault="00CA4204" w:rsidP="00CA4204">
      <w:pPr>
        <w:pStyle w:val="CTEtabla-Titulo"/>
        <w:rPr>
          <w:sz w:val="4"/>
          <w:szCs w:val="20"/>
        </w:rPr>
      </w:pPr>
    </w:p>
    <w:p w:rsidR="00CA4204" w:rsidRPr="00937C8B" w:rsidRDefault="00CA4204" w:rsidP="00D27646">
      <w:pPr>
        <w:pStyle w:val="CTEtabla-Titulo"/>
      </w:pPr>
      <w:r>
        <w:t xml:space="preserve">Table b-Annex D. </w:t>
      </w:r>
      <w:r>
        <w:rPr>
          <w:i/>
        </w:rPr>
        <w:t>Usage profile</w:t>
      </w:r>
      <w:r>
        <w:t xml:space="preserve"> of spaces for private residential use</w:t>
      </w:r>
    </w:p>
    <w:tbl>
      <w:tblPr>
        <w:tblW w:w="8620" w:type="dxa"/>
        <w:jc w:val="center"/>
        <w:tblCellMar>
          <w:left w:w="10" w:type="dxa"/>
          <w:right w:w="10" w:type="dxa"/>
        </w:tblCellMar>
        <w:tblLook w:val="04A0" w:firstRow="1" w:lastRow="0" w:firstColumn="1" w:lastColumn="0" w:noHBand="0" w:noVBand="1"/>
      </w:tblPr>
      <w:tblGrid>
        <w:gridCol w:w="1878"/>
        <w:gridCol w:w="677"/>
        <w:gridCol w:w="891"/>
        <w:gridCol w:w="991"/>
        <w:gridCol w:w="1092"/>
        <w:gridCol w:w="999"/>
        <w:gridCol w:w="1002"/>
        <w:gridCol w:w="1090"/>
      </w:tblGrid>
      <w:tr w:rsidR="00CA4204" w:rsidRPr="00937C8B" w:rsidTr="00935676">
        <w:trPr>
          <w:jc w:val="center"/>
        </w:trPr>
        <w:tc>
          <w:tcPr>
            <w:tcW w:w="1877" w:type="dxa"/>
            <w:shd w:val="clear" w:color="auto" w:fill="auto"/>
          </w:tcPr>
          <w:p w:rsidR="00CA4204" w:rsidRPr="00937C8B" w:rsidRDefault="00CA4204" w:rsidP="00D27646">
            <w:pPr>
              <w:pStyle w:val="CTEtabla-texto"/>
              <w:keepNext/>
              <w:jc w:val="left"/>
              <w:rPr>
                <w:rFonts w:cs="Arial"/>
                <w:b/>
                <w:bCs/>
                <w:i/>
                <w:iCs/>
              </w:rPr>
            </w:pPr>
          </w:p>
        </w:tc>
        <w:tc>
          <w:tcPr>
            <w:tcW w:w="677" w:type="dxa"/>
            <w:vMerge w:val="restart"/>
            <w:tcBorders>
              <w:right w:val="single" w:sz="4" w:space="0" w:color="auto"/>
            </w:tcBorders>
            <w:shd w:val="clear" w:color="auto" w:fill="auto"/>
            <w:tcMar>
              <w:top w:w="55" w:type="dxa"/>
              <w:left w:w="45" w:type="dxa"/>
              <w:bottom w:w="55" w:type="dxa"/>
              <w:right w:w="55" w:type="dxa"/>
            </w:tcMar>
            <w:vAlign w:val="center"/>
          </w:tcPr>
          <w:p w:rsidR="00CA4204" w:rsidRPr="00937C8B" w:rsidRDefault="00CA4204" w:rsidP="00D27646">
            <w:pPr>
              <w:pStyle w:val="CTEtabla-texto"/>
              <w:keepNext/>
              <w:jc w:val="left"/>
              <w:rPr>
                <w:rFonts w:cs="Arial"/>
                <w:b/>
                <w:bCs/>
                <w:i/>
                <w:iCs/>
              </w:rPr>
            </w:pPr>
          </w:p>
        </w:tc>
        <w:tc>
          <w:tcPr>
            <w:tcW w:w="6065" w:type="dxa"/>
            <w:gridSpan w:val="6"/>
            <w:tcBorders>
              <w:left w:val="single" w:sz="4" w:space="0" w:color="auto"/>
            </w:tcBorders>
            <w:shd w:val="clear" w:color="auto" w:fill="auto"/>
          </w:tcPr>
          <w:p w:rsidR="00CA4204" w:rsidRPr="00937C8B" w:rsidRDefault="00CA4204" w:rsidP="00D27646">
            <w:pPr>
              <w:pStyle w:val="CTEtabla-texto"/>
              <w:keepNext/>
              <w:rPr>
                <w:rFonts w:cs="Arial"/>
                <w:b/>
                <w:bCs/>
              </w:rPr>
            </w:pPr>
            <w:r>
              <w:rPr>
                <w:b/>
              </w:rPr>
              <w:t>Timetable (typical week)</w:t>
            </w:r>
          </w:p>
        </w:tc>
      </w:tr>
      <w:tr w:rsidR="00CA4204" w:rsidRPr="00937C8B" w:rsidTr="00935676">
        <w:trPr>
          <w:jc w:val="center"/>
        </w:trPr>
        <w:tc>
          <w:tcPr>
            <w:tcW w:w="1877" w:type="dxa"/>
            <w:tcBorders>
              <w:bottom w:val="single" w:sz="4" w:space="0" w:color="000000"/>
            </w:tcBorders>
            <w:shd w:val="clear" w:color="auto" w:fill="auto"/>
          </w:tcPr>
          <w:p w:rsidR="00CA4204" w:rsidRPr="00937C8B" w:rsidRDefault="00CA4204" w:rsidP="00D27646">
            <w:pPr>
              <w:keepNext/>
              <w:rPr>
                <w:rFonts w:ascii="Arial" w:hAnsi="Arial" w:cs="Arial"/>
                <w:b/>
              </w:rPr>
            </w:pPr>
            <w:r>
              <w:rPr>
                <w:rFonts w:ascii="Arial" w:hAnsi="Arial"/>
                <w:b/>
                <w:sz w:val="18"/>
              </w:rPr>
              <w:t>Internal load, W/m</w:t>
            </w:r>
            <w:r>
              <w:rPr>
                <w:rFonts w:ascii="Arial" w:hAnsi="Arial"/>
                <w:b/>
                <w:sz w:val="18"/>
                <w:vertAlign w:val="superscript"/>
              </w:rPr>
              <w:t>2</w:t>
            </w:r>
          </w:p>
        </w:tc>
        <w:tc>
          <w:tcPr>
            <w:tcW w:w="677" w:type="dxa"/>
            <w:vMerge/>
            <w:tcBorders>
              <w:bottom w:val="single" w:sz="4" w:space="0" w:color="000000"/>
              <w:right w:val="single" w:sz="4" w:space="0" w:color="000000"/>
            </w:tcBorders>
            <w:shd w:val="clear" w:color="auto" w:fill="auto"/>
            <w:tcMar>
              <w:top w:w="55" w:type="dxa"/>
              <w:left w:w="45" w:type="dxa"/>
              <w:bottom w:w="55" w:type="dxa"/>
              <w:right w:w="55" w:type="dxa"/>
            </w:tcMar>
            <w:vAlign w:val="center"/>
          </w:tcPr>
          <w:p w:rsidR="00CA4204" w:rsidRPr="00937C8B" w:rsidRDefault="00CA4204" w:rsidP="00D27646">
            <w:pPr>
              <w:keepNext/>
              <w:rPr>
                <w:rFonts w:ascii="Arial" w:hAnsi="Arial" w:cs="Arial"/>
              </w:rPr>
            </w:pPr>
          </w:p>
        </w:tc>
        <w:tc>
          <w:tcPr>
            <w:tcW w:w="891" w:type="dxa"/>
            <w:tcBorders>
              <w:left w:val="single" w:sz="4" w:space="0" w:color="000000"/>
              <w:bottom w:val="single" w:sz="4" w:space="0" w:color="000000"/>
            </w:tcBorders>
            <w:shd w:val="clear" w:color="auto" w:fill="auto"/>
            <w:tcMar>
              <w:top w:w="55" w:type="dxa"/>
              <w:left w:w="40" w:type="dxa"/>
              <w:bottom w:w="55" w:type="dxa"/>
              <w:right w:w="55" w:type="dxa"/>
            </w:tcMar>
            <w:vAlign w:val="center"/>
          </w:tcPr>
          <w:p w:rsidR="00CA4204" w:rsidRPr="00937C8B" w:rsidRDefault="00CA4204" w:rsidP="00D27646">
            <w:pPr>
              <w:pStyle w:val="CTEtabla-texto"/>
              <w:keepNext/>
              <w:rPr>
                <w:rFonts w:cs="Arial"/>
                <w:b/>
                <w:bCs/>
              </w:rPr>
            </w:pPr>
            <w:r>
              <w:rPr>
                <w:b/>
              </w:rPr>
              <w:t>0.00 - 6.59</w:t>
            </w:r>
          </w:p>
        </w:tc>
        <w:tc>
          <w:tcPr>
            <w:tcW w:w="991" w:type="dxa"/>
            <w:tcBorders>
              <w:bottom w:val="single" w:sz="4" w:space="0" w:color="000000"/>
            </w:tcBorders>
            <w:shd w:val="clear" w:color="auto" w:fill="auto"/>
            <w:tcMar>
              <w:top w:w="55" w:type="dxa"/>
              <w:left w:w="40" w:type="dxa"/>
              <w:bottom w:w="55" w:type="dxa"/>
              <w:right w:w="55" w:type="dxa"/>
            </w:tcMar>
            <w:vAlign w:val="center"/>
          </w:tcPr>
          <w:p w:rsidR="00CA4204" w:rsidRPr="00937C8B" w:rsidRDefault="00CA4204" w:rsidP="00D27646">
            <w:pPr>
              <w:pStyle w:val="CTEtabla-texto"/>
              <w:keepNext/>
              <w:rPr>
                <w:rFonts w:cs="Arial"/>
                <w:b/>
                <w:bCs/>
              </w:rPr>
            </w:pPr>
            <w:r>
              <w:rPr>
                <w:b/>
              </w:rPr>
              <w:t>7.00 - 14.59</w:t>
            </w:r>
          </w:p>
        </w:tc>
        <w:tc>
          <w:tcPr>
            <w:tcW w:w="1092" w:type="dxa"/>
            <w:tcBorders>
              <w:bottom w:val="single" w:sz="4" w:space="0" w:color="000000"/>
            </w:tcBorders>
            <w:shd w:val="clear" w:color="auto" w:fill="auto"/>
            <w:tcMar>
              <w:top w:w="55" w:type="dxa"/>
              <w:left w:w="40" w:type="dxa"/>
              <w:bottom w:w="55" w:type="dxa"/>
              <w:right w:w="55" w:type="dxa"/>
            </w:tcMar>
            <w:vAlign w:val="center"/>
          </w:tcPr>
          <w:p w:rsidR="00CA4204" w:rsidRPr="00937C8B" w:rsidRDefault="00CA4204" w:rsidP="00D27646">
            <w:pPr>
              <w:pStyle w:val="CTEtabla-texto"/>
              <w:keepNext/>
              <w:rPr>
                <w:rFonts w:cs="Arial"/>
                <w:b/>
                <w:bCs/>
              </w:rPr>
            </w:pPr>
            <w:r>
              <w:rPr>
                <w:b/>
              </w:rPr>
              <w:t>15.00 - 17.59</w:t>
            </w:r>
          </w:p>
        </w:tc>
        <w:tc>
          <w:tcPr>
            <w:tcW w:w="999" w:type="dxa"/>
            <w:tcBorders>
              <w:bottom w:val="single" w:sz="4" w:space="0" w:color="000000"/>
            </w:tcBorders>
            <w:shd w:val="clear" w:color="auto" w:fill="auto"/>
            <w:vAlign w:val="center"/>
          </w:tcPr>
          <w:p w:rsidR="00CA4204" w:rsidRPr="00937C8B" w:rsidRDefault="00CA4204" w:rsidP="00D27646">
            <w:pPr>
              <w:pStyle w:val="CTEtabla-texto"/>
              <w:keepNext/>
              <w:rPr>
                <w:rFonts w:cs="Arial"/>
                <w:b/>
                <w:bCs/>
              </w:rPr>
            </w:pPr>
            <w:r>
              <w:rPr>
                <w:b/>
              </w:rPr>
              <w:t>18.00 - 18.59</w:t>
            </w:r>
          </w:p>
        </w:tc>
        <w:tc>
          <w:tcPr>
            <w:tcW w:w="1002" w:type="dxa"/>
            <w:tcBorders>
              <w:bottom w:val="single" w:sz="4" w:space="0" w:color="000000"/>
            </w:tcBorders>
            <w:shd w:val="clear" w:color="auto" w:fill="auto"/>
            <w:vAlign w:val="center"/>
          </w:tcPr>
          <w:p w:rsidR="00CA4204" w:rsidRPr="00937C8B" w:rsidRDefault="00CA4204" w:rsidP="00D27646">
            <w:pPr>
              <w:pStyle w:val="CTEtabla-texto"/>
              <w:keepNext/>
              <w:rPr>
                <w:rFonts w:cs="Arial"/>
                <w:b/>
                <w:bCs/>
              </w:rPr>
            </w:pPr>
            <w:r>
              <w:rPr>
                <w:b/>
              </w:rPr>
              <w:t>19.00 - 22.59</w:t>
            </w:r>
          </w:p>
        </w:tc>
        <w:tc>
          <w:tcPr>
            <w:tcW w:w="1090" w:type="dxa"/>
            <w:tcBorders>
              <w:bottom w:val="single" w:sz="4" w:space="0" w:color="000000"/>
            </w:tcBorders>
            <w:shd w:val="clear" w:color="auto" w:fill="auto"/>
            <w:tcMar>
              <w:top w:w="55" w:type="dxa"/>
              <w:left w:w="40" w:type="dxa"/>
              <w:bottom w:w="55" w:type="dxa"/>
              <w:right w:w="55" w:type="dxa"/>
            </w:tcMar>
            <w:vAlign w:val="center"/>
          </w:tcPr>
          <w:p w:rsidR="00CA4204" w:rsidRPr="00937C8B" w:rsidRDefault="00CA4204" w:rsidP="00D27646">
            <w:pPr>
              <w:pStyle w:val="CTEtabla-texto"/>
              <w:keepNext/>
              <w:rPr>
                <w:rFonts w:cs="Arial"/>
                <w:b/>
                <w:bCs/>
              </w:rPr>
            </w:pPr>
            <w:r>
              <w:rPr>
                <w:b/>
              </w:rPr>
              <w:t>23.00 - 23.59</w:t>
            </w:r>
          </w:p>
        </w:tc>
      </w:tr>
      <w:tr w:rsidR="00CA4204" w:rsidRPr="00937C8B" w:rsidTr="00935676">
        <w:trPr>
          <w:jc w:val="center"/>
        </w:trPr>
        <w:tc>
          <w:tcPr>
            <w:tcW w:w="1877" w:type="dxa"/>
            <w:vMerge w:val="restart"/>
            <w:tcBorders>
              <w:top w:val="single" w:sz="4" w:space="0" w:color="000000"/>
            </w:tcBorders>
            <w:shd w:val="clear" w:color="auto" w:fill="auto"/>
            <w:tcMar>
              <w:left w:w="13" w:type="dxa"/>
              <w:right w:w="28" w:type="dxa"/>
            </w:tcMar>
            <w:vAlign w:val="center"/>
          </w:tcPr>
          <w:p w:rsidR="00CA4204" w:rsidRPr="00937C8B" w:rsidRDefault="00CA4204" w:rsidP="003E38D0">
            <w:pPr>
              <w:pStyle w:val="CTEtabla-texto"/>
              <w:jc w:val="left"/>
              <w:rPr>
                <w:rFonts w:cs="Arial"/>
                <w:iCs/>
              </w:rPr>
            </w:pPr>
            <w:r>
              <w:rPr>
                <w:b/>
              </w:rPr>
              <w:t xml:space="preserve">Occupancy (sensible) </w:t>
            </w:r>
          </w:p>
        </w:tc>
        <w:tc>
          <w:tcPr>
            <w:tcW w:w="677" w:type="dxa"/>
            <w:tcBorders>
              <w:top w:val="single" w:sz="4" w:space="0" w:color="000000"/>
              <w:right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jc w:val="left"/>
              <w:rPr>
                <w:rFonts w:cs="Arial"/>
                <w:iCs/>
              </w:rPr>
            </w:pPr>
            <w:r>
              <w:t>L</w:t>
            </w:r>
          </w:p>
        </w:tc>
        <w:tc>
          <w:tcPr>
            <w:tcW w:w="891" w:type="dxa"/>
            <w:tcBorders>
              <w:top w:val="single" w:sz="4" w:space="0" w:color="000000"/>
              <w:left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2.15</w:t>
            </w:r>
          </w:p>
        </w:tc>
        <w:tc>
          <w:tcPr>
            <w:tcW w:w="991" w:type="dxa"/>
            <w:tcBorders>
              <w:top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0.54</w:t>
            </w:r>
          </w:p>
        </w:tc>
        <w:tc>
          <w:tcPr>
            <w:tcW w:w="1092" w:type="dxa"/>
            <w:tcBorders>
              <w:top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1.08</w:t>
            </w:r>
          </w:p>
        </w:tc>
        <w:tc>
          <w:tcPr>
            <w:tcW w:w="999" w:type="dxa"/>
            <w:tcBorders>
              <w:top w:val="single" w:sz="4" w:space="0" w:color="000000"/>
            </w:tcBorders>
            <w:shd w:val="clear" w:color="auto" w:fill="auto"/>
            <w:vAlign w:val="center"/>
          </w:tcPr>
          <w:p w:rsidR="00CA4204" w:rsidRPr="00937C8B" w:rsidRDefault="00CA4204" w:rsidP="003E38D0">
            <w:pPr>
              <w:pStyle w:val="CTEtabla-texto"/>
              <w:rPr>
                <w:rFonts w:cs="Arial"/>
              </w:rPr>
            </w:pPr>
            <w:r>
              <w:t>1.08</w:t>
            </w:r>
          </w:p>
        </w:tc>
        <w:tc>
          <w:tcPr>
            <w:tcW w:w="1002" w:type="dxa"/>
            <w:tcBorders>
              <w:top w:val="single" w:sz="4" w:space="0" w:color="000000"/>
            </w:tcBorders>
            <w:shd w:val="clear" w:color="auto" w:fill="auto"/>
            <w:vAlign w:val="center"/>
          </w:tcPr>
          <w:p w:rsidR="00CA4204" w:rsidRPr="00937C8B" w:rsidRDefault="00CA4204" w:rsidP="003E38D0">
            <w:pPr>
              <w:pStyle w:val="CTEtabla-texto"/>
              <w:rPr>
                <w:rFonts w:cs="Arial"/>
              </w:rPr>
            </w:pPr>
            <w:r>
              <w:t>1.08</w:t>
            </w:r>
          </w:p>
        </w:tc>
        <w:tc>
          <w:tcPr>
            <w:tcW w:w="1090" w:type="dxa"/>
            <w:tcBorders>
              <w:top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2.15</w:t>
            </w:r>
          </w:p>
        </w:tc>
      </w:tr>
      <w:tr w:rsidR="00CA4204" w:rsidRPr="00937C8B" w:rsidTr="00935676">
        <w:trPr>
          <w:jc w:val="center"/>
        </w:trPr>
        <w:tc>
          <w:tcPr>
            <w:tcW w:w="1877" w:type="dxa"/>
            <w:vMerge/>
            <w:shd w:val="clear" w:color="auto" w:fill="auto"/>
            <w:tcMar>
              <w:left w:w="13" w:type="dxa"/>
              <w:right w:w="28" w:type="dxa"/>
            </w:tcMar>
            <w:vAlign w:val="center"/>
          </w:tcPr>
          <w:p w:rsidR="00CA4204" w:rsidRPr="00937C8B" w:rsidRDefault="00CA4204" w:rsidP="003E38D0">
            <w:pPr>
              <w:pStyle w:val="CTEtabla-texto"/>
              <w:jc w:val="left"/>
              <w:rPr>
                <w:rFonts w:cs="Arial"/>
                <w:iCs/>
              </w:rPr>
            </w:pPr>
          </w:p>
        </w:tc>
        <w:tc>
          <w:tcPr>
            <w:tcW w:w="677" w:type="dxa"/>
            <w:tcBorders>
              <w:right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jc w:val="left"/>
              <w:rPr>
                <w:rFonts w:cs="Arial"/>
                <w:iCs/>
              </w:rPr>
            </w:pPr>
            <w:r>
              <w:t>S and F</w:t>
            </w:r>
          </w:p>
        </w:tc>
        <w:tc>
          <w:tcPr>
            <w:tcW w:w="891" w:type="dxa"/>
            <w:tcBorders>
              <w:left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2.15</w:t>
            </w:r>
          </w:p>
        </w:tc>
        <w:tc>
          <w:tcPr>
            <w:tcW w:w="991"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2.15</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2.15</w:t>
            </w:r>
          </w:p>
        </w:tc>
        <w:tc>
          <w:tcPr>
            <w:tcW w:w="999" w:type="dxa"/>
            <w:shd w:val="clear" w:color="auto" w:fill="auto"/>
            <w:vAlign w:val="center"/>
          </w:tcPr>
          <w:p w:rsidR="00CA4204" w:rsidRPr="00937C8B" w:rsidRDefault="00CA4204" w:rsidP="003E38D0">
            <w:pPr>
              <w:pStyle w:val="CTEtabla-texto"/>
              <w:rPr>
                <w:rFonts w:cs="Arial"/>
              </w:rPr>
            </w:pPr>
            <w:r>
              <w:t>2.15</w:t>
            </w:r>
          </w:p>
        </w:tc>
        <w:tc>
          <w:tcPr>
            <w:tcW w:w="1002" w:type="dxa"/>
            <w:shd w:val="clear" w:color="auto" w:fill="auto"/>
            <w:vAlign w:val="center"/>
          </w:tcPr>
          <w:p w:rsidR="00CA4204" w:rsidRPr="00937C8B" w:rsidRDefault="00CA4204" w:rsidP="003E38D0">
            <w:pPr>
              <w:pStyle w:val="CTEtabla-texto"/>
              <w:rPr>
                <w:rFonts w:cs="Arial"/>
              </w:rPr>
            </w:pPr>
            <w:r>
              <w:t>2.15</w:t>
            </w:r>
          </w:p>
        </w:tc>
        <w:tc>
          <w:tcPr>
            <w:tcW w:w="1090"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2.15</w:t>
            </w:r>
          </w:p>
        </w:tc>
      </w:tr>
      <w:tr w:rsidR="00CA4204" w:rsidRPr="00937C8B" w:rsidTr="00935676">
        <w:trPr>
          <w:jc w:val="center"/>
        </w:trPr>
        <w:tc>
          <w:tcPr>
            <w:tcW w:w="1877" w:type="dxa"/>
            <w:vMerge w:val="restart"/>
            <w:shd w:val="clear" w:color="auto" w:fill="auto"/>
            <w:tcMar>
              <w:left w:w="13" w:type="dxa"/>
              <w:right w:w="28" w:type="dxa"/>
            </w:tcMar>
            <w:vAlign w:val="center"/>
          </w:tcPr>
          <w:p w:rsidR="00CA4204" w:rsidRPr="00937C8B" w:rsidRDefault="00CA4204" w:rsidP="003E38D0">
            <w:pPr>
              <w:pStyle w:val="CTEtabla-texto"/>
              <w:jc w:val="left"/>
              <w:rPr>
                <w:rFonts w:cs="Arial"/>
                <w:iCs/>
              </w:rPr>
            </w:pPr>
            <w:r>
              <w:rPr>
                <w:b/>
              </w:rPr>
              <w:t xml:space="preserve">Occupancy (latent) </w:t>
            </w:r>
          </w:p>
        </w:tc>
        <w:tc>
          <w:tcPr>
            <w:tcW w:w="677" w:type="dxa"/>
            <w:tcBorders>
              <w:right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jc w:val="left"/>
              <w:rPr>
                <w:rFonts w:cs="Arial"/>
                <w:iCs/>
              </w:rPr>
            </w:pPr>
            <w:r>
              <w:t>L</w:t>
            </w:r>
          </w:p>
        </w:tc>
        <w:tc>
          <w:tcPr>
            <w:tcW w:w="891" w:type="dxa"/>
            <w:tcBorders>
              <w:left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1.36</w:t>
            </w:r>
          </w:p>
        </w:tc>
        <w:tc>
          <w:tcPr>
            <w:tcW w:w="991"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0.34</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0.68</w:t>
            </w:r>
          </w:p>
        </w:tc>
        <w:tc>
          <w:tcPr>
            <w:tcW w:w="999" w:type="dxa"/>
            <w:shd w:val="clear" w:color="auto" w:fill="auto"/>
            <w:vAlign w:val="center"/>
          </w:tcPr>
          <w:p w:rsidR="00CA4204" w:rsidRPr="00937C8B" w:rsidRDefault="00CA4204" w:rsidP="003E38D0">
            <w:pPr>
              <w:pStyle w:val="CTEtabla-texto"/>
              <w:rPr>
                <w:rFonts w:cs="Arial"/>
              </w:rPr>
            </w:pPr>
            <w:r>
              <w:t>0.68</w:t>
            </w:r>
          </w:p>
        </w:tc>
        <w:tc>
          <w:tcPr>
            <w:tcW w:w="1002" w:type="dxa"/>
            <w:shd w:val="clear" w:color="auto" w:fill="auto"/>
            <w:vAlign w:val="center"/>
          </w:tcPr>
          <w:p w:rsidR="00CA4204" w:rsidRPr="00937C8B" w:rsidRDefault="00CA4204" w:rsidP="003E38D0">
            <w:pPr>
              <w:pStyle w:val="CTEtabla-texto"/>
              <w:rPr>
                <w:rFonts w:cs="Arial"/>
              </w:rPr>
            </w:pPr>
            <w:r>
              <w:t>0.68</w:t>
            </w:r>
          </w:p>
        </w:tc>
        <w:tc>
          <w:tcPr>
            <w:tcW w:w="1090"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1.36</w:t>
            </w:r>
          </w:p>
        </w:tc>
      </w:tr>
      <w:tr w:rsidR="00CA4204" w:rsidRPr="00937C8B" w:rsidTr="00935676">
        <w:trPr>
          <w:jc w:val="center"/>
        </w:trPr>
        <w:tc>
          <w:tcPr>
            <w:tcW w:w="1877" w:type="dxa"/>
            <w:vMerge/>
            <w:shd w:val="clear" w:color="auto" w:fill="auto"/>
            <w:tcMar>
              <w:left w:w="13" w:type="dxa"/>
              <w:right w:w="28" w:type="dxa"/>
            </w:tcMar>
            <w:vAlign w:val="center"/>
          </w:tcPr>
          <w:p w:rsidR="00CA4204" w:rsidRPr="00937C8B" w:rsidRDefault="00CA4204" w:rsidP="003E38D0">
            <w:pPr>
              <w:pStyle w:val="CTEtabla-texto"/>
              <w:jc w:val="left"/>
              <w:rPr>
                <w:rFonts w:cs="Arial"/>
                <w:iCs/>
              </w:rPr>
            </w:pPr>
          </w:p>
        </w:tc>
        <w:tc>
          <w:tcPr>
            <w:tcW w:w="677" w:type="dxa"/>
            <w:tcBorders>
              <w:right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jc w:val="left"/>
              <w:rPr>
                <w:rFonts w:cs="Arial"/>
                <w:iCs/>
              </w:rPr>
            </w:pPr>
            <w:r>
              <w:t>S and F</w:t>
            </w:r>
          </w:p>
        </w:tc>
        <w:tc>
          <w:tcPr>
            <w:tcW w:w="891" w:type="dxa"/>
            <w:tcBorders>
              <w:left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1.36</w:t>
            </w:r>
          </w:p>
        </w:tc>
        <w:tc>
          <w:tcPr>
            <w:tcW w:w="991"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1.36</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1.36</w:t>
            </w:r>
          </w:p>
        </w:tc>
        <w:tc>
          <w:tcPr>
            <w:tcW w:w="999" w:type="dxa"/>
            <w:shd w:val="clear" w:color="auto" w:fill="auto"/>
            <w:vAlign w:val="center"/>
          </w:tcPr>
          <w:p w:rsidR="00CA4204" w:rsidRPr="00937C8B" w:rsidRDefault="00CA4204" w:rsidP="003E38D0">
            <w:pPr>
              <w:pStyle w:val="CTEtabla-texto"/>
              <w:rPr>
                <w:rFonts w:cs="Arial"/>
              </w:rPr>
            </w:pPr>
            <w:r>
              <w:t>1.36</w:t>
            </w:r>
          </w:p>
        </w:tc>
        <w:tc>
          <w:tcPr>
            <w:tcW w:w="1002" w:type="dxa"/>
            <w:shd w:val="clear" w:color="auto" w:fill="auto"/>
            <w:vAlign w:val="center"/>
          </w:tcPr>
          <w:p w:rsidR="00CA4204" w:rsidRPr="00937C8B" w:rsidRDefault="00CA4204" w:rsidP="003E38D0">
            <w:pPr>
              <w:pStyle w:val="CTEtabla-texto"/>
              <w:rPr>
                <w:rFonts w:cs="Arial"/>
              </w:rPr>
            </w:pPr>
            <w:r>
              <w:t>1.36</w:t>
            </w:r>
          </w:p>
        </w:tc>
        <w:tc>
          <w:tcPr>
            <w:tcW w:w="1090"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1.36</w:t>
            </w:r>
          </w:p>
        </w:tc>
      </w:tr>
      <w:tr w:rsidR="00CA4204" w:rsidRPr="00937C8B" w:rsidTr="00935676">
        <w:trPr>
          <w:jc w:val="center"/>
        </w:trPr>
        <w:tc>
          <w:tcPr>
            <w:tcW w:w="1877" w:type="dxa"/>
            <w:shd w:val="clear" w:color="auto" w:fill="auto"/>
            <w:tcMar>
              <w:left w:w="13" w:type="dxa"/>
              <w:right w:w="28" w:type="dxa"/>
            </w:tcMar>
            <w:vAlign w:val="center"/>
          </w:tcPr>
          <w:p w:rsidR="00CA4204" w:rsidRPr="00937C8B" w:rsidRDefault="00CA4204" w:rsidP="003E38D0">
            <w:pPr>
              <w:pStyle w:val="CTEtabla-texto"/>
              <w:jc w:val="left"/>
              <w:rPr>
                <w:rFonts w:cs="Arial"/>
                <w:iCs/>
              </w:rPr>
            </w:pPr>
            <w:r>
              <w:rPr>
                <w:b/>
              </w:rPr>
              <w:t xml:space="preserve">Lighting </w:t>
            </w:r>
          </w:p>
        </w:tc>
        <w:tc>
          <w:tcPr>
            <w:tcW w:w="677" w:type="dxa"/>
            <w:tcBorders>
              <w:right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jc w:val="left"/>
              <w:rPr>
                <w:rFonts w:cs="Arial"/>
                <w:iCs/>
              </w:rPr>
            </w:pPr>
            <w:r>
              <w:t>L, S and F</w:t>
            </w:r>
          </w:p>
        </w:tc>
        <w:tc>
          <w:tcPr>
            <w:tcW w:w="891" w:type="dxa"/>
            <w:tcBorders>
              <w:left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0.44</w:t>
            </w:r>
          </w:p>
        </w:tc>
        <w:tc>
          <w:tcPr>
            <w:tcW w:w="991"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1.32</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1.32</w:t>
            </w:r>
          </w:p>
        </w:tc>
        <w:tc>
          <w:tcPr>
            <w:tcW w:w="999" w:type="dxa"/>
            <w:shd w:val="clear" w:color="auto" w:fill="auto"/>
            <w:vAlign w:val="center"/>
          </w:tcPr>
          <w:p w:rsidR="00CA4204" w:rsidRPr="00937C8B" w:rsidRDefault="00CA4204" w:rsidP="003E38D0">
            <w:pPr>
              <w:pStyle w:val="CTEtabla-texto"/>
              <w:rPr>
                <w:rFonts w:cs="Arial"/>
              </w:rPr>
            </w:pPr>
            <w:r>
              <w:t>2.20</w:t>
            </w:r>
          </w:p>
        </w:tc>
        <w:tc>
          <w:tcPr>
            <w:tcW w:w="1002" w:type="dxa"/>
            <w:shd w:val="clear" w:color="auto" w:fill="auto"/>
            <w:vAlign w:val="center"/>
          </w:tcPr>
          <w:p w:rsidR="00CA4204" w:rsidRPr="00937C8B" w:rsidRDefault="00CA4204" w:rsidP="003E38D0">
            <w:pPr>
              <w:pStyle w:val="CTEtabla-texto"/>
              <w:rPr>
                <w:rFonts w:cs="Arial"/>
              </w:rPr>
            </w:pPr>
            <w:r>
              <w:t>4.40</w:t>
            </w:r>
          </w:p>
        </w:tc>
        <w:tc>
          <w:tcPr>
            <w:tcW w:w="1090"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2.20</w:t>
            </w:r>
          </w:p>
        </w:tc>
      </w:tr>
      <w:tr w:rsidR="00CA4204" w:rsidRPr="00937C8B" w:rsidTr="00935676">
        <w:trPr>
          <w:jc w:val="center"/>
        </w:trPr>
        <w:tc>
          <w:tcPr>
            <w:tcW w:w="1877" w:type="dxa"/>
            <w:shd w:val="clear" w:color="auto" w:fill="auto"/>
            <w:tcMar>
              <w:left w:w="13" w:type="dxa"/>
              <w:right w:w="28" w:type="dxa"/>
            </w:tcMar>
            <w:vAlign w:val="center"/>
          </w:tcPr>
          <w:p w:rsidR="00CA4204" w:rsidRPr="00937C8B" w:rsidRDefault="00CA4204" w:rsidP="003E38D0">
            <w:pPr>
              <w:pStyle w:val="CTEtabla-texto"/>
              <w:jc w:val="left"/>
              <w:rPr>
                <w:rFonts w:cs="Arial"/>
                <w:iCs/>
              </w:rPr>
            </w:pPr>
            <w:r>
              <w:rPr>
                <w:b/>
              </w:rPr>
              <w:t xml:space="preserve">Equipment </w:t>
            </w:r>
          </w:p>
        </w:tc>
        <w:tc>
          <w:tcPr>
            <w:tcW w:w="677" w:type="dxa"/>
            <w:tcBorders>
              <w:right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jc w:val="left"/>
              <w:rPr>
                <w:rFonts w:cs="Arial"/>
                <w:iCs/>
              </w:rPr>
            </w:pPr>
            <w:r>
              <w:t>L, S and F</w:t>
            </w:r>
          </w:p>
        </w:tc>
        <w:tc>
          <w:tcPr>
            <w:tcW w:w="891" w:type="dxa"/>
            <w:tcBorders>
              <w:left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0.44</w:t>
            </w:r>
          </w:p>
        </w:tc>
        <w:tc>
          <w:tcPr>
            <w:tcW w:w="991"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1.32</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1.32</w:t>
            </w:r>
          </w:p>
        </w:tc>
        <w:tc>
          <w:tcPr>
            <w:tcW w:w="999" w:type="dxa"/>
            <w:shd w:val="clear" w:color="auto" w:fill="auto"/>
            <w:vAlign w:val="center"/>
          </w:tcPr>
          <w:p w:rsidR="00CA4204" w:rsidRPr="00937C8B" w:rsidRDefault="00CA4204" w:rsidP="003E38D0">
            <w:pPr>
              <w:pStyle w:val="CTEtabla-texto"/>
              <w:rPr>
                <w:rFonts w:cs="Arial"/>
              </w:rPr>
            </w:pPr>
            <w:r>
              <w:t>2.20</w:t>
            </w:r>
          </w:p>
        </w:tc>
        <w:tc>
          <w:tcPr>
            <w:tcW w:w="1002" w:type="dxa"/>
            <w:shd w:val="clear" w:color="auto" w:fill="auto"/>
            <w:vAlign w:val="center"/>
          </w:tcPr>
          <w:p w:rsidR="00CA4204" w:rsidRPr="00937C8B" w:rsidRDefault="00CA4204" w:rsidP="003E38D0">
            <w:pPr>
              <w:pStyle w:val="CTEtabla-texto"/>
              <w:rPr>
                <w:rFonts w:cs="Arial"/>
              </w:rPr>
            </w:pPr>
            <w:r>
              <w:t>4.40</w:t>
            </w:r>
          </w:p>
        </w:tc>
        <w:tc>
          <w:tcPr>
            <w:tcW w:w="1090"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2.20</w:t>
            </w:r>
          </w:p>
        </w:tc>
      </w:tr>
      <w:tr w:rsidR="00CA4204" w:rsidRPr="00937C8B" w:rsidTr="00935676">
        <w:trPr>
          <w:jc w:val="center"/>
        </w:trPr>
        <w:tc>
          <w:tcPr>
            <w:tcW w:w="8619" w:type="dxa"/>
            <w:gridSpan w:val="8"/>
            <w:shd w:val="clear" w:color="auto" w:fill="auto"/>
            <w:tcMar>
              <w:left w:w="28" w:type="dxa"/>
              <w:right w:w="28" w:type="dxa"/>
            </w:tcMar>
            <w:vAlign w:val="center"/>
          </w:tcPr>
          <w:p w:rsidR="00CA4204" w:rsidRPr="00937C8B" w:rsidRDefault="00CA4204" w:rsidP="003E38D0">
            <w:pPr>
              <w:pStyle w:val="CTETabla-nota"/>
              <w:ind w:left="0" w:hanging="4"/>
            </w:pPr>
            <w:r>
              <w:t>L: Working day, S: Saturday, F: Sunday and public holiday</w:t>
            </w:r>
          </w:p>
        </w:tc>
      </w:tr>
    </w:tbl>
    <w:p w:rsidR="00804EB4" w:rsidRPr="00937C8B" w:rsidRDefault="00804EB4" w:rsidP="00804EB4">
      <w:pPr>
        <w:pStyle w:val="CTEtabla-Titulo"/>
        <w:jc w:val="left"/>
        <w:rPr>
          <w:sz w:val="4"/>
          <w:szCs w:val="20"/>
        </w:rPr>
      </w:pPr>
    </w:p>
    <w:p w:rsidR="00CA4204" w:rsidRPr="00937C8B" w:rsidRDefault="00CA4204" w:rsidP="00D27646">
      <w:pPr>
        <w:pStyle w:val="CTEtabla-Titulo"/>
      </w:pPr>
      <w:r>
        <w:t xml:space="preserve">Table c-Annex D. </w:t>
      </w:r>
      <w:r>
        <w:rPr>
          <w:i/>
        </w:rPr>
        <w:t>Usage profile</w:t>
      </w:r>
      <w:r>
        <w:t xml:space="preserve"> for DHW in spaces for private residential use</w:t>
      </w:r>
    </w:p>
    <w:tbl>
      <w:tblPr>
        <w:tblW w:w="8248" w:type="dxa"/>
        <w:jc w:val="center"/>
        <w:tblCellMar>
          <w:top w:w="55" w:type="dxa"/>
          <w:left w:w="50" w:type="dxa"/>
          <w:bottom w:w="55" w:type="dxa"/>
          <w:right w:w="55" w:type="dxa"/>
        </w:tblCellMar>
        <w:tblLook w:val="04A0" w:firstRow="1" w:lastRow="0" w:firstColumn="1" w:lastColumn="0" w:noHBand="0" w:noVBand="1"/>
      </w:tblPr>
      <w:tblGrid>
        <w:gridCol w:w="892"/>
        <w:gridCol w:w="992"/>
        <w:gridCol w:w="1092"/>
        <w:gridCol w:w="1002"/>
        <w:gridCol w:w="1001"/>
        <w:gridCol w:w="1092"/>
        <w:gridCol w:w="1091"/>
        <w:gridCol w:w="1086"/>
      </w:tblGrid>
      <w:tr w:rsidR="00CA4204" w:rsidRPr="00937C8B" w:rsidTr="00935676">
        <w:trPr>
          <w:jc w:val="center"/>
        </w:trPr>
        <w:tc>
          <w:tcPr>
            <w:tcW w:w="891" w:type="dxa"/>
            <w:tcBorders>
              <w:bottom w:val="single" w:sz="4" w:space="0" w:color="000000"/>
            </w:tcBorders>
            <w:shd w:val="clear" w:color="auto" w:fill="auto"/>
            <w:vAlign w:val="center"/>
          </w:tcPr>
          <w:p w:rsidR="00CA4204" w:rsidRPr="00937C8B" w:rsidRDefault="00CA4204" w:rsidP="00D27646">
            <w:pPr>
              <w:pStyle w:val="CTEtabla-texto"/>
              <w:keepNext/>
              <w:rPr>
                <w:rFonts w:cs="Arial"/>
                <w:b/>
                <w:bCs/>
              </w:rPr>
            </w:pPr>
            <w:r>
              <w:rPr>
                <w:b/>
              </w:rPr>
              <w:t>Time</w:t>
            </w:r>
          </w:p>
        </w:tc>
        <w:tc>
          <w:tcPr>
            <w:tcW w:w="992" w:type="dxa"/>
            <w:tcBorders>
              <w:bottom w:val="single" w:sz="4" w:space="0" w:color="000000"/>
            </w:tcBorders>
            <w:shd w:val="clear" w:color="auto" w:fill="auto"/>
            <w:vAlign w:val="center"/>
          </w:tcPr>
          <w:p w:rsidR="00CA4204" w:rsidRPr="00937C8B" w:rsidRDefault="00CA4204" w:rsidP="00D27646">
            <w:pPr>
              <w:pStyle w:val="CTEtabla-texto"/>
              <w:keepNext/>
              <w:rPr>
                <w:rFonts w:cs="Arial"/>
                <w:b/>
                <w:bCs/>
              </w:rPr>
            </w:pPr>
            <w:r>
              <w:rPr>
                <w:b/>
              </w:rPr>
              <w:t>%</w:t>
            </w:r>
          </w:p>
        </w:tc>
        <w:tc>
          <w:tcPr>
            <w:tcW w:w="1092" w:type="dxa"/>
            <w:tcBorders>
              <w:bottom w:val="single" w:sz="4" w:space="0" w:color="000000"/>
            </w:tcBorders>
            <w:shd w:val="clear" w:color="auto" w:fill="auto"/>
            <w:vAlign w:val="center"/>
          </w:tcPr>
          <w:p w:rsidR="00CA4204" w:rsidRPr="00937C8B" w:rsidRDefault="00CA4204" w:rsidP="00D27646">
            <w:pPr>
              <w:pStyle w:val="CTEtabla-texto"/>
              <w:keepNext/>
              <w:rPr>
                <w:rFonts w:cs="Arial"/>
                <w:b/>
                <w:bCs/>
              </w:rPr>
            </w:pPr>
            <w:r>
              <w:rPr>
                <w:b/>
              </w:rPr>
              <w:t>Time</w:t>
            </w:r>
          </w:p>
        </w:tc>
        <w:tc>
          <w:tcPr>
            <w:tcW w:w="1002" w:type="dxa"/>
            <w:tcBorders>
              <w:bottom w:val="single" w:sz="4" w:space="0" w:color="000000"/>
            </w:tcBorders>
            <w:shd w:val="clear" w:color="auto" w:fill="auto"/>
            <w:tcMar>
              <w:top w:w="0" w:type="dxa"/>
              <w:left w:w="-5" w:type="dxa"/>
              <w:bottom w:w="0" w:type="dxa"/>
              <w:right w:w="10" w:type="dxa"/>
            </w:tcMar>
            <w:vAlign w:val="center"/>
          </w:tcPr>
          <w:p w:rsidR="00CA4204" w:rsidRPr="00937C8B" w:rsidRDefault="00CA4204" w:rsidP="00D27646">
            <w:pPr>
              <w:pStyle w:val="CTEtabla-texto"/>
              <w:keepNext/>
              <w:rPr>
                <w:rFonts w:cs="Arial"/>
                <w:b/>
                <w:bCs/>
              </w:rPr>
            </w:pPr>
            <w:r>
              <w:rPr>
                <w:b/>
              </w:rPr>
              <w:t>%</w:t>
            </w:r>
          </w:p>
        </w:tc>
        <w:tc>
          <w:tcPr>
            <w:tcW w:w="1001" w:type="dxa"/>
            <w:tcBorders>
              <w:bottom w:val="single" w:sz="4" w:space="0" w:color="000000"/>
            </w:tcBorders>
            <w:shd w:val="clear" w:color="auto" w:fill="auto"/>
            <w:tcMar>
              <w:top w:w="0" w:type="dxa"/>
              <w:left w:w="-5" w:type="dxa"/>
              <w:bottom w:w="0" w:type="dxa"/>
              <w:right w:w="10" w:type="dxa"/>
            </w:tcMar>
            <w:vAlign w:val="center"/>
          </w:tcPr>
          <w:p w:rsidR="00CA4204" w:rsidRPr="00937C8B" w:rsidRDefault="00CA4204" w:rsidP="00D27646">
            <w:pPr>
              <w:pStyle w:val="CTEtabla-texto"/>
              <w:keepNext/>
              <w:rPr>
                <w:rFonts w:cs="Arial"/>
                <w:b/>
                <w:bCs/>
              </w:rPr>
            </w:pPr>
            <w:r>
              <w:rPr>
                <w:b/>
              </w:rPr>
              <w:t>Time</w:t>
            </w:r>
          </w:p>
        </w:tc>
        <w:tc>
          <w:tcPr>
            <w:tcW w:w="1092" w:type="dxa"/>
            <w:tcBorders>
              <w:bottom w:val="single" w:sz="4" w:space="0" w:color="000000"/>
            </w:tcBorders>
            <w:shd w:val="clear" w:color="auto" w:fill="auto"/>
            <w:vAlign w:val="center"/>
          </w:tcPr>
          <w:p w:rsidR="00CA4204" w:rsidRPr="00937C8B" w:rsidRDefault="00CA4204" w:rsidP="00D27646">
            <w:pPr>
              <w:pStyle w:val="CTEtabla-texto"/>
              <w:keepNext/>
              <w:rPr>
                <w:rFonts w:cs="Arial"/>
                <w:b/>
                <w:bCs/>
              </w:rPr>
            </w:pPr>
            <w:r>
              <w:rPr>
                <w:b/>
              </w:rPr>
              <w:t>%</w:t>
            </w:r>
          </w:p>
        </w:tc>
        <w:tc>
          <w:tcPr>
            <w:tcW w:w="1091" w:type="dxa"/>
            <w:tcBorders>
              <w:bottom w:val="single" w:sz="4" w:space="0" w:color="000000"/>
            </w:tcBorders>
            <w:shd w:val="clear" w:color="auto" w:fill="auto"/>
            <w:tcMar>
              <w:top w:w="0" w:type="dxa"/>
              <w:left w:w="-5" w:type="dxa"/>
              <w:bottom w:w="0" w:type="dxa"/>
              <w:right w:w="10" w:type="dxa"/>
            </w:tcMar>
            <w:vAlign w:val="center"/>
          </w:tcPr>
          <w:p w:rsidR="00CA4204" w:rsidRPr="00937C8B" w:rsidRDefault="00CA4204" w:rsidP="00D27646">
            <w:pPr>
              <w:pStyle w:val="CTEtabla-texto"/>
              <w:keepNext/>
              <w:rPr>
                <w:rFonts w:cs="Arial"/>
                <w:b/>
                <w:bCs/>
              </w:rPr>
            </w:pPr>
            <w:r>
              <w:rPr>
                <w:b/>
              </w:rPr>
              <w:t>Time</w:t>
            </w:r>
          </w:p>
        </w:tc>
        <w:tc>
          <w:tcPr>
            <w:tcW w:w="1086" w:type="dxa"/>
            <w:tcBorders>
              <w:bottom w:val="single" w:sz="4" w:space="0" w:color="000000"/>
            </w:tcBorders>
            <w:shd w:val="clear" w:color="auto" w:fill="auto"/>
            <w:tcMar>
              <w:top w:w="0" w:type="dxa"/>
              <w:left w:w="-5" w:type="dxa"/>
              <w:bottom w:w="0" w:type="dxa"/>
              <w:right w:w="10" w:type="dxa"/>
            </w:tcMar>
            <w:vAlign w:val="center"/>
          </w:tcPr>
          <w:p w:rsidR="00CA4204" w:rsidRPr="00937C8B" w:rsidRDefault="00CA4204" w:rsidP="00D27646">
            <w:pPr>
              <w:pStyle w:val="CTEtabla-texto"/>
              <w:keepNext/>
              <w:rPr>
                <w:rFonts w:cs="Arial"/>
                <w:b/>
                <w:bCs/>
              </w:rPr>
            </w:pPr>
            <w:r>
              <w:rPr>
                <w:b/>
              </w:rPr>
              <w:t>%</w:t>
            </w:r>
          </w:p>
        </w:tc>
      </w:tr>
      <w:tr w:rsidR="00CA4204" w:rsidRPr="00937C8B" w:rsidTr="00935676">
        <w:trPr>
          <w:jc w:val="center"/>
        </w:trPr>
        <w:tc>
          <w:tcPr>
            <w:tcW w:w="891" w:type="dxa"/>
            <w:tcBorders>
              <w:top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0.00</w:t>
            </w:r>
          </w:p>
        </w:tc>
        <w:tc>
          <w:tcPr>
            <w:tcW w:w="992" w:type="dxa"/>
            <w:tcBorders>
              <w:top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w:t>
            </w:r>
          </w:p>
        </w:tc>
        <w:tc>
          <w:tcPr>
            <w:tcW w:w="1092" w:type="dxa"/>
            <w:tcBorders>
              <w:top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6.00</w:t>
            </w:r>
          </w:p>
        </w:tc>
        <w:tc>
          <w:tcPr>
            <w:tcW w:w="1002" w:type="dxa"/>
            <w:tcBorders>
              <w:top w:val="single" w:sz="4" w:space="0" w:color="000000"/>
            </w:tcBorders>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3</w:t>
            </w:r>
          </w:p>
        </w:tc>
        <w:tc>
          <w:tcPr>
            <w:tcW w:w="1001" w:type="dxa"/>
            <w:tcBorders>
              <w:top w:val="single" w:sz="4" w:space="0" w:color="000000"/>
            </w:tcBorders>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12.00</w:t>
            </w:r>
          </w:p>
        </w:tc>
        <w:tc>
          <w:tcPr>
            <w:tcW w:w="1092" w:type="dxa"/>
            <w:tcBorders>
              <w:top w:val="single" w:sz="4" w:space="0" w:color="000000"/>
            </w:tcBorders>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5</w:t>
            </w:r>
          </w:p>
        </w:tc>
        <w:tc>
          <w:tcPr>
            <w:tcW w:w="1091" w:type="dxa"/>
            <w:tcBorders>
              <w:top w:val="single" w:sz="4" w:space="0" w:color="000000"/>
            </w:tcBorders>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18.00</w:t>
            </w:r>
          </w:p>
        </w:tc>
        <w:tc>
          <w:tcPr>
            <w:tcW w:w="1086" w:type="dxa"/>
            <w:tcBorders>
              <w:top w:val="single" w:sz="4" w:space="0" w:color="000000"/>
            </w:tcBorders>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5</w:t>
            </w:r>
          </w:p>
        </w:tc>
      </w:tr>
      <w:tr w:rsidR="00CA4204" w:rsidRPr="00937C8B" w:rsidTr="00935676">
        <w:trPr>
          <w:jc w:val="center"/>
        </w:trPr>
        <w:tc>
          <w:tcPr>
            <w:tcW w:w="891"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1.00</w:t>
            </w:r>
          </w:p>
        </w:tc>
        <w:tc>
          <w:tcPr>
            <w:tcW w:w="9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0</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7.00</w:t>
            </w:r>
          </w:p>
        </w:tc>
        <w:tc>
          <w:tcPr>
            <w:tcW w:w="1002"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10</w:t>
            </w:r>
          </w:p>
        </w:tc>
        <w:tc>
          <w:tcPr>
            <w:tcW w:w="1001"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13.00</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5</w:t>
            </w:r>
          </w:p>
        </w:tc>
        <w:tc>
          <w:tcPr>
            <w:tcW w:w="1091"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19.00</w:t>
            </w:r>
          </w:p>
        </w:tc>
        <w:tc>
          <w:tcPr>
            <w:tcW w:w="1086"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7</w:t>
            </w:r>
          </w:p>
        </w:tc>
      </w:tr>
      <w:tr w:rsidR="00CA4204" w:rsidRPr="00937C8B" w:rsidTr="00935676">
        <w:trPr>
          <w:jc w:val="center"/>
        </w:trPr>
        <w:tc>
          <w:tcPr>
            <w:tcW w:w="891"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2.00</w:t>
            </w:r>
          </w:p>
        </w:tc>
        <w:tc>
          <w:tcPr>
            <w:tcW w:w="9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0</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8.00</w:t>
            </w:r>
          </w:p>
        </w:tc>
        <w:tc>
          <w:tcPr>
            <w:tcW w:w="1002"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7</w:t>
            </w:r>
          </w:p>
        </w:tc>
        <w:tc>
          <w:tcPr>
            <w:tcW w:w="1001"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14.00</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4</w:t>
            </w:r>
          </w:p>
        </w:tc>
        <w:tc>
          <w:tcPr>
            <w:tcW w:w="1091"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20.00</w:t>
            </w:r>
          </w:p>
        </w:tc>
        <w:tc>
          <w:tcPr>
            <w:tcW w:w="1086"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6</w:t>
            </w:r>
          </w:p>
        </w:tc>
      </w:tr>
      <w:tr w:rsidR="00CA4204" w:rsidRPr="00937C8B" w:rsidTr="00935676">
        <w:trPr>
          <w:jc w:val="center"/>
        </w:trPr>
        <w:tc>
          <w:tcPr>
            <w:tcW w:w="891"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3.00</w:t>
            </w:r>
          </w:p>
        </w:tc>
        <w:tc>
          <w:tcPr>
            <w:tcW w:w="9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0</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9.00</w:t>
            </w:r>
          </w:p>
        </w:tc>
        <w:tc>
          <w:tcPr>
            <w:tcW w:w="1002"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7</w:t>
            </w:r>
          </w:p>
        </w:tc>
        <w:tc>
          <w:tcPr>
            <w:tcW w:w="1001"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15.00</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3</w:t>
            </w:r>
          </w:p>
        </w:tc>
        <w:tc>
          <w:tcPr>
            <w:tcW w:w="1091"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21.00</w:t>
            </w:r>
          </w:p>
        </w:tc>
        <w:tc>
          <w:tcPr>
            <w:tcW w:w="1086"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6</w:t>
            </w:r>
          </w:p>
        </w:tc>
      </w:tr>
      <w:tr w:rsidR="00CA4204" w:rsidRPr="00937C8B" w:rsidTr="00935676">
        <w:trPr>
          <w:jc w:val="center"/>
        </w:trPr>
        <w:tc>
          <w:tcPr>
            <w:tcW w:w="891"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4.00</w:t>
            </w:r>
          </w:p>
        </w:tc>
        <w:tc>
          <w:tcPr>
            <w:tcW w:w="9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0</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10.00</w:t>
            </w:r>
          </w:p>
        </w:tc>
        <w:tc>
          <w:tcPr>
            <w:tcW w:w="1002"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6</w:t>
            </w:r>
          </w:p>
        </w:tc>
        <w:tc>
          <w:tcPr>
            <w:tcW w:w="1001"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16.00</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4</w:t>
            </w:r>
          </w:p>
        </w:tc>
        <w:tc>
          <w:tcPr>
            <w:tcW w:w="1091"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22.00</w:t>
            </w:r>
          </w:p>
        </w:tc>
        <w:tc>
          <w:tcPr>
            <w:tcW w:w="1086"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5</w:t>
            </w:r>
          </w:p>
        </w:tc>
      </w:tr>
      <w:tr w:rsidR="00CA4204" w:rsidRPr="00937C8B" w:rsidTr="00935676">
        <w:trPr>
          <w:jc w:val="center"/>
        </w:trPr>
        <w:tc>
          <w:tcPr>
            <w:tcW w:w="891"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5.00</w:t>
            </w:r>
          </w:p>
        </w:tc>
        <w:tc>
          <w:tcPr>
            <w:tcW w:w="9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11.00</w:t>
            </w:r>
          </w:p>
        </w:tc>
        <w:tc>
          <w:tcPr>
            <w:tcW w:w="1002"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6</w:t>
            </w:r>
          </w:p>
        </w:tc>
        <w:tc>
          <w:tcPr>
            <w:tcW w:w="1001"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17.00</w:t>
            </w:r>
          </w:p>
        </w:tc>
        <w:tc>
          <w:tcPr>
            <w:tcW w:w="1092" w:type="dxa"/>
            <w:shd w:val="clear" w:color="auto" w:fill="auto"/>
            <w:tcMar>
              <w:top w:w="28" w:type="dxa"/>
              <w:left w:w="13" w:type="dxa"/>
              <w:bottom w:w="28" w:type="dxa"/>
              <w:right w:w="28" w:type="dxa"/>
            </w:tcMar>
            <w:vAlign w:val="center"/>
          </w:tcPr>
          <w:p w:rsidR="00CA4204" w:rsidRPr="00937C8B" w:rsidRDefault="00CA4204" w:rsidP="003E38D0">
            <w:pPr>
              <w:pStyle w:val="CTEtabla-texto"/>
              <w:rPr>
                <w:rFonts w:cs="Arial"/>
              </w:rPr>
            </w:pPr>
            <w:r>
              <w:t>4</w:t>
            </w:r>
          </w:p>
        </w:tc>
        <w:tc>
          <w:tcPr>
            <w:tcW w:w="1091"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23.00</w:t>
            </w:r>
          </w:p>
        </w:tc>
        <w:tc>
          <w:tcPr>
            <w:tcW w:w="1086" w:type="dxa"/>
            <w:shd w:val="clear" w:color="auto" w:fill="auto"/>
            <w:tcMar>
              <w:top w:w="0" w:type="dxa"/>
              <w:left w:w="-5" w:type="dxa"/>
              <w:bottom w:w="0" w:type="dxa"/>
              <w:right w:w="10" w:type="dxa"/>
            </w:tcMar>
            <w:vAlign w:val="center"/>
          </w:tcPr>
          <w:p w:rsidR="00CA4204" w:rsidRPr="00937C8B" w:rsidRDefault="00CA4204" w:rsidP="003E38D0">
            <w:pPr>
              <w:pStyle w:val="CTEtabla-texto"/>
              <w:rPr>
                <w:rFonts w:cs="Arial"/>
              </w:rPr>
            </w:pPr>
            <w:r>
              <w:t>5</w:t>
            </w:r>
          </w:p>
        </w:tc>
      </w:tr>
      <w:tr w:rsidR="00CA4204" w:rsidRPr="00937C8B" w:rsidTr="00935676">
        <w:trPr>
          <w:jc w:val="center"/>
        </w:trPr>
        <w:tc>
          <w:tcPr>
            <w:tcW w:w="8247" w:type="dxa"/>
            <w:gridSpan w:val="8"/>
            <w:shd w:val="clear" w:color="auto" w:fill="auto"/>
            <w:tcMar>
              <w:top w:w="28" w:type="dxa"/>
              <w:left w:w="18" w:type="dxa"/>
              <w:bottom w:w="28" w:type="dxa"/>
              <w:right w:w="28" w:type="dxa"/>
            </w:tcMar>
            <w:vAlign w:val="center"/>
          </w:tcPr>
          <w:p w:rsidR="00CA4204" w:rsidRPr="00937C8B" w:rsidRDefault="00CA4204" w:rsidP="003E38D0">
            <w:pPr>
              <w:pStyle w:val="CTETabla-nota"/>
              <w:ind w:left="-4" w:firstLine="0"/>
            </w:pPr>
            <w:r>
              <w:t>The % refers to the percentage with respect to daily DHW demand.</w:t>
            </w:r>
          </w:p>
        </w:tc>
      </w:tr>
    </w:tbl>
    <w:p w:rsidR="00CA4204" w:rsidRPr="00937C8B" w:rsidRDefault="00CA4204" w:rsidP="00CA4204">
      <w:pPr>
        <w:pStyle w:val="CTENumeracion"/>
        <w:spacing w:before="120"/>
        <w:rPr>
          <w:rFonts w:cs="Arial"/>
          <w:sz w:val="22"/>
          <w:szCs w:val="22"/>
        </w:rPr>
      </w:pPr>
      <w:r>
        <w:rPr>
          <w:sz w:val="22"/>
        </w:rPr>
        <w:t>3.</w:t>
      </w:r>
      <w:r>
        <w:rPr>
          <w:sz w:val="22"/>
        </w:rPr>
        <w:tab/>
        <w:t xml:space="preserve">The </w:t>
      </w:r>
      <w:r>
        <w:rPr>
          <w:i/>
          <w:sz w:val="22"/>
        </w:rPr>
        <w:t>operating conditions</w:t>
      </w:r>
      <w:r>
        <w:rPr>
          <w:sz w:val="22"/>
        </w:rPr>
        <w:t xml:space="preserve"> and the </w:t>
      </w:r>
      <w:r>
        <w:rPr>
          <w:i/>
          <w:sz w:val="22"/>
        </w:rPr>
        <w:t>usage profile</w:t>
      </w:r>
      <w:r>
        <w:rPr>
          <w:sz w:val="22"/>
        </w:rPr>
        <w:t xml:space="preserve"> for uses other than private residential shall be those specified in the design. It shall also be permitted to use standardised </w:t>
      </w:r>
      <w:r>
        <w:rPr>
          <w:i/>
          <w:iCs/>
          <w:sz w:val="22"/>
        </w:rPr>
        <w:t>operating conditions</w:t>
      </w:r>
      <w:r>
        <w:rPr>
          <w:sz w:val="22"/>
        </w:rPr>
        <w:t xml:space="preserve"> and </w:t>
      </w:r>
      <w:r>
        <w:rPr>
          <w:i/>
          <w:iCs/>
          <w:sz w:val="22"/>
        </w:rPr>
        <w:t>usage profiles</w:t>
      </w:r>
      <w:r>
        <w:rPr>
          <w:sz w:val="22"/>
        </w:rPr>
        <w:t xml:space="preserve"> if the usage conditions of the space may be considered equivalent.</w:t>
      </w:r>
    </w:p>
    <w:p w:rsidR="00A32FE4" w:rsidRPr="00937C8B" w:rsidRDefault="00CA4204" w:rsidP="006C641F">
      <w:pPr>
        <w:pStyle w:val="CTENumeracion"/>
        <w:spacing w:before="120"/>
        <w:rPr>
          <w:rFonts w:cs="Arial"/>
        </w:rPr>
      </w:pPr>
      <w:r>
        <w:rPr>
          <w:sz w:val="22"/>
        </w:rPr>
        <w:t>4.</w:t>
      </w:r>
      <w:r>
        <w:rPr>
          <w:sz w:val="22"/>
        </w:rPr>
        <w:tab/>
        <w:t>The Recognised Document that sets out the Technical conditions for the procedure to assess the energy performance of the buildings defines a set of standards profiles determined based on use, internal load (low, medium or high) and usage period (8, 12, 16 and 24 hours).</w:t>
      </w:r>
    </w:p>
    <w:p w:rsidR="00447DB2" w:rsidRPr="00937C8B" w:rsidRDefault="00447DB2" w:rsidP="0084739B">
      <w:pPr>
        <w:pStyle w:val="CteTtuloSeccion"/>
        <w:pageBreakBefore/>
        <w:rPr>
          <w:rFonts w:cs="Arial"/>
          <w:color w:val="auto"/>
        </w:rPr>
      </w:pPr>
      <w:bookmarkStart w:id="354" w:name="_Toc39157980"/>
      <w:bookmarkStart w:id="355" w:name="_Toc39158146"/>
      <w:bookmarkStart w:id="356" w:name="_Toc44876301"/>
      <w:r>
        <w:rPr>
          <w:color w:val="auto"/>
        </w:rPr>
        <w:t>Annex E.</w:t>
      </w:r>
      <w:r>
        <w:rPr>
          <w:color w:val="auto"/>
        </w:rPr>
        <w:tab/>
        <w:t>Guideline values for transmittance</w:t>
      </w:r>
      <w:bookmarkEnd w:id="354"/>
      <w:bookmarkEnd w:id="355"/>
      <w:bookmarkEnd w:id="356"/>
    </w:p>
    <w:p w:rsidR="00CA4204" w:rsidRPr="00937C8B" w:rsidRDefault="00CA4204" w:rsidP="00CA4204">
      <w:pPr>
        <w:pStyle w:val="CTENormal"/>
      </w:pPr>
    </w:p>
    <w:p w:rsidR="00CA4204" w:rsidRPr="00937C8B" w:rsidRDefault="00CA4204" w:rsidP="00CA4204">
      <w:pPr>
        <w:pStyle w:val="CTENumeracion"/>
        <w:rPr>
          <w:rFonts w:cs="Arial"/>
          <w:sz w:val="22"/>
          <w:szCs w:val="22"/>
        </w:rPr>
      </w:pPr>
      <w:r>
        <w:rPr>
          <w:sz w:val="22"/>
        </w:rPr>
        <w:t>1.</w:t>
      </w:r>
      <w:r>
        <w:rPr>
          <w:sz w:val="22"/>
        </w:rPr>
        <w:tab/>
        <w:t xml:space="preserve">Table a-Annex E gives guideline values for the characteristic parameters of the </w:t>
      </w:r>
      <w:r>
        <w:rPr>
          <w:i/>
          <w:iCs/>
          <w:sz w:val="22"/>
        </w:rPr>
        <w:t>thermal envelope</w:t>
      </w:r>
      <w:r>
        <w:rPr>
          <w:sz w:val="22"/>
        </w:rPr>
        <w:t xml:space="preserve"> that may be useful in the predimensioning of construction solutions for buildings for private residential use, to meet the conditions set for the </w:t>
      </w:r>
      <w:r>
        <w:rPr>
          <w:i/>
          <w:iCs/>
          <w:sz w:val="22"/>
        </w:rPr>
        <w:t>total heat transfer coefficient</w:t>
      </w:r>
      <w:r>
        <w:rPr>
          <w:sz w:val="22"/>
        </w:rPr>
        <w:t xml:space="preserve"> through the envelope (section 3.1.1 – HE1):</w:t>
      </w:r>
    </w:p>
    <w:p w:rsidR="00CA4204" w:rsidRPr="00937C8B" w:rsidRDefault="00CA4204" w:rsidP="00935676">
      <w:pPr>
        <w:pStyle w:val="CTEtabla-Titulo"/>
        <w:spacing w:after="0"/>
      </w:pPr>
      <w:r>
        <w:t xml:space="preserve">Table a-Annex E. </w:t>
      </w:r>
      <w:r>
        <w:rPr>
          <w:i/>
        </w:rPr>
        <w:t>Thermal transmittance</w:t>
      </w:r>
      <w:r>
        <w:t xml:space="preserve"> of the element, U [W/m</w:t>
      </w:r>
      <w:r>
        <w:rPr>
          <w:vertAlign w:val="superscript"/>
        </w:rPr>
        <w:t xml:space="preserve">2 </w:t>
      </w:r>
      <w:r>
        <w:t>K]</w:t>
      </w:r>
    </w:p>
    <w:tbl>
      <w:tblPr>
        <w:tblW w:w="0" w:type="auto"/>
        <w:jc w:val="center"/>
        <w:tblBorders>
          <w:right w:val="single" w:sz="4" w:space="0" w:color="000000"/>
          <w:insideV w:val="single" w:sz="4" w:space="0" w:color="000000"/>
        </w:tblBorders>
        <w:tblCellMar>
          <w:top w:w="55" w:type="dxa"/>
          <w:left w:w="55" w:type="dxa"/>
          <w:bottom w:w="55" w:type="dxa"/>
          <w:right w:w="55" w:type="dxa"/>
        </w:tblCellMar>
        <w:tblLook w:val="04A0" w:firstRow="1" w:lastRow="0" w:firstColumn="1" w:lastColumn="0" w:noHBand="0" w:noVBand="1"/>
      </w:tblPr>
      <w:tblGrid>
        <w:gridCol w:w="5781"/>
        <w:gridCol w:w="461"/>
        <w:gridCol w:w="461"/>
        <w:gridCol w:w="461"/>
        <w:gridCol w:w="461"/>
        <w:gridCol w:w="461"/>
        <w:gridCol w:w="461"/>
      </w:tblGrid>
      <w:tr w:rsidR="00CA4204" w:rsidRPr="00937C8B" w:rsidTr="00935676">
        <w:trPr>
          <w:jc w:val="center"/>
        </w:trPr>
        <w:tc>
          <w:tcPr>
            <w:tcW w:w="0" w:type="auto"/>
            <w:tcBorders>
              <w:top w:val="nil"/>
              <w:bottom w:val="nil"/>
              <w:right w:val="single" w:sz="4" w:space="0" w:color="000000"/>
            </w:tcBorders>
            <w:shd w:val="clear" w:color="auto" w:fill="FFFFFF"/>
          </w:tcPr>
          <w:p w:rsidR="00CA4204" w:rsidRPr="00937C8B" w:rsidRDefault="00CA4204" w:rsidP="003E38D0">
            <w:pPr>
              <w:pStyle w:val="Standard"/>
              <w:keepNext/>
              <w:snapToGrid w:val="0"/>
              <w:spacing w:before="40"/>
              <w:rPr>
                <w:b/>
                <w:bCs/>
                <w:sz w:val="16"/>
                <w:szCs w:val="16"/>
              </w:rPr>
            </w:pPr>
          </w:p>
        </w:tc>
        <w:tc>
          <w:tcPr>
            <w:tcW w:w="0" w:type="auto"/>
            <w:gridSpan w:val="6"/>
            <w:tcBorders>
              <w:top w:val="nil"/>
              <w:left w:val="single" w:sz="4" w:space="0" w:color="000000"/>
              <w:bottom w:val="nil"/>
              <w:right w:val="nil"/>
            </w:tcBorders>
            <w:shd w:val="clear" w:color="auto" w:fill="FFFFFF"/>
          </w:tcPr>
          <w:p w:rsidR="00CA4204" w:rsidRPr="00937C8B" w:rsidRDefault="00CA4204" w:rsidP="003E38D0">
            <w:pPr>
              <w:pStyle w:val="CTEtabla-texto"/>
              <w:rPr>
                <w:rFonts w:cs="Arial"/>
                <w:b/>
              </w:rPr>
            </w:pPr>
            <w:r>
              <w:rPr>
                <w:b/>
              </w:rPr>
              <w:t>Winter climate zone</w:t>
            </w:r>
          </w:p>
        </w:tc>
      </w:tr>
      <w:tr w:rsidR="00CA4204" w:rsidRPr="00937C8B" w:rsidTr="00935676">
        <w:trPr>
          <w:jc w:val="center"/>
        </w:trPr>
        <w:tc>
          <w:tcPr>
            <w:tcW w:w="0" w:type="auto"/>
            <w:tcBorders>
              <w:top w:val="nil"/>
              <w:bottom w:val="single" w:sz="4" w:space="0" w:color="000000"/>
              <w:right w:val="single" w:sz="4" w:space="0" w:color="000000"/>
            </w:tcBorders>
            <w:shd w:val="clear" w:color="auto" w:fill="FFFFFF"/>
          </w:tcPr>
          <w:p w:rsidR="00CA4204" w:rsidRPr="00937C8B" w:rsidRDefault="00CA4204" w:rsidP="003E38D0">
            <w:pPr>
              <w:pStyle w:val="Standard"/>
              <w:keepNext/>
              <w:snapToGrid w:val="0"/>
              <w:spacing w:before="40"/>
            </w:pPr>
          </w:p>
        </w:tc>
        <w:tc>
          <w:tcPr>
            <w:tcW w:w="0" w:type="auto"/>
            <w:tcBorders>
              <w:top w:val="nil"/>
              <w:left w:val="single" w:sz="4" w:space="0" w:color="000000"/>
              <w:bottom w:val="single" w:sz="4" w:space="0" w:color="000000"/>
              <w:right w:val="nil"/>
            </w:tcBorders>
            <w:shd w:val="clear" w:color="auto" w:fill="FFFFFF"/>
            <w:vAlign w:val="center"/>
          </w:tcPr>
          <w:p w:rsidR="00CA4204" w:rsidRPr="00937C8B" w:rsidRDefault="00CA4204" w:rsidP="003E38D0">
            <w:pPr>
              <w:pStyle w:val="CTEtabla-texto"/>
              <w:rPr>
                <w:rFonts w:cs="Arial"/>
                <w:b/>
              </w:rPr>
            </w:pPr>
            <w:r>
              <w:rPr>
                <w:b/>
              </w:rPr>
              <w:t>α</w:t>
            </w:r>
          </w:p>
        </w:tc>
        <w:tc>
          <w:tcPr>
            <w:tcW w:w="0" w:type="auto"/>
            <w:tcBorders>
              <w:top w:val="nil"/>
              <w:left w:val="nil"/>
              <w:bottom w:val="single" w:sz="4" w:space="0" w:color="000000"/>
              <w:right w:val="nil"/>
            </w:tcBorders>
            <w:shd w:val="clear" w:color="auto" w:fill="FFFFFF"/>
            <w:vAlign w:val="center"/>
          </w:tcPr>
          <w:p w:rsidR="00CA4204" w:rsidRPr="00937C8B" w:rsidRDefault="00CA4204" w:rsidP="003E38D0">
            <w:pPr>
              <w:pStyle w:val="CTEtabla-texto"/>
              <w:rPr>
                <w:rFonts w:cs="Arial"/>
                <w:b/>
              </w:rPr>
            </w:pPr>
            <w:r>
              <w:rPr>
                <w:b/>
              </w:rPr>
              <w:t>A</w:t>
            </w:r>
          </w:p>
        </w:tc>
        <w:tc>
          <w:tcPr>
            <w:tcW w:w="0" w:type="auto"/>
            <w:tcBorders>
              <w:top w:val="nil"/>
              <w:left w:val="nil"/>
              <w:bottom w:val="single" w:sz="4" w:space="0" w:color="000000"/>
              <w:right w:val="nil"/>
            </w:tcBorders>
            <w:shd w:val="clear" w:color="auto" w:fill="FFFFFF"/>
            <w:vAlign w:val="center"/>
          </w:tcPr>
          <w:p w:rsidR="00CA4204" w:rsidRPr="00937C8B" w:rsidRDefault="00CA4204" w:rsidP="003E38D0">
            <w:pPr>
              <w:pStyle w:val="CTEtabla-texto"/>
              <w:rPr>
                <w:rFonts w:cs="Arial"/>
                <w:b/>
              </w:rPr>
            </w:pPr>
            <w:r>
              <w:rPr>
                <w:b/>
              </w:rPr>
              <w:t>B</w:t>
            </w:r>
          </w:p>
        </w:tc>
        <w:tc>
          <w:tcPr>
            <w:tcW w:w="0" w:type="auto"/>
            <w:tcBorders>
              <w:top w:val="nil"/>
              <w:left w:val="nil"/>
              <w:bottom w:val="single" w:sz="4" w:space="0" w:color="000000"/>
              <w:right w:val="nil"/>
            </w:tcBorders>
            <w:shd w:val="clear" w:color="auto" w:fill="FFFFFF"/>
            <w:vAlign w:val="center"/>
          </w:tcPr>
          <w:p w:rsidR="00CA4204" w:rsidRPr="00937C8B" w:rsidRDefault="00CA4204" w:rsidP="003E38D0">
            <w:pPr>
              <w:pStyle w:val="CTEtabla-texto"/>
              <w:rPr>
                <w:rFonts w:cs="Arial"/>
                <w:b/>
              </w:rPr>
            </w:pPr>
            <w:r>
              <w:rPr>
                <w:b/>
              </w:rPr>
              <w:t>C</w:t>
            </w:r>
          </w:p>
        </w:tc>
        <w:tc>
          <w:tcPr>
            <w:tcW w:w="0" w:type="auto"/>
            <w:tcBorders>
              <w:top w:val="nil"/>
              <w:left w:val="nil"/>
              <w:bottom w:val="single" w:sz="4" w:space="0" w:color="000000"/>
              <w:right w:val="nil"/>
            </w:tcBorders>
            <w:shd w:val="clear" w:color="auto" w:fill="FFFFFF"/>
            <w:vAlign w:val="center"/>
          </w:tcPr>
          <w:p w:rsidR="00CA4204" w:rsidRPr="00937C8B" w:rsidRDefault="00CA4204" w:rsidP="003E38D0">
            <w:pPr>
              <w:pStyle w:val="CTEtabla-texto"/>
              <w:rPr>
                <w:rFonts w:cs="Arial"/>
                <w:b/>
              </w:rPr>
            </w:pPr>
            <w:r>
              <w:rPr>
                <w:b/>
              </w:rPr>
              <w:t>D</w:t>
            </w:r>
          </w:p>
        </w:tc>
        <w:tc>
          <w:tcPr>
            <w:tcW w:w="0" w:type="auto"/>
            <w:tcBorders>
              <w:top w:val="nil"/>
              <w:left w:val="nil"/>
              <w:bottom w:val="single" w:sz="4" w:space="0" w:color="000000"/>
              <w:right w:val="nil"/>
            </w:tcBorders>
            <w:shd w:val="clear" w:color="auto" w:fill="FFFFFF"/>
            <w:vAlign w:val="center"/>
          </w:tcPr>
          <w:p w:rsidR="00CA4204" w:rsidRPr="00937C8B" w:rsidRDefault="00CA4204" w:rsidP="003E38D0">
            <w:pPr>
              <w:pStyle w:val="CTEtabla-texto"/>
              <w:rPr>
                <w:rFonts w:cs="Arial"/>
                <w:b/>
              </w:rPr>
            </w:pPr>
            <w:r>
              <w:rPr>
                <w:b/>
              </w:rPr>
              <w:t>E</w:t>
            </w:r>
          </w:p>
        </w:tc>
      </w:tr>
      <w:tr w:rsidR="00CA4204" w:rsidRPr="00937C8B" w:rsidTr="00935676">
        <w:trPr>
          <w:jc w:val="center"/>
        </w:trPr>
        <w:tc>
          <w:tcPr>
            <w:tcW w:w="0" w:type="auto"/>
            <w:tcBorders>
              <w:top w:val="single" w:sz="4" w:space="0" w:color="000000"/>
              <w:left w:val="nil"/>
              <w:bottom w:val="nil"/>
              <w:right w:val="single" w:sz="4" w:space="0" w:color="000000"/>
            </w:tcBorders>
            <w:shd w:val="clear" w:color="auto" w:fill="FFFFFF"/>
            <w:tcMar>
              <w:left w:w="13" w:type="dxa"/>
              <w:right w:w="28" w:type="dxa"/>
            </w:tcMar>
            <w:vAlign w:val="center"/>
          </w:tcPr>
          <w:p w:rsidR="00CA4204" w:rsidRPr="00937C8B" w:rsidRDefault="00CA4204" w:rsidP="003E38D0">
            <w:pPr>
              <w:pStyle w:val="CTEtabla-texto"/>
              <w:jc w:val="left"/>
              <w:rPr>
                <w:rFonts w:cs="Arial"/>
              </w:rPr>
            </w:pPr>
            <w:r>
              <w:t>Walls and floors in contact with outside air, U</w:t>
            </w:r>
            <w:r>
              <w:rPr>
                <w:vertAlign w:val="subscript"/>
              </w:rPr>
              <w:t>M,</w:t>
            </w:r>
            <w:r>
              <w:t xml:space="preserve"> U</w:t>
            </w:r>
            <w:r>
              <w:rPr>
                <w:vertAlign w:val="subscript"/>
              </w:rPr>
              <w:t>S</w:t>
            </w:r>
          </w:p>
        </w:tc>
        <w:tc>
          <w:tcPr>
            <w:tcW w:w="0" w:type="auto"/>
            <w:tcBorders>
              <w:top w:val="single" w:sz="4" w:space="0" w:color="000000"/>
              <w:left w:val="single" w:sz="4" w:space="0" w:color="000000"/>
              <w:bottom w:val="nil"/>
              <w:right w:val="nil"/>
            </w:tcBorders>
            <w:shd w:val="clear" w:color="auto" w:fill="FFFFFF"/>
            <w:vAlign w:val="center"/>
          </w:tcPr>
          <w:p w:rsidR="00CA4204" w:rsidRPr="00937C8B" w:rsidRDefault="00CA4204" w:rsidP="003E38D0">
            <w:pPr>
              <w:pStyle w:val="CTEtabla-texto"/>
              <w:rPr>
                <w:rFonts w:cs="Arial"/>
              </w:rPr>
            </w:pPr>
            <w:r>
              <w:t>0.56</w:t>
            </w:r>
          </w:p>
        </w:tc>
        <w:tc>
          <w:tcPr>
            <w:tcW w:w="0" w:type="auto"/>
            <w:tcBorders>
              <w:top w:val="single" w:sz="4" w:space="0" w:color="000000"/>
              <w:left w:val="nil"/>
              <w:bottom w:val="nil"/>
              <w:right w:val="nil"/>
            </w:tcBorders>
            <w:shd w:val="clear" w:color="auto" w:fill="FFFFFF"/>
            <w:vAlign w:val="center"/>
          </w:tcPr>
          <w:p w:rsidR="00CA4204" w:rsidRPr="00937C8B" w:rsidRDefault="00CA4204" w:rsidP="003E38D0">
            <w:pPr>
              <w:pStyle w:val="CTEtabla-texto"/>
              <w:rPr>
                <w:rFonts w:cs="Arial"/>
              </w:rPr>
            </w:pPr>
            <w:r>
              <w:t>0.50</w:t>
            </w:r>
          </w:p>
        </w:tc>
        <w:tc>
          <w:tcPr>
            <w:tcW w:w="0" w:type="auto"/>
            <w:tcBorders>
              <w:top w:val="single" w:sz="4" w:space="0" w:color="000000"/>
              <w:left w:val="nil"/>
              <w:bottom w:val="nil"/>
              <w:right w:val="nil"/>
            </w:tcBorders>
            <w:shd w:val="clear" w:color="auto" w:fill="FFFFFF"/>
            <w:vAlign w:val="center"/>
          </w:tcPr>
          <w:p w:rsidR="00CA4204" w:rsidRPr="00937C8B" w:rsidRDefault="00CA4204" w:rsidP="003E38D0">
            <w:pPr>
              <w:pStyle w:val="CTEtabla-texto"/>
              <w:rPr>
                <w:rFonts w:cs="Arial"/>
              </w:rPr>
            </w:pPr>
            <w:r>
              <w:t>0.38</w:t>
            </w:r>
          </w:p>
        </w:tc>
        <w:tc>
          <w:tcPr>
            <w:tcW w:w="0" w:type="auto"/>
            <w:tcBorders>
              <w:top w:val="single" w:sz="4" w:space="0" w:color="000000"/>
              <w:left w:val="nil"/>
              <w:bottom w:val="nil"/>
              <w:right w:val="nil"/>
            </w:tcBorders>
            <w:shd w:val="clear" w:color="auto" w:fill="FFFFFF"/>
            <w:vAlign w:val="center"/>
          </w:tcPr>
          <w:p w:rsidR="00CA4204" w:rsidRPr="00937C8B" w:rsidRDefault="00CA4204" w:rsidP="003E38D0">
            <w:pPr>
              <w:pStyle w:val="CTEtabla-texto"/>
              <w:rPr>
                <w:rFonts w:cs="Arial"/>
              </w:rPr>
            </w:pPr>
            <w:r>
              <w:t>0.29</w:t>
            </w:r>
          </w:p>
        </w:tc>
        <w:tc>
          <w:tcPr>
            <w:tcW w:w="0" w:type="auto"/>
            <w:tcBorders>
              <w:top w:val="single" w:sz="4" w:space="0" w:color="000000"/>
              <w:left w:val="nil"/>
              <w:bottom w:val="nil"/>
              <w:right w:val="nil"/>
            </w:tcBorders>
            <w:shd w:val="clear" w:color="auto" w:fill="FFFFFF"/>
            <w:vAlign w:val="center"/>
          </w:tcPr>
          <w:p w:rsidR="00CA4204" w:rsidRPr="00937C8B" w:rsidRDefault="00CA4204" w:rsidP="003E38D0">
            <w:pPr>
              <w:pStyle w:val="CTEtabla-texto"/>
              <w:rPr>
                <w:rFonts w:cs="Arial"/>
              </w:rPr>
            </w:pPr>
            <w:r>
              <w:t>0.27</w:t>
            </w:r>
          </w:p>
        </w:tc>
        <w:tc>
          <w:tcPr>
            <w:tcW w:w="0" w:type="auto"/>
            <w:tcBorders>
              <w:top w:val="single" w:sz="4" w:space="0" w:color="000000"/>
              <w:left w:val="nil"/>
              <w:bottom w:val="nil"/>
              <w:right w:val="nil"/>
            </w:tcBorders>
            <w:shd w:val="clear" w:color="auto" w:fill="FFFFFF"/>
            <w:vAlign w:val="center"/>
          </w:tcPr>
          <w:p w:rsidR="00CA4204" w:rsidRPr="00937C8B" w:rsidRDefault="00CA4204" w:rsidP="003E38D0">
            <w:pPr>
              <w:pStyle w:val="CTEtabla-texto"/>
              <w:rPr>
                <w:rFonts w:cs="Arial"/>
              </w:rPr>
            </w:pPr>
            <w:r>
              <w:t>0.23</w:t>
            </w:r>
          </w:p>
        </w:tc>
      </w:tr>
      <w:tr w:rsidR="00CA4204" w:rsidRPr="00937C8B" w:rsidTr="00935676">
        <w:trPr>
          <w:jc w:val="center"/>
        </w:trPr>
        <w:tc>
          <w:tcPr>
            <w:tcW w:w="0" w:type="auto"/>
            <w:tcBorders>
              <w:top w:val="nil"/>
              <w:left w:val="nil"/>
              <w:bottom w:val="nil"/>
              <w:right w:val="single" w:sz="4" w:space="0" w:color="000000"/>
            </w:tcBorders>
            <w:shd w:val="clear" w:color="auto" w:fill="FFFFFF"/>
            <w:tcMar>
              <w:left w:w="13" w:type="dxa"/>
              <w:right w:w="28" w:type="dxa"/>
            </w:tcMar>
            <w:vAlign w:val="center"/>
          </w:tcPr>
          <w:p w:rsidR="00CA4204" w:rsidRPr="00937C8B" w:rsidRDefault="00CA4204" w:rsidP="003E38D0">
            <w:pPr>
              <w:pStyle w:val="CTEtabla-texto"/>
              <w:jc w:val="left"/>
              <w:rPr>
                <w:rFonts w:cs="Arial"/>
              </w:rPr>
            </w:pPr>
            <w:r>
              <w:t>Roofs in contact with outside air, U</w:t>
            </w:r>
            <w:r>
              <w:rPr>
                <w:vertAlign w:val="subscript"/>
              </w:rPr>
              <w:t>C</w:t>
            </w:r>
          </w:p>
        </w:tc>
        <w:tc>
          <w:tcPr>
            <w:tcW w:w="0" w:type="auto"/>
            <w:tcBorders>
              <w:top w:val="nil"/>
              <w:left w:val="single" w:sz="4" w:space="0" w:color="000000"/>
              <w:bottom w:val="nil"/>
              <w:right w:val="nil"/>
            </w:tcBorders>
            <w:shd w:val="clear" w:color="auto" w:fill="FFFFFF"/>
            <w:vAlign w:val="center"/>
          </w:tcPr>
          <w:p w:rsidR="00CA4204" w:rsidRPr="00937C8B" w:rsidRDefault="00CA4204" w:rsidP="003E38D0">
            <w:pPr>
              <w:pStyle w:val="CTEtabla-texto"/>
              <w:rPr>
                <w:rFonts w:cs="Arial"/>
              </w:rPr>
            </w:pPr>
            <w:r>
              <w:t>0.50</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0.44</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0.33</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0.23</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0.22</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0.19</w:t>
            </w:r>
          </w:p>
        </w:tc>
      </w:tr>
      <w:tr w:rsidR="00CA4204" w:rsidRPr="00937C8B" w:rsidTr="00935676">
        <w:trPr>
          <w:jc w:val="center"/>
        </w:trPr>
        <w:tc>
          <w:tcPr>
            <w:tcW w:w="0" w:type="auto"/>
            <w:tcBorders>
              <w:top w:val="nil"/>
              <w:left w:val="nil"/>
              <w:bottom w:val="nil"/>
              <w:right w:val="single" w:sz="4" w:space="0" w:color="000000"/>
            </w:tcBorders>
            <w:shd w:val="clear" w:color="auto" w:fill="FFFFFF"/>
            <w:tcMar>
              <w:left w:w="13" w:type="dxa"/>
              <w:right w:w="28" w:type="dxa"/>
            </w:tcMar>
            <w:vAlign w:val="center"/>
          </w:tcPr>
          <w:p w:rsidR="00CA4204" w:rsidRPr="00937C8B" w:rsidRDefault="00CA4204" w:rsidP="003E38D0">
            <w:pPr>
              <w:pStyle w:val="CTEtabla-texto"/>
              <w:jc w:val="left"/>
              <w:rPr>
                <w:rFonts w:cs="Arial"/>
              </w:rPr>
            </w:pPr>
            <w:r>
              <w:t>Elements in contact with non-habitable spaces or with the ground, U</w:t>
            </w:r>
            <w:r>
              <w:rPr>
                <w:vertAlign w:val="subscript"/>
              </w:rPr>
              <w:t>T</w:t>
            </w:r>
          </w:p>
        </w:tc>
        <w:tc>
          <w:tcPr>
            <w:tcW w:w="0" w:type="auto"/>
            <w:tcBorders>
              <w:top w:val="nil"/>
              <w:left w:val="single" w:sz="4" w:space="0" w:color="000000"/>
              <w:bottom w:val="nil"/>
              <w:right w:val="nil"/>
            </w:tcBorders>
            <w:shd w:val="clear" w:color="auto" w:fill="FFFFFF"/>
            <w:vAlign w:val="center"/>
          </w:tcPr>
          <w:p w:rsidR="00CA4204" w:rsidRPr="00937C8B" w:rsidRDefault="00CA4204" w:rsidP="003E38D0">
            <w:pPr>
              <w:pStyle w:val="CTEtabla-texto"/>
              <w:rPr>
                <w:rFonts w:cs="Arial"/>
              </w:rPr>
            </w:pPr>
            <w:r>
              <w:t>0.80</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0.80</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0.69</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0.48</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0.48</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0.48</w:t>
            </w:r>
          </w:p>
        </w:tc>
      </w:tr>
      <w:tr w:rsidR="00CA4204" w:rsidRPr="00937C8B" w:rsidTr="00935676">
        <w:trPr>
          <w:jc w:val="center"/>
        </w:trPr>
        <w:tc>
          <w:tcPr>
            <w:tcW w:w="0" w:type="auto"/>
            <w:tcBorders>
              <w:top w:val="nil"/>
              <w:left w:val="nil"/>
              <w:bottom w:val="nil"/>
              <w:right w:val="single" w:sz="4" w:space="0" w:color="000000"/>
            </w:tcBorders>
            <w:shd w:val="clear" w:color="auto" w:fill="FFFFFF"/>
            <w:tcMar>
              <w:left w:w="13" w:type="dxa"/>
              <w:right w:w="28" w:type="dxa"/>
            </w:tcMar>
            <w:vAlign w:val="center"/>
          </w:tcPr>
          <w:p w:rsidR="00CA4204" w:rsidRPr="00937C8B" w:rsidRDefault="00CA4204" w:rsidP="003E38D0">
            <w:pPr>
              <w:pStyle w:val="CTEtabla-texto"/>
              <w:jc w:val="left"/>
              <w:rPr>
                <w:rFonts w:cs="Arial"/>
              </w:rPr>
            </w:pPr>
            <w:r>
              <w:t>Openings (assembly of frame, glazing and possibly also a shutter box), U</w:t>
            </w:r>
            <w:r>
              <w:rPr>
                <w:vertAlign w:val="subscript"/>
              </w:rPr>
              <w:t>H</w:t>
            </w:r>
          </w:p>
        </w:tc>
        <w:tc>
          <w:tcPr>
            <w:tcW w:w="0" w:type="auto"/>
            <w:tcBorders>
              <w:top w:val="nil"/>
              <w:left w:val="single" w:sz="4" w:space="0" w:color="000000"/>
              <w:bottom w:val="nil"/>
              <w:right w:val="nil"/>
            </w:tcBorders>
            <w:shd w:val="clear" w:color="auto" w:fill="FFFFFF"/>
            <w:vAlign w:val="center"/>
          </w:tcPr>
          <w:p w:rsidR="00CA4204" w:rsidRPr="00937C8B" w:rsidRDefault="00CA4204" w:rsidP="003E38D0">
            <w:pPr>
              <w:pStyle w:val="CTEtabla-texto"/>
              <w:rPr>
                <w:rFonts w:cs="Arial"/>
              </w:rPr>
            </w:pPr>
            <w:r>
              <w:t>2.7</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2.7</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2.0</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2.0</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1.6</w:t>
            </w:r>
          </w:p>
        </w:tc>
        <w:tc>
          <w:tcPr>
            <w:tcW w:w="0" w:type="auto"/>
            <w:tcBorders>
              <w:top w:val="nil"/>
              <w:left w:val="nil"/>
              <w:bottom w:val="nil"/>
              <w:right w:val="nil"/>
            </w:tcBorders>
            <w:shd w:val="clear" w:color="auto" w:fill="FFFFFF"/>
            <w:vAlign w:val="center"/>
          </w:tcPr>
          <w:p w:rsidR="00CA4204" w:rsidRPr="00937C8B" w:rsidRDefault="00CA4204" w:rsidP="003E38D0">
            <w:pPr>
              <w:pStyle w:val="CTEtabla-texto"/>
              <w:rPr>
                <w:rFonts w:cs="Arial"/>
              </w:rPr>
            </w:pPr>
            <w:r>
              <w:t>1.5</w:t>
            </w:r>
          </w:p>
        </w:tc>
      </w:tr>
    </w:tbl>
    <w:p w:rsidR="00CA4204" w:rsidRPr="00937C8B" w:rsidRDefault="00CA4204" w:rsidP="00CA4204">
      <w:pPr>
        <w:pStyle w:val="Standard"/>
        <w:rPr>
          <w:szCs w:val="22"/>
        </w:rPr>
      </w:pPr>
    </w:p>
    <w:p w:rsidR="00A32FE4" w:rsidRPr="00937C8B" w:rsidRDefault="00CA4204" w:rsidP="00CA4204">
      <w:pPr>
        <w:pStyle w:val="CTENumeracion"/>
        <w:spacing w:before="120"/>
        <w:rPr>
          <w:rFonts w:cs="Arial"/>
        </w:rPr>
      </w:pPr>
      <w:r>
        <w:rPr>
          <w:sz w:val="22"/>
        </w:rPr>
        <w:t>2.</w:t>
      </w:r>
      <w:r>
        <w:rPr>
          <w:sz w:val="22"/>
        </w:rPr>
        <w:tab/>
        <w:t xml:space="preserve">The above values assume proper treatment of </w:t>
      </w:r>
      <w:r>
        <w:rPr>
          <w:i/>
          <w:iCs/>
          <w:sz w:val="22"/>
        </w:rPr>
        <w:t>heat bridges</w:t>
      </w:r>
      <w:r>
        <w:rPr>
          <w:sz w:val="22"/>
        </w:rPr>
        <w:t>.</w:t>
      </w:r>
    </w:p>
    <w:p w:rsidR="00447DB2" w:rsidRPr="00937C8B" w:rsidRDefault="00447DB2" w:rsidP="0084739B">
      <w:pPr>
        <w:pStyle w:val="CteTtuloSeccion"/>
        <w:pageBreakBefore/>
        <w:spacing w:before="240"/>
        <w:rPr>
          <w:rFonts w:cs="Arial"/>
          <w:color w:val="auto"/>
        </w:rPr>
      </w:pPr>
      <w:bookmarkStart w:id="357" w:name="_Toc39157981"/>
      <w:bookmarkStart w:id="358" w:name="_Toc39158147"/>
      <w:bookmarkStart w:id="359" w:name="_Toc530395311"/>
      <w:bookmarkStart w:id="360" w:name="_Toc530396190"/>
      <w:bookmarkStart w:id="361" w:name="_Toc44876302"/>
      <w:r>
        <w:rPr>
          <w:color w:val="auto"/>
        </w:rPr>
        <w:t>Annex F.</w:t>
      </w:r>
      <w:r>
        <w:rPr>
          <w:color w:val="auto"/>
        </w:rPr>
        <w:tab/>
        <w:t>Reference DHW demand</w:t>
      </w:r>
      <w:bookmarkEnd w:id="357"/>
      <w:bookmarkEnd w:id="358"/>
      <w:bookmarkEnd w:id="361"/>
    </w:p>
    <w:bookmarkEnd w:id="359"/>
    <w:bookmarkEnd w:id="360"/>
    <w:p w:rsidR="00024602" w:rsidRPr="00937C8B" w:rsidRDefault="00024602" w:rsidP="00024602">
      <w:pPr>
        <w:pStyle w:val="CTENumeracion"/>
        <w:rPr>
          <w:rFonts w:cs="Arial"/>
        </w:rPr>
      </w:pPr>
    </w:p>
    <w:p w:rsidR="00024602" w:rsidRPr="00937C8B" w:rsidRDefault="00024602" w:rsidP="0059129F">
      <w:pPr>
        <w:pStyle w:val="CTENumeracion"/>
        <w:numPr>
          <w:ilvl w:val="0"/>
          <w:numId w:val="70"/>
        </w:numPr>
        <w:rPr>
          <w:rFonts w:cs="Arial"/>
          <w:sz w:val="22"/>
          <w:szCs w:val="22"/>
        </w:rPr>
      </w:pPr>
      <w:r>
        <w:rPr>
          <w:sz w:val="22"/>
        </w:rPr>
        <w:t>The reference DHW demand for buildings for private residential use shall be obtained based on a requirement of 28 litres/day·person (at 60ºC), an occupancy of at least the minimum value given in Table a-Annex F and in cases of multifamily dwellings, a centralisation factor according to Table b-Annex F, with additions for thermal loss from distribution, storage and recirculation.</w:t>
      </w:r>
    </w:p>
    <w:p w:rsidR="00024602" w:rsidRPr="00937C8B" w:rsidRDefault="00024602" w:rsidP="00024602">
      <w:pPr>
        <w:pStyle w:val="CTEtabla-Titulo"/>
      </w:pPr>
      <w:r>
        <w:t>Table a-Annex F.</w:t>
      </w:r>
      <w:r>
        <w:tab/>
        <w:t>Minimum occupancy values for calculation for private residential use</w:t>
      </w:r>
    </w:p>
    <w:tbl>
      <w:tblPr>
        <w:tblW w:w="5672" w:type="dxa"/>
        <w:jc w:val="center"/>
        <w:tblCellMar>
          <w:left w:w="103" w:type="dxa"/>
        </w:tblCellMar>
        <w:tblLook w:val="04A0" w:firstRow="1" w:lastRow="0" w:firstColumn="1" w:lastColumn="0" w:noHBand="0" w:noVBand="1"/>
      </w:tblPr>
      <w:tblGrid>
        <w:gridCol w:w="2314"/>
        <w:gridCol w:w="479"/>
        <w:gridCol w:w="480"/>
        <w:gridCol w:w="479"/>
        <w:gridCol w:w="481"/>
        <w:gridCol w:w="480"/>
        <w:gridCol w:w="481"/>
        <w:gridCol w:w="478"/>
      </w:tblGrid>
      <w:tr w:rsidR="00024602" w:rsidRPr="00937C8B" w:rsidTr="00935676">
        <w:trPr>
          <w:jc w:val="center"/>
        </w:trPr>
        <w:tc>
          <w:tcPr>
            <w:tcW w:w="2313" w:type="dxa"/>
            <w:tcBorders>
              <w:bottom w:val="single" w:sz="4" w:space="0" w:color="000000"/>
              <w:right w:val="single" w:sz="4" w:space="0" w:color="000000"/>
            </w:tcBorders>
            <w:shd w:val="clear" w:color="auto" w:fill="FFFFFF"/>
            <w:vAlign w:val="center"/>
          </w:tcPr>
          <w:p w:rsidR="00024602" w:rsidRPr="00937C8B" w:rsidRDefault="00024602" w:rsidP="003E38D0">
            <w:pPr>
              <w:pStyle w:val="CTEtabla-texto"/>
              <w:keepNext/>
              <w:keepLines/>
              <w:snapToGrid w:val="0"/>
              <w:jc w:val="left"/>
              <w:rPr>
                <w:rFonts w:cs="Arial"/>
                <w:b/>
              </w:rPr>
            </w:pPr>
            <w:r>
              <w:rPr>
                <w:b/>
              </w:rPr>
              <w:t>Number of bedrooms</w:t>
            </w:r>
          </w:p>
        </w:tc>
        <w:tc>
          <w:tcPr>
            <w:tcW w:w="479" w:type="dxa"/>
            <w:tcBorders>
              <w:left w:val="single" w:sz="4" w:space="0" w:color="000000"/>
              <w:bottom w:val="single" w:sz="4" w:space="0" w:color="000000"/>
            </w:tcBorders>
            <w:shd w:val="clear" w:color="auto" w:fill="FFFFFF"/>
            <w:vAlign w:val="center"/>
          </w:tcPr>
          <w:p w:rsidR="00024602" w:rsidRPr="00937C8B" w:rsidRDefault="00024602" w:rsidP="003E38D0">
            <w:pPr>
              <w:pStyle w:val="CTEtabla-texto"/>
              <w:keepNext/>
              <w:keepLines/>
              <w:snapToGrid w:val="0"/>
              <w:rPr>
                <w:rFonts w:cs="Arial"/>
                <w:b/>
              </w:rPr>
            </w:pPr>
            <w:r>
              <w:rPr>
                <w:b/>
              </w:rPr>
              <w:t>1</w:t>
            </w:r>
          </w:p>
        </w:tc>
        <w:tc>
          <w:tcPr>
            <w:tcW w:w="480" w:type="dxa"/>
            <w:tcBorders>
              <w:bottom w:val="single" w:sz="4" w:space="0" w:color="000000"/>
            </w:tcBorders>
            <w:shd w:val="clear" w:color="auto" w:fill="FFFFFF"/>
            <w:vAlign w:val="center"/>
          </w:tcPr>
          <w:p w:rsidR="00024602" w:rsidRPr="00937C8B" w:rsidRDefault="00024602" w:rsidP="003E38D0">
            <w:pPr>
              <w:pStyle w:val="CTEtabla-texto"/>
              <w:keepNext/>
              <w:keepLines/>
              <w:snapToGrid w:val="0"/>
              <w:rPr>
                <w:rFonts w:cs="Arial"/>
                <w:b/>
              </w:rPr>
            </w:pPr>
            <w:r>
              <w:rPr>
                <w:b/>
              </w:rPr>
              <w:t>2</w:t>
            </w:r>
          </w:p>
        </w:tc>
        <w:tc>
          <w:tcPr>
            <w:tcW w:w="479" w:type="dxa"/>
            <w:tcBorders>
              <w:bottom w:val="single" w:sz="4" w:space="0" w:color="000000"/>
            </w:tcBorders>
            <w:shd w:val="clear" w:color="auto" w:fill="FFFFFF"/>
            <w:vAlign w:val="center"/>
          </w:tcPr>
          <w:p w:rsidR="00024602" w:rsidRPr="00937C8B" w:rsidRDefault="00024602" w:rsidP="003E38D0">
            <w:pPr>
              <w:pStyle w:val="CTEtabla-texto"/>
              <w:keepNext/>
              <w:keepLines/>
              <w:snapToGrid w:val="0"/>
              <w:rPr>
                <w:rFonts w:cs="Arial"/>
                <w:b/>
              </w:rPr>
            </w:pPr>
            <w:r>
              <w:rPr>
                <w:b/>
              </w:rPr>
              <w:t>3</w:t>
            </w:r>
          </w:p>
        </w:tc>
        <w:tc>
          <w:tcPr>
            <w:tcW w:w="481" w:type="dxa"/>
            <w:tcBorders>
              <w:bottom w:val="single" w:sz="4" w:space="0" w:color="000000"/>
            </w:tcBorders>
            <w:shd w:val="clear" w:color="auto" w:fill="FFFFFF"/>
            <w:vAlign w:val="center"/>
          </w:tcPr>
          <w:p w:rsidR="00024602" w:rsidRPr="00937C8B" w:rsidRDefault="00024602" w:rsidP="003E38D0">
            <w:pPr>
              <w:pStyle w:val="CTEtabla-texto"/>
              <w:keepNext/>
              <w:keepLines/>
              <w:snapToGrid w:val="0"/>
              <w:rPr>
                <w:rFonts w:cs="Arial"/>
                <w:b/>
              </w:rPr>
            </w:pPr>
            <w:r>
              <w:rPr>
                <w:b/>
              </w:rPr>
              <w:t>4</w:t>
            </w:r>
          </w:p>
        </w:tc>
        <w:tc>
          <w:tcPr>
            <w:tcW w:w="480" w:type="dxa"/>
            <w:tcBorders>
              <w:bottom w:val="single" w:sz="4" w:space="0" w:color="000000"/>
            </w:tcBorders>
            <w:shd w:val="clear" w:color="auto" w:fill="FFFFFF"/>
            <w:vAlign w:val="center"/>
          </w:tcPr>
          <w:p w:rsidR="00024602" w:rsidRPr="00937C8B" w:rsidRDefault="00024602" w:rsidP="003E38D0">
            <w:pPr>
              <w:pStyle w:val="CTEtabla-texto"/>
              <w:keepNext/>
              <w:keepLines/>
              <w:snapToGrid w:val="0"/>
              <w:rPr>
                <w:rFonts w:cs="Arial"/>
                <w:b/>
              </w:rPr>
            </w:pPr>
            <w:r>
              <w:rPr>
                <w:b/>
              </w:rPr>
              <w:t>5</w:t>
            </w:r>
          </w:p>
        </w:tc>
        <w:tc>
          <w:tcPr>
            <w:tcW w:w="481" w:type="dxa"/>
            <w:tcBorders>
              <w:bottom w:val="single" w:sz="4" w:space="0" w:color="000000"/>
            </w:tcBorders>
            <w:shd w:val="clear" w:color="auto" w:fill="FFFFFF"/>
            <w:vAlign w:val="center"/>
          </w:tcPr>
          <w:p w:rsidR="00024602" w:rsidRPr="00937C8B" w:rsidRDefault="00024602" w:rsidP="003E38D0">
            <w:pPr>
              <w:pStyle w:val="CTEtabla-texto"/>
              <w:keepNext/>
              <w:keepLines/>
              <w:snapToGrid w:val="0"/>
              <w:rPr>
                <w:rFonts w:cs="Arial"/>
                <w:b/>
              </w:rPr>
            </w:pPr>
            <w:r>
              <w:rPr>
                <w:b/>
              </w:rPr>
              <w:t>6</w:t>
            </w:r>
          </w:p>
        </w:tc>
        <w:tc>
          <w:tcPr>
            <w:tcW w:w="478" w:type="dxa"/>
            <w:tcBorders>
              <w:bottom w:val="single" w:sz="4" w:space="0" w:color="000000"/>
            </w:tcBorders>
            <w:shd w:val="clear" w:color="auto" w:fill="FFFFFF"/>
            <w:vAlign w:val="center"/>
          </w:tcPr>
          <w:p w:rsidR="00024602" w:rsidRPr="00937C8B" w:rsidRDefault="00024602" w:rsidP="003E38D0">
            <w:pPr>
              <w:pStyle w:val="CTEtabla-texto"/>
              <w:keepNext/>
              <w:keepLines/>
              <w:snapToGrid w:val="0"/>
              <w:rPr>
                <w:rFonts w:cs="Arial"/>
              </w:rPr>
            </w:pPr>
            <w:r>
              <w:rPr>
                <w:b/>
              </w:rPr>
              <w:t>≥6</w:t>
            </w:r>
          </w:p>
        </w:tc>
      </w:tr>
      <w:tr w:rsidR="00024602" w:rsidRPr="00937C8B" w:rsidTr="00935676">
        <w:trPr>
          <w:jc w:val="center"/>
        </w:trPr>
        <w:tc>
          <w:tcPr>
            <w:tcW w:w="2313" w:type="dxa"/>
            <w:tcBorders>
              <w:top w:val="single" w:sz="4" w:space="0" w:color="000000"/>
              <w:right w:val="single" w:sz="4" w:space="0" w:color="000000"/>
            </w:tcBorders>
            <w:shd w:val="clear" w:color="auto" w:fill="FFFFFF"/>
            <w:vAlign w:val="center"/>
          </w:tcPr>
          <w:p w:rsidR="00024602" w:rsidRPr="00937C8B" w:rsidRDefault="00024602" w:rsidP="003E38D0">
            <w:pPr>
              <w:pStyle w:val="CTEtabla-texto"/>
              <w:keepNext/>
              <w:keepLines/>
              <w:snapToGrid w:val="0"/>
              <w:jc w:val="left"/>
              <w:rPr>
                <w:rFonts w:cs="Arial"/>
              </w:rPr>
            </w:pPr>
            <w:r>
              <w:t>Number of persons</w:t>
            </w:r>
          </w:p>
        </w:tc>
        <w:tc>
          <w:tcPr>
            <w:tcW w:w="479" w:type="dxa"/>
            <w:tcBorders>
              <w:top w:val="single" w:sz="4" w:space="0" w:color="000000"/>
              <w:left w:val="single" w:sz="4" w:space="0" w:color="000000"/>
            </w:tcBorders>
            <w:shd w:val="clear" w:color="auto" w:fill="FFFFFF"/>
            <w:vAlign w:val="center"/>
          </w:tcPr>
          <w:p w:rsidR="00024602" w:rsidRPr="00937C8B" w:rsidRDefault="00024602" w:rsidP="003E38D0">
            <w:pPr>
              <w:pStyle w:val="CTEtabla-texto"/>
              <w:keepNext/>
              <w:keepLines/>
              <w:snapToGrid w:val="0"/>
              <w:rPr>
                <w:rFonts w:cs="Arial"/>
              </w:rPr>
            </w:pPr>
            <w:r>
              <w:t>1.5</w:t>
            </w:r>
          </w:p>
        </w:tc>
        <w:tc>
          <w:tcPr>
            <w:tcW w:w="480" w:type="dxa"/>
            <w:tcBorders>
              <w:top w:val="single" w:sz="4" w:space="0" w:color="000000"/>
            </w:tcBorders>
            <w:shd w:val="clear" w:color="auto" w:fill="FFFFFF"/>
            <w:vAlign w:val="center"/>
          </w:tcPr>
          <w:p w:rsidR="00024602" w:rsidRPr="00937C8B" w:rsidRDefault="00024602" w:rsidP="003E38D0">
            <w:pPr>
              <w:pStyle w:val="CTEtabla-texto"/>
              <w:keepNext/>
              <w:keepLines/>
              <w:snapToGrid w:val="0"/>
              <w:rPr>
                <w:rFonts w:cs="Arial"/>
              </w:rPr>
            </w:pPr>
            <w:r>
              <w:t>3</w:t>
            </w:r>
          </w:p>
        </w:tc>
        <w:tc>
          <w:tcPr>
            <w:tcW w:w="479" w:type="dxa"/>
            <w:tcBorders>
              <w:top w:val="single" w:sz="4" w:space="0" w:color="000000"/>
            </w:tcBorders>
            <w:shd w:val="clear" w:color="auto" w:fill="FFFFFF"/>
            <w:vAlign w:val="center"/>
          </w:tcPr>
          <w:p w:rsidR="00024602" w:rsidRPr="00937C8B" w:rsidRDefault="00024602" w:rsidP="003E38D0">
            <w:pPr>
              <w:pStyle w:val="CTEtabla-texto"/>
              <w:keepNext/>
              <w:keepLines/>
              <w:snapToGrid w:val="0"/>
              <w:rPr>
                <w:rFonts w:cs="Arial"/>
              </w:rPr>
            </w:pPr>
            <w:r>
              <w:t>4</w:t>
            </w:r>
          </w:p>
        </w:tc>
        <w:tc>
          <w:tcPr>
            <w:tcW w:w="481" w:type="dxa"/>
            <w:tcBorders>
              <w:top w:val="single" w:sz="4" w:space="0" w:color="000000"/>
            </w:tcBorders>
            <w:shd w:val="clear" w:color="auto" w:fill="FFFFFF"/>
            <w:vAlign w:val="center"/>
          </w:tcPr>
          <w:p w:rsidR="00024602" w:rsidRPr="00937C8B" w:rsidRDefault="00024602" w:rsidP="003E38D0">
            <w:pPr>
              <w:pStyle w:val="CTEtabla-texto"/>
              <w:keepNext/>
              <w:keepLines/>
              <w:snapToGrid w:val="0"/>
              <w:rPr>
                <w:rFonts w:cs="Arial"/>
              </w:rPr>
            </w:pPr>
            <w:r>
              <w:t>5</w:t>
            </w:r>
          </w:p>
        </w:tc>
        <w:tc>
          <w:tcPr>
            <w:tcW w:w="480" w:type="dxa"/>
            <w:tcBorders>
              <w:top w:val="single" w:sz="4" w:space="0" w:color="000000"/>
            </w:tcBorders>
            <w:shd w:val="clear" w:color="auto" w:fill="FFFFFF"/>
            <w:vAlign w:val="center"/>
          </w:tcPr>
          <w:p w:rsidR="00024602" w:rsidRPr="00937C8B" w:rsidRDefault="00024602" w:rsidP="003E38D0">
            <w:pPr>
              <w:pStyle w:val="CTEtabla-texto"/>
              <w:keepNext/>
              <w:keepLines/>
              <w:snapToGrid w:val="0"/>
              <w:rPr>
                <w:rFonts w:cs="Arial"/>
              </w:rPr>
            </w:pPr>
            <w:r>
              <w:t>6</w:t>
            </w:r>
          </w:p>
        </w:tc>
        <w:tc>
          <w:tcPr>
            <w:tcW w:w="481" w:type="dxa"/>
            <w:tcBorders>
              <w:top w:val="single" w:sz="4" w:space="0" w:color="000000"/>
            </w:tcBorders>
            <w:shd w:val="clear" w:color="auto" w:fill="FFFFFF"/>
            <w:vAlign w:val="center"/>
          </w:tcPr>
          <w:p w:rsidR="00024602" w:rsidRPr="00937C8B" w:rsidRDefault="00024602" w:rsidP="003E38D0">
            <w:pPr>
              <w:pStyle w:val="CTEtabla-texto"/>
              <w:keepNext/>
              <w:keepLines/>
              <w:snapToGrid w:val="0"/>
              <w:rPr>
                <w:rFonts w:cs="Arial"/>
              </w:rPr>
            </w:pPr>
            <w:r>
              <w:t>6</w:t>
            </w:r>
          </w:p>
        </w:tc>
        <w:tc>
          <w:tcPr>
            <w:tcW w:w="478" w:type="dxa"/>
            <w:tcBorders>
              <w:top w:val="single" w:sz="4" w:space="0" w:color="000000"/>
            </w:tcBorders>
            <w:shd w:val="clear" w:color="auto" w:fill="FFFFFF"/>
            <w:vAlign w:val="center"/>
          </w:tcPr>
          <w:p w:rsidR="00024602" w:rsidRPr="00937C8B" w:rsidRDefault="00024602" w:rsidP="003E38D0">
            <w:pPr>
              <w:pStyle w:val="CTEtabla-texto"/>
              <w:keepNext/>
              <w:keepLines/>
              <w:snapToGrid w:val="0"/>
              <w:rPr>
                <w:rFonts w:cs="Arial"/>
              </w:rPr>
            </w:pPr>
            <w:r>
              <w:t>7</w:t>
            </w:r>
          </w:p>
        </w:tc>
      </w:tr>
    </w:tbl>
    <w:p w:rsidR="00024602" w:rsidRPr="00937C8B" w:rsidRDefault="00024602" w:rsidP="00024602">
      <w:pPr>
        <w:pStyle w:val="CTEtabla-Titulo"/>
        <w:spacing w:before="240"/>
      </w:pPr>
      <w:r>
        <w:t>Table b-Annex F.</w:t>
      </w:r>
      <w:r>
        <w:tab/>
        <w:t>Value of centralisation factor in multifamily dwellings</w:t>
      </w:r>
    </w:p>
    <w:tbl>
      <w:tblPr>
        <w:tblW w:w="8670" w:type="dxa"/>
        <w:jc w:val="center"/>
        <w:tblBorders>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2039"/>
        <w:gridCol w:w="947"/>
        <w:gridCol w:w="948"/>
        <w:gridCol w:w="949"/>
        <w:gridCol w:w="947"/>
        <w:gridCol w:w="947"/>
        <w:gridCol w:w="947"/>
        <w:gridCol w:w="946"/>
      </w:tblGrid>
      <w:tr w:rsidR="00024602" w:rsidRPr="00937C8B" w:rsidTr="00935676">
        <w:trPr>
          <w:jc w:val="center"/>
        </w:trPr>
        <w:tc>
          <w:tcPr>
            <w:tcW w:w="2038" w:type="dxa"/>
            <w:shd w:val="clear" w:color="auto" w:fill="auto"/>
            <w:vAlign w:val="center"/>
          </w:tcPr>
          <w:p w:rsidR="00024602" w:rsidRPr="00937C8B" w:rsidRDefault="00024602" w:rsidP="003E38D0">
            <w:pPr>
              <w:pStyle w:val="Standard"/>
              <w:rPr>
                <w:b/>
                <w:sz w:val="18"/>
                <w:szCs w:val="18"/>
              </w:rPr>
            </w:pPr>
            <w:r>
              <w:rPr>
                <w:b/>
                <w:sz w:val="18"/>
              </w:rPr>
              <w:t>No of dwellings</w:t>
            </w:r>
          </w:p>
        </w:tc>
        <w:tc>
          <w:tcPr>
            <w:tcW w:w="947" w:type="dxa"/>
            <w:tcBorders>
              <w:top w:val="nil"/>
              <w:bottom w:val="single" w:sz="4" w:space="0" w:color="000000"/>
              <w:right w:val="nil"/>
            </w:tcBorders>
            <w:shd w:val="clear" w:color="auto" w:fill="auto"/>
            <w:vAlign w:val="center"/>
          </w:tcPr>
          <w:p w:rsidR="00024602" w:rsidRPr="00937C8B" w:rsidRDefault="00024602" w:rsidP="003E38D0">
            <w:pPr>
              <w:pStyle w:val="Standard"/>
              <w:jc w:val="center"/>
              <w:rPr>
                <w:b/>
                <w:bCs/>
                <w:sz w:val="18"/>
                <w:szCs w:val="20"/>
              </w:rPr>
            </w:pPr>
            <w:r>
              <w:rPr>
                <w:b/>
                <w:sz w:val="18"/>
              </w:rPr>
              <w:t>N≤3</w:t>
            </w:r>
          </w:p>
        </w:tc>
        <w:tc>
          <w:tcPr>
            <w:tcW w:w="948" w:type="dxa"/>
            <w:tcBorders>
              <w:top w:val="nil"/>
              <w:left w:val="nil"/>
              <w:bottom w:val="single" w:sz="4" w:space="0" w:color="000000"/>
              <w:right w:val="nil"/>
            </w:tcBorders>
            <w:shd w:val="clear" w:color="auto" w:fill="auto"/>
            <w:vAlign w:val="center"/>
          </w:tcPr>
          <w:p w:rsidR="00024602" w:rsidRPr="00937C8B" w:rsidRDefault="00024602" w:rsidP="003E38D0">
            <w:pPr>
              <w:pStyle w:val="Standard"/>
              <w:jc w:val="center"/>
              <w:rPr>
                <w:b/>
                <w:bCs/>
                <w:sz w:val="18"/>
                <w:szCs w:val="20"/>
              </w:rPr>
            </w:pPr>
            <w:r>
              <w:rPr>
                <w:b/>
                <w:sz w:val="18"/>
              </w:rPr>
              <w:t>4≤N≤10</w:t>
            </w:r>
          </w:p>
        </w:tc>
        <w:tc>
          <w:tcPr>
            <w:tcW w:w="949" w:type="dxa"/>
            <w:tcBorders>
              <w:top w:val="nil"/>
              <w:left w:val="nil"/>
              <w:bottom w:val="single" w:sz="4" w:space="0" w:color="000000"/>
              <w:right w:val="nil"/>
            </w:tcBorders>
            <w:shd w:val="clear" w:color="auto" w:fill="auto"/>
            <w:vAlign w:val="center"/>
          </w:tcPr>
          <w:p w:rsidR="00024602" w:rsidRPr="00937C8B" w:rsidRDefault="00024602" w:rsidP="003E38D0">
            <w:pPr>
              <w:pStyle w:val="Standard"/>
              <w:jc w:val="center"/>
              <w:rPr>
                <w:b/>
                <w:bCs/>
                <w:sz w:val="18"/>
                <w:szCs w:val="20"/>
              </w:rPr>
            </w:pPr>
            <w:r>
              <w:rPr>
                <w:b/>
                <w:sz w:val="18"/>
              </w:rPr>
              <w:t>11≤N≤20</w:t>
            </w:r>
          </w:p>
        </w:tc>
        <w:tc>
          <w:tcPr>
            <w:tcW w:w="947" w:type="dxa"/>
            <w:tcBorders>
              <w:top w:val="nil"/>
              <w:left w:val="nil"/>
              <w:bottom w:val="single" w:sz="4" w:space="0" w:color="000000"/>
              <w:right w:val="nil"/>
            </w:tcBorders>
            <w:shd w:val="clear" w:color="auto" w:fill="auto"/>
            <w:vAlign w:val="center"/>
          </w:tcPr>
          <w:p w:rsidR="00024602" w:rsidRPr="00937C8B" w:rsidRDefault="00024602" w:rsidP="003E38D0">
            <w:pPr>
              <w:pStyle w:val="Standard"/>
              <w:jc w:val="center"/>
              <w:rPr>
                <w:b/>
                <w:bCs/>
                <w:sz w:val="18"/>
                <w:szCs w:val="20"/>
              </w:rPr>
            </w:pPr>
            <w:r>
              <w:rPr>
                <w:b/>
                <w:sz w:val="18"/>
              </w:rPr>
              <w:t>21≤N≤50</w:t>
            </w:r>
          </w:p>
        </w:tc>
        <w:tc>
          <w:tcPr>
            <w:tcW w:w="947" w:type="dxa"/>
            <w:tcBorders>
              <w:top w:val="nil"/>
              <w:left w:val="nil"/>
              <w:bottom w:val="single" w:sz="4" w:space="0" w:color="000000"/>
              <w:right w:val="nil"/>
            </w:tcBorders>
            <w:shd w:val="clear" w:color="auto" w:fill="auto"/>
            <w:vAlign w:val="center"/>
          </w:tcPr>
          <w:p w:rsidR="00024602" w:rsidRPr="00937C8B" w:rsidRDefault="00024602" w:rsidP="003E38D0">
            <w:pPr>
              <w:pStyle w:val="Standard"/>
              <w:jc w:val="center"/>
              <w:rPr>
                <w:b/>
                <w:bCs/>
                <w:sz w:val="18"/>
                <w:szCs w:val="20"/>
              </w:rPr>
            </w:pPr>
            <w:r>
              <w:rPr>
                <w:b/>
                <w:sz w:val="18"/>
              </w:rPr>
              <w:t>51≤N≤75</w:t>
            </w:r>
          </w:p>
        </w:tc>
        <w:tc>
          <w:tcPr>
            <w:tcW w:w="947" w:type="dxa"/>
            <w:tcBorders>
              <w:top w:val="nil"/>
              <w:left w:val="nil"/>
              <w:bottom w:val="single" w:sz="4" w:space="0" w:color="000000"/>
              <w:right w:val="nil"/>
            </w:tcBorders>
            <w:shd w:val="clear" w:color="auto" w:fill="auto"/>
            <w:vAlign w:val="center"/>
          </w:tcPr>
          <w:p w:rsidR="00024602" w:rsidRPr="00937C8B" w:rsidRDefault="00024602" w:rsidP="003E38D0">
            <w:pPr>
              <w:pStyle w:val="Standard"/>
              <w:jc w:val="center"/>
              <w:rPr>
                <w:b/>
                <w:bCs/>
                <w:sz w:val="18"/>
                <w:szCs w:val="20"/>
              </w:rPr>
            </w:pPr>
            <w:r>
              <w:rPr>
                <w:b/>
                <w:sz w:val="18"/>
              </w:rPr>
              <w:t>76≤N≤100</w:t>
            </w:r>
          </w:p>
        </w:tc>
        <w:tc>
          <w:tcPr>
            <w:tcW w:w="946" w:type="dxa"/>
            <w:tcBorders>
              <w:top w:val="nil"/>
              <w:left w:val="nil"/>
              <w:bottom w:val="single" w:sz="4" w:space="0" w:color="000000"/>
            </w:tcBorders>
            <w:shd w:val="clear" w:color="auto" w:fill="auto"/>
            <w:vAlign w:val="center"/>
          </w:tcPr>
          <w:p w:rsidR="00024602" w:rsidRPr="00937C8B" w:rsidRDefault="00024602" w:rsidP="003E38D0">
            <w:pPr>
              <w:pStyle w:val="Standard"/>
              <w:jc w:val="center"/>
              <w:rPr>
                <w:b/>
                <w:bCs/>
                <w:sz w:val="18"/>
                <w:szCs w:val="20"/>
              </w:rPr>
            </w:pPr>
            <w:r>
              <w:rPr>
                <w:b/>
                <w:sz w:val="18"/>
              </w:rPr>
              <w:t>N≥101</w:t>
            </w:r>
          </w:p>
        </w:tc>
      </w:tr>
      <w:tr w:rsidR="00024602" w:rsidRPr="00937C8B" w:rsidTr="00935676">
        <w:trPr>
          <w:jc w:val="center"/>
        </w:trPr>
        <w:tc>
          <w:tcPr>
            <w:tcW w:w="2038" w:type="dxa"/>
            <w:shd w:val="clear" w:color="auto" w:fill="auto"/>
            <w:vAlign w:val="center"/>
          </w:tcPr>
          <w:p w:rsidR="00024602" w:rsidRPr="00937C8B" w:rsidRDefault="00024602" w:rsidP="003E38D0">
            <w:pPr>
              <w:pStyle w:val="CTEtabla-texto"/>
              <w:jc w:val="left"/>
              <w:rPr>
                <w:rFonts w:cs="Arial"/>
              </w:rPr>
            </w:pPr>
            <w:r>
              <w:t>Centralisation factor</w:t>
            </w:r>
          </w:p>
        </w:tc>
        <w:tc>
          <w:tcPr>
            <w:tcW w:w="947" w:type="dxa"/>
            <w:tcBorders>
              <w:top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1</w:t>
            </w:r>
          </w:p>
        </w:tc>
        <w:tc>
          <w:tcPr>
            <w:tcW w:w="948" w:type="dxa"/>
            <w:tcBorders>
              <w:top w:val="single" w:sz="4" w:space="0" w:color="000000"/>
              <w:left w:val="nil"/>
              <w:bottom w:val="nil"/>
              <w:right w:val="nil"/>
            </w:tcBorders>
            <w:shd w:val="clear" w:color="auto" w:fill="auto"/>
            <w:vAlign w:val="center"/>
          </w:tcPr>
          <w:p w:rsidR="00024602" w:rsidRPr="00937C8B" w:rsidRDefault="00024602" w:rsidP="003E38D0">
            <w:pPr>
              <w:pStyle w:val="CTEtabla-texto"/>
              <w:rPr>
                <w:rFonts w:cs="Arial"/>
              </w:rPr>
            </w:pPr>
            <w:r>
              <w:t>0.95</w:t>
            </w:r>
          </w:p>
        </w:tc>
        <w:tc>
          <w:tcPr>
            <w:tcW w:w="949" w:type="dxa"/>
            <w:tcBorders>
              <w:top w:val="single" w:sz="4" w:space="0" w:color="000000"/>
              <w:left w:val="nil"/>
              <w:bottom w:val="nil"/>
              <w:right w:val="nil"/>
            </w:tcBorders>
            <w:shd w:val="clear" w:color="auto" w:fill="auto"/>
            <w:vAlign w:val="center"/>
          </w:tcPr>
          <w:p w:rsidR="00024602" w:rsidRPr="00937C8B" w:rsidRDefault="00024602" w:rsidP="003E38D0">
            <w:pPr>
              <w:pStyle w:val="CTEtabla-texto"/>
              <w:rPr>
                <w:rFonts w:cs="Arial"/>
              </w:rPr>
            </w:pPr>
            <w:r>
              <w:t>0.90</w:t>
            </w:r>
          </w:p>
        </w:tc>
        <w:tc>
          <w:tcPr>
            <w:tcW w:w="947" w:type="dxa"/>
            <w:tcBorders>
              <w:top w:val="single" w:sz="4" w:space="0" w:color="000000"/>
              <w:left w:val="nil"/>
              <w:bottom w:val="nil"/>
              <w:right w:val="nil"/>
            </w:tcBorders>
            <w:shd w:val="clear" w:color="auto" w:fill="auto"/>
            <w:vAlign w:val="center"/>
          </w:tcPr>
          <w:p w:rsidR="00024602" w:rsidRPr="00937C8B" w:rsidRDefault="00024602" w:rsidP="003E38D0">
            <w:pPr>
              <w:pStyle w:val="CTEtabla-texto"/>
              <w:rPr>
                <w:rFonts w:cs="Arial"/>
              </w:rPr>
            </w:pPr>
            <w:r>
              <w:t>0.85</w:t>
            </w:r>
          </w:p>
        </w:tc>
        <w:tc>
          <w:tcPr>
            <w:tcW w:w="947" w:type="dxa"/>
            <w:tcBorders>
              <w:top w:val="single" w:sz="4" w:space="0" w:color="000000"/>
              <w:left w:val="nil"/>
              <w:bottom w:val="nil"/>
              <w:right w:val="nil"/>
            </w:tcBorders>
            <w:shd w:val="clear" w:color="auto" w:fill="auto"/>
            <w:vAlign w:val="center"/>
          </w:tcPr>
          <w:p w:rsidR="00024602" w:rsidRPr="00937C8B" w:rsidRDefault="00024602" w:rsidP="003E38D0">
            <w:pPr>
              <w:pStyle w:val="CTEtabla-texto"/>
              <w:rPr>
                <w:rFonts w:cs="Arial"/>
              </w:rPr>
            </w:pPr>
            <w:r>
              <w:t>0.80</w:t>
            </w:r>
          </w:p>
        </w:tc>
        <w:tc>
          <w:tcPr>
            <w:tcW w:w="947" w:type="dxa"/>
            <w:tcBorders>
              <w:top w:val="single" w:sz="4" w:space="0" w:color="000000"/>
              <w:left w:val="nil"/>
              <w:bottom w:val="nil"/>
              <w:right w:val="nil"/>
            </w:tcBorders>
            <w:shd w:val="clear" w:color="auto" w:fill="auto"/>
            <w:vAlign w:val="center"/>
          </w:tcPr>
          <w:p w:rsidR="00024602" w:rsidRPr="00937C8B" w:rsidRDefault="00024602" w:rsidP="003E38D0">
            <w:pPr>
              <w:pStyle w:val="CTEtabla-texto"/>
              <w:rPr>
                <w:rFonts w:cs="Arial"/>
              </w:rPr>
            </w:pPr>
            <w:r>
              <w:t>0.75</w:t>
            </w:r>
          </w:p>
        </w:tc>
        <w:tc>
          <w:tcPr>
            <w:tcW w:w="946" w:type="dxa"/>
            <w:tcBorders>
              <w:top w:val="single" w:sz="4" w:space="0" w:color="000000"/>
              <w:left w:val="nil"/>
              <w:bottom w:val="nil"/>
            </w:tcBorders>
            <w:shd w:val="clear" w:color="auto" w:fill="auto"/>
            <w:vAlign w:val="center"/>
          </w:tcPr>
          <w:p w:rsidR="00024602" w:rsidRPr="00937C8B" w:rsidRDefault="00024602" w:rsidP="003E38D0">
            <w:pPr>
              <w:pStyle w:val="CTEtabla-texto"/>
              <w:rPr>
                <w:rFonts w:cs="Arial"/>
              </w:rPr>
            </w:pPr>
            <w:r>
              <w:t>0.70</w:t>
            </w:r>
          </w:p>
        </w:tc>
      </w:tr>
    </w:tbl>
    <w:p w:rsidR="00024602" w:rsidRPr="00937C8B" w:rsidRDefault="00024602" w:rsidP="0059129F">
      <w:pPr>
        <w:pStyle w:val="CTENumeracion"/>
        <w:numPr>
          <w:ilvl w:val="0"/>
          <w:numId w:val="70"/>
        </w:numPr>
        <w:rPr>
          <w:rFonts w:cs="Arial"/>
          <w:sz w:val="22"/>
          <w:szCs w:val="22"/>
        </w:rPr>
      </w:pPr>
      <w:r>
        <w:rPr>
          <w:sz w:val="22"/>
        </w:rPr>
        <w:t>For calculation of the reference DHW demand for buildings for uses other than private residential, it shall be considered acceptable to use the values from Table c-Annex F containing guideline values for DHW demand for uses other than private residential, at the reference temperature of 60ºC, with additions for thermal losses from distribution, storage and recirculation. The reference DHW demand for cases not included in Table c-Annex F shall be obtained using the DHW needs based on experience or obtained from reputable sources.</w:t>
      </w:r>
    </w:p>
    <w:p w:rsidR="00024602" w:rsidRPr="00937C8B" w:rsidRDefault="00024602" w:rsidP="00D27646">
      <w:pPr>
        <w:pStyle w:val="CTEtabla-Titulo"/>
        <w:ind w:right="-1"/>
      </w:pPr>
      <w:r>
        <w:t>Table c-Annex F. Guideline DHW demand for uses other than private residential</w:t>
      </w:r>
    </w:p>
    <w:tbl>
      <w:tblPr>
        <w:tblW w:w="64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0" w:type="dxa"/>
          <w:bottom w:w="55" w:type="dxa"/>
          <w:right w:w="55" w:type="dxa"/>
        </w:tblCellMar>
        <w:tblLook w:val="04A0" w:firstRow="1" w:lastRow="0" w:firstColumn="1" w:lastColumn="0" w:noHBand="0" w:noVBand="1"/>
      </w:tblPr>
      <w:tblGrid>
        <w:gridCol w:w="3851"/>
        <w:gridCol w:w="2566"/>
      </w:tblGrid>
      <w:tr w:rsidR="00024602" w:rsidRPr="00937C8B" w:rsidTr="00935676">
        <w:trPr>
          <w:jc w:val="center"/>
        </w:trPr>
        <w:tc>
          <w:tcPr>
            <w:tcW w:w="3851" w:type="dxa"/>
            <w:tcBorders>
              <w:top w:val="nil"/>
              <w:left w:val="nil"/>
              <w:bottom w:val="single" w:sz="4" w:space="0" w:color="000000"/>
              <w:right w:val="single" w:sz="4" w:space="0" w:color="000000"/>
            </w:tcBorders>
            <w:shd w:val="clear" w:color="auto" w:fill="auto"/>
            <w:vAlign w:val="center"/>
          </w:tcPr>
          <w:p w:rsidR="00024602" w:rsidRPr="00937C8B" w:rsidRDefault="00024602" w:rsidP="00D27646">
            <w:pPr>
              <w:pStyle w:val="CTEtabla-texto"/>
              <w:keepNext/>
              <w:jc w:val="left"/>
              <w:rPr>
                <w:rFonts w:cs="Arial"/>
                <w:b/>
                <w:bCs/>
              </w:rPr>
            </w:pPr>
            <w:r>
              <w:rPr>
                <w:b/>
              </w:rPr>
              <w:t>Demand criterion</w:t>
            </w:r>
          </w:p>
        </w:tc>
        <w:tc>
          <w:tcPr>
            <w:tcW w:w="2566" w:type="dxa"/>
            <w:tcBorders>
              <w:top w:val="nil"/>
              <w:left w:val="single" w:sz="4" w:space="0" w:color="000000"/>
              <w:bottom w:val="single" w:sz="4" w:space="0" w:color="000000"/>
              <w:right w:val="nil"/>
            </w:tcBorders>
            <w:shd w:val="clear" w:color="auto" w:fill="auto"/>
            <w:vAlign w:val="center"/>
          </w:tcPr>
          <w:p w:rsidR="00024602" w:rsidRPr="00937C8B" w:rsidRDefault="00024602" w:rsidP="00D27646">
            <w:pPr>
              <w:pStyle w:val="CTEtabla-texto"/>
              <w:keepNext/>
              <w:rPr>
                <w:rFonts w:cs="Arial"/>
                <w:b/>
                <w:bCs/>
              </w:rPr>
            </w:pPr>
            <w:r>
              <w:rPr>
                <w:b/>
              </w:rPr>
              <w:t>Litres/day·person</w:t>
            </w:r>
          </w:p>
        </w:tc>
      </w:tr>
      <w:tr w:rsidR="00024602" w:rsidRPr="00937C8B" w:rsidTr="00935676">
        <w:trPr>
          <w:jc w:val="center"/>
        </w:trPr>
        <w:tc>
          <w:tcPr>
            <w:tcW w:w="3851" w:type="dxa"/>
            <w:tcBorders>
              <w:top w:val="single" w:sz="4" w:space="0" w:color="000000"/>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Hospitals and clinics</w:t>
            </w:r>
          </w:p>
        </w:tc>
        <w:tc>
          <w:tcPr>
            <w:tcW w:w="2566" w:type="dxa"/>
            <w:tcBorders>
              <w:top w:val="single" w:sz="4" w:space="0" w:color="000000"/>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55</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Healthcare centres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41</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5* Hotels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69</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4* Hotels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55</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3* Hotels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41</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2* Hotels/boarding houses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34</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Campsites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21</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1* Boarding houses/guesthouses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28</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Residential homes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41</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Prisons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28</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Hostels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24</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Changing rooms/communal showers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21</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Schools without showers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4</w:t>
            </w:r>
          </w:p>
        </w:tc>
      </w:tr>
      <w:tr w:rsidR="00024602" w:rsidRPr="00937C8B" w:rsidTr="00935676">
        <w:trPr>
          <w:jc w:val="center"/>
        </w:trPr>
        <w:tc>
          <w:tcPr>
            <w:tcW w:w="3851" w:type="dxa"/>
            <w:tcBorders>
              <w:top w:val="nil"/>
              <w:left w:val="nil"/>
              <w:bottom w:val="nil"/>
              <w:right w:val="single" w:sz="4" w:space="0" w:color="000000"/>
            </w:tcBorders>
            <w:shd w:val="clear" w:color="auto" w:fill="auto"/>
            <w:vAlign w:val="center"/>
          </w:tcPr>
          <w:p w:rsidR="00024602" w:rsidRPr="00937C8B" w:rsidRDefault="00024602" w:rsidP="003E38D0">
            <w:pPr>
              <w:pStyle w:val="CTEtabla-texto"/>
              <w:jc w:val="left"/>
              <w:rPr>
                <w:rFonts w:cs="Arial"/>
              </w:rPr>
            </w:pPr>
            <w:r>
              <w:t>Schools with showers</w:t>
            </w:r>
          </w:p>
        </w:tc>
        <w:tc>
          <w:tcPr>
            <w:tcW w:w="2566" w:type="dxa"/>
            <w:tcBorders>
              <w:top w:val="nil"/>
              <w:left w:val="single" w:sz="4" w:space="0" w:color="000000"/>
              <w:bottom w:val="nil"/>
              <w:right w:val="nil"/>
            </w:tcBorders>
            <w:shd w:val="clear" w:color="auto" w:fill="auto"/>
            <w:vAlign w:val="center"/>
          </w:tcPr>
          <w:p w:rsidR="00024602" w:rsidRPr="00937C8B" w:rsidRDefault="00024602" w:rsidP="003E38D0">
            <w:pPr>
              <w:pStyle w:val="CTEtabla-texto"/>
              <w:rPr>
                <w:rFonts w:cs="Arial"/>
              </w:rPr>
            </w:pPr>
            <w:r>
              <w:t>21</w:t>
            </w:r>
          </w:p>
        </w:tc>
      </w:tr>
      <w:tr w:rsidR="00F53224" w:rsidRPr="00937C8B" w:rsidTr="00935676">
        <w:trPr>
          <w:jc w:val="center"/>
        </w:trPr>
        <w:tc>
          <w:tcPr>
            <w:tcW w:w="3851" w:type="dxa"/>
            <w:tcBorders>
              <w:top w:val="nil"/>
              <w:left w:val="nil"/>
              <w:bottom w:val="nil"/>
              <w:right w:val="single" w:sz="4" w:space="0" w:color="000000"/>
            </w:tcBorders>
            <w:shd w:val="clear" w:color="auto" w:fill="auto"/>
            <w:vAlign w:val="center"/>
          </w:tcPr>
          <w:p w:rsidR="00F53224" w:rsidRPr="00937C8B" w:rsidRDefault="00F53224" w:rsidP="00F60ADA">
            <w:pPr>
              <w:pStyle w:val="CTEtabla-texto"/>
              <w:jc w:val="left"/>
              <w:rPr>
                <w:rFonts w:cs="Arial"/>
              </w:rPr>
            </w:pPr>
            <w:r>
              <w:t>Barracks</w:t>
            </w:r>
          </w:p>
        </w:tc>
        <w:tc>
          <w:tcPr>
            <w:tcW w:w="2566" w:type="dxa"/>
            <w:tcBorders>
              <w:top w:val="nil"/>
              <w:left w:val="single" w:sz="4" w:space="0" w:color="000000"/>
              <w:bottom w:val="nil"/>
              <w:right w:val="nil"/>
            </w:tcBorders>
            <w:shd w:val="clear" w:color="auto" w:fill="auto"/>
            <w:vAlign w:val="center"/>
          </w:tcPr>
          <w:p w:rsidR="00F53224" w:rsidRPr="00937C8B" w:rsidRDefault="00F53224" w:rsidP="00F60ADA">
            <w:pPr>
              <w:pStyle w:val="CTEtabla-texto"/>
              <w:rPr>
                <w:rFonts w:cs="Arial"/>
              </w:rPr>
            </w:pPr>
            <w:r>
              <w:t>28</w:t>
            </w:r>
          </w:p>
        </w:tc>
      </w:tr>
      <w:tr w:rsidR="00F53224" w:rsidRPr="00937C8B" w:rsidTr="00935676">
        <w:trPr>
          <w:jc w:val="center"/>
        </w:trPr>
        <w:tc>
          <w:tcPr>
            <w:tcW w:w="3851" w:type="dxa"/>
            <w:tcBorders>
              <w:top w:val="nil"/>
              <w:left w:val="nil"/>
              <w:bottom w:val="nil"/>
              <w:right w:val="single" w:sz="4" w:space="0" w:color="000000"/>
            </w:tcBorders>
            <w:shd w:val="clear" w:color="auto" w:fill="auto"/>
            <w:vAlign w:val="center"/>
          </w:tcPr>
          <w:p w:rsidR="00F53224" w:rsidRPr="00937C8B" w:rsidRDefault="00F53224" w:rsidP="00F60ADA">
            <w:pPr>
              <w:pStyle w:val="CTEtabla-texto"/>
              <w:jc w:val="left"/>
              <w:rPr>
                <w:rFonts w:cs="Arial"/>
              </w:rPr>
            </w:pPr>
            <w:r>
              <w:t>Factories and workshops</w:t>
            </w:r>
          </w:p>
        </w:tc>
        <w:tc>
          <w:tcPr>
            <w:tcW w:w="2566" w:type="dxa"/>
            <w:tcBorders>
              <w:top w:val="nil"/>
              <w:left w:val="single" w:sz="4" w:space="0" w:color="000000"/>
              <w:bottom w:val="nil"/>
              <w:right w:val="nil"/>
            </w:tcBorders>
            <w:shd w:val="clear" w:color="auto" w:fill="auto"/>
            <w:vAlign w:val="center"/>
          </w:tcPr>
          <w:p w:rsidR="00F53224" w:rsidRPr="00937C8B" w:rsidRDefault="00F53224" w:rsidP="00F60ADA">
            <w:pPr>
              <w:pStyle w:val="CTEtabla-texto"/>
              <w:rPr>
                <w:rFonts w:cs="Arial"/>
              </w:rPr>
            </w:pPr>
            <w:r>
              <w:t>21</w:t>
            </w:r>
          </w:p>
        </w:tc>
      </w:tr>
      <w:tr w:rsidR="00F53224" w:rsidRPr="00937C8B" w:rsidTr="00935676">
        <w:trPr>
          <w:jc w:val="center"/>
        </w:trPr>
        <w:tc>
          <w:tcPr>
            <w:tcW w:w="3851" w:type="dxa"/>
            <w:tcBorders>
              <w:top w:val="nil"/>
              <w:left w:val="nil"/>
              <w:bottom w:val="nil"/>
              <w:right w:val="single" w:sz="4" w:space="0" w:color="000000"/>
            </w:tcBorders>
            <w:shd w:val="clear" w:color="auto" w:fill="auto"/>
            <w:vAlign w:val="center"/>
          </w:tcPr>
          <w:p w:rsidR="00F53224" w:rsidRPr="00937C8B" w:rsidRDefault="00F53224" w:rsidP="00F60ADA">
            <w:pPr>
              <w:pStyle w:val="CTEtabla-texto"/>
              <w:jc w:val="left"/>
              <w:rPr>
                <w:rFonts w:cs="Arial"/>
              </w:rPr>
            </w:pPr>
            <w:r>
              <w:t>Offices</w:t>
            </w:r>
          </w:p>
        </w:tc>
        <w:tc>
          <w:tcPr>
            <w:tcW w:w="2566" w:type="dxa"/>
            <w:tcBorders>
              <w:top w:val="nil"/>
              <w:left w:val="single" w:sz="4" w:space="0" w:color="000000"/>
              <w:bottom w:val="nil"/>
              <w:right w:val="nil"/>
            </w:tcBorders>
            <w:shd w:val="clear" w:color="auto" w:fill="auto"/>
            <w:vAlign w:val="center"/>
          </w:tcPr>
          <w:p w:rsidR="00F53224" w:rsidRPr="00937C8B" w:rsidRDefault="00F53224" w:rsidP="00F60ADA">
            <w:pPr>
              <w:pStyle w:val="CTEtabla-texto"/>
              <w:rPr>
                <w:rFonts w:cs="Arial"/>
              </w:rPr>
            </w:pPr>
            <w:r>
              <w:t>2</w:t>
            </w:r>
          </w:p>
        </w:tc>
      </w:tr>
      <w:tr w:rsidR="00F53224" w:rsidRPr="00937C8B" w:rsidTr="00935676">
        <w:trPr>
          <w:jc w:val="center"/>
        </w:trPr>
        <w:tc>
          <w:tcPr>
            <w:tcW w:w="3851" w:type="dxa"/>
            <w:tcBorders>
              <w:top w:val="nil"/>
              <w:left w:val="nil"/>
              <w:bottom w:val="nil"/>
              <w:right w:val="single" w:sz="4" w:space="0" w:color="000000"/>
            </w:tcBorders>
            <w:shd w:val="clear" w:color="auto" w:fill="auto"/>
            <w:vAlign w:val="center"/>
          </w:tcPr>
          <w:p w:rsidR="00F53224" w:rsidRPr="00937C8B" w:rsidRDefault="00F53224" w:rsidP="00F60ADA">
            <w:pPr>
              <w:pStyle w:val="CTEtabla-texto"/>
              <w:jc w:val="left"/>
              <w:rPr>
                <w:rFonts w:cs="Arial"/>
              </w:rPr>
            </w:pPr>
            <w:r>
              <w:t>Gymnasiums</w:t>
            </w:r>
          </w:p>
        </w:tc>
        <w:tc>
          <w:tcPr>
            <w:tcW w:w="2566" w:type="dxa"/>
            <w:tcBorders>
              <w:top w:val="nil"/>
              <w:left w:val="single" w:sz="4" w:space="0" w:color="000000"/>
              <w:bottom w:val="nil"/>
              <w:right w:val="nil"/>
            </w:tcBorders>
            <w:shd w:val="clear" w:color="auto" w:fill="auto"/>
            <w:vAlign w:val="center"/>
          </w:tcPr>
          <w:p w:rsidR="00F53224" w:rsidRPr="00937C8B" w:rsidRDefault="00F53224" w:rsidP="00F60ADA">
            <w:pPr>
              <w:pStyle w:val="CTEtabla-texto"/>
              <w:rPr>
                <w:rFonts w:cs="Arial"/>
              </w:rPr>
            </w:pPr>
            <w:r>
              <w:t>21</w:t>
            </w:r>
          </w:p>
        </w:tc>
      </w:tr>
      <w:tr w:rsidR="00F53224" w:rsidRPr="00937C8B" w:rsidTr="00935676">
        <w:trPr>
          <w:jc w:val="center"/>
        </w:trPr>
        <w:tc>
          <w:tcPr>
            <w:tcW w:w="3851" w:type="dxa"/>
            <w:tcBorders>
              <w:top w:val="nil"/>
              <w:left w:val="nil"/>
              <w:bottom w:val="nil"/>
              <w:right w:val="single" w:sz="4" w:space="0" w:color="000000"/>
            </w:tcBorders>
            <w:shd w:val="clear" w:color="auto" w:fill="auto"/>
            <w:vAlign w:val="center"/>
          </w:tcPr>
          <w:p w:rsidR="00F53224" w:rsidRPr="00937C8B" w:rsidRDefault="00F53224" w:rsidP="00F60ADA">
            <w:pPr>
              <w:pStyle w:val="CTEtabla-texto"/>
              <w:jc w:val="left"/>
              <w:rPr>
                <w:rFonts w:cs="Arial"/>
              </w:rPr>
            </w:pPr>
            <w:r>
              <w:t>Restaurants</w:t>
            </w:r>
          </w:p>
        </w:tc>
        <w:tc>
          <w:tcPr>
            <w:tcW w:w="2566" w:type="dxa"/>
            <w:tcBorders>
              <w:top w:val="nil"/>
              <w:left w:val="single" w:sz="4" w:space="0" w:color="000000"/>
              <w:bottom w:val="nil"/>
              <w:right w:val="nil"/>
            </w:tcBorders>
            <w:shd w:val="clear" w:color="auto" w:fill="auto"/>
            <w:vAlign w:val="center"/>
          </w:tcPr>
          <w:p w:rsidR="00F53224" w:rsidRPr="00937C8B" w:rsidRDefault="00F53224" w:rsidP="00F60ADA">
            <w:pPr>
              <w:pStyle w:val="CTEtabla-texto"/>
              <w:rPr>
                <w:rFonts w:cs="Arial"/>
              </w:rPr>
            </w:pPr>
            <w:r>
              <w:t>8</w:t>
            </w:r>
          </w:p>
        </w:tc>
      </w:tr>
      <w:tr w:rsidR="00F53224" w:rsidRPr="00937C8B" w:rsidTr="00935676">
        <w:trPr>
          <w:jc w:val="center"/>
        </w:trPr>
        <w:tc>
          <w:tcPr>
            <w:tcW w:w="3851" w:type="dxa"/>
            <w:tcBorders>
              <w:top w:val="nil"/>
              <w:left w:val="nil"/>
              <w:bottom w:val="nil"/>
              <w:right w:val="single" w:sz="4" w:space="0" w:color="000000"/>
            </w:tcBorders>
            <w:shd w:val="clear" w:color="auto" w:fill="auto"/>
            <w:vAlign w:val="center"/>
          </w:tcPr>
          <w:p w:rsidR="00F53224" w:rsidRPr="00937C8B" w:rsidRDefault="00F53224" w:rsidP="00F60ADA">
            <w:pPr>
              <w:pStyle w:val="CTEtabla-texto"/>
              <w:jc w:val="left"/>
              <w:rPr>
                <w:rFonts w:cs="Arial"/>
              </w:rPr>
            </w:pPr>
            <w:r>
              <w:t>Cafeterias</w:t>
            </w:r>
          </w:p>
        </w:tc>
        <w:tc>
          <w:tcPr>
            <w:tcW w:w="2566" w:type="dxa"/>
            <w:tcBorders>
              <w:top w:val="nil"/>
              <w:left w:val="single" w:sz="4" w:space="0" w:color="000000"/>
              <w:bottom w:val="nil"/>
              <w:right w:val="nil"/>
            </w:tcBorders>
            <w:shd w:val="clear" w:color="auto" w:fill="auto"/>
            <w:vAlign w:val="center"/>
          </w:tcPr>
          <w:p w:rsidR="00F53224" w:rsidRPr="00937C8B" w:rsidRDefault="00F53224" w:rsidP="00F60ADA">
            <w:pPr>
              <w:pStyle w:val="CTEtabla-texto"/>
              <w:rPr>
                <w:rFonts w:cs="Arial"/>
              </w:rPr>
            </w:pPr>
            <w:r>
              <w:t>1</w:t>
            </w:r>
          </w:p>
        </w:tc>
      </w:tr>
    </w:tbl>
    <w:p w:rsidR="00024602" w:rsidRPr="00937C8B" w:rsidRDefault="00024602" w:rsidP="00D27646">
      <w:pPr>
        <w:pStyle w:val="CTENumeracion"/>
        <w:keepNext/>
        <w:numPr>
          <w:ilvl w:val="0"/>
          <w:numId w:val="70"/>
        </w:numPr>
        <w:rPr>
          <w:rFonts w:cs="Arial"/>
          <w:sz w:val="22"/>
          <w:szCs w:val="22"/>
        </w:rPr>
      </w:pPr>
      <w:r>
        <w:rPr>
          <w:sz w:val="22"/>
        </w:rPr>
        <w:t>The consumption of DHW at a preparation, distribution or usage temperature (T) other than the reference temperature (60ºC) may be obtained from the DHW consumption at the reference temperature using the following formulas:</w:t>
      </w:r>
    </w:p>
    <w:tbl>
      <w:tblPr>
        <w:tblW w:w="178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58"/>
        <w:gridCol w:w="201"/>
        <w:gridCol w:w="632"/>
      </w:tblGrid>
      <w:tr w:rsidR="005E4ABF" w:rsidRPr="00937C8B" w:rsidTr="00935676">
        <w:trPr>
          <w:trHeight w:hRule="exact" w:val="284"/>
        </w:trPr>
        <w:tc>
          <w:tcPr>
            <w:tcW w:w="700" w:type="dxa"/>
            <w:vMerge w:val="restart"/>
            <w:tcBorders>
              <w:top w:val="nil"/>
              <w:left w:val="nil"/>
              <w:bottom w:val="nil"/>
              <w:right w:val="nil"/>
            </w:tcBorders>
            <w:shd w:val="clear" w:color="auto" w:fill="auto"/>
            <w:tcMar>
              <w:left w:w="0" w:type="dxa"/>
              <w:right w:w="0" w:type="dxa"/>
            </w:tcMar>
            <w:vAlign w:val="center"/>
          </w:tcPr>
          <w:p w:rsidR="005E4ABF" w:rsidRPr="00937C8B" w:rsidRDefault="005E4ABF" w:rsidP="00363EFE">
            <w:pPr>
              <w:pStyle w:val="CTENumeracion"/>
              <w:ind w:left="0" w:firstLine="0"/>
              <w:jc w:val="right"/>
              <w:rPr>
                <w:rFonts w:cs="Arial"/>
                <w:sz w:val="22"/>
                <w:szCs w:val="22"/>
              </w:rPr>
            </w:pPr>
            <w:r w:rsidRPr="00937C8B">
              <w:rPr>
                <w:rFonts w:cs="Arial"/>
                <w:sz w:val="22"/>
              </w:rPr>
              <w:fldChar w:fldCharType="begin"/>
            </w:r>
            <w:r w:rsidRPr="00937C8B">
              <w:rPr>
                <w:rFonts w:cs="Arial"/>
                <w:sz w:val="22"/>
              </w:rPr>
              <w:instrText xml:space="preserve"> QUOTE  </w:instrText>
            </w:r>
            <m:oMath>
              <m:r>
                <m:rPr>
                  <m:sty m:val="p"/>
                </m:rPr>
                <w:rPr>
                  <w:rFonts w:ascii="Cambria Math" w:hAnsi="Cambria Math"/>
                </w:rPr>
                <m:t>D</m:t>
              </m:r>
              <m:d>
                <m:dPr>
                  <m:ctrlPr>
                    <w:rPr>
                      <w:rFonts w:ascii="Cambria Math" w:hAnsi="Cambria Math"/>
                    </w:rPr>
                  </m:ctrlPr>
                </m:dPr>
                <m:e>
                  <m:r>
                    <m:rPr>
                      <m:sty m:val="p"/>
                    </m:rPr>
                    <w:rPr>
                      <w:rFonts w:ascii="Cambria Math" w:hAnsi="Cambria Math"/>
                    </w:rPr>
                    <m:t>T</m:t>
                  </m:r>
                </m:e>
              </m:d>
              <m:r>
                <m:rPr>
                  <m:sty m:val="p"/>
                </m:rPr>
                <w:rPr>
                  <w:rFonts w:ascii="Cambria Math" w:hAnsi="Cambria Math"/>
                </w:rPr>
                <m:t>=</m:t>
              </m:r>
              <m:nary>
                <m:naryPr>
                  <m:chr m:val="∑"/>
                  <m:ctrlPr>
                    <w:rPr>
                      <w:rFonts w:ascii="Cambria Math" w:hAnsi="Cambria Math"/>
                    </w:rPr>
                  </m:ctrlPr>
                </m:naryPr>
                <m:sub>
                  <m:r>
                    <m:rPr>
                      <m:lit/>
                      <m:nor/>
                    </m:rPr>
                    <w:rPr>
                      <w:rFonts w:ascii="Cambria Math" w:hAnsi="Cambria Math"/>
                    </w:rPr>
                    <m:t>i=</m:t>
                  </m:r>
                  <m:r>
                    <m:rPr>
                      <m:sty m:val="p"/>
                    </m:rPr>
                    <w:rPr>
                      <w:rFonts w:ascii="Cambria Math" w:hAnsi="Cambria Math"/>
                    </w:rPr>
                    <m:t>1</m:t>
                  </m:r>
                </m:sub>
                <m:sup>
                  <m:r>
                    <m:rPr>
                      <m:lit/>
                      <m:nor/>
                    </m:rPr>
                    <w:rPr>
                      <w:rFonts w:ascii="Cambria Math" w:hAnsi="Cambria Math"/>
                    </w:rPr>
                    <m:t>12</m:t>
                  </m:r>
                </m:sup>
                <m:e>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e>
              </m:nary>
              <m:d>
                <m:dPr>
                  <m:ctrlPr>
                    <w:rPr>
                      <w:rFonts w:ascii="Cambria Math" w:hAnsi="Cambria Math"/>
                    </w:rPr>
                  </m:ctrlPr>
                </m:dPr>
                <m:e>
                  <m:r>
                    <m:rPr>
                      <m:sty m:val="p"/>
                    </m:rPr>
                    <w:rPr>
                      <w:rFonts w:ascii="Cambria Math" w:hAnsi="Cambria Math"/>
                    </w:rPr>
                    <m:t>T</m:t>
                  </m:r>
                </m:e>
              </m:d>
            </m:oMath>
            <w:r w:rsidR="003974EC">
              <w:rPr>
                <w:rFonts w:cs="Arial"/>
                <w:sz w:val="22"/>
              </w:rPr>
              <w:fldChar w:fldCharType="separate"/>
            </w:r>
            <m:oMath>
              <m:r>
                <m:rPr>
                  <m:sty m:val="p"/>
                </m:rPr>
                <w:rPr>
                  <w:rFonts w:ascii="Cambria Math" w:hAnsi="Cambria Math"/>
                </w:rPr>
                <m:t>D</m:t>
              </m:r>
              <m:d>
                <m:dPr>
                  <m:ctrlPr>
                    <w:rPr>
                      <w:rFonts w:ascii="Cambria Math" w:hAnsi="Cambria Math"/>
                    </w:rPr>
                  </m:ctrlPr>
                </m:dPr>
                <m:e>
                  <m:r>
                    <m:rPr>
                      <m:sty m:val="p"/>
                    </m:rPr>
                    <w:rPr>
                      <w:rFonts w:ascii="Cambria Math" w:hAnsi="Cambria Math"/>
                    </w:rPr>
                    <m:t>T</m:t>
                  </m:r>
                </m:e>
              </m:d>
              <m:r>
                <m:rPr>
                  <m:sty m:val="p"/>
                </m:rPr>
                <w:rPr>
                  <w:rFonts w:ascii="Cambria Math" w:hAnsi="Cambria Math"/>
                </w:rPr>
                <m:t>=</m:t>
              </m:r>
              <m:nary>
                <m:naryPr>
                  <m:chr m:val="∑"/>
                  <m:ctrlPr>
                    <w:rPr>
                      <w:rFonts w:ascii="Cambria Math" w:hAnsi="Cambria Math"/>
                    </w:rPr>
                  </m:ctrlPr>
                </m:naryPr>
                <m:sub>
                  <m:r>
                    <m:rPr>
                      <m:lit/>
                      <m:nor/>
                    </m:rPr>
                    <w:rPr>
                      <w:rFonts w:ascii="Cambria Math" w:hAnsi="Cambria Math"/>
                    </w:rPr>
                    <m:t>i=</m:t>
                  </m:r>
                  <m:r>
                    <m:rPr>
                      <m:sty m:val="p"/>
                    </m:rPr>
                    <w:rPr>
                      <w:rFonts w:ascii="Cambria Math" w:hAnsi="Cambria Math"/>
                    </w:rPr>
                    <m:t>1</m:t>
                  </m:r>
                </m:sub>
                <m:sup>
                  <m:r>
                    <m:rPr>
                      <m:lit/>
                      <m:nor/>
                    </m:rPr>
                    <w:rPr>
                      <w:rFonts w:ascii="Cambria Math" w:hAnsi="Cambria Math"/>
                    </w:rPr>
                    <m:t>12</m:t>
                  </m:r>
                </m:sup>
                <m:e>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e>
              </m:nary>
              <m:d>
                <m:dPr>
                  <m:ctrlPr>
                    <w:rPr>
                      <w:rFonts w:ascii="Cambria Math" w:hAnsi="Cambria Math"/>
                    </w:rPr>
                  </m:ctrlPr>
                </m:dPr>
                <m:e>
                  <m:r>
                    <m:rPr>
                      <m:sty m:val="p"/>
                    </m:rPr>
                    <w:rPr>
                      <w:rFonts w:ascii="Cambria Math" w:hAnsi="Cambria Math"/>
                    </w:rPr>
                    <m:t>T</m:t>
                  </m:r>
                </m:e>
              </m:d>
            </m:oMath>
            <w:r w:rsidRPr="00937C8B">
              <w:rPr>
                <w:rFonts w:cs="Arial"/>
                <w:sz w:val="22"/>
              </w:rPr>
              <w:fldChar w:fldCharType="end"/>
            </w:r>
            <w:r>
              <w:rPr>
                <w:sz w:val="22"/>
              </w:rPr>
              <w:t xml:space="preserve">D(T) = </w:t>
            </w:r>
          </w:p>
        </w:tc>
        <w:tc>
          <w:tcPr>
            <w:tcW w:w="242" w:type="dxa"/>
            <w:vMerge w:val="restart"/>
            <w:tcBorders>
              <w:top w:val="nil"/>
              <w:left w:val="nil"/>
              <w:bottom w:val="nil"/>
              <w:right w:val="nil"/>
            </w:tcBorders>
            <w:shd w:val="clear" w:color="auto" w:fill="auto"/>
            <w:noWrap/>
            <w:tcMar>
              <w:left w:w="0" w:type="dxa"/>
              <w:right w:w="0" w:type="dxa"/>
            </w:tcMar>
            <w:vAlign w:val="center"/>
          </w:tcPr>
          <w:p w:rsidR="005E4ABF" w:rsidRPr="00937C8B" w:rsidRDefault="005E4ABF" w:rsidP="00363EFE">
            <w:pPr>
              <w:pStyle w:val="CTENumeracion"/>
              <w:spacing w:before="40"/>
              <w:ind w:left="0" w:firstLine="0"/>
              <w:rPr>
                <w:rFonts w:cs="Arial"/>
                <w:sz w:val="22"/>
                <w:szCs w:val="22"/>
              </w:rPr>
            </w:pPr>
            <w:r>
              <w:t xml:space="preserve"> ∑</w:t>
            </w:r>
          </w:p>
        </w:tc>
        <w:tc>
          <w:tcPr>
            <w:tcW w:w="201" w:type="dxa"/>
            <w:tcBorders>
              <w:top w:val="nil"/>
              <w:left w:val="nil"/>
              <w:bottom w:val="nil"/>
              <w:right w:val="nil"/>
            </w:tcBorders>
            <w:shd w:val="clear" w:color="auto" w:fill="auto"/>
            <w:tcMar>
              <w:left w:w="0" w:type="dxa"/>
              <w:right w:w="0" w:type="dxa"/>
            </w:tcMar>
            <w:vAlign w:val="center"/>
          </w:tcPr>
          <w:p w:rsidR="005E4ABF" w:rsidRPr="00937C8B" w:rsidRDefault="005E4ABF" w:rsidP="00363EFE">
            <w:pPr>
              <w:pStyle w:val="CTENumeracion"/>
              <w:spacing w:before="40"/>
              <w:ind w:left="0" w:firstLine="0"/>
              <w:rPr>
                <w:rFonts w:cs="Arial"/>
                <w:sz w:val="22"/>
                <w:szCs w:val="22"/>
                <w:vertAlign w:val="subscript"/>
              </w:rPr>
            </w:pPr>
            <w:r>
              <w:rPr>
                <w:sz w:val="22"/>
                <w:vertAlign w:val="subscript"/>
              </w:rPr>
              <w:t>12</w:t>
            </w:r>
          </w:p>
        </w:tc>
        <w:tc>
          <w:tcPr>
            <w:tcW w:w="638" w:type="dxa"/>
            <w:vMerge w:val="restart"/>
            <w:tcBorders>
              <w:top w:val="nil"/>
              <w:left w:val="nil"/>
              <w:bottom w:val="nil"/>
              <w:right w:val="nil"/>
            </w:tcBorders>
            <w:shd w:val="clear" w:color="auto" w:fill="auto"/>
            <w:tcMar>
              <w:left w:w="0" w:type="dxa"/>
              <w:right w:w="0" w:type="dxa"/>
            </w:tcMar>
            <w:vAlign w:val="center"/>
          </w:tcPr>
          <w:p w:rsidR="005E4ABF" w:rsidRPr="00937C8B" w:rsidRDefault="005E4ABF" w:rsidP="00363EFE">
            <w:pPr>
              <w:pStyle w:val="CTENumeracion"/>
              <w:ind w:left="0" w:firstLine="0"/>
              <w:rPr>
                <w:rFonts w:cs="Arial"/>
                <w:sz w:val="22"/>
                <w:szCs w:val="22"/>
              </w:rPr>
            </w:pPr>
            <w:r>
              <w:rPr>
                <w:sz w:val="22"/>
              </w:rPr>
              <w:t xml:space="preserve"> D</w:t>
            </w:r>
            <w:r>
              <w:rPr>
                <w:sz w:val="22"/>
                <w:vertAlign w:val="subscript"/>
              </w:rPr>
              <w:t>i</w:t>
            </w:r>
            <w:r>
              <w:rPr>
                <w:sz w:val="22"/>
              </w:rPr>
              <w:t>(T)</w:t>
            </w:r>
          </w:p>
        </w:tc>
      </w:tr>
      <w:tr w:rsidR="005E4ABF" w:rsidRPr="00937C8B" w:rsidTr="00935676">
        <w:trPr>
          <w:trHeight w:hRule="exact" w:val="340"/>
        </w:trPr>
        <w:tc>
          <w:tcPr>
            <w:tcW w:w="700" w:type="dxa"/>
            <w:vMerge/>
            <w:tcBorders>
              <w:top w:val="nil"/>
              <w:left w:val="nil"/>
              <w:bottom w:val="nil"/>
              <w:right w:val="nil"/>
            </w:tcBorders>
            <w:shd w:val="clear" w:color="auto" w:fill="auto"/>
          </w:tcPr>
          <w:p w:rsidR="005E4ABF" w:rsidRPr="00937C8B" w:rsidRDefault="005E4ABF" w:rsidP="00363EFE">
            <w:pPr>
              <w:pStyle w:val="CTENumeracion"/>
              <w:ind w:left="0" w:firstLine="0"/>
              <w:rPr>
                <w:rFonts w:cs="Arial"/>
                <w:sz w:val="22"/>
                <w:szCs w:val="22"/>
                <w:lang w:val="en-US"/>
              </w:rPr>
            </w:pPr>
          </w:p>
        </w:tc>
        <w:tc>
          <w:tcPr>
            <w:tcW w:w="242" w:type="dxa"/>
            <w:vMerge/>
            <w:tcBorders>
              <w:top w:val="nil"/>
              <w:left w:val="nil"/>
              <w:bottom w:val="nil"/>
              <w:right w:val="nil"/>
            </w:tcBorders>
            <w:shd w:val="clear" w:color="auto" w:fill="auto"/>
          </w:tcPr>
          <w:p w:rsidR="005E4ABF" w:rsidRPr="00937C8B" w:rsidRDefault="005E4ABF" w:rsidP="00363EFE">
            <w:pPr>
              <w:pStyle w:val="CTENumeracion"/>
              <w:ind w:left="0" w:firstLine="0"/>
              <w:rPr>
                <w:rFonts w:cs="Arial"/>
                <w:sz w:val="22"/>
                <w:szCs w:val="22"/>
                <w:lang w:val="en-US"/>
              </w:rPr>
            </w:pPr>
          </w:p>
        </w:tc>
        <w:tc>
          <w:tcPr>
            <w:tcW w:w="201" w:type="dxa"/>
            <w:tcBorders>
              <w:top w:val="nil"/>
              <w:left w:val="nil"/>
              <w:bottom w:val="nil"/>
              <w:right w:val="nil"/>
            </w:tcBorders>
            <w:shd w:val="clear" w:color="auto" w:fill="auto"/>
            <w:tcMar>
              <w:left w:w="0" w:type="dxa"/>
              <w:right w:w="0" w:type="dxa"/>
            </w:tcMar>
          </w:tcPr>
          <w:p w:rsidR="005E4ABF" w:rsidRPr="00937C8B" w:rsidRDefault="005E4ABF" w:rsidP="00363EFE">
            <w:pPr>
              <w:pStyle w:val="CTENumeracion"/>
              <w:spacing w:before="40"/>
              <w:ind w:left="0" w:firstLine="0"/>
              <w:rPr>
                <w:rFonts w:cs="Arial"/>
                <w:sz w:val="22"/>
                <w:szCs w:val="22"/>
                <w:vertAlign w:val="superscript"/>
              </w:rPr>
            </w:pPr>
            <w:r>
              <w:rPr>
                <w:sz w:val="22"/>
                <w:vertAlign w:val="superscript"/>
              </w:rPr>
              <w:t>i=1</w:t>
            </w:r>
          </w:p>
        </w:tc>
        <w:tc>
          <w:tcPr>
            <w:tcW w:w="638" w:type="dxa"/>
            <w:vMerge/>
            <w:tcBorders>
              <w:top w:val="nil"/>
              <w:left w:val="nil"/>
              <w:bottom w:val="nil"/>
              <w:right w:val="nil"/>
            </w:tcBorders>
            <w:shd w:val="clear" w:color="auto" w:fill="auto"/>
          </w:tcPr>
          <w:p w:rsidR="005E4ABF" w:rsidRPr="00937C8B" w:rsidRDefault="005E4ABF" w:rsidP="00363EFE">
            <w:pPr>
              <w:pStyle w:val="CTENumeracion"/>
              <w:ind w:left="0" w:firstLine="0"/>
              <w:rPr>
                <w:rFonts w:cs="Arial"/>
                <w:sz w:val="22"/>
                <w:szCs w:val="22"/>
                <w:lang w:val="en-US"/>
              </w:rPr>
            </w:pPr>
          </w:p>
        </w:tc>
      </w:tr>
    </w:tbl>
    <w:p w:rsidR="00024602" w:rsidRPr="00937C8B" w:rsidRDefault="00024602" w:rsidP="00024602">
      <w:pPr>
        <w:pStyle w:val="CTENumeracion"/>
        <w:ind w:left="714"/>
        <w:rPr>
          <w:rFonts w:cs="Arial"/>
          <w:sz w:val="22"/>
          <w:szCs w:val="22"/>
        </w:rPr>
      </w:pPr>
      <w:r w:rsidRPr="00937C8B">
        <w:rPr>
          <w:rFonts w:cs="Arial"/>
          <w:sz w:val="22"/>
        </w:rPr>
        <w:fldChar w:fldCharType="begin"/>
      </w:r>
      <w:r w:rsidRPr="00937C8B">
        <w:rPr>
          <w:rFonts w:cs="Arial"/>
          <w:sz w:val="22"/>
        </w:rPr>
        <w:instrText xml:space="preserve"> QUOTE  </w:instrText>
      </w:r>
      <m:oMath>
        <m:r>
          <m:rPr>
            <m:sty m:val="p"/>
          </m:rPr>
          <w:rPr>
            <w:rFonts w:ascii="Cambria Math" w:hAnsi="Cambria Math"/>
          </w:rPr>
          <m:t>D</m:t>
        </m:r>
        <m:d>
          <m:dPr>
            <m:ctrlPr>
              <w:rPr>
                <w:rFonts w:ascii="Cambria Math" w:hAnsi="Cambria Math"/>
              </w:rPr>
            </m:ctrlPr>
          </m:dPr>
          <m:e>
            <m:r>
              <m:rPr>
                <m:sty m:val="p"/>
              </m:rPr>
              <w:rPr>
                <w:rFonts w:ascii="Cambria Math" w:hAnsi="Cambria Math"/>
              </w:rPr>
              <m:t>T</m:t>
            </m:r>
          </m:e>
        </m:d>
        <m:r>
          <m:rPr>
            <m:sty m:val="p"/>
          </m:rPr>
          <w:rPr>
            <w:rFonts w:ascii="Cambria Math" w:hAnsi="Cambria Math"/>
          </w:rPr>
          <m:t>=</m:t>
        </m:r>
        <m:nary>
          <m:naryPr>
            <m:chr m:val="∑"/>
            <m:ctrlPr>
              <w:rPr>
                <w:rFonts w:ascii="Cambria Math" w:hAnsi="Cambria Math"/>
              </w:rPr>
            </m:ctrlPr>
          </m:naryPr>
          <m:sub>
            <m:r>
              <m:rPr>
                <m:lit/>
                <m:nor/>
              </m:rPr>
              <w:rPr>
                <w:rFonts w:ascii="Cambria Math" w:hAnsi="Cambria Math"/>
              </w:rPr>
              <m:t>i=</m:t>
            </m:r>
            <m:r>
              <m:rPr>
                <m:sty m:val="p"/>
              </m:rPr>
              <w:rPr>
                <w:rFonts w:ascii="Cambria Math" w:hAnsi="Cambria Math"/>
              </w:rPr>
              <m:t>1</m:t>
            </m:r>
          </m:sub>
          <m:sup>
            <m:r>
              <m:rPr>
                <m:lit/>
                <m:nor/>
              </m:rPr>
              <w:rPr>
                <w:rFonts w:ascii="Cambria Math" w:hAnsi="Cambria Math"/>
              </w:rPr>
              <m:t>12</m:t>
            </m:r>
          </m:sup>
          <m:e>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e>
        </m:nary>
        <m:d>
          <m:dPr>
            <m:ctrlPr>
              <w:rPr>
                <w:rFonts w:ascii="Cambria Math" w:hAnsi="Cambria Math"/>
              </w:rPr>
            </m:ctrlPr>
          </m:dPr>
          <m:e>
            <m:r>
              <m:rPr>
                <m:sty m:val="p"/>
              </m:rPr>
              <w:rPr>
                <w:rFonts w:ascii="Cambria Math" w:hAnsi="Cambria Math"/>
              </w:rPr>
              <m:t>T</m:t>
            </m:r>
          </m:e>
        </m:d>
      </m:oMath>
      <w:r w:rsidR="003974EC">
        <w:rPr>
          <w:rFonts w:cs="Arial"/>
          <w:sz w:val="22"/>
        </w:rPr>
        <w:fldChar w:fldCharType="separate"/>
      </w:r>
      <m:oMath>
        <m:r>
          <m:rPr>
            <m:sty m:val="p"/>
          </m:rPr>
          <w:rPr>
            <w:rFonts w:ascii="Cambria Math" w:hAnsi="Cambria Math"/>
          </w:rPr>
          <m:t>D</m:t>
        </m:r>
        <m:d>
          <m:dPr>
            <m:ctrlPr>
              <w:rPr>
                <w:rFonts w:ascii="Cambria Math" w:hAnsi="Cambria Math"/>
              </w:rPr>
            </m:ctrlPr>
          </m:dPr>
          <m:e>
            <m:r>
              <m:rPr>
                <m:sty m:val="p"/>
              </m:rPr>
              <w:rPr>
                <w:rFonts w:ascii="Cambria Math" w:hAnsi="Cambria Math"/>
              </w:rPr>
              <m:t>T</m:t>
            </m:r>
          </m:e>
        </m:d>
        <m:r>
          <m:rPr>
            <m:sty m:val="p"/>
          </m:rPr>
          <w:rPr>
            <w:rFonts w:ascii="Cambria Math" w:hAnsi="Cambria Math"/>
          </w:rPr>
          <m:t>=</m:t>
        </m:r>
        <m:nary>
          <m:naryPr>
            <m:chr m:val="∑"/>
            <m:ctrlPr>
              <w:rPr>
                <w:rFonts w:ascii="Cambria Math" w:hAnsi="Cambria Math"/>
              </w:rPr>
            </m:ctrlPr>
          </m:naryPr>
          <m:sub>
            <m:r>
              <m:rPr>
                <m:lit/>
                <m:nor/>
              </m:rPr>
              <w:rPr>
                <w:rFonts w:ascii="Cambria Math" w:hAnsi="Cambria Math"/>
              </w:rPr>
              <m:t>i=</m:t>
            </m:r>
            <m:r>
              <m:rPr>
                <m:sty m:val="p"/>
              </m:rPr>
              <w:rPr>
                <w:rFonts w:ascii="Cambria Math" w:hAnsi="Cambria Math"/>
              </w:rPr>
              <m:t>1</m:t>
            </m:r>
          </m:sub>
          <m:sup>
            <m:r>
              <m:rPr>
                <m:lit/>
                <m:nor/>
              </m:rPr>
              <w:rPr>
                <w:rFonts w:ascii="Cambria Math" w:hAnsi="Cambria Math"/>
              </w:rPr>
              <m:t>12</m:t>
            </m:r>
          </m:sup>
          <m:e>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e>
        </m:nary>
        <m:d>
          <m:dPr>
            <m:ctrlPr>
              <w:rPr>
                <w:rFonts w:ascii="Cambria Math" w:hAnsi="Cambria Math"/>
              </w:rPr>
            </m:ctrlPr>
          </m:dPr>
          <m:e>
            <m:r>
              <m:rPr>
                <m:sty m:val="p"/>
              </m:rPr>
              <w:rPr>
                <w:rFonts w:ascii="Cambria Math" w:hAnsi="Cambria Math"/>
              </w:rPr>
              <m:t>T</m:t>
            </m:r>
          </m:e>
        </m:d>
      </m:oMath>
      <w:r w:rsidRPr="00937C8B">
        <w:rPr>
          <w:rFonts w:cs="Arial"/>
          <w:sz w:val="22"/>
        </w:rPr>
        <w:fldChar w:fldCharType="end"/>
      </w:r>
    </w:p>
    <w:tbl>
      <w:tblPr>
        <w:tblW w:w="0" w:type="auto"/>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454"/>
      </w:tblGrid>
      <w:tr w:rsidR="005E4ABF" w:rsidRPr="00937C8B" w:rsidTr="00363EFE">
        <w:trPr>
          <w:trHeight w:hRule="exact" w:val="227"/>
        </w:trPr>
        <w:tc>
          <w:tcPr>
            <w:tcW w:w="1593" w:type="dxa"/>
            <w:vMerge w:val="restart"/>
            <w:tcBorders>
              <w:top w:val="nil"/>
              <w:left w:val="nil"/>
              <w:bottom w:val="nil"/>
              <w:right w:val="nil"/>
            </w:tcBorders>
            <w:shd w:val="clear" w:color="auto" w:fill="auto"/>
            <w:tcMar>
              <w:left w:w="0" w:type="dxa"/>
              <w:right w:w="0" w:type="dxa"/>
            </w:tcMar>
            <w:vAlign w:val="center"/>
          </w:tcPr>
          <w:p w:rsidR="005E4ABF" w:rsidRPr="00937C8B" w:rsidRDefault="005E4ABF" w:rsidP="00363EFE">
            <w:pPr>
              <w:pStyle w:val="CTENumeracion"/>
              <w:ind w:left="0" w:firstLine="0"/>
              <w:rPr>
                <w:rFonts w:cs="Arial"/>
                <w:sz w:val="22"/>
                <w:szCs w:val="22"/>
              </w:rPr>
            </w:pPr>
            <w:r>
              <w:rPr>
                <w:sz w:val="22"/>
              </w:rPr>
              <w:t>D</w:t>
            </w:r>
            <w:r>
              <w:rPr>
                <w:sz w:val="22"/>
                <w:vertAlign w:val="subscript"/>
              </w:rPr>
              <w:t>i</w:t>
            </w:r>
            <w:r>
              <w:rPr>
                <w:sz w:val="22"/>
              </w:rPr>
              <w:t>(T) = D</w:t>
            </w:r>
            <w:r>
              <w:rPr>
                <w:sz w:val="22"/>
                <w:vertAlign w:val="subscript"/>
              </w:rPr>
              <w:t>i</w:t>
            </w:r>
            <w:r>
              <w:rPr>
                <w:sz w:val="22"/>
              </w:rPr>
              <w:t>(60ºC)</w:t>
            </w:r>
          </w:p>
        </w:tc>
        <w:tc>
          <w:tcPr>
            <w:tcW w:w="454" w:type="dxa"/>
            <w:tcBorders>
              <w:top w:val="nil"/>
              <w:left w:val="nil"/>
              <w:bottom w:val="single" w:sz="12" w:space="0" w:color="auto"/>
              <w:right w:val="nil"/>
            </w:tcBorders>
            <w:shd w:val="clear" w:color="auto" w:fill="auto"/>
            <w:tcMar>
              <w:left w:w="0" w:type="dxa"/>
              <w:right w:w="0" w:type="dxa"/>
            </w:tcMar>
            <w:vAlign w:val="bottom"/>
          </w:tcPr>
          <w:p w:rsidR="005E4ABF" w:rsidRPr="00937C8B" w:rsidRDefault="005E4ABF" w:rsidP="00363EFE">
            <w:pPr>
              <w:pStyle w:val="CTENumeracion"/>
              <w:spacing w:before="40"/>
              <w:ind w:left="0" w:firstLine="0"/>
              <w:jc w:val="center"/>
              <w:rPr>
                <w:rFonts w:cs="Arial"/>
                <w:sz w:val="16"/>
                <w:szCs w:val="16"/>
              </w:rPr>
            </w:pPr>
            <w:r>
              <w:rPr>
                <w:sz w:val="16"/>
              </w:rPr>
              <w:t>60-T</w:t>
            </w:r>
            <w:r>
              <w:rPr>
                <w:sz w:val="16"/>
                <w:vertAlign w:val="subscript"/>
              </w:rPr>
              <w:t>i</w:t>
            </w:r>
          </w:p>
        </w:tc>
      </w:tr>
      <w:tr w:rsidR="005E4ABF" w:rsidRPr="00937C8B" w:rsidTr="00363EFE">
        <w:trPr>
          <w:trHeight w:hRule="exact" w:val="198"/>
        </w:trPr>
        <w:tc>
          <w:tcPr>
            <w:tcW w:w="1593" w:type="dxa"/>
            <w:vMerge/>
            <w:tcBorders>
              <w:top w:val="nil"/>
              <w:left w:val="nil"/>
              <w:bottom w:val="nil"/>
              <w:right w:val="nil"/>
            </w:tcBorders>
            <w:shd w:val="clear" w:color="auto" w:fill="auto"/>
          </w:tcPr>
          <w:p w:rsidR="005E4ABF" w:rsidRPr="00937C8B" w:rsidRDefault="005E4ABF" w:rsidP="00363EFE">
            <w:pPr>
              <w:pStyle w:val="CTENumeracion"/>
              <w:ind w:left="0" w:firstLine="0"/>
              <w:rPr>
                <w:rFonts w:cs="Arial"/>
                <w:sz w:val="22"/>
                <w:szCs w:val="22"/>
                <w:lang w:val="en-US"/>
              </w:rPr>
            </w:pPr>
          </w:p>
        </w:tc>
        <w:tc>
          <w:tcPr>
            <w:tcW w:w="454" w:type="dxa"/>
            <w:tcBorders>
              <w:top w:val="single" w:sz="12" w:space="0" w:color="auto"/>
              <w:left w:val="nil"/>
              <w:bottom w:val="nil"/>
              <w:right w:val="nil"/>
            </w:tcBorders>
            <w:shd w:val="clear" w:color="auto" w:fill="auto"/>
            <w:tcMar>
              <w:left w:w="0" w:type="dxa"/>
              <w:right w:w="0" w:type="dxa"/>
            </w:tcMar>
          </w:tcPr>
          <w:p w:rsidR="005E4ABF" w:rsidRPr="00937C8B" w:rsidRDefault="005E4ABF" w:rsidP="00363EFE">
            <w:pPr>
              <w:pStyle w:val="CTENumeracion"/>
              <w:spacing w:before="0"/>
              <w:ind w:left="0" w:firstLine="0"/>
              <w:jc w:val="center"/>
              <w:rPr>
                <w:rFonts w:cs="Arial"/>
                <w:sz w:val="16"/>
                <w:szCs w:val="16"/>
              </w:rPr>
            </w:pPr>
            <w:r>
              <w:rPr>
                <w:sz w:val="16"/>
              </w:rPr>
              <w:t>T-T</w:t>
            </w:r>
            <w:r>
              <w:rPr>
                <w:sz w:val="16"/>
                <w:vertAlign w:val="subscript"/>
              </w:rPr>
              <w:t>i</w:t>
            </w:r>
          </w:p>
        </w:tc>
      </w:tr>
    </w:tbl>
    <w:p w:rsidR="00024602" w:rsidRPr="00937C8B" w:rsidRDefault="00024602" w:rsidP="00024602">
      <w:pPr>
        <w:ind w:left="357"/>
        <w:rPr>
          <w:rFonts w:ascii="Arial" w:hAnsi="Arial" w:cs="Arial"/>
          <w:sz w:val="22"/>
          <w:szCs w:val="22"/>
        </w:rPr>
      </w:pPr>
      <w:r w:rsidRPr="00937C8B">
        <w:rPr>
          <w:rFonts w:ascii="Arial" w:hAnsi="Arial" w:cs="Arial"/>
          <w:sz w:val="22"/>
        </w:rPr>
        <w:fldChar w:fldCharType="begin"/>
      </w:r>
      <w:r w:rsidRPr="00937C8B">
        <w:rPr>
          <w:rFonts w:ascii="Arial" w:hAnsi="Arial" w:cs="Arial"/>
          <w:sz w:val="22"/>
        </w:rPr>
        <w:instrText xml:space="preserve"> QUOTE  </w:instrText>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d>
          <m:dPr>
            <m:ctrlPr>
              <w:rPr>
                <w:rFonts w:ascii="Cambria Math" w:hAnsi="Cambria Math"/>
              </w:rPr>
            </m:ctrlPr>
          </m:dPr>
          <m:e>
            <m:r>
              <m:rPr>
                <m:sty m:val="p"/>
              </m:rPr>
              <w:rPr>
                <w:rFonts w:ascii="Cambria Math" w:hAnsi="Cambria Math"/>
              </w:rPr>
              <m:t>T</m:t>
            </m:r>
          </m:e>
        </m:d>
        <m:sSub>
          <m:sSubPr>
            <m:ctrlPr>
              <w:rPr>
                <w:rFonts w:ascii="Cambria Math" w:hAnsi="Cambria Math"/>
              </w:rPr>
            </m:ctrlPr>
          </m:sSubPr>
          <m:e>
            <m:r>
              <m:rPr>
                <m:lit/>
                <m:nor/>
              </m:rPr>
              <w:rPr>
                <w:rFonts w:ascii="Cambria Math" w:hAnsi="Cambria Math"/>
              </w:rPr>
              <m:t>=D</m:t>
            </m:r>
          </m:e>
          <m:sub>
            <m:r>
              <m:rPr>
                <m:sty m:val="p"/>
              </m:rPr>
              <w:rPr>
                <w:rFonts w:ascii="Cambria Math" w:hAnsi="Cambria Math"/>
              </w:rPr>
              <m:t>i</m:t>
            </m:r>
          </m:sub>
        </m:sSub>
        <m:d>
          <m:dPr>
            <m:ctrlPr>
              <w:rPr>
                <w:rFonts w:ascii="Cambria Math" w:hAnsi="Cambria Math"/>
              </w:rPr>
            </m:ctrlPr>
          </m:dPr>
          <m:e>
            <m:r>
              <m:rPr>
                <m:lit/>
                <m:nor/>
              </m:rPr>
              <w:rPr>
                <w:rFonts w:ascii="Cambria Math" w:hAnsi="Cambria Math"/>
              </w:rPr>
              <m:t>60ºC</m:t>
            </m:r>
          </m:e>
        </m:d>
        <m:f>
          <m:fPr>
            <m:ctrlPr>
              <w:rPr>
                <w:rFonts w:ascii="Cambria Math" w:hAnsi="Cambria Math"/>
              </w:rPr>
            </m:ctrlPr>
          </m:fPr>
          <m:num>
            <m:r>
              <m:rPr>
                <m:lit/>
                <m:nor/>
              </m:rPr>
              <w:rPr>
                <w:rFonts w:ascii="Cambria Math" w:hAnsi="Cambria Math"/>
              </w:rPr>
              <m:t>60</m:t>
            </m:r>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num>
          <m:den>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den>
        </m:f>
      </m:oMath>
      <w:r w:rsidR="003974EC">
        <w:rPr>
          <w:rFonts w:ascii="Arial" w:hAnsi="Arial" w:cs="Arial"/>
          <w:sz w:val="22"/>
        </w:rPr>
        <w:fldChar w:fldCharType="separate"/>
      </w:r>
      <m:oMath>
        <m:sSub>
          <m:sSubPr>
            <m:ctrlPr>
              <w:rPr>
                <w:rFonts w:ascii="Cambria Math" w:hAnsi="Cambria Math"/>
              </w:rPr>
            </m:ctrlPr>
          </m:sSubPr>
          <m:e>
            <m:r>
              <m:rPr>
                <m:sty m:val="p"/>
              </m:rPr>
              <w:rPr>
                <w:rFonts w:ascii="Cambria Math" w:hAnsi="Cambria Math"/>
              </w:rPr>
              <m:t>D</m:t>
            </m:r>
          </m:e>
          <m:sub>
            <m:r>
              <m:rPr>
                <m:sty m:val="p"/>
              </m:rPr>
              <w:rPr>
                <w:rFonts w:ascii="Cambria Math" w:hAnsi="Cambria Math"/>
              </w:rPr>
              <m:t>i</m:t>
            </m:r>
          </m:sub>
        </m:sSub>
        <m:d>
          <m:dPr>
            <m:ctrlPr>
              <w:rPr>
                <w:rFonts w:ascii="Cambria Math" w:hAnsi="Cambria Math"/>
              </w:rPr>
            </m:ctrlPr>
          </m:dPr>
          <m:e>
            <m:r>
              <m:rPr>
                <m:sty m:val="p"/>
              </m:rPr>
              <w:rPr>
                <w:rFonts w:ascii="Cambria Math" w:hAnsi="Cambria Math"/>
              </w:rPr>
              <m:t>T</m:t>
            </m:r>
          </m:e>
        </m:d>
        <m:sSub>
          <m:sSubPr>
            <m:ctrlPr>
              <w:rPr>
                <w:rFonts w:ascii="Cambria Math" w:hAnsi="Cambria Math"/>
              </w:rPr>
            </m:ctrlPr>
          </m:sSubPr>
          <m:e>
            <m:r>
              <m:rPr>
                <m:lit/>
                <m:nor/>
              </m:rPr>
              <w:rPr>
                <w:rFonts w:ascii="Cambria Math" w:hAnsi="Cambria Math"/>
              </w:rPr>
              <m:t>=D</m:t>
            </m:r>
          </m:e>
          <m:sub>
            <m:r>
              <m:rPr>
                <m:sty m:val="p"/>
              </m:rPr>
              <w:rPr>
                <w:rFonts w:ascii="Cambria Math" w:hAnsi="Cambria Math"/>
              </w:rPr>
              <m:t>i</m:t>
            </m:r>
          </m:sub>
        </m:sSub>
        <m:d>
          <m:dPr>
            <m:ctrlPr>
              <w:rPr>
                <w:rFonts w:ascii="Cambria Math" w:hAnsi="Cambria Math"/>
              </w:rPr>
            </m:ctrlPr>
          </m:dPr>
          <m:e>
            <m:r>
              <m:rPr>
                <m:lit/>
                <m:nor/>
              </m:rPr>
              <w:rPr>
                <w:rFonts w:ascii="Cambria Math" w:hAnsi="Cambria Math"/>
              </w:rPr>
              <m:t>60ºC</m:t>
            </m:r>
          </m:e>
        </m:d>
        <m:f>
          <m:fPr>
            <m:ctrlPr>
              <w:rPr>
                <w:rFonts w:ascii="Cambria Math" w:hAnsi="Cambria Math"/>
              </w:rPr>
            </m:ctrlPr>
          </m:fPr>
          <m:num>
            <m:r>
              <m:rPr>
                <m:lit/>
                <m:nor/>
              </m:rPr>
              <w:rPr>
                <w:rFonts w:ascii="Cambria Math" w:hAnsi="Cambria Math"/>
              </w:rPr>
              <m:t>60</m:t>
            </m:r>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num>
          <m:den>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m:t>
                </m:r>
              </m:sub>
            </m:sSub>
          </m:den>
        </m:f>
      </m:oMath>
      <w:r w:rsidRPr="00937C8B">
        <w:rPr>
          <w:rFonts w:ascii="Arial" w:hAnsi="Arial" w:cs="Arial"/>
          <w:sz w:val="22"/>
        </w:rPr>
        <w:fldChar w:fldCharType="end"/>
      </w:r>
    </w:p>
    <w:p w:rsidR="00024602" w:rsidRPr="00937C8B" w:rsidRDefault="002F740E" w:rsidP="00D27646">
      <w:pPr>
        <w:keepNext/>
        <w:ind w:left="426" w:hanging="69"/>
        <w:rPr>
          <w:rFonts w:ascii="Arial" w:hAnsi="Arial" w:cs="Arial"/>
          <w:sz w:val="22"/>
          <w:szCs w:val="22"/>
        </w:rPr>
      </w:pPr>
      <w:r>
        <w:rPr>
          <w:rFonts w:ascii="Arial" w:hAnsi="Arial"/>
          <w:sz w:val="22"/>
        </w:rPr>
        <w:t>where:</w:t>
      </w:r>
    </w:p>
    <w:p w:rsidR="00F53224" w:rsidRPr="00937C8B" w:rsidRDefault="00F53224" w:rsidP="00D27646">
      <w:pPr>
        <w:keepNext/>
        <w:ind w:left="426" w:hanging="69"/>
        <w:rPr>
          <w:rFonts w:ascii="Arial" w:hAnsi="Arial" w:cs="Arial"/>
          <w:sz w:val="22"/>
          <w:szCs w:val="22"/>
        </w:rPr>
      </w:pPr>
    </w:p>
    <w:p w:rsidR="005E4ABF" w:rsidRPr="00937C8B" w:rsidRDefault="005E4ABF" w:rsidP="005E4ABF">
      <w:pPr>
        <w:ind w:left="1701" w:hanging="993"/>
        <w:rPr>
          <w:rFonts w:ascii="Arial" w:hAnsi="Arial" w:cs="Arial"/>
          <w:sz w:val="22"/>
          <w:szCs w:val="22"/>
        </w:rPr>
      </w:pPr>
      <w:r>
        <w:rPr>
          <w:rFonts w:ascii="Arial" w:hAnsi="Arial"/>
          <w:sz w:val="22"/>
        </w:rPr>
        <w:t>D(T)</w:t>
      </w:r>
      <w:r>
        <w:rPr>
          <w:rFonts w:ascii="Arial" w:hAnsi="Arial"/>
          <w:sz w:val="22"/>
        </w:rPr>
        <w:tab/>
        <w:t>is the annual domestic hot water demand at the selected temperature T;</w:t>
      </w:r>
    </w:p>
    <w:p w:rsidR="005E4ABF" w:rsidRPr="00937C8B" w:rsidRDefault="005E4ABF" w:rsidP="005E4ABF">
      <w:pPr>
        <w:ind w:left="1701" w:hanging="993"/>
        <w:rPr>
          <w:rFonts w:ascii="Arial" w:hAnsi="Arial" w:cs="Arial"/>
          <w:sz w:val="22"/>
          <w:szCs w:val="22"/>
        </w:rPr>
      </w:pPr>
      <w:r>
        <w:rPr>
          <w:rFonts w:ascii="Arial" w:hAnsi="Arial"/>
          <w:sz w:val="22"/>
        </w:rPr>
        <w:t>D</w:t>
      </w:r>
      <w:r>
        <w:rPr>
          <w:rFonts w:ascii="Arial" w:hAnsi="Arial"/>
          <w:sz w:val="22"/>
          <w:vertAlign w:val="subscript"/>
        </w:rPr>
        <w:t>i</w:t>
      </w:r>
      <w:r>
        <w:rPr>
          <w:rFonts w:ascii="Arial" w:hAnsi="Arial"/>
          <w:sz w:val="22"/>
        </w:rPr>
        <w:t>(T)</w:t>
      </w:r>
      <w:r>
        <w:rPr>
          <w:rFonts w:ascii="Arial" w:hAnsi="Arial"/>
          <w:sz w:val="22"/>
        </w:rPr>
        <w:tab/>
        <w:t>is the domestic hot water demand in month i at the selected temperature T;</w:t>
      </w:r>
    </w:p>
    <w:p w:rsidR="005E4ABF" w:rsidRPr="00937C8B" w:rsidRDefault="005E4ABF" w:rsidP="005E4ABF">
      <w:pPr>
        <w:ind w:left="1701" w:hanging="993"/>
        <w:rPr>
          <w:rFonts w:ascii="Arial" w:hAnsi="Arial" w:cs="Arial"/>
          <w:sz w:val="22"/>
          <w:szCs w:val="22"/>
        </w:rPr>
      </w:pPr>
      <w:r>
        <w:rPr>
          <w:rFonts w:ascii="Arial" w:hAnsi="Arial"/>
          <w:sz w:val="22"/>
        </w:rPr>
        <w:t>D</w:t>
      </w:r>
      <w:r>
        <w:rPr>
          <w:rFonts w:ascii="Arial" w:hAnsi="Arial"/>
          <w:sz w:val="22"/>
          <w:vertAlign w:val="subscript"/>
        </w:rPr>
        <w:t>i</w:t>
      </w:r>
      <w:r>
        <w:rPr>
          <w:rFonts w:ascii="Arial" w:hAnsi="Arial"/>
          <w:sz w:val="22"/>
        </w:rPr>
        <w:t>(60ºC)</w:t>
      </w:r>
      <w:r>
        <w:rPr>
          <w:rFonts w:ascii="Arial" w:hAnsi="Arial"/>
          <w:sz w:val="22"/>
        </w:rPr>
        <w:tab/>
        <w:t>is the domestic hot water demand in month i at a temperature of 60ºC;</w:t>
      </w:r>
    </w:p>
    <w:p w:rsidR="005E4ABF" w:rsidRPr="00937C8B" w:rsidRDefault="005E4ABF" w:rsidP="005E4ABF">
      <w:pPr>
        <w:ind w:left="1701" w:hanging="993"/>
        <w:rPr>
          <w:rFonts w:ascii="Arial" w:hAnsi="Arial" w:cs="Arial"/>
          <w:sz w:val="22"/>
          <w:szCs w:val="22"/>
        </w:rPr>
      </w:pPr>
      <w:r>
        <w:rPr>
          <w:rFonts w:ascii="Arial" w:hAnsi="Arial"/>
          <w:sz w:val="22"/>
        </w:rPr>
        <w:t>T</w:t>
      </w:r>
      <w:r>
        <w:rPr>
          <w:rFonts w:ascii="Arial" w:hAnsi="Arial"/>
          <w:sz w:val="22"/>
        </w:rPr>
        <w:tab/>
        <w:t>is the temperature of the final storage tank;</w:t>
      </w:r>
    </w:p>
    <w:p w:rsidR="00CA4204" w:rsidRPr="00937C8B" w:rsidRDefault="005E4ABF" w:rsidP="005E4ABF">
      <w:pPr>
        <w:ind w:left="1701" w:hanging="993"/>
        <w:rPr>
          <w:rFonts w:cs="Arial"/>
          <w:sz w:val="22"/>
          <w:szCs w:val="22"/>
        </w:rPr>
      </w:pPr>
      <w:r>
        <w:rPr>
          <w:rFonts w:ascii="Arial" w:hAnsi="Arial"/>
          <w:sz w:val="22"/>
        </w:rPr>
        <w:t>T</w:t>
      </w:r>
      <w:r>
        <w:rPr>
          <w:rFonts w:ascii="Arial" w:hAnsi="Arial"/>
          <w:sz w:val="22"/>
          <w:vertAlign w:val="subscript"/>
        </w:rPr>
        <w:t>i</w:t>
      </w:r>
      <w:r>
        <w:rPr>
          <w:rFonts w:ascii="Arial" w:hAnsi="Arial"/>
          <w:sz w:val="22"/>
          <w:vertAlign w:val="subscript"/>
        </w:rPr>
        <w:tab/>
      </w:r>
      <w:r>
        <w:rPr>
          <w:rFonts w:ascii="Arial" w:hAnsi="Arial"/>
          <w:sz w:val="22"/>
        </w:rPr>
        <w:t>is the average cold water temperature in month i (as per Annex G).</w:t>
      </w:r>
      <w:r>
        <w:rPr>
          <w:rFonts w:ascii="Arial" w:hAnsi="Arial"/>
          <w:sz w:val="22"/>
        </w:rPr>
        <w:tab/>
      </w:r>
    </w:p>
    <w:p w:rsidR="008242B3" w:rsidRPr="00937C8B" w:rsidRDefault="00F53224" w:rsidP="0084739B">
      <w:pPr>
        <w:pStyle w:val="CteTtuloSeccion"/>
        <w:pageBreakBefore/>
        <w:rPr>
          <w:rFonts w:cs="Arial"/>
          <w:color w:val="auto"/>
        </w:rPr>
      </w:pPr>
      <w:bookmarkStart w:id="362" w:name="_Toc39157982"/>
      <w:bookmarkStart w:id="363" w:name="_Toc39158148"/>
      <w:bookmarkStart w:id="364" w:name="_Toc44876303"/>
      <w:r>
        <w:rPr>
          <w:color w:val="auto"/>
        </w:rPr>
        <w:t>Annex G.</w:t>
      </w:r>
      <w:r>
        <w:rPr>
          <w:color w:val="auto"/>
        </w:rPr>
        <w:tab/>
        <w:t>Mains water temperature</w:t>
      </w:r>
      <w:bookmarkEnd w:id="362"/>
      <w:bookmarkEnd w:id="363"/>
      <w:bookmarkEnd w:id="364"/>
    </w:p>
    <w:p w:rsidR="00C331B9" w:rsidRPr="00786EBA" w:rsidRDefault="00C331B9" w:rsidP="00786EBA">
      <w:pPr>
        <w:spacing w:before="240" w:after="120"/>
        <w:rPr>
          <w:rFonts w:ascii="Arial" w:hAnsi="Arial" w:cs="Arial"/>
          <w:b/>
          <w:sz w:val="28"/>
          <w:szCs w:val="28"/>
        </w:rPr>
      </w:pPr>
      <w:bookmarkStart w:id="365" w:name="__RefHeading___Toc17029_1826119949"/>
      <w:bookmarkStart w:id="366" w:name="_Toc530395138"/>
      <w:bookmarkStart w:id="367" w:name="_Toc530395313"/>
      <w:bookmarkStart w:id="368" w:name="_Toc530396098"/>
      <w:bookmarkStart w:id="369" w:name="_Toc530396192"/>
      <w:bookmarkStart w:id="370" w:name="_Toc39157983"/>
      <w:bookmarkStart w:id="371" w:name="_Toc39158149"/>
      <w:bookmarkEnd w:id="365"/>
      <w:r>
        <w:rPr>
          <w:rFonts w:ascii="Arial" w:hAnsi="Arial"/>
          <w:b/>
          <w:sz w:val="28"/>
        </w:rPr>
        <w:t>1.</w:t>
      </w:r>
      <w:r>
        <w:rPr>
          <w:rFonts w:ascii="Arial" w:hAnsi="Arial"/>
          <w:b/>
          <w:sz w:val="28"/>
        </w:rPr>
        <w:tab/>
        <w:t>Average monthly mains water temperature</w:t>
      </w:r>
      <w:bookmarkEnd w:id="366"/>
      <w:bookmarkEnd w:id="367"/>
      <w:bookmarkEnd w:id="368"/>
      <w:bookmarkEnd w:id="369"/>
      <w:bookmarkEnd w:id="370"/>
      <w:bookmarkEnd w:id="371"/>
    </w:p>
    <w:p w:rsidR="00C331B9" w:rsidRPr="00937C8B" w:rsidRDefault="00C331B9" w:rsidP="00C331B9">
      <w:pPr>
        <w:pStyle w:val="CTENumeracion"/>
        <w:rPr>
          <w:rFonts w:cs="Arial"/>
          <w:sz w:val="22"/>
          <w:szCs w:val="22"/>
        </w:rPr>
      </w:pPr>
      <w:r>
        <w:rPr>
          <w:sz w:val="22"/>
        </w:rPr>
        <w:t>1.</w:t>
      </w:r>
      <w:r>
        <w:rPr>
          <w:sz w:val="22"/>
        </w:rPr>
        <w:tab/>
        <w:t>Table a-Annex G shows the monthly average daily temperature (ºC) of mains cold water in provincial capitals, to be used when calculating DHW consumption:</w:t>
      </w:r>
    </w:p>
    <w:p w:rsidR="00C331B9" w:rsidRPr="00937C8B" w:rsidRDefault="00C331B9" w:rsidP="00C331B9">
      <w:pPr>
        <w:pStyle w:val="CTEtabla-Titulo"/>
      </w:pPr>
      <w:r>
        <w:t>Table a-Annex G. Monthly average daily temperature of cold water (°C)</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553"/>
        <w:gridCol w:w="864"/>
        <w:gridCol w:w="506"/>
        <w:gridCol w:w="506"/>
        <w:gridCol w:w="510"/>
        <w:gridCol w:w="507"/>
        <w:gridCol w:w="507"/>
        <w:gridCol w:w="507"/>
        <w:gridCol w:w="507"/>
        <w:gridCol w:w="508"/>
        <w:gridCol w:w="509"/>
        <w:gridCol w:w="507"/>
        <w:gridCol w:w="507"/>
        <w:gridCol w:w="500"/>
      </w:tblGrid>
      <w:tr w:rsidR="00C331B9" w:rsidRPr="00937C8B" w:rsidTr="00935676">
        <w:trPr>
          <w:tblHeade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rPr>
                <w:b/>
              </w:rPr>
              <w:t>Provincial capital</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b/>
              </w:rPr>
            </w:pPr>
            <w:r>
              <w:rPr>
                <w:b/>
              </w:rPr>
              <w:t>Elevation</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rPr>
                <w:b/>
              </w:rPr>
              <w:t>JA</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b/>
              </w:rPr>
            </w:pPr>
            <w:r>
              <w:rPr>
                <w:b/>
              </w:rPr>
              <w:t>FE</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b/>
              </w:rPr>
            </w:pPr>
            <w:r>
              <w:rPr>
                <w:b/>
              </w:rPr>
              <w:t>MA</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b/>
              </w:rPr>
            </w:pPr>
            <w:r>
              <w:rPr>
                <w:b/>
              </w:rPr>
              <w:t>AP</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b/>
              </w:rPr>
            </w:pPr>
            <w:r>
              <w:rPr>
                <w:b/>
              </w:rPr>
              <w:t>MY</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b/>
              </w:rPr>
            </w:pPr>
            <w:r>
              <w:rPr>
                <w:b/>
              </w:rPr>
              <w:t>JN</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b/>
              </w:rPr>
            </w:pPr>
            <w:r>
              <w:rPr>
                <w:b/>
              </w:rPr>
              <w:t>JL</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b/>
              </w:rPr>
            </w:pPr>
            <w:r>
              <w:rPr>
                <w:b/>
              </w:rPr>
              <w:t>AG</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b/>
              </w:rPr>
            </w:pPr>
            <w:r>
              <w:rPr>
                <w:b/>
              </w:rPr>
              <w:t>SE</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b/>
              </w:rPr>
            </w:pPr>
            <w:r>
              <w:rPr>
                <w:b/>
              </w:rPr>
              <w:t>OC</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b/>
              </w:rPr>
            </w:pPr>
            <w:r>
              <w:rPr>
                <w:b/>
              </w:rPr>
              <w:t>NO</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b/>
              </w:rPr>
            </w:pPr>
            <w:r>
              <w:rPr>
                <w:b/>
              </w:rPr>
              <w:t>DE</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A Coruña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Albacete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686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Alicante/Alacant</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Almería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21</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Ávila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1131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6</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6</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Badajoz</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Barcelona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Bilbao/Bilbo</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Burgos</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929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5</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6</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6</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Cáceres</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459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21</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Cádiz</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Castellón/Castelló</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Ceuta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40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Ciudad Real</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628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Córdoba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21</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21</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Cuenca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999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Girona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Granada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683</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Guadalajara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685</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Huelva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30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Huesca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488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Jaén</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568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21</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21</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Las Palmas, Gran Canaria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León</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838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Lleida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Logroño</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385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Lugo</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454</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8</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Madrid</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655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Málaga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Melilla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Murcia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39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Ourense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Oviedo</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232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Palencia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734</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Palma de Mallorca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Pamplona/Iruña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490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Pontevedra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27</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17</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Salamanca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800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San Sebastián</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Santa Cruz de Tenerife</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Santander</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Segovia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1002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Seville</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21</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21</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Soria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1063</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5</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Tarragona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69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Teruel</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912</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6</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Toledo</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629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21</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11</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8</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Valencia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13</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11</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Valladolid</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698</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Vitoria-Gasteiz</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540</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16</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7</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jc w:val="left"/>
              <w:rPr>
                <w:rFonts w:cs="Arial"/>
              </w:rPr>
            </w:pPr>
            <w:r>
              <w:t>Zamora</w:t>
            </w:r>
          </w:p>
        </w:tc>
        <w:tc>
          <w:tcPr>
            <w:tcW w:w="86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649</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6</w:t>
            </w:r>
          </w:p>
        </w:tc>
        <w:tc>
          <w:tcPr>
            <w:tcW w:w="50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8</w:t>
            </w:r>
          </w:p>
        </w:tc>
        <w:tc>
          <w:tcPr>
            <w:tcW w:w="51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13</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18</w:t>
            </w:r>
          </w:p>
        </w:tc>
        <w:tc>
          <w:tcPr>
            <w:tcW w:w="5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16</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9</w:t>
            </w:r>
          </w:p>
        </w:tc>
        <w:tc>
          <w:tcPr>
            <w:tcW w:w="5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331B9" w:rsidRPr="00937C8B" w:rsidRDefault="00C331B9" w:rsidP="003E38D0">
            <w:pPr>
              <w:pStyle w:val="CTEtabla-texto"/>
              <w:snapToGrid w:val="0"/>
              <w:rPr>
                <w:rFonts w:cs="Arial"/>
              </w:rPr>
            </w:pPr>
            <w:r>
              <w:t>7</w:t>
            </w:r>
          </w:p>
        </w:tc>
      </w:tr>
      <w:tr w:rsidR="00C331B9" w:rsidRPr="00937C8B" w:rsidTr="00935676">
        <w:trPr>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jc w:val="left"/>
              <w:rPr>
                <w:rFonts w:cs="Arial"/>
              </w:rPr>
            </w:pPr>
            <w:r>
              <w:t>Zaragoza</w:t>
            </w:r>
          </w:p>
        </w:tc>
        <w:tc>
          <w:tcPr>
            <w:tcW w:w="86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199</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c>
          <w:tcPr>
            <w:tcW w:w="50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9</w:t>
            </w:r>
          </w:p>
        </w:tc>
        <w:tc>
          <w:tcPr>
            <w:tcW w:w="5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12</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15</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20</w:t>
            </w:r>
          </w:p>
        </w:tc>
        <w:tc>
          <w:tcPr>
            <w:tcW w:w="50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19</w:t>
            </w:r>
          </w:p>
        </w:tc>
        <w:tc>
          <w:tcPr>
            <w:tcW w:w="509"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17</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14</w:t>
            </w:r>
          </w:p>
        </w:tc>
        <w:tc>
          <w:tcPr>
            <w:tcW w:w="507"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10</w:t>
            </w:r>
          </w:p>
        </w:tc>
        <w:tc>
          <w:tcPr>
            <w:tcW w:w="50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331B9" w:rsidRPr="00937C8B" w:rsidRDefault="00C331B9" w:rsidP="003E38D0">
            <w:pPr>
              <w:pStyle w:val="CTEtabla-texto"/>
              <w:snapToGrid w:val="0"/>
              <w:rPr>
                <w:rFonts w:cs="Arial"/>
              </w:rPr>
            </w:pPr>
            <w:r>
              <w:t>8</w:t>
            </w:r>
          </w:p>
        </w:tc>
      </w:tr>
    </w:tbl>
    <w:p w:rsidR="00C331B9" w:rsidRPr="00937C8B" w:rsidRDefault="00C331B9" w:rsidP="00C331B9">
      <w:pPr>
        <w:pStyle w:val="CTENumeracion"/>
        <w:spacing w:before="120"/>
        <w:rPr>
          <w:rFonts w:cs="Arial"/>
          <w:sz w:val="22"/>
          <w:szCs w:val="22"/>
        </w:rPr>
      </w:pPr>
    </w:p>
    <w:p w:rsidR="00C331B9" w:rsidRPr="00937C8B" w:rsidRDefault="00C331B9" w:rsidP="00D27646">
      <w:pPr>
        <w:pStyle w:val="CTENumeracion"/>
        <w:keepNext/>
        <w:spacing w:before="120"/>
        <w:rPr>
          <w:rFonts w:cs="Arial"/>
          <w:sz w:val="22"/>
          <w:szCs w:val="22"/>
        </w:rPr>
      </w:pPr>
      <w:r>
        <w:rPr>
          <w:sz w:val="22"/>
        </w:rPr>
        <w:t>2.</w:t>
      </w:r>
      <w:r>
        <w:rPr>
          <w:sz w:val="22"/>
        </w:rPr>
        <w:tab/>
        <w:t>For locations other than those given in Table a-Annex G, the following equation may be used to obtain the mains cold water temperature (T</w:t>
      </w:r>
      <w:r>
        <w:rPr>
          <w:sz w:val="22"/>
          <w:vertAlign w:val="subscript"/>
        </w:rPr>
        <w:t>AFY</w:t>
      </w:r>
      <w:r>
        <w:rPr>
          <w:sz w:val="22"/>
        </w:rPr>
        <w:t>):</w:t>
      </w:r>
    </w:p>
    <w:p w:rsidR="00C331B9" w:rsidRPr="00937C8B" w:rsidRDefault="00C331B9" w:rsidP="00C331B9">
      <w:pPr>
        <w:pStyle w:val="CTETabla-nota"/>
        <w:spacing w:before="120" w:after="120"/>
        <w:ind w:firstLine="119"/>
        <w:rPr>
          <w:sz w:val="22"/>
          <w:szCs w:val="22"/>
        </w:rPr>
      </w:pPr>
      <w:r>
        <w:rPr>
          <w:sz w:val="22"/>
        </w:rPr>
        <w:t>T</w:t>
      </w:r>
      <w:r>
        <w:rPr>
          <w:sz w:val="22"/>
          <w:vertAlign w:val="subscript"/>
        </w:rPr>
        <w:t>AFY</w:t>
      </w:r>
      <w:r>
        <w:rPr>
          <w:sz w:val="22"/>
        </w:rPr>
        <w:t xml:space="preserve"> = T</w:t>
      </w:r>
      <w:r>
        <w:rPr>
          <w:sz w:val="22"/>
          <w:vertAlign w:val="subscript"/>
        </w:rPr>
        <w:t>AFCP</w:t>
      </w:r>
      <w:r>
        <w:rPr>
          <w:sz w:val="22"/>
        </w:rPr>
        <w:t xml:space="preserve"> - B · A</w:t>
      </w:r>
      <w:r>
        <w:rPr>
          <w:sz w:val="22"/>
          <w:vertAlign w:val="subscript"/>
        </w:rPr>
        <w:t>z</w:t>
      </w:r>
    </w:p>
    <w:p w:rsidR="00C331B9" w:rsidRPr="00937C8B" w:rsidRDefault="00C331B9" w:rsidP="00D27646">
      <w:pPr>
        <w:pStyle w:val="CTENumeracion"/>
        <w:keepNext/>
        <w:ind w:firstLine="3"/>
        <w:rPr>
          <w:rFonts w:cs="Arial"/>
          <w:sz w:val="22"/>
          <w:szCs w:val="22"/>
        </w:rPr>
      </w:pPr>
      <w:r>
        <w:rPr>
          <w:sz w:val="22"/>
        </w:rPr>
        <w:t>where:</w:t>
      </w:r>
    </w:p>
    <w:p w:rsidR="00C331B9" w:rsidRPr="00937C8B" w:rsidRDefault="00C331B9" w:rsidP="00C331B9">
      <w:pPr>
        <w:pStyle w:val="CTENumeracion"/>
        <w:ind w:left="1418" w:hanging="709"/>
        <w:rPr>
          <w:rFonts w:cs="Arial"/>
          <w:sz w:val="22"/>
          <w:szCs w:val="22"/>
        </w:rPr>
      </w:pPr>
      <w:r>
        <w:rPr>
          <w:sz w:val="22"/>
        </w:rPr>
        <w:t>T</w:t>
      </w:r>
      <w:r>
        <w:rPr>
          <w:sz w:val="22"/>
          <w:vertAlign w:val="subscript"/>
        </w:rPr>
        <w:t>AFCP</w:t>
      </w:r>
      <w:r>
        <w:rPr>
          <w:sz w:val="22"/>
        </w:rPr>
        <w:tab/>
        <w:t>is the monthly average temperature of cold water in the provincial capital, from Table a-Annex G;</w:t>
      </w:r>
    </w:p>
    <w:p w:rsidR="00C331B9" w:rsidRPr="00937C8B" w:rsidRDefault="00C331B9" w:rsidP="00C331B9">
      <w:pPr>
        <w:pStyle w:val="CTENumeracion"/>
        <w:ind w:left="1418" w:hanging="709"/>
        <w:rPr>
          <w:rFonts w:cs="Arial"/>
          <w:bCs/>
          <w:sz w:val="22"/>
          <w:szCs w:val="22"/>
        </w:rPr>
      </w:pPr>
      <w:r>
        <w:rPr>
          <w:sz w:val="22"/>
        </w:rPr>
        <w:t>B</w:t>
      </w:r>
      <w:r>
        <w:rPr>
          <w:sz w:val="22"/>
        </w:rPr>
        <w:tab/>
        <w:t>is a coefficient with the value 0.0066 for months from October to March and 0.0033 for months from April to September;</w:t>
      </w:r>
    </w:p>
    <w:p w:rsidR="00C331B9" w:rsidRPr="00937C8B" w:rsidRDefault="00C331B9" w:rsidP="00C331B9">
      <w:pPr>
        <w:pStyle w:val="CTENumeracion"/>
        <w:ind w:left="1418" w:hanging="709"/>
        <w:rPr>
          <w:rFonts w:cs="Arial"/>
          <w:bCs/>
          <w:sz w:val="22"/>
          <w:szCs w:val="22"/>
        </w:rPr>
      </w:pPr>
      <w:r>
        <w:rPr>
          <w:sz w:val="22"/>
        </w:rPr>
        <w:t>A</w:t>
      </w:r>
      <w:r>
        <w:rPr>
          <w:sz w:val="22"/>
          <w:vertAlign w:val="subscript"/>
        </w:rPr>
        <w:t>z</w:t>
      </w:r>
      <w:r>
        <w:rPr>
          <w:sz w:val="22"/>
        </w:rPr>
        <w:t xml:space="preserve"> </w:t>
      </w:r>
      <w:r>
        <w:rPr>
          <w:sz w:val="22"/>
        </w:rPr>
        <w:tab/>
        <w:t xml:space="preserve">is the difference between the elevation of the location and that of its provincial capital </w:t>
      </w:r>
    </w:p>
    <w:p w:rsidR="00C331B9" w:rsidRPr="00937C8B" w:rsidRDefault="00C331B9" w:rsidP="00C331B9">
      <w:pPr>
        <w:pStyle w:val="CTENumeracion"/>
        <w:ind w:left="1418" w:firstLine="0"/>
        <w:rPr>
          <w:rFonts w:cs="Arial"/>
          <w:bCs/>
          <w:sz w:val="22"/>
          <w:szCs w:val="22"/>
        </w:rPr>
      </w:pPr>
      <w:r>
        <w:rPr>
          <w:sz w:val="22"/>
        </w:rPr>
        <w:t>(Az = elevation of location – elevation of capital).</w:t>
      </w:r>
    </w:p>
    <w:p w:rsidR="00C331B9" w:rsidRPr="00937C8B" w:rsidRDefault="00C331B9" w:rsidP="00C331B9">
      <w:pPr>
        <w:pStyle w:val="CTENumeracion"/>
        <w:ind w:left="340" w:hanging="340"/>
        <w:rPr>
          <w:rFonts w:cs="Arial"/>
          <w:sz w:val="22"/>
          <w:szCs w:val="22"/>
        </w:rPr>
      </w:pPr>
    </w:p>
    <w:p w:rsidR="008242B3" w:rsidRPr="00937C8B" w:rsidRDefault="00C331B9" w:rsidP="00C331B9">
      <w:pPr>
        <w:pStyle w:val="CTENumeracion"/>
        <w:spacing w:before="120"/>
        <w:rPr>
          <w:rFonts w:cs="Arial"/>
          <w:sz w:val="22"/>
          <w:szCs w:val="22"/>
        </w:rPr>
      </w:pPr>
      <w:r>
        <w:rPr>
          <w:sz w:val="22"/>
        </w:rPr>
        <w:t>3.</w:t>
      </w:r>
      <w:r>
        <w:rPr>
          <w:sz w:val="22"/>
        </w:rPr>
        <w:tab/>
        <w:t>As an alternative to the values given in Table a-Annex G, it shall be permitted to use other mains water temperatures provided by reputable sources.</w:t>
      </w:r>
    </w:p>
    <w:p w:rsidR="009346E1" w:rsidRPr="00937C8B" w:rsidRDefault="009346E1" w:rsidP="0084739B">
      <w:pPr>
        <w:pStyle w:val="CteTtuloSeccion"/>
        <w:pageBreakBefore/>
        <w:rPr>
          <w:rFonts w:cs="Arial"/>
        </w:rPr>
      </w:pPr>
      <w:bookmarkStart w:id="372" w:name="_Toc39157984"/>
      <w:bookmarkStart w:id="373" w:name="_Toc39158150"/>
      <w:bookmarkStart w:id="374" w:name="_Toc44876304"/>
      <w:r>
        <w:rPr>
          <w:color w:val="auto"/>
        </w:rPr>
        <w:t>Annex H.</w:t>
      </w:r>
      <w:r>
        <w:rPr>
          <w:color w:val="auto"/>
        </w:rPr>
        <w:tab/>
        <w:t>Determination of the air permeability of buildings</w:t>
      </w:r>
      <w:bookmarkEnd w:id="372"/>
      <w:bookmarkEnd w:id="373"/>
      <w:bookmarkEnd w:id="374"/>
    </w:p>
    <w:p w:rsidR="00AA28BA" w:rsidRPr="00786EBA" w:rsidRDefault="00AA28BA" w:rsidP="00786EBA">
      <w:pPr>
        <w:spacing w:before="240" w:after="120"/>
        <w:rPr>
          <w:rFonts w:ascii="Arial" w:hAnsi="Arial" w:cs="Arial"/>
          <w:b/>
          <w:sz w:val="28"/>
          <w:szCs w:val="28"/>
        </w:rPr>
      </w:pPr>
      <w:bookmarkStart w:id="375" w:name="_Toc530395140"/>
      <w:bookmarkStart w:id="376" w:name="_Toc530395315"/>
      <w:bookmarkStart w:id="377" w:name="_Toc530396100"/>
      <w:bookmarkStart w:id="378" w:name="_Toc530396194"/>
      <w:bookmarkStart w:id="379" w:name="_Toc39157985"/>
      <w:bookmarkStart w:id="380" w:name="_Toc39158151"/>
      <w:r>
        <w:rPr>
          <w:rFonts w:ascii="Arial" w:hAnsi="Arial"/>
          <w:b/>
          <w:sz w:val="28"/>
        </w:rPr>
        <w:t>1.</w:t>
      </w:r>
      <w:r>
        <w:rPr>
          <w:rFonts w:ascii="Arial" w:hAnsi="Arial"/>
          <w:b/>
          <w:sz w:val="28"/>
        </w:rPr>
        <w:tab/>
        <w:t>Determination by testing</w:t>
      </w:r>
      <w:bookmarkEnd w:id="375"/>
      <w:bookmarkEnd w:id="376"/>
      <w:bookmarkEnd w:id="377"/>
      <w:bookmarkEnd w:id="378"/>
      <w:bookmarkEnd w:id="379"/>
      <w:bookmarkEnd w:id="380"/>
    </w:p>
    <w:p w:rsidR="00AA28BA" w:rsidRPr="00937C8B" w:rsidRDefault="00AA28BA" w:rsidP="009346E1">
      <w:pPr>
        <w:ind w:left="426" w:hanging="426"/>
        <w:jc w:val="both"/>
        <w:rPr>
          <w:rFonts w:ascii="Arial" w:hAnsi="Arial" w:cs="Arial"/>
          <w:sz w:val="22"/>
          <w:szCs w:val="22"/>
        </w:rPr>
      </w:pPr>
      <w:r>
        <w:rPr>
          <w:rFonts w:ascii="Arial" w:hAnsi="Arial"/>
          <w:sz w:val="22"/>
        </w:rPr>
        <w:t>1.</w:t>
      </w:r>
      <w:r>
        <w:rPr>
          <w:rFonts w:ascii="Arial" w:hAnsi="Arial"/>
          <w:sz w:val="22"/>
        </w:rPr>
        <w:tab/>
        <w:t xml:space="preserve">The value of the </w:t>
      </w:r>
      <w:r>
        <w:rPr>
          <w:rFonts w:ascii="Arial" w:hAnsi="Arial"/>
          <w:i/>
          <w:sz w:val="22"/>
        </w:rPr>
        <w:t>air exchange ratio</w:t>
      </w:r>
      <w:r>
        <w:rPr>
          <w:rFonts w:ascii="Arial" w:hAnsi="Arial"/>
          <w:sz w:val="22"/>
        </w:rPr>
        <w:t xml:space="preserve"> at 50 Pa, n</w:t>
      </w:r>
      <w:r>
        <w:rPr>
          <w:rFonts w:ascii="Arial" w:hAnsi="Arial"/>
          <w:sz w:val="22"/>
          <w:vertAlign w:val="subscript"/>
        </w:rPr>
        <w:t>50</w:t>
      </w:r>
      <w:r>
        <w:rPr>
          <w:rFonts w:ascii="Arial" w:hAnsi="Arial"/>
          <w:sz w:val="22"/>
        </w:rPr>
        <w:t xml:space="preserve">, may be obtained with a test conducted using method B from standard UNE EN 13829:2002 </w:t>
      </w:r>
      <w:r>
        <w:rPr>
          <w:rFonts w:ascii="Arial" w:hAnsi="Arial"/>
          <w:i/>
          <w:sz w:val="22"/>
        </w:rPr>
        <w:t>Determination of air permeability of buildings - Fan pressurization method.</w:t>
      </w:r>
    </w:p>
    <w:p w:rsidR="00AA28BA" w:rsidRPr="00786EBA" w:rsidRDefault="00AA28BA" w:rsidP="00786EBA">
      <w:pPr>
        <w:spacing w:before="240" w:after="120"/>
        <w:rPr>
          <w:rFonts w:ascii="Arial" w:hAnsi="Arial" w:cs="Arial"/>
          <w:b/>
          <w:sz w:val="28"/>
          <w:szCs w:val="28"/>
        </w:rPr>
      </w:pPr>
      <w:bookmarkStart w:id="381" w:name="_Toc530395141"/>
      <w:bookmarkStart w:id="382" w:name="_Toc530395316"/>
      <w:bookmarkStart w:id="383" w:name="_Toc530396101"/>
      <w:bookmarkStart w:id="384" w:name="_Toc530396195"/>
      <w:bookmarkStart w:id="385" w:name="_Toc39157986"/>
      <w:bookmarkStart w:id="386" w:name="_Toc39158152"/>
      <w:r>
        <w:rPr>
          <w:rFonts w:ascii="Arial" w:hAnsi="Arial"/>
          <w:b/>
          <w:sz w:val="28"/>
        </w:rPr>
        <w:t>2.</w:t>
      </w:r>
      <w:r>
        <w:rPr>
          <w:rFonts w:ascii="Arial" w:hAnsi="Arial"/>
          <w:b/>
          <w:sz w:val="28"/>
        </w:rPr>
        <w:tab/>
        <w:t>Determination using reference values</w:t>
      </w:r>
      <w:bookmarkEnd w:id="381"/>
      <w:bookmarkEnd w:id="382"/>
      <w:bookmarkEnd w:id="383"/>
      <w:bookmarkEnd w:id="384"/>
      <w:bookmarkEnd w:id="385"/>
      <w:bookmarkEnd w:id="386"/>
    </w:p>
    <w:p w:rsidR="00AA28BA" w:rsidRPr="00937C8B" w:rsidRDefault="00AA28BA" w:rsidP="009346E1">
      <w:pPr>
        <w:ind w:left="426" w:hanging="426"/>
        <w:jc w:val="both"/>
        <w:rPr>
          <w:rFonts w:ascii="Arial" w:hAnsi="Arial" w:cs="Arial"/>
          <w:sz w:val="22"/>
          <w:szCs w:val="22"/>
        </w:rPr>
      </w:pPr>
      <w:r>
        <w:rPr>
          <w:rFonts w:ascii="Arial" w:hAnsi="Arial"/>
        </w:rPr>
        <w:t>2.</w:t>
      </w:r>
      <w:r>
        <w:rPr>
          <w:rFonts w:ascii="Arial" w:hAnsi="Arial"/>
        </w:rPr>
        <w:tab/>
      </w:r>
      <w:r>
        <w:rPr>
          <w:rFonts w:ascii="Arial" w:hAnsi="Arial"/>
          <w:sz w:val="22"/>
        </w:rPr>
        <w:t xml:space="preserve">The value of the </w:t>
      </w:r>
      <w:r>
        <w:rPr>
          <w:rFonts w:ascii="Arial" w:hAnsi="Arial"/>
          <w:i/>
          <w:sz w:val="22"/>
        </w:rPr>
        <w:t>air exchange ratio</w:t>
      </w:r>
      <w:r>
        <w:rPr>
          <w:rFonts w:ascii="Arial" w:hAnsi="Arial"/>
          <w:sz w:val="22"/>
        </w:rPr>
        <w:t xml:space="preserve"> at 50 Pa, n</w:t>
      </w:r>
      <w:r>
        <w:rPr>
          <w:rFonts w:ascii="Arial" w:hAnsi="Arial"/>
          <w:sz w:val="22"/>
          <w:vertAlign w:val="subscript"/>
        </w:rPr>
        <w:t>50</w:t>
      </w:r>
      <w:r>
        <w:rPr>
          <w:rFonts w:ascii="Arial" w:hAnsi="Arial"/>
          <w:sz w:val="22"/>
        </w:rPr>
        <w:t>, may be calculated using the following equation:</w:t>
      </w:r>
    </w:p>
    <w:p w:rsidR="00AA28BA" w:rsidRPr="00937C8B" w:rsidRDefault="00AA28BA" w:rsidP="00AA28BA">
      <w:pPr>
        <w:rPr>
          <w:rFonts w:ascii="Arial" w:hAnsi="Arial" w:cs="Arial"/>
          <w:sz w:val="22"/>
          <w:szCs w:val="22"/>
        </w:rPr>
      </w:pPr>
    </w:p>
    <w:p w:rsidR="00AA28BA" w:rsidRPr="00937C8B" w:rsidRDefault="00AA28BA" w:rsidP="005F61FB">
      <w:pPr>
        <w:jc w:val="center"/>
        <w:rPr>
          <w:rFonts w:ascii="Arial" w:hAnsi="Arial" w:cs="Arial"/>
          <w:sz w:val="22"/>
          <w:szCs w:val="22"/>
        </w:rPr>
      </w:pPr>
      <w:r>
        <w:rPr>
          <w:rFonts w:ascii="Arial" w:hAnsi="Arial"/>
          <w:sz w:val="22"/>
        </w:rPr>
        <w:t>n</w:t>
      </w:r>
      <w:r>
        <w:rPr>
          <w:rFonts w:ascii="Arial" w:hAnsi="Arial"/>
          <w:sz w:val="22"/>
          <w:vertAlign w:val="subscript"/>
        </w:rPr>
        <w:t>50</w:t>
      </w:r>
      <w:r>
        <w:rPr>
          <w:rFonts w:ascii="Arial" w:hAnsi="Arial"/>
          <w:sz w:val="22"/>
        </w:rPr>
        <w:t xml:space="preserve"> = 0.629 · (C</w:t>
      </w:r>
      <w:r>
        <w:rPr>
          <w:rFonts w:ascii="Arial" w:hAnsi="Arial"/>
          <w:sz w:val="22"/>
          <w:vertAlign w:val="subscript"/>
        </w:rPr>
        <w:t>o</w:t>
      </w:r>
      <w:r>
        <w:rPr>
          <w:rFonts w:ascii="Arial" w:hAnsi="Arial"/>
          <w:sz w:val="22"/>
        </w:rPr>
        <w:t xml:space="preserve"> · A</w:t>
      </w:r>
      <w:r>
        <w:rPr>
          <w:rFonts w:ascii="Arial" w:hAnsi="Arial"/>
          <w:sz w:val="22"/>
          <w:vertAlign w:val="subscript"/>
        </w:rPr>
        <w:t>o</w:t>
      </w:r>
      <w:r>
        <w:rPr>
          <w:rFonts w:ascii="Arial" w:hAnsi="Arial"/>
          <w:sz w:val="22"/>
        </w:rPr>
        <w:t xml:space="preserve"> + C</w:t>
      </w:r>
      <w:r>
        <w:rPr>
          <w:rFonts w:ascii="Arial" w:hAnsi="Arial"/>
          <w:sz w:val="22"/>
          <w:vertAlign w:val="subscript"/>
        </w:rPr>
        <w:t>h</w:t>
      </w:r>
      <w:r>
        <w:rPr>
          <w:rFonts w:ascii="Arial" w:hAnsi="Arial"/>
          <w:sz w:val="22"/>
        </w:rPr>
        <w:t xml:space="preserve"> · A</w:t>
      </w:r>
      <w:r>
        <w:rPr>
          <w:rFonts w:ascii="Arial" w:hAnsi="Arial"/>
          <w:sz w:val="22"/>
          <w:vertAlign w:val="subscript"/>
        </w:rPr>
        <w:t>h</w:t>
      </w:r>
      <w:r>
        <w:rPr>
          <w:rFonts w:ascii="Arial" w:hAnsi="Arial"/>
          <w:sz w:val="22"/>
        </w:rPr>
        <w:t>) / V</w:t>
      </w:r>
    </w:p>
    <w:p w:rsidR="00AA28BA" w:rsidRPr="00937C8B" w:rsidRDefault="00AA28BA" w:rsidP="00AA28BA">
      <w:pPr>
        <w:rPr>
          <w:rFonts w:ascii="Arial" w:hAnsi="Arial" w:cs="Arial"/>
          <w:sz w:val="22"/>
          <w:szCs w:val="22"/>
          <w:lang w:val="pt-PT"/>
        </w:rPr>
      </w:pPr>
    </w:p>
    <w:p w:rsidR="00AA28BA" w:rsidRPr="00937C8B" w:rsidRDefault="00AA28BA" w:rsidP="009346E1">
      <w:pPr>
        <w:ind w:left="426"/>
        <w:rPr>
          <w:rFonts w:ascii="Arial" w:hAnsi="Arial" w:cs="Arial"/>
          <w:sz w:val="22"/>
          <w:szCs w:val="22"/>
        </w:rPr>
      </w:pPr>
      <w:r>
        <w:rPr>
          <w:rFonts w:ascii="Arial" w:hAnsi="Arial"/>
          <w:sz w:val="22"/>
        </w:rPr>
        <w:t>where:</w:t>
      </w:r>
    </w:p>
    <w:p w:rsidR="009346E1" w:rsidRPr="00937C8B" w:rsidRDefault="009346E1" w:rsidP="009346E1">
      <w:pPr>
        <w:ind w:left="426"/>
        <w:rPr>
          <w:rFonts w:ascii="Arial" w:hAnsi="Arial" w:cs="Arial"/>
          <w:sz w:val="22"/>
          <w:szCs w:val="22"/>
          <w:lang w:val="pt-PT"/>
        </w:rPr>
      </w:pPr>
    </w:p>
    <w:p w:rsidR="00AA28BA" w:rsidRPr="00937C8B" w:rsidRDefault="00AA28BA" w:rsidP="00935676">
      <w:pPr>
        <w:tabs>
          <w:tab w:val="left" w:pos="720"/>
        </w:tabs>
        <w:ind w:left="1440" w:hanging="720"/>
        <w:jc w:val="both"/>
        <w:rPr>
          <w:rFonts w:ascii="Arial" w:hAnsi="Arial" w:cs="Arial"/>
          <w:sz w:val="22"/>
          <w:szCs w:val="22"/>
        </w:rPr>
      </w:pPr>
      <w:r>
        <w:rPr>
          <w:rFonts w:ascii="Arial" w:hAnsi="Arial"/>
          <w:sz w:val="22"/>
        </w:rPr>
        <w:t>n</w:t>
      </w:r>
      <w:r>
        <w:rPr>
          <w:rFonts w:ascii="Arial" w:hAnsi="Arial"/>
          <w:sz w:val="22"/>
          <w:vertAlign w:val="subscript"/>
        </w:rPr>
        <w:t>50</w:t>
      </w:r>
      <w:r>
        <w:rPr>
          <w:rFonts w:ascii="Arial" w:hAnsi="Arial"/>
          <w:sz w:val="22"/>
        </w:rPr>
        <w:t xml:space="preserve"> </w:t>
      </w:r>
      <w:r>
        <w:rPr>
          <w:rFonts w:ascii="Arial" w:hAnsi="Arial"/>
          <w:sz w:val="22"/>
        </w:rPr>
        <w:tab/>
        <w:t xml:space="preserve">is the value of the </w:t>
      </w:r>
      <w:r>
        <w:rPr>
          <w:rFonts w:ascii="Arial" w:hAnsi="Arial"/>
          <w:i/>
          <w:sz w:val="22"/>
        </w:rPr>
        <w:t>air exchange ratio</w:t>
      </w:r>
      <w:r>
        <w:rPr>
          <w:rFonts w:ascii="Arial" w:hAnsi="Arial"/>
          <w:sz w:val="22"/>
        </w:rPr>
        <w:t xml:space="preserve"> at 50Pa;</w:t>
      </w:r>
    </w:p>
    <w:p w:rsidR="00AA28BA" w:rsidRPr="00937C8B" w:rsidRDefault="00AA28BA" w:rsidP="00935676">
      <w:pPr>
        <w:tabs>
          <w:tab w:val="left" w:pos="720"/>
        </w:tabs>
        <w:ind w:left="1440" w:hanging="720"/>
        <w:jc w:val="both"/>
        <w:rPr>
          <w:rFonts w:ascii="Arial" w:hAnsi="Arial" w:cs="Arial"/>
          <w:sz w:val="22"/>
          <w:szCs w:val="22"/>
        </w:rPr>
      </w:pPr>
      <w:r>
        <w:rPr>
          <w:rFonts w:ascii="Arial" w:hAnsi="Arial"/>
          <w:sz w:val="22"/>
        </w:rPr>
        <w:t>V</w:t>
      </w:r>
      <w:r>
        <w:rPr>
          <w:rFonts w:ascii="Arial" w:hAnsi="Arial"/>
          <w:sz w:val="22"/>
        </w:rPr>
        <w:tab/>
        <w:t xml:space="preserve">is the internal volume of the </w:t>
      </w:r>
      <w:r>
        <w:rPr>
          <w:rFonts w:ascii="Arial" w:hAnsi="Arial"/>
          <w:i/>
          <w:sz w:val="22"/>
        </w:rPr>
        <w:t>thermal envelope</w:t>
      </w:r>
      <w:r>
        <w:rPr>
          <w:rFonts w:ascii="Arial" w:hAnsi="Arial"/>
          <w:sz w:val="22"/>
        </w:rPr>
        <w:t>, in [m</w:t>
      </w:r>
      <w:r>
        <w:rPr>
          <w:rFonts w:ascii="Arial" w:hAnsi="Arial"/>
          <w:sz w:val="22"/>
          <w:vertAlign w:val="superscript"/>
        </w:rPr>
        <w:t>3</w:t>
      </w:r>
      <w:r>
        <w:rPr>
          <w:rFonts w:ascii="Arial" w:hAnsi="Arial"/>
          <w:sz w:val="22"/>
        </w:rPr>
        <w:t>];</w:t>
      </w:r>
    </w:p>
    <w:p w:rsidR="00AA28BA" w:rsidRPr="00937C8B" w:rsidRDefault="00AA28BA" w:rsidP="00935676">
      <w:pPr>
        <w:tabs>
          <w:tab w:val="left" w:pos="720"/>
        </w:tabs>
        <w:ind w:left="1440" w:hanging="720"/>
        <w:jc w:val="both"/>
        <w:rPr>
          <w:rFonts w:ascii="Arial" w:hAnsi="Arial" w:cs="Arial"/>
          <w:sz w:val="22"/>
          <w:szCs w:val="22"/>
        </w:rPr>
      </w:pPr>
      <w:r>
        <w:rPr>
          <w:rFonts w:ascii="Arial" w:hAnsi="Arial"/>
          <w:sz w:val="22"/>
        </w:rPr>
        <w:t>C</w:t>
      </w:r>
      <w:r>
        <w:rPr>
          <w:rFonts w:ascii="Arial" w:hAnsi="Arial"/>
          <w:sz w:val="22"/>
          <w:vertAlign w:val="subscript"/>
        </w:rPr>
        <w:t>o</w:t>
      </w:r>
      <w:r>
        <w:rPr>
          <w:rFonts w:ascii="Arial" w:hAnsi="Arial"/>
          <w:sz w:val="22"/>
        </w:rPr>
        <w:t xml:space="preserve"> </w:t>
      </w:r>
      <w:r>
        <w:rPr>
          <w:rFonts w:ascii="Arial" w:hAnsi="Arial"/>
          <w:sz w:val="22"/>
        </w:rPr>
        <w:tab/>
        <w:t xml:space="preserve">is the air flow coefficient for the opaque part of the </w:t>
      </w:r>
      <w:r>
        <w:rPr>
          <w:rFonts w:ascii="Arial" w:hAnsi="Arial"/>
          <w:i/>
          <w:sz w:val="22"/>
        </w:rPr>
        <w:t>thermal envelope</w:t>
      </w:r>
      <w:r>
        <w:rPr>
          <w:rFonts w:ascii="Arial" w:hAnsi="Arial"/>
          <w:sz w:val="22"/>
        </w:rPr>
        <w:t>, expressed at 100 Pa, in [m</w:t>
      </w:r>
      <w:r>
        <w:rPr>
          <w:rFonts w:ascii="Arial" w:hAnsi="Arial"/>
          <w:sz w:val="22"/>
          <w:vertAlign w:val="superscript"/>
        </w:rPr>
        <w:t>3</w:t>
      </w:r>
      <w:r>
        <w:rPr>
          <w:rFonts w:ascii="Arial" w:hAnsi="Arial"/>
          <w:sz w:val="22"/>
        </w:rPr>
        <w:t>/hm</w:t>
      </w:r>
      <w:r>
        <w:rPr>
          <w:rFonts w:ascii="Arial" w:hAnsi="Arial"/>
          <w:sz w:val="22"/>
          <w:vertAlign w:val="superscript"/>
        </w:rPr>
        <w:t>2</w:t>
      </w:r>
      <w:r>
        <w:rPr>
          <w:rFonts w:ascii="Arial" w:hAnsi="Arial"/>
          <w:sz w:val="22"/>
        </w:rPr>
        <w:t>], obtained from Table a-Annex H;</w:t>
      </w:r>
    </w:p>
    <w:p w:rsidR="00AA28BA" w:rsidRPr="00937C8B" w:rsidRDefault="00AA28BA" w:rsidP="00935676">
      <w:pPr>
        <w:tabs>
          <w:tab w:val="left" w:pos="720"/>
        </w:tabs>
        <w:ind w:left="1440" w:hanging="720"/>
        <w:jc w:val="both"/>
        <w:rPr>
          <w:rFonts w:ascii="Arial" w:hAnsi="Arial" w:cs="Arial"/>
          <w:sz w:val="22"/>
          <w:szCs w:val="22"/>
        </w:rPr>
      </w:pPr>
      <w:r>
        <w:rPr>
          <w:rFonts w:ascii="Arial" w:hAnsi="Arial"/>
          <w:sz w:val="22"/>
        </w:rPr>
        <w:t>A</w:t>
      </w:r>
      <w:r>
        <w:rPr>
          <w:rFonts w:ascii="Arial" w:hAnsi="Arial"/>
          <w:sz w:val="22"/>
          <w:vertAlign w:val="subscript"/>
        </w:rPr>
        <w:t>o</w:t>
      </w:r>
      <w:r>
        <w:rPr>
          <w:rFonts w:ascii="Arial" w:hAnsi="Arial"/>
          <w:sz w:val="22"/>
        </w:rPr>
        <w:t xml:space="preserve"> </w:t>
      </w:r>
      <w:r>
        <w:rPr>
          <w:rFonts w:ascii="Arial" w:hAnsi="Arial"/>
          <w:sz w:val="22"/>
        </w:rPr>
        <w:tab/>
        <w:t xml:space="preserve">is the area of the opaque part of the </w:t>
      </w:r>
      <w:r>
        <w:rPr>
          <w:rFonts w:ascii="Arial" w:hAnsi="Arial"/>
          <w:i/>
          <w:sz w:val="22"/>
        </w:rPr>
        <w:t>thermal envelope</w:t>
      </w:r>
      <w:r>
        <w:rPr>
          <w:rFonts w:ascii="Arial" w:hAnsi="Arial"/>
          <w:sz w:val="22"/>
        </w:rPr>
        <w:t>, in [m</w:t>
      </w:r>
      <w:r>
        <w:rPr>
          <w:rFonts w:ascii="Arial" w:hAnsi="Arial"/>
          <w:sz w:val="22"/>
          <w:vertAlign w:val="superscript"/>
        </w:rPr>
        <w:t>2</w:t>
      </w:r>
      <w:r>
        <w:rPr>
          <w:rFonts w:ascii="Arial" w:hAnsi="Arial"/>
          <w:sz w:val="22"/>
        </w:rPr>
        <w:t>];</w:t>
      </w:r>
    </w:p>
    <w:p w:rsidR="00AA28BA" w:rsidRPr="00937C8B" w:rsidRDefault="00AA28BA" w:rsidP="00935676">
      <w:pPr>
        <w:tabs>
          <w:tab w:val="left" w:pos="720"/>
        </w:tabs>
        <w:ind w:left="1440" w:hanging="720"/>
        <w:jc w:val="both"/>
        <w:rPr>
          <w:rFonts w:ascii="Arial" w:hAnsi="Arial" w:cs="Arial"/>
          <w:sz w:val="22"/>
          <w:szCs w:val="22"/>
        </w:rPr>
      </w:pPr>
      <w:r>
        <w:rPr>
          <w:rFonts w:ascii="Arial" w:hAnsi="Arial"/>
          <w:sz w:val="22"/>
        </w:rPr>
        <w:t>C</w:t>
      </w:r>
      <w:r>
        <w:rPr>
          <w:rFonts w:ascii="Arial" w:hAnsi="Arial"/>
          <w:sz w:val="22"/>
          <w:vertAlign w:val="subscript"/>
        </w:rPr>
        <w:t>h</w:t>
      </w:r>
      <w:r>
        <w:rPr>
          <w:rFonts w:ascii="Arial" w:hAnsi="Arial"/>
          <w:sz w:val="22"/>
        </w:rPr>
        <w:t xml:space="preserve"> </w:t>
      </w:r>
      <w:r>
        <w:rPr>
          <w:rFonts w:ascii="Arial" w:hAnsi="Arial"/>
          <w:sz w:val="22"/>
        </w:rPr>
        <w:tab/>
        <w:t xml:space="preserve">is the permeability of the openings in the </w:t>
      </w:r>
      <w:r>
        <w:rPr>
          <w:rFonts w:ascii="Arial" w:hAnsi="Arial"/>
          <w:i/>
          <w:sz w:val="22"/>
        </w:rPr>
        <w:t>thermal envelope</w:t>
      </w:r>
      <w:r>
        <w:rPr>
          <w:rFonts w:ascii="Arial" w:hAnsi="Arial"/>
          <w:sz w:val="22"/>
        </w:rPr>
        <w:t>, expressed at 100Pa, in [m</w:t>
      </w:r>
      <w:r>
        <w:rPr>
          <w:rFonts w:ascii="Arial" w:hAnsi="Arial"/>
          <w:sz w:val="22"/>
          <w:vertAlign w:val="superscript"/>
        </w:rPr>
        <w:t>3</w:t>
      </w:r>
      <w:r>
        <w:rPr>
          <w:rFonts w:ascii="Arial" w:hAnsi="Arial"/>
          <w:sz w:val="22"/>
        </w:rPr>
        <w:t>/hm</w:t>
      </w:r>
      <w:r>
        <w:rPr>
          <w:rFonts w:ascii="Arial" w:hAnsi="Arial"/>
          <w:sz w:val="22"/>
          <w:vertAlign w:val="superscript"/>
        </w:rPr>
        <w:t>2</w:t>
      </w:r>
      <w:r>
        <w:rPr>
          <w:rFonts w:ascii="Arial" w:hAnsi="Arial"/>
          <w:sz w:val="22"/>
        </w:rPr>
        <w:t>], according to its test value;</w:t>
      </w:r>
    </w:p>
    <w:p w:rsidR="00AA28BA" w:rsidRPr="00937C8B" w:rsidRDefault="00AA28BA" w:rsidP="00935676">
      <w:pPr>
        <w:tabs>
          <w:tab w:val="left" w:pos="720"/>
        </w:tabs>
        <w:ind w:left="1440" w:hanging="720"/>
        <w:jc w:val="both"/>
        <w:rPr>
          <w:rFonts w:ascii="Arial" w:hAnsi="Arial" w:cs="Arial"/>
          <w:sz w:val="22"/>
          <w:szCs w:val="22"/>
        </w:rPr>
      </w:pPr>
      <w:r>
        <w:rPr>
          <w:rFonts w:ascii="Arial" w:hAnsi="Arial"/>
          <w:sz w:val="22"/>
        </w:rPr>
        <w:t>A</w:t>
      </w:r>
      <w:r>
        <w:rPr>
          <w:rFonts w:ascii="Arial" w:hAnsi="Arial"/>
          <w:sz w:val="22"/>
          <w:vertAlign w:val="subscript"/>
        </w:rPr>
        <w:t>h</w:t>
      </w:r>
      <w:r>
        <w:rPr>
          <w:rFonts w:ascii="Arial" w:hAnsi="Arial"/>
          <w:sz w:val="22"/>
        </w:rPr>
        <w:t xml:space="preserve"> </w:t>
      </w:r>
      <w:r>
        <w:rPr>
          <w:rFonts w:ascii="Arial" w:hAnsi="Arial"/>
          <w:sz w:val="22"/>
        </w:rPr>
        <w:tab/>
        <w:t xml:space="preserve">is the area of the </w:t>
      </w:r>
      <w:r>
        <w:rPr>
          <w:rFonts w:ascii="Arial" w:hAnsi="Arial"/>
          <w:i/>
          <w:iCs/>
          <w:sz w:val="22"/>
        </w:rPr>
        <w:t>openings</w:t>
      </w:r>
      <w:r>
        <w:rPr>
          <w:rFonts w:ascii="Arial" w:hAnsi="Arial"/>
          <w:sz w:val="22"/>
        </w:rPr>
        <w:t xml:space="preserve"> in the </w:t>
      </w:r>
      <w:r>
        <w:rPr>
          <w:rFonts w:ascii="Arial" w:hAnsi="Arial"/>
          <w:i/>
          <w:sz w:val="22"/>
        </w:rPr>
        <w:t>thermal envelope</w:t>
      </w:r>
      <w:r>
        <w:rPr>
          <w:rFonts w:ascii="Arial" w:hAnsi="Arial"/>
          <w:sz w:val="22"/>
        </w:rPr>
        <w:t>, in [m²].</w:t>
      </w:r>
    </w:p>
    <w:p w:rsidR="00AA28BA" w:rsidRPr="00937C8B" w:rsidRDefault="00AA28BA" w:rsidP="009346E1">
      <w:pPr>
        <w:pStyle w:val="CTEtabla-Titulo"/>
        <w:ind w:left="1560" w:right="1785"/>
      </w:pPr>
      <w:r>
        <w:t xml:space="preserve">Table a-Annex H. Reference values for the air flow coefficient for the opaque part of the </w:t>
      </w:r>
      <w:r>
        <w:rPr>
          <w:i/>
        </w:rPr>
        <w:t xml:space="preserve">thermal envelope, </w:t>
      </w:r>
      <w:r>
        <w:t>C</w:t>
      </w:r>
      <w:r>
        <w:rPr>
          <w:vertAlign w:val="subscript"/>
        </w:rPr>
        <w:t>o</w:t>
      </w:r>
      <w:r>
        <w:t xml:space="preserve"> [m</w:t>
      </w:r>
      <w:r>
        <w:rPr>
          <w:vertAlign w:val="superscript"/>
        </w:rPr>
        <w:t>3</w:t>
      </w:r>
      <w:r>
        <w:t>/h·m</w:t>
      </w:r>
      <w:r>
        <w:rPr>
          <w:vertAlign w:val="superscript"/>
        </w:rPr>
        <w:t>2</w:t>
      </w:r>
      <w:r>
        <w:t>] (100 Pa)</w:t>
      </w:r>
    </w:p>
    <w:tbl>
      <w:tblPr>
        <w:tblW w:w="6576" w:type="dxa"/>
        <w:jc w:val="center"/>
        <w:tblBorders>
          <w:insideH w:val="single" w:sz="4" w:space="0" w:color="000000"/>
          <w:insideV w:val="single" w:sz="4" w:space="0" w:color="000000"/>
        </w:tblBorders>
        <w:tblCellMar>
          <w:left w:w="0" w:type="dxa"/>
          <w:bottom w:w="28" w:type="dxa"/>
          <w:right w:w="28" w:type="dxa"/>
        </w:tblCellMar>
        <w:tblLook w:val="04A0" w:firstRow="1" w:lastRow="0" w:firstColumn="1" w:lastColumn="0" w:noHBand="0" w:noVBand="1"/>
      </w:tblPr>
      <w:tblGrid>
        <w:gridCol w:w="4368"/>
        <w:gridCol w:w="2208"/>
      </w:tblGrid>
      <w:tr w:rsidR="00AA28BA" w:rsidRPr="00937C8B" w:rsidTr="00935676">
        <w:trPr>
          <w:jc w:val="center"/>
        </w:trPr>
        <w:tc>
          <w:tcPr>
            <w:tcW w:w="4367" w:type="dxa"/>
            <w:tcBorders>
              <w:bottom w:val="single" w:sz="4" w:space="0" w:color="000000"/>
            </w:tcBorders>
            <w:shd w:val="clear" w:color="auto" w:fill="auto"/>
            <w:vAlign w:val="bottom"/>
          </w:tcPr>
          <w:p w:rsidR="00AA28BA" w:rsidRPr="00937C8B" w:rsidRDefault="00AA28BA" w:rsidP="003E38D0">
            <w:pPr>
              <w:pStyle w:val="CTEtabla-texto"/>
              <w:rPr>
                <w:rFonts w:cs="Arial"/>
                <w:b/>
              </w:rPr>
            </w:pPr>
            <w:r>
              <w:rPr>
                <w:b/>
              </w:rPr>
              <w:t>Building type</w:t>
            </w:r>
          </w:p>
        </w:tc>
        <w:tc>
          <w:tcPr>
            <w:tcW w:w="2208" w:type="dxa"/>
            <w:tcBorders>
              <w:bottom w:val="single" w:sz="4" w:space="0" w:color="000000"/>
            </w:tcBorders>
            <w:shd w:val="clear" w:color="auto" w:fill="auto"/>
            <w:tcMar>
              <w:right w:w="0" w:type="dxa"/>
            </w:tcMar>
            <w:vAlign w:val="bottom"/>
          </w:tcPr>
          <w:p w:rsidR="00AA28BA" w:rsidRPr="00937C8B" w:rsidRDefault="00AA28BA" w:rsidP="003E38D0">
            <w:pPr>
              <w:pStyle w:val="CTEtabla-texto"/>
              <w:rPr>
                <w:rFonts w:cs="Arial"/>
                <w:b/>
              </w:rPr>
            </w:pPr>
            <w:r>
              <w:rPr>
                <w:b/>
              </w:rPr>
              <w:t>Co</w:t>
            </w:r>
          </w:p>
        </w:tc>
      </w:tr>
      <w:tr w:rsidR="00AA28BA" w:rsidRPr="00937C8B" w:rsidTr="00935676">
        <w:trPr>
          <w:jc w:val="center"/>
        </w:trPr>
        <w:tc>
          <w:tcPr>
            <w:tcW w:w="4367" w:type="dxa"/>
            <w:tcBorders>
              <w:top w:val="single" w:sz="4" w:space="0" w:color="000000"/>
              <w:bottom w:val="nil"/>
            </w:tcBorders>
            <w:shd w:val="clear" w:color="auto" w:fill="auto"/>
            <w:tcMar>
              <w:bottom w:w="0" w:type="dxa"/>
            </w:tcMar>
            <w:vAlign w:val="bottom"/>
          </w:tcPr>
          <w:p w:rsidR="00AA28BA" w:rsidRPr="00937C8B" w:rsidRDefault="00AA28BA" w:rsidP="003E38D0">
            <w:pPr>
              <w:pStyle w:val="CTEtabla-texto"/>
              <w:jc w:val="left"/>
              <w:rPr>
                <w:rFonts w:cs="Arial"/>
              </w:rPr>
            </w:pPr>
            <w:r>
              <w:t>New or existing with improved permeability</w:t>
            </w:r>
          </w:p>
        </w:tc>
        <w:tc>
          <w:tcPr>
            <w:tcW w:w="2208" w:type="dxa"/>
            <w:tcBorders>
              <w:top w:val="single" w:sz="4" w:space="0" w:color="000000"/>
              <w:bottom w:val="nil"/>
            </w:tcBorders>
            <w:shd w:val="clear" w:color="auto" w:fill="auto"/>
            <w:tcMar>
              <w:bottom w:w="0" w:type="dxa"/>
              <w:right w:w="0" w:type="dxa"/>
            </w:tcMar>
            <w:vAlign w:val="bottom"/>
          </w:tcPr>
          <w:p w:rsidR="00AA28BA" w:rsidRPr="00937C8B" w:rsidRDefault="00AA28BA" w:rsidP="003E38D0">
            <w:pPr>
              <w:pStyle w:val="CTEtabla-texto"/>
              <w:rPr>
                <w:rFonts w:cs="Arial"/>
              </w:rPr>
            </w:pPr>
            <w:r>
              <w:t>16</w:t>
            </w:r>
          </w:p>
        </w:tc>
      </w:tr>
      <w:tr w:rsidR="00AA28BA" w:rsidRPr="00937C8B" w:rsidTr="00935676">
        <w:trPr>
          <w:jc w:val="center"/>
        </w:trPr>
        <w:tc>
          <w:tcPr>
            <w:tcW w:w="4367" w:type="dxa"/>
            <w:tcBorders>
              <w:top w:val="nil"/>
              <w:bottom w:val="nil"/>
            </w:tcBorders>
            <w:shd w:val="clear" w:color="auto" w:fill="auto"/>
            <w:tcMar>
              <w:bottom w:w="0" w:type="dxa"/>
            </w:tcMar>
            <w:vAlign w:val="bottom"/>
          </w:tcPr>
          <w:p w:rsidR="00AA28BA" w:rsidRPr="00937C8B" w:rsidRDefault="00AA28BA" w:rsidP="003E38D0">
            <w:pPr>
              <w:pStyle w:val="CTEtabla-texto"/>
              <w:jc w:val="left"/>
              <w:rPr>
                <w:rFonts w:cs="Arial"/>
              </w:rPr>
            </w:pPr>
            <w:r>
              <w:t>Existing</w:t>
            </w:r>
          </w:p>
        </w:tc>
        <w:tc>
          <w:tcPr>
            <w:tcW w:w="2208" w:type="dxa"/>
            <w:tcBorders>
              <w:top w:val="nil"/>
              <w:bottom w:val="nil"/>
            </w:tcBorders>
            <w:shd w:val="clear" w:color="auto" w:fill="auto"/>
            <w:tcMar>
              <w:bottom w:w="0" w:type="dxa"/>
              <w:right w:w="0" w:type="dxa"/>
            </w:tcMar>
            <w:vAlign w:val="bottom"/>
          </w:tcPr>
          <w:p w:rsidR="00AA28BA" w:rsidRPr="00937C8B" w:rsidRDefault="00AA28BA" w:rsidP="003E38D0">
            <w:pPr>
              <w:pStyle w:val="CTEtabla-texto"/>
              <w:rPr>
                <w:rFonts w:cs="Arial"/>
              </w:rPr>
            </w:pPr>
            <w:r>
              <w:t>29</w:t>
            </w:r>
          </w:p>
        </w:tc>
      </w:tr>
      <w:bookmarkEnd w:id="23"/>
    </w:tbl>
    <w:p w:rsidR="00831B50" w:rsidRPr="00937C8B" w:rsidRDefault="00831B50" w:rsidP="00431690">
      <w:pPr>
        <w:pStyle w:val="CTENumeracion"/>
        <w:spacing w:before="120"/>
        <w:jc w:val="center"/>
        <w:rPr>
          <w:rFonts w:cs="Arial"/>
        </w:rPr>
      </w:pPr>
    </w:p>
    <w:p w:rsidR="00C331B9" w:rsidRPr="00937C8B" w:rsidRDefault="00431690" w:rsidP="0084739B">
      <w:pPr>
        <w:pStyle w:val="CTENumeracion"/>
        <w:pageBreakBefore/>
        <w:spacing w:before="120"/>
        <w:ind w:left="360" w:hanging="360"/>
        <w:jc w:val="center"/>
      </w:pPr>
      <w:r>
        <w:rPr>
          <w:color w:val="000000"/>
          <w:sz w:val="40"/>
        </w:rPr>
        <w:t>ANNEX II</w:t>
      </w:r>
    </w:p>
    <w:p w:rsidR="00C331B9" w:rsidRPr="00937C8B" w:rsidRDefault="00C331B9" w:rsidP="006C641F">
      <w:pPr>
        <w:pStyle w:val="CTENumeracion"/>
        <w:spacing w:before="120"/>
      </w:pPr>
    </w:p>
    <w:p w:rsidR="00431690" w:rsidRPr="00937C8B" w:rsidRDefault="00431690" w:rsidP="00935676">
      <w:pPr>
        <w:pStyle w:val="CteTtuloSeccion"/>
      </w:pPr>
      <w:bookmarkStart w:id="387" w:name="_Toc39157987"/>
      <w:bookmarkStart w:id="388" w:name="_Toc39158153"/>
      <w:r>
        <w:t>Section HS 6</w:t>
      </w:r>
      <w:r>
        <w:br/>
        <w:t xml:space="preserve">Protection against </w:t>
      </w:r>
      <w:r>
        <w:rPr>
          <w:i/>
          <w:iCs/>
        </w:rPr>
        <w:t>exposure to radon</w:t>
      </w:r>
      <w:bookmarkEnd w:id="387"/>
      <w:bookmarkEnd w:id="388"/>
    </w:p>
    <w:p w:rsidR="00431690" w:rsidRPr="00937C8B" w:rsidRDefault="00431690" w:rsidP="00431690">
      <w:pPr>
        <w:keepNext/>
        <w:tabs>
          <w:tab w:val="left" w:pos="426"/>
        </w:tabs>
        <w:spacing w:before="480" w:after="160"/>
        <w:outlineLvl w:val="0"/>
        <w:rPr>
          <w:rFonts w:ascii="Arial" w:eastAsia="Calibri" w:hAnsi="Arial" w:cs="Arial"/>
          <w:b/>
          <w:bCs/>
          <w:noProof/>
          <w:kern w:val="32"/>
          <w:sz w:val="28"/>
          <w:szCs w:val="28"/>
        </w:rPr>
      </w:pPr>
      <w:bookmarkStart w:id="389" w:name="_Toc4126485"/>
      <w:bookmarkStart w:id="390" w:name="_Toc4230589"/>
      <w:bookmarkStart w:id="391" w:name="_Toc13479273"/>
      <w:bookmarkStart w:id="392" w:name="_Toc19938787"/>
      <w:bookmarkStart w:id="393" w:name="_Toc20895853"/>
      <w:bookmarkStart w:id="394" w:name="_Toc20896046"/>
      <w:bookmarkStart w:id="395" w:name="_Toc20896075"/>
      <w:bookmarkStart w:id="396" w:name="_Toc20896457"/>
      <w:bookmarkStart w:id="397" w:name="_Toc20896638"/>
      <w:bookmarkStart w:id="398" w:name="_Toc20897060"/>
      <w:bookmarkStart w:id="399" w:name="_Toc20897272"/>
      <w:bookmarkStart w:id="400" w:name="_Toc20900255"/>
      <w:bookmarkStart w:id="401" w:name="_Toc21170241"/>
      <w:bookmarkStart w:id="402" w:name="_Toc35922732"/>
      <w:bookmarkStart w:id="403" w:name="_Toc35923370"/>
      <w:bookmarkStart w:id="404" w:name="_Toc42661002"/>
      <w:bookmarkStart w:id="405" w:name="_Toc44391430"/>
      <w:bookmarkStart w:id="406" w:name="_Toc44391523"/>
      <w:bookmarkStart w:id="407" w:name="_Toc305147191"/>
      <w:bookmarkStart w:id="408" w:name="_Toc305154243"/>
      <w:bookmarkStart w:id="409" w:name="_Toc307583280"/>
      <w:bookmarkStart w:id="410" w:name="_Toc307583411"/>
      <w:bookmarkStart w:id="411" w:name="_Toc307584247"/>
      <w:bookmarkStart w:id="412" w:name="_Toc308435811"/>
      <w:bookmarkStart w:id="413" w:name="_Toc308437023"/>
      <w:bookmarkStart w:id="414" w:name="_Toc309985217"/>
      <w:bookmarkStart w:id="415" w:name="_Toc348517944"/>
      <w:bookmarkStart w:id="416" w:name="_Toc39157988"/>
      <w:bookmarkStart w:id="417" w:name="_Toc39158154"/>
      <w:r>
        <w:rPr>
          <w:rFonts w:ascii="Arial" w:hAnsi="Arial"/>
          <w:b/>
          <w:sz w:val="28"/>
        </w:rPr>
        <w:t>1.</w:t>
      </w:r>
      <w:r>
        <w:rPr>
          <w:rFonts w:ascii="Arial" w:hAnsi="Arial"/>
          <w:b/>
          <w:sz w:val="28"/>
        </w:rPr>
        <w:tab/>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ascii="Arial" w:hAnsi="Arial"/>
          <w:b/>
          <w:sz w:val="28"/>
        </w:rPr>
        <w:t>Scope</w:t>
      </w:r>
      <w:bookmarkEnd w:id="416"/>
      <w:bookmarkEnd w:id="417"/>
    </w:p>
    <w:p w:rsidR="00431690" w:rsidRPr="00937C8B" w:rsidRDefault="00431690" w:rsidP="00425ADA">
      <w:pPr>
        <w:pStyle w:val="CTENumeracion"/>
        <w:numPr>
          <w:ilvl w:val="0"/>
          <w:numId w:val="27"/>
        </w:numPr>
        <w:tabs>
          <w:tab w:val="clear" w:pos="567"/>
          <w:tab w:val="num" w:pos="426"/>
        </w:tabs>
        <w:suppressAutoHyphens/>
        <w:spacing w:before="0"/>
        <w:ind w:left="426" w:hanging="426"/>
        <w:rPr>
          <w:szCs w:val="20"/>
        </w:rPr>
      </w:pPr>
      <w:bookmarkStart w:id="418" w:name="_Toc4230591"/>
      <w:r>
        <w:t>This section applies to all buildings located within the municipal boundaries given in Appendix B, in the following cases:</w:t>
      </w:r>
    </w:p>
    <w:p w:rsidR="00431690" w:rsidRPr="00937C8B" w:rsidRDefault="00431690" w:rsidP="00425ADA">
      <w:pPr>
        <w:pStyle w:val="ListParagraph"/>
        <w:numPr>
          <w:ilvl w:val="0"/>
          <w:numId w:val="28"/>
        </w:numPr>
        <w:tabs>
          <w:tab w:val="num" w:pos="851"/>
        </w:tabs>
        <w:autoSpaceDE w:val="0"/>
        <w:autoSpaceDN w:val="0"/>
        <w:adjustRightInd w:val="0"/>
        <w:spacing w:after="60" w:line="240" w:lineRule="auto"/>
        <w:ind w:left="851" w:hanging="426"/>
        <w:rPr>
          <w:rFonts w:ascii="Arial" w:hAnsi="Arial" w:cs="Arial"/>
          <w:sz w:val="20"/>
          <w:szCs w:val="20"/>
        </w:rPr>
      </w:pPr>
      <w:r>
        <w:rPr>
          <w:rFonts w:ascii="Arial" w:hAnsi="Arial"/>
          <w:sz w:val="20"/>
        </w:rPr>
        <w:t>newly constructed buildings;</w:t>
      </w:r>
    </w:p>
    <w:p w:rsidR="00431690" w:rsidRPr="00937C8B" w:rsidRDefault="00431690" w:rsidP="00425ADA">
      <w:pPr>
        <w:pStyle w:val="ListParagraph"/>
        <w:numPr>
          <w:ilvl w:val="0"/>
          <w:numId w:val="28"/>
        </w:numPr>
        <w:tabs>
          <w:tab w:val="num" w:pos="851"/>
        </w:tabs>
        <w:autoSpaceDE w:val="0"/>
        <w:autoSpaceDN w:val="0"/>
        <w:adjustRightInd w:val="0"/>
        <w:spacing w:after="60" w:line="240" w:lineRule="auto"/>
        <w:ind w:left="851" w:hanging="426"/>
        <w:rPr>
          <w:rFonts w:ascii="Arial" w:hAnsi="Arial" w:cs="Arial"/>
          <w:sz w:val="20"/>
          <w:szCs w:val="20"/>
        </w:rPr>
      </w:pPr>
      <w:r>
        <w:rPr>
          <w:rFonts w:ascii="Arial" w:hAnsi="Arial"/>
          <w:sz w:val="20"/>
        </w:rPr>
        <w:t>work on existing buildings;</w:t>
      </w:r>
    </w:p>
    <w:p w:rsidR="00431690" w:rsidRPr="00937C8B" w:rsidRDefault="00431690" w:rsidP="00425ADA">
      <w:pPr>
        <w:pStyle w:val="CTENumeracion"/>
        <w:numPr>
          <w:ilvl w:val="0"/>
          <w:numId w:val="32"/>
        </w:numPr>
        <w:tabs>
          <w:tab w:val="num" w:pos="1276"/>
        </w:tabs>
        <w:suppressAutoHyphens/>
        <w:spacing w:before="0"/>
        <w:ind w:left="1276" w:hanging="283"/>
        <w:rPr>
          <w:rFonts w:cs="Arial"/>
          <w:szCs w:val="20"/>
        </w:rPr>
      </w:pPr>
      <w:r>
        <w:t>in cases of extensions, the new section;</w:t>
      </w:r>
    </w:p>
    <w:p w:rsidR="00431690" w:rsidRPr="00937C8B" w:rsidRDefault="00431690" w:rsidP="00425ADA">
      <w:pPr>
        <w:pStyle w:val="CTENumeracion"/>
        <w:numPr>
          <w:ilvl w:val="0"/>
          <w:numId w:val="32"/>
        </w:numPr>
        <w:suppressAutoHyphens/>
        <w:spacing w:before="0"/>
        <w:ind w:left="1276" w:hanging="283"/>
        <w:rPr>
          <w:rFonts w:cs="Arial"/>
          <w:szCs w:val="20"/>
        </w:rPr>
      </w:pPr>
      <w:r>
        <w:t>for changes in use, the whole building in cases of a change in characteristic use, or the affected zone in cases of a change in use that only affects part of a building or establishment;</w:t>
      </w:r>
    </w:p>
    <w:p w:rsidR="00431690" w:rsidRPr="00937C8B" w:rsidRDefault="00431690" w:rsidP="00425ADA">
      <w:pPr>
        <w:pStyle w:val="CTENumeracion"/>
        <w:numPr>
          <w:ilvl w:val="0"/>
          <w:numId w:val="32"/>
        </w:numPr>
        <w:suppressAutoHyphens/>
        <w:spacing w:before="0"/>
        <w:ind w:left="1276" w:hanging="283"/>
        <w:rPr>
          <w:rFonts w:cs="Arial"/>
          <w:szCs w:val="20"/>
        </w:rPr>
      </w:pPr>
      <w:r>
        <w:t>for renovation work, the affected zone, when making modifications that enable an increase in protection from radon or that change the initial level of protection.</w:t>
      </w:r>
    </w:p>
    <w:p w:rsidR="00431690" w:rsidRPr="00937C8B" w:rsidRDefault="00431690" w:rsidP="00425ADA">
      <w:pPr>
        <w:pStyle w:val="CTENumeracion"/>
        <w:numPr>
          <w:ilvl w:val="0"/>
          <w:numId w:val="27"/>
        </w:numPr>
        <w:tabs>
          <w:tab w:val="clear" w:pos="567"/>
          <w:tab w:val="num" w:pos="426"/>
        </w:tabs>
        <w:suppressAutoHyphens/>
        <w:spacing w:before="0"/>
        <w:rPr>
          <w:szCs w:val="20"/>
        </w:rPr>
      </w:pPr>
      <w:r>
        <w:t>This section shall not apply in the following cases:</w:t>
      </w:r>
    </w:p>
    <w:p w:rsidR="00431690" w:rsidRPr="00937C8B" w:rsidRDefault="00431690" w:rsidP="00425ADA">
      <w:pPr>
        <w:pStyle w:val="CTENormal"/>
        <w:numPr>
          <w:ilvl w:val="6"/>
          <w:numId w:val="26"/>
        </w:numPr>
        <w:tabs>
          <w:tab w:val="clear" w:pos="723"/>
          <w:tab w:val="num" w:pos="851"/>
        </w:tabs>
        <w:spacing w:before="0" w:after="60"/>
        <w:ind w:left="851" w:hanging="426"/>
        <w:jc w:val="both"/>
        <w:rPr>
          <w:sz w:val="20"/>
          <w:szCs w:val="20"/>
        </w:rPr>
      </w:pPr>
      <w:r>
        <w:rPr>
          <w:sz w:val="20"/>
        </w:rPr>
        <w:t xml:space="preserve">in </w:t>
      </w:r>
      <w:r>
        <w:rPr>
          <w:i/>
          <w:sz w:val="20"/>
        </w:rPr>
        <w:t>non-habitable spaces</w:t>
      </w:r>
      <w:r>
        <w:rPr>
          <w:sz w:val="20"/>
        </w:rPr>
        <w:t>, due to the low duration of stay;</w:t>
      </w:r>
    </w:p>
    <w:p w:rsidR="00431690" w:rsidRPr="00937C8B" w:rsidRDefault="00431690" w:rsidP="00425ADA">
      <w:pPr>
        <w:pStyle w:val="CTENormal"/>
        <w:numPr>
          <w:ilvl w:val="6"/>
          <w:numId w:val="26"/>
        </w:numPr>
        <w:tabs>
          <w:tab w:val="clear" w:pos="723"/>
          <w:tab w:val="num" w:pos="851"/>
        </w:tabs>
        <w:spacing w:before="0" w:after="60"/>
        <w:ind w:left="851" w:hanging="426"/>
        <w:jc w:val="both"/>
        <w:rPr>
          <w:sz w:val="20"/>
          <w:szCs w:val="20"/>
        </w:rPr>
      </w:pPr>
      <w:r>
        <w:rPr>
          <w:sz w:val="20"/>
        </w:rPr>
        <w:t xml:space="preserve">in </w:t>
      </w:r>
      <w:r>
        <w:rPr>
          <w:i/>
          <w:sz w:val="20"/>
        </w:rPr>
        <w:t>habitable spaces</w:t>
      </w:r>
      <w:r>
        <w:rPr>
          <w:sz w:val="20"/>
        </w:rPr>
        <w:t xml:space="preserve"> that are effectively separated from the ground by intermediate open spaces with a ventilation level analogous to that of outside air.</w:t>
      </w:r>
    </w:p>
    <w:p w:rsidR="00431690" w:rsidRPr="00937C8B" w:rsidRDefault="00431690" w:rsidP="00431690">
      <w:pPr>
        <w:keepNext/>
        <w:tabs>
          <w:tab w:val="left" w:pos="426"/>
        </w:tabs>
        <w:spacing w:before="480" w:after="160"/>
        <w:outlineLvl w:val="0"/>
        <w:rPr>
          <w:rFonts w:ascii="Arial" w:eastAsia="Calibri" w:hAnsi="Arial" w:cs="Arial"/>
          <w:b/>
          <w:bCs/>
          <w:noProof/>
          <w:kern w:val="32"/>
          <w:sz w:val="28"/>
          <w:szCs w:val="28"/>
        </w:rPr>
      </w:pPr>
      <w:bookmarkStart w:id="419" w:name="_Toc39157989"/>
      <w:bookmarkStart w:id="420" w:name="_Toc39158155"/>
      <w:r>
        <w:rPr>
          <w:rFonts w:ascii="Arial" w:hAnsi="Arial"/>
          <w:b/>
          <w:sz w:val="28"/>
        </w:rPr>
        <w:t>2.</w:t>
      </w:r>
      <w:r>
        <w:rPr>
          <w:rFonts w:ascii="Arial" w:hAnsi="Arial"/>
          <w:b/>
          <w:sz w:val="28"/>
        </w:rPr>
        <w:tab/>
        <w:t>Determination and quantification of the requirement</w:t>
      </w:r>
      <w:bookmarkEnd w:id="419"/>
      <w:bookmarkEnd w:id="420"/>
    </w:p>
    <w:p w:rsidR="00431690" w:rsidRPr="00937C8B" w:rsidRDefault="00431690" w:rsidP="00431690">
      <w:pPr>
        <w:pStyle w:val="CTENumeracion"/>
        <w:numPr>
          <w:ilvl w:val="0"/>
          <w:numId w:val="38"/>
        </w:numPr>
        <w:tabs>
          <w:tab w:val="clear" w:pos="567"/>
          <w:tab w:val="num" w:pos="426"/>
        </w:tabs>
        <w:suppressAutoHyphens/>
        <w:spacing w:before="0"/>
        <w:ind w:left="425" w:hanging="425"/>
        <w:rPr>
          <w:szCs w:val="20"/>
        </w:rPr>
      </w:pPr>
      <w:r>
        <w:t xml:space="preserve">To reduce the risk of exposing users to excessive concentrations of radon from the ground inside </w:t>
      </w:r>
      <w:r>
        <w:rPr>
          <w:i/>
          <w:iCs/>
        </w:rPr>
        <w:t>habitable spaces</w:t>
      </w:r>
      <w:r>
        <w:t xml:space="preserve">, a </w:t>
      </w:r>
      <w:r>
        <w:rPr>
          <w:i/>
          <w:iCs/>
        </w:rPr>
        <w:t>reference value</w:t>
      </w:r>
      <w:r>
        <w:t xml:space="preserve"> of 300 Bq/m</w:t>
      </w:r>
      <w:r>
        <w:rPr>
          <w:vertAlign w:val="superscript"/>
        </w:rPr>
        <w:t>3</w:t>
      </w:r>
      <w:r>
        <w:t xml:space="preserve"> is set for the </w:t>
      </w:r>
      <w:r>
        <w:rPr>
          <w:i/>
          <w:iCs/>
        </w:rPr>
        <w:t>annual average radon level</w:t>
      </w:r>
      <w:r>
        <w:t xml:space="preserve"> inside the spaces.</w:t>
      </w:r>
    </w:p>
    <w:p w:rsidR="00431690" w:rsidRPr="00937C8B" w:rsidRDefault="00831B50" w:rsidP="00831B50">
      <w:pPr>
        <w:keepNext/>
        <w:tabs>
          <w:tab w:val="left" w:pos="426"/>
        </w:tabs>
        <w:spacing w:before="480" w:after="160"/>
        <w:outlineLvl w:val="0"/>
        <w:rPr>
          <w:rFonts w:ascii="Arial" w:eastAsia="Calibri" w:hAnsi="Arial" w:cs="Arial"/>
          <w:b/>
          <w:bCs/>
          <w:noProof/>
          <w:kern w:val="32"/>
          <w:sz w:val="28"/>
          <w:szCs w:val="28"/>
        </w:rPr>
      </w:pPr>
      <w:bookmarkStart w:id="421" w:name="_Toc39157990"/>
      <w:bookmarkStart w:id="422" w:name="_Toc39158156"/>
      <w:r>
        <w:rPr>
          <w:rFonts w:ascii="Arial" w:hAnsi="Arial"/>
          <w:b/>
          <w:sz w:val="28"/>
        </w:rPr>
        <w:t>3.</w:t>
      </w:r>
      <w:r>
        <w:rPr>
          <w:rFonts w:ascii="Arial" w:hAnsi="Arial"/>
          <w:b/>
          <w:sz w:val="28"/>
        </w:rPr>
        <w:tab/>
        <w:t>Verification and demonstration of compliance with the requirement</w:t>
      </w:r>
      <w:bookmarkEnd w:id="421"/>
      <w:bookmarkEnd w:id="422"/>
    </w:p>
    <w:p w:rsidR="00431690" w:rsidRPr="00937C8B" w:rsidRDefault="00431690" w:rsidP="00D27646">
      <w:pPr>
        <w:pStyle w:val="CTENumeracion"/>
        <w:keepNext/>
        <w:numPr>
          <w:ilvl w:val="0"/>
          <w:numId w:val="39"/>
        </w:numPr>
        <w:tabs>
          <w:tab w:val="clear" w:pos="567"/>
          <w:tab w:val="num" w:pos="426"/>
        </w:tabs>
        <w:suppressAutoHyphens/>
        <w:spacing w:before="0"/>
        <w:ind w:left="426" w:hanging="426"/>
        <w:rPr>
          <w:szCs w:val="20"/>
        </w:rPr>
      </w:pPr>
      <w:r>
        <w:t xml:space="preserve">Verification of compliance with the </w:t>
      </w:r>
      <w:r>
        <w:rPr>
          <w:i/>
          <w:iCs/>
        </w:rPr>
        <w:t>reference level</w:t>
      </w:r>
      <w:r>
        <w:t xml:space="preserve"> in buildings located within the municipal boundaries given in Appendix B, according to the zone where the municipality is located, shall require implementation of the following solutions, or other solutions that provide a similar or higher level of protection:</w:t>
      </w:r>
    </w:p>
    <w:p w:rsidR="00431690" w:rsidRPr="00937C8B" w:rsidRDefault="00431690" w:rsidP="00255D36">
      <w:pPr>
        <w:pStyle w:val="CTENormal"/>
        <w:numPr>
          <w:ilvl w:val="0"/>
          <w:numId w:val="30"/>
        </w:numPr>
        <w:spacing w:before="0" w:after="60"/>
        <w:ind w:left="851" w:hanging="425"/>
        <w:jc w:val="both"/>
        <w:rPr>
          <w:rFonts w:ascii="Calibri" w:eastAsia="Calibri" w:hAnsi="Calibri"/>
          <w:sz w:val="20"/>
          <w:szCs w:val="20"/>
        </w:rPr>
      </w:pPr>
      <w:r>
        <w:rPr>
          <w:sz w:val="20"/>
        </w:rPr>
        <w:t xml:space="preserve">In municipalities in zone I, a </w:t>
      </w:r>
      <w:r>
        <w:rPr>
          <w:i/>
          <w:sz w:val="20"/>
        </w:rPr>
        <w:t>protective barrier</w:t>
      </w:r>
      <w:r>
        <w:rPr>
          <w:sz w:val="20"/>
        </w:rPr>
        <w:t xml:space="preserve">, with the characteristics given in section 3.1, shall be installed between the ground and the </w:t>
      </w:r>
      <w:r>
        <w:rPr>
          <w:i/>
          <w:iCs/>
          <w:sz w:val="20"/>
        </w:rPr>
        <w:t>habitable spaces</w:t>
      </w:r>
      <w:r>
        <w:rPr>
          <w:sz w:val="20"/>
        </w:rPr>
        <w:t xml:space="preserve"> of the building, to limit the penetration of gases from the ground.</w:t>
      </w:r>
    </w:p>
    <w:p w:rsidR="00431690" w:rsidRPr="00937C8B" w:rsidRDefault="00431690" w:rsidP="00831B50">
      <w:pPr>
        <w:pStyle w:val="CTENormal"/>
        <w:spacing w:before="0" w:after="60"/>
        <w:ind w:left="851"/>
        <w:jc w:val="both"/>
        <w:rPr>
          <w:rFonts w:eastAsia="Calibri"/>
          <w:sz w:val="20"/>
          <w:szCs w:val="20"/>
        </w:rPr>
      </w:pPr>
      <w:r>
        <w:rPr>
          <w:sz w:val="20"/>
        </w:rPr>
        <w:t xml:space="preserve">Alternatively, an air cavity may be installed between the ground and the </w:t>
      </w:r>
      <w:r>
        <w:rPr>
          <w:i/>
          <w:iCs/>
          <w:sz w:val="20"/>
        </w:rPr>
        <w:t>habitable spaces</w:t>
      </w:r>
      <w:r>
        <w:rPr>
          <w:sz w:val="20"/>
        </w:rPr>
        <w:t xml:space="preserve"> of the building, to reduce the entry of radon gas into these spaces. In this case, the air cavity shall be ventilated as indicated in section 3.2 and separated from the </w:t>
      </w:r>
      <w:r>
        <w:rPr>
          <w:i/>
          <w:iCs/>
          <w:sz w:val="20"/>
        </w:rPr>
        <w:t>habitable spaces</w:t>
      </w:r>
      <w:r>
        <w:rPr>
          <w:sz w:val="20"/>
        </w:rPr>
        <w:t xml:space="preserve"> by an enclosure free of cracks, fissures and discontinuities between the construction elements and systems that could allow the entry of radon.</w:t>
      </w:r>
    </w:p>
    <w:p w:rsidR="00431690" w:rsidRPr="00937C8B" w:rsidRDefault="00431690" w:rsidP="00D27646">
      <w:pPr>
        <w:pStyle w:val="CTENormal"/>
        <w:keepNext/>
        <w:numPr>
          <w:ilvl w:val="0"/>
          <w:numId w:val="30"/>
        </w:numPr>
        <w:spacing w:before="0" w:after="60"/>
        <w:ind w:left="709" w:hanging="284"/>
        <w:jc w:val="both"/>
        <w:rPr>
          <w:rFonts w:eastAsia="Calibri"/>
          <w:sz w:val="20"/>
          <w:szCs w:val="20"/>
        </w:rPr>
      </w:pPr>
      <w:r>
        <w:rPr>
          <w:sz w:val="20"/>
        </w:rPr>
        <w:t xml:space="preserve">In municipalities in zone II, a </w:t>
      </w:r>
      <w:r>
        <w:rPr>
          <w:i/>
          <w:sz w:val="20"/>
        </w:rPr>
        <w:t>protective barrier</w:t>
      </w:r>
      <w:r>
        <w:rPr>
          <w:sz w:val="20"/>
        </w:rPr>
        <w:t xml:space="preserve"> shall be installed with the characteristics given in section 3.1, along with an additional system, which may be:</w:t>
      </w:r>
    </w:p>
    <w:p w:rsidR="00431690" w:rsidRPr="00937C8B" w:rsidRDefault="00431690" w:rsidP="00425ADA">
      <w:pPr>
        <w:pStyle w:val="CTENormal"/>
        <w:numPr>
          <w:ilvl w:val="0"/>
          <w:numId w:val="37"/>
        </w:numPr>
        <w:tabs>
          <w:tab w:val="left" w:pos="1276"/>
        </w:tabs>
        <w:spacing w:before="0" w:after="60"/>
        <w:ind w:left="1276" w:hanging="283"/>
        <w:jc w:val="both"/>
        <w:rPr>
          <w:rFonts w:eastAsia="Calibri"/>
          <w:sz w:val="20"/>
          <w:szCs w:val="20"/>
        </w:rPr>
      </w:pPr>
      <w:r>
        <w:rPr>
          <w:sz w:val="20"/>
        </w:rPr>
        <w:t xml:space="preserve">a </w:t>
      </w:r>
      <w:r>
        <w:rPr>
          <w:i/>
          <w:sz w:val="20"/>
        </w:rPr>
        <w:t>ventilated containment space</w:t>
      </w:r>
      <w:r>
        <w:rPr>
          <w:sz w:val="20"/>
        </w:rPr>
        <w:t xml:space="preserve"> with the characteristics indicated in section 3.2, located between the ground and the spaces to be protected, to reduce the entry of radon from the ground into the </w:t>
      </w:r>
      <w:r>
        <w:rPr>
          <w:i/>
          <w:iCs/>
          <w:sz w:val="20"/>
        </w:rPr>
        <w:t>habitable spaces</w:t>
      </w:r>
      <w:r>
        <w:rPr>
          <w:sz w:val="20"/>
        </w:rPr>
        <w:t xml:space="preserve"> by mechanical or </w:t>
      </w:r>
      <w:r>
        <w:rPr>
          <w:i/>
          <w:iCs/>
          <w:sz w:val="20"/>
        </w:rPr>
        <w:t>natural ventilation</w:t>
      </w:r>
      <w:r>
        <w:rPr>
          <w:sz w:val="20"/>
        </w:rPr>
        <w:t>; or</w:t>
      </w:r>
    </w:p>
    <w:p w:rsidR="00431690" w:rsidRPr="00937C8B" w:rsidRDefault="00431690" w:rsidP="00425ADA">
      <w:pPr>
        <w:pStyle w:val="CTENormal"/>
        <w:numPr>
          <w:ilvl w:val="0"/>
          <w:numId w:val="37"/>
        </w:numPr>
        <w:tabs>
          <w:tab w:val="left" w:pos="1276"/>
        </w:tabs>
        <w:spacing w:before="0" w:after="60"/>
        <w:ind w:left="1276" w:hanging="283"/>
        <w:jc w:val="both"/>
        <w:rPr>
          <w:rFonts w:eastAsia="Calibri"/>
          <w:sz w:val="20"/>
          <w:szCs w:val="20"/>
        </w:rPr>
      </w:pPr>
      <w:r>
        <w:rPr>
          <w:sz w:val="20"/>
        </w:rPr>
        <w:t xml:space="preserve">a </w:t>
      </w:r>
      <w:r>
        <w:rPr>
          <w:i/>
          <w:sz w:val="20"/>
        </w:rPr>
        <w:t>soil depressurisation</w:t>
      </w:r>
      <w:r>
        <w:rPr>
          <w:sz w:val="20"/>
        </w:rPr>
        <w:t xml:space="preserve"> system with the characteristics given in section 3.3, which enables extraction of the gases in the ground adjacent to the building.</w:t>
      </w:r>
    </w:p>
    <w:p w:rsidR="00431690" w:rsidRPr="00937C8B" w:rsidRDefault="00431690" w:rsidP="00425ADA">
      <w:pPr>
        <w:pStyle w:val="CTENumeracion"/>
        <w:numPr>
          <w:ilvl w:val="0"/>
          <w:numId w:val="39"/>
        </w:numPr>
        <w:tabs>
          <w:tab w:val="clear" w:pos="567"/>
          <w:tab w:val="num" w:pos="426"/>
        </w:tabs>
        <w:suppressAutoHyphens/>
        <w:spacing w:before="0"/>
        <w:ind w:left="426" w:hanging="426"/>
        <w:rPr>
          <w:szCs w:val="20"/>
        </w:rPr>
      </w:pPr>
      <w:r>
        <w:t xml:space="preserve">If </w:t>
      </w:r>
      <w:r>
        <w:rPr>
          <w:i/>
          <w:iCs/>
        </w:rPr>
        <w:t>habitable spaces</w:t>
      </w:r>
      <w:r>
        <w:t xml:space="preserve"> are located in large unprotected areas, such as security booths in car parks, then as an alternative solution to those indicated above, these spaces may be protected by creating an overpressure inside the </w:t>
      </w:r>
      <w:r>
        <w:rPr>
          <w:i/>
          <w:iCs/>
        </w:rPr>
        <w:t>habitable space</w:t>
      </w:r>
      <w:r>
        <w:t xml:space="preserve"> by drawing in outside air.</w:t>
      </w:r>
    </w:p>
    <w:p w:rsidR="00431690" w:rsidRPr="00937C8B" w:rsidRDefault="00431690" w:rsidP="00425ADA">
      <w:pPr>
        <w:pStyle w:val="CTENumeracion"/>
        <w:numPr>
          <w:ilvl w:val="0"/>
          <w:numId w:val="39"/>
        </w:numPr>
        <w:tabs>
          <w:tab w:val="clear" w:pos="567"/>
          <w:tab w:val="num" w:pos="426"/>
        </w:tabs>
        <w:suppressAutoHyphens/>
        <w:spacing w:before="0"/>
        <w:ind w:left="426" w:hanging="426"/>
        <w:rPr>
          <w:szCs w:val="20"/>
        </w:rPr>
      </w:pPr>
      <w:r>
        <w:t xml:space="preserve">In cases of work on existing buildings, the above solutions may be supplemented with alternative solutions, which in combination enable proper control of radon penetration. In any case, </w:t>
      </w:r>
      <w:r>
        <w:rPr>
          <w:i/>
          <w:iCs/>
        </w:rPr>
        <w:t>habitable spaces</w:t>
      </w:r>
      <w:r>
        <w:t xml:space="preserve"> must have an indoor ventilation level that meets the applicable air quality regulations.</w:t>
      </w:r>
    </w:p>
    <w:p w:rsidR="00431690" w:rsidRPr="00937C8B" w:rsidRDefault="00431690" w:rsidP="00D27646">
      <w:pPr>
        <w:pStyle w:val="CTENumeracion"/>
        <w:keepNext/>
        <w:numPr>
          <w:ilvl w:val="0"/>
          <w:numId w:val="39"/>
        </w:numPr>
        <w:tabs>
          <w:tab w:val="clear" w:pos="567"/>
          <w:tab w:val="num" w:pos="426"/>
        </w:tabs>
        <w:suppressAutoHyphens/>
        <w:spacing w:before="0"/>
        <w:ind w:left="426" w:hanging="426"/>
        <w:rPr>
          <w:szCs w:val="20"/>
        </w:rPr>
      </w:pPr>
      <w:r>
        <w:t xml:space="preserve">In cases of work on existing buildings, if measurement values are available for the </w:t>
      </w:r>
      <w:r>
        <w:rPr>
          <w:i/>
          <w:iCs/>
        </w:rPr>
        <w:t>annual average radon level</w:t>
      </w:r>
      <w:r>
        <w:t xml:space="preserve">, obtained according to Appendix C, and one of the sampling zones established in accordance with that appendix exceeds the </w:t>
      </w:r>
      <w:r>
        <w:rPr>
          <w:i/>
          <w:iCs/>
        </w:rPr>
        <w:t>reference level</w:t>
      </w:r>
      <w:r>
        <w:t>, the following shall be taken into account:</w:t>
      </w:r>
    </w:p>
    <w:p w:rsidR="00431690" w:rsidRPr="00937C8B" w:rsidRDefault="00431690" w:rsidP="00425ADA">
      <w:pPr>
        <w:pStyle w:val="CTENormal"/>
        <w:numPr>
          <w:ilvl w:val="1"/>
          <w:numId w:val="39"/>
        </w:numPr>
        <w:tabs>
          <w:tab w:val="clear" w:pos="1134"/>
          <w:tab w:val="num" w:pos="851"/>
        </w:tabs>
        <w:spacing w:before="0" w:after="60"/>
        <w:ind w:left="851" w:hanging="425"/>
        <w:jc w:val="both"/>
        <w:rPr>
          <w:rFonts w:eastAsia="Calibri"/>
          <w:sz w:val="20"/>
          <w:szCs w:val="20"/>
        </w:rPr>
      </w:pPr>
      <w:r>
        <w:rPr>
          <w:sz w:val="20"/>
        </w:rPr>
        <w:t>if the values are between the</w:t>
      </w:r>
      <w:r>
        <w:rPr>
          <w:i/>
          <w:sz w:val="20"/>
        </w:rPr>
        <w:t xml:space="preserve"> reference level</w:t>
      </w:r>
      <w:r>
        <w:rPr>
          <w:sz w:val="20"/>
        </w:rPr>
        <w:t xml:space="preserve"> and twice the </w:t>
      </w:r>
      <w:r>
        <w:rPr>
          <w:i/>
          <w:sz w:val="20"/>
        </w:rPr>
        <w:t>reference level</w:t>
      </w:r>
      <w:r>
        <w:rPr>
          <w:sz w:val="20"/>
        </w:rPr>
        <w:t>, the solutions for municipalities in zone I shall be applied;</w:t>
      </w:r>
    </w:p>
    <w:p w:rsidR="00431690" w:rsidRPr="00937C8B" w:rsidRDefault="00431690" w:rsidP="00425ADA">
      <w:pPr>
        <w:pStyle w:val="CTENormal"/>
        <w:numPr>
          <w:ilvl w:val="1"/>
          <w:numId w:val="39"/>
        </w:numPr>
        <w:tabs>
          <w:tab w:val="clear" w:pos="1134"/>
          <w:tab w:val="num" w:pos="851"/>
        </w:tabs>
        <w:spacing w:before="0" w:after="60"/>
        <w:ind w:left="851" w:hanging="425"/>
        <w:jc w:val="both"/>
        <w:rPr>
          <w:rFonts w:eastAsia="Calibri"/>
          <w:sz w:val="20"/>
          <w:szCs w:val="20"/>
        </w:rPr>
      </w:pPr>
      <w:r>
        <w:rPr>
          <w:sz w:val="20"/>
        </w:rPr>
        <w:t>if the values are greater than twice the</w:t>
      </w:r>
      <w:r>
        <w:rPr>
          <w:i/>
          <w:sz w:val="20"/>
        </w:rPr>
        <w:t xml:space="preserve"> reference level,</w:t>
      </w:r>
      <w:r>
        <w:rPr>
          <w:sz w:val="20"/>
        </w:rPr>
        <w:t xml:space="preserve"> the solutions for municipalities in zone II shall be applied.</w:t>
      </w:r>
    </w:p>
    <w:p w:rsidR="00431690" w:rsidRPr="00937C8B" w:rsidRDefault="00431690" w:rsidP="00431690">
      <w:pPr>
        <w:pStyle w:val="CteTtulo2"/>
        <w:tabs>
          <w:tab w:val="left" w:pos="454"/>
        </w:tabs>
        <w:spacing w:before="280"/>
        <w:rPr>
          <w:szCs w:val="24"/>
        </w:rPr>
      </w:pPr>
      <w:bookmarkStart w:id="423" w:name="_Toc39157991"/>
      <w:bookmarkStart w:id="424" w:name="_Toc39158157"/>
      <w:r>
        <w:t xml:space="preserve">3.1 </w:t>
      </w:r>
      <w:r>
        <w:rPr>
          <w:i/>
        </w:rPr>
        <w:t>Protective barrier</w:t>
      </w:r>
      <w:bookmarkEnd w:id="423"/>
      <w:bookmarkEnd w:id="424"/>
    </w:p>
    <w:p w:rsidR="00431690" w:rsidRPr="00937C8B" w:rsidRDefault="00431690" w:rsidP="00431690">
      <w:pPr>
        <w:pStyle w:val="Ttulo3CTE"/>
      </w:pPr>
      <w:bookmarkStart w:id="425" w:name="_Toc39157992"/>
      <w:r>
        <w:t>3.1.1 Barrier characteristics</w:t>
      </w:r>
      <w:bookmarkEnd w:id="425"/>
    </w:p>
    <w:p w:rsidR="00431690" w:rsidRPr="00937C8B" w:rsidRDefault="00431690" w:rsidP="00425ADA">
      <w:pPr>
        <w:pStyle w:val="CTENumeracion"/>
        <w:numPr>
          <w:ilvl w:val="0"/>
          <w:numId w:val="63"/>
        </w:numPr>
        <w:tabs>
          <w:tab w:val="clear" w:pos="993"/>
          <w:tab w:val="num" w:pos="426"/>
        </w:tabs>
        <w:suppressAutoHyphens/>
        <w:spacing w:before="0"/>
        <w:ind w:left="426" w:hanging="426"/>
        <w:rPr>
          <w:szCs w:val="20"/>
        </w:rPr>
      </w:pPr>
      <w:r>
        <w:t xml:space="preserve">A </w:t>
      </w:r>
      <w:r>
        <w:rPr>
          <w:i/>
          <w:iCs/>
        </w:rPr>
        <w:t>protective barrier</w:t>
      </w:r>
      <w:r>
        <w:t xml:space="preserve"> shall be any element that limits the entry of gases from the ground with demonstrated effectiveness.</w:t>
      </w:r>
    </w:p>
    <w:p w:rsidR="00431690" w:rsidRPr="00937C8B" w:rsidRDefault="00431690" w:rsidP="00425ADA">
      <w:pPr>
        <w:pStyle w:val="CTENumeracion"/>
        <w:numPr>
          <w:ilvl w:val="0"/>
          <w:numId w:val="63"/>
        </w:numPr>
        <w:tabs>
          <w:tab w:val="clear" w:pos="993"/>
          <w:tab w:val="num" w:pos="426"/>
        </w:tabs>
        <w:suppressAutoHyphens/>
        <w:spacing w:before="0"/>
        <w:ind w:left="426" w:hanging="426"/>
        <w:rPr>
          <w:szCs w:val="20"/>
        </w:rPr>
      </w:pPr>
      <w:r>
        <w:t xml:space="preserve">The barrier may be dimensioned as described in section 3.1.2, although film barriers with a radon </w:t>
      </w:r>
      <w:r>
        <w:rPr>
          <w:i/>
          <w:iCs/>
        </w:rPr>
        <w:t>diffusion coefficient</w:t>
      </w:r>
      <w:r>
        <w:t xml:space="preserve"> of less than 10</w:t>
      </w:r>
      <w:r>
        <w:rPr>
          <w:vertAlign w:val="superscript"/>
        </w:rPr>
        <w:t>-11</w:t>
      </w:r>
      <w:r>
        <w:t xml:space="preserve"> m</w:t>
      </w:r>
      <w:r>
        <w:rPr>
          <w:vertAlign w:val="superscript"/>
        </w:rPr>
        <w:t>2</w:t>
      </w:r>
      <w:r>
        <w:t>/s and a minimum thickness of 2 mm are considered valid (with no need for calculation).</w:t>
      </w:r>
    </w:p>
    <w:p w:rsidR="00431690" w:rsidRPr="00937C8B" w:rsidRDefault="00431690" w:rsidP="00D27646">
      <w:pPr>
        <w:pStyle w:val="CTENumeracion"/>
        <w:keepNext/>
        <w:numPr>
          <w:ilvl w:val="0"/>
          <w:numId w:val="63"/>
        </w:numPr>
        <w:tabs>
          <w:tab w:val="clear" w:pos="993"/>
          <w:tab w:val="num" w:pos="426"/>
        </w:tabs>
        <w:suppressAutoHyphens/>
        <w:spacing w:before="0"/>
        <w:ind w:left="426" w:hanging="426"/>
        <w:rPr>
          <w:szCs w:val="20"/>
        </w:rPr>
      </w:pPr>
      <w:r>
        <w:t xml:space="preserve">The </w:t>
      </w:r>
      <w:r>
        <w:rPr>
          <w:i/>
        </w:rPr>
        <w:t>protective barrier</w:t>
      </w:r>
      <w:r>
        <w:t xml:space="preserve"> shall also feature the following characteristics:</w:t>
      </w:r>
    </w:p>
    <w:p w:rsidR="00431690" w:rsidRPr="00937C8B" w:rsidRDefault="00431690" w:rsidP="00425ADA">
      <w:pPr>
        <w:pStyle w:val="CTENormal"/>
        <w:numPr>
          <w:ilvl w:val="0"/>
          <w:numId w:val="31"/>
        </w:numPr>
        <w:spacing w:before="0" w:after="60"/>
        <w:ind w:left="851" w:hanging="425"/>
        <w:jc w:val="both"/>
        <w:rPr>
          <w:rFonts w:eastAsia="Calibri"/>
          <w:sz w:val="20"/>
          <w:szCs w:val="20"/>
        </w:rPr>
      </w:pPr>
      <w:r>
        <w:rPr>
          <w:sz w:val="20"/>
        </w:rPr>
        <w:t>continuity: joints and seams sealed;</w:t>
      </w:r>
    </w:p>
    <w:p w:rsidR="00431690" w:rsidRPr="00937C8B" w:rsidRDefault="00431690" w:rsidP="00831B50">
      <w:pPr>
        <w:pStyle w:val="CTENormal"/>
        <w:numPr>
          <w:ilvl w:val="0"/>
          <w:numId w:val="31"/>
        </w:numPr>
        <w:spacing w:before="0" w:after="60"/>
        <w:ind w:left="709" w:hanging="283"/>
        <w:jc w:val="both"/>
        <w:rPr>
          <w:rFonts w:eastAsia="Calibri"/>
          <w:sz w:val="20"/>
          <w:szCs w:val="20"/>
        </w:rPr>
      </w:pPr>
      <w:r>
        <w:rPr>
          <w:sz w:val="20"/>
        </w:rPr>
        <w:t>sealing of joints with elements that interrupt the barrier, such as line penetrations, etc.;</w:t>
      </w:r>
    </w:p>
    <w:p w:rsidR="00431690" w:rsidRPr="00937C8B" w:rsidRDefault="00431690" w:rsidP="00425ADA">
      <w:pPr>
        <w:pStyle w:val="CTENormal"/>
        <w:numPr>
          <w:ilvl w:val="0"/>
          <w:numId w:val="31"/>
        </w:numPr>
        <w:spacing w:before="0" w:after="60"/>
        <w:ind w:left="851" w:hanging="425"/>
        <w:jc w:val="both"/>
        <w:rPr>
          <w:rFonts w:eastAsia="Calibri"/>
          <w:sz w:val="20"/>
          <w:szCs w:val="20"/>
        </w:rPr>
      </w:pPr>
      <w:r>
        <w:rPr>
          <w:sz w:val="20"/>
        </w:rPr>
        <w:t>connecting doors that interrupt the continuity of the barrier shall be sealed and fitted with an automatic closing device;</w:t>
      </w:r>
    </w:p>
    <w:p w:rsidR="00831B50" w:rsidRPr="00937C8B" w:rsidRDefault="00431690" w:rsidP="00831B50">
      <w:pPr>
        <w:pStyle w:val="CTENormal"/>
        <w:numPr>
          <w:ilvl w:val="0"/>
          <w:numId w:val="31"/>
        </w:numPr>
        <w:spacing w:before="0" w:after="60"/>
        <w:ind w:left="851" w:hanging="425"/>
        <w:jc w:val="both"/>
        <w:rPr>
          <w:rFonts w:eastAsia="Calibri"/>
          <w:sz w:val="20"/>
          <w:szCs w:val="20"/>
        </w:rPr>
      </w:pPr>
      <w:r>
        <w:rPr>
          <w:sz w:val="20"/>
        </w:rPr>
        <w:t>they shall not feature any cracks that enable entry of radon from the ground by convection;</w:t>
      </w:r>
    </w:p>
    <w:p w:rsidR="00431690" w:rsidRPr="00937C8B" w:rsidRDefault="00431690" w:rsidP="00425ADA">
      <w:pPr>
        <w:pStyle w:val="CTENormal"/>
        <w:numPr>
          <w:ilvl w:val="0"/>
          <w:numId w:val="31"/>
        </w:numPr>
        <w:spacing w:before="0" w:after="60"/>
        <w:ind w:left="851" w:hanging="425"/>
        <w:jc w:val="both"/>
        <w:rPr>
          <w:rFonts w:eastAsia="Calibri"/>
          <w:sz w:val="20"/>
          <w:szCs w:val="20"/>
        </w:rPr>
      </w:pPr>
      <w:r>
        <w:rPr>
          <w:sz w:val="20"/>
        </w:rPr>
        <w:t>their durability shall be suitable for the service life, conditions and planned maintenance of the building.</w:t>
      </w:r>
    </w:p>
    <w:p w:rsidR="00431690" w:rsidRPr="00937C8B" w:rsidRDefault="00431690" w:rsidP="00425ADA">
      <w:pPr>
        <w:pStyle w:val="CTENumeracion"/>
        <w:numPr>
          <w:ilvl w:val="0"/>
          <w:numId w:val="40"/>
        </w:numPr>
        <w:tabs>
          <w:tab w:val="clear" w:pos="567"/>
        </w:tabs>
        <w:suppressAutoHyphens/>
        <w:spacing w:before="0"/>
        <w:ind w:left="425" w:hanging="425"/>
        <w:rPr>
          <w:szCs w:val="20"/>
        </w:rPr>
      </w:pPr>
      <w:r>
        <w:t xml:space="preserve">For work on existing buildings, if it is not possible to install a barrier with the characteristics given in this section, the enclosures located between the ground and the </w:t>
      </w:r>
      <w:r>
        <w:rPr>
          <w:i/>
          <w:iCs/>
        </w:rPr>
        <w:t>habitable spaces</w:t>
      </w:r>
      <w:r>
        <w:t xml:space="preserve"> shall serve as a barrier. For this, the cracks and joints of these enclosures shall be carefully sealed and shall meet at least the provisions of subparagraphs b and c of the preceding paragraph.</w:t>
      </w:r>
    </w:p>
    <w:p w:rsidR="00431690" w:rsidRPr="00937C8B" w:rsidRDefault="00431690" w:rsidP="00431690">
      <w:pPr>
        <w:pStyle w:val="Ttulo3CTE"/>
      </w:pPr>
      <w:bookmarkStart w:id="426" w:name="_Toc39157993"/>
      <w:r>
        <w:t>3.1.2 Barrier dimensions</w:t>
      </w:r>
      <w:bookmarkEnd w:id="426"/>
    </w:p>
    <w:p w:rsidR="00431690" w:rsidRPr="00937C8B" w:rsidRDefault="00431690" w:rsidP="00425ADA">
      <w:pPr>
        <w:pStyle w:val="CTENumeracion"/>
        <w:numPr>
          <w:ilvl w:val="0"/>
          <w:numId w:val="64"/>
        </w:numPr>
        <w:tabs>
          <w:tab w:val="clear" w:pos="993"/>
          <w:tab w:val="num" w:pos="426"/>
        </w:tabs>
        <w:suppressAutoHyphens/>
        <w:spacing w:before="0"/>
        <w:ind w:left="426" w:hanging="426"/>
        <w:rPr>
          <w:szCs w:val="20"/>
        </w:rPr>
      </w:pPr>
      <w:r>
        <w:t xml:space="preserve">The thickness and </w:t>
      </w:r>
      <w:r>
        <w:rPr>
          <w:i/>
        </w:rPr>
        <w:t>diffusion coefficient</w:t>
      </w:r>
      <w:r>
        <w:t xml:space="preserve"> of the barrier shall ensure that its projected radon exhalation rate (E) is less than the exhalation rate limit (E</w:t>
      </w:r>
      <w:r>
        <w:rPr>
          <w:vertAlign w:val="subscript"/>
        </w:rPr>
        <w:t>lim</w:t>
      </w:r>
      <w:r>
        <w:t>).</w:t>
      </w:r>
    </w:p>
    <w:p w:rsidR="00431690" w:rsidRPr="00937C8B" w:rsidRDefault="00431690" w:rsidP="00D27646">
      <w:pPr>
        <w:pStyle w:val="CTENumeracion"/>
        <w:keepNext/>
        <w:numPr>
          <w:ilvl w:val="0"/>
          <w:numId w:val="64"/>
        </w:numPr>
        <w:tabs>
          <w:tab w:val="clear" w:pos="993"/>
          <w:tab w:val="num" w:pos="426"/>
        </w:tabs>
        <w:suppressAutoHyphens/>
        <w:spacing w:before="0"/>
        <w:ind w:left="426" w:hanging="426"/>
        <w:rPr>
          <w:szCs w:val="20"/>
        </w:rPr>
      </w:pPr>
      <w:r>
        <w:t>The exhalation rate limit (E</w:t>
      </w:r>
      <w:r>
        <w:rPr>
          <w:vertAlign w:val="subscript"/>
        </w:rPr>
        <w:t>lim</w:t>
      </w:r>
      <w:r>
        <w:t>) is determined using the following equation:</w:t>
      </w:r>
    </w:p>
    <w:p w:rsidR="00431690" w:rsidRPr="00937C8B" w:rsidRDefault="003974EC" w:rsidP="00431690">
      <w:pPr>
        <w:pStyle w:val="CTENormal"/>
        <w:tabs>
          <w:tab w:val="left" w:pos="8789"/>
        </w:tabs>
        <w:spacing w:before="0" w:after="60"/>
        <w:ind w:left="426"/>
        <w:rPr>
          <w:szCs w:val="20"/>
        </w:rPr>
      </w:p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lim</m:t>
            </m:r>
          </m:sub>
        </m:sSub>
        <m:r>
          <w:rPr>
            <w:rFonts w:ascii="Cambria Math" w:hAnsi="Cambria Math"/>
            <w:szCs w:val="20"/>
            <w:lang w:val="pt-PT"/>
          </w:rPr>
          <m:t>=</m:t>
        </m:r>
        <m:sSub>
          <m:sSubPr>
            <m:ctrlPr>
              <w:rPr>
                <w:rFonts w:ascii="Cambria Math" w:hAnsi="Cambria Math"/>
                <w:i/>
                <w:szCs w:val="20"/>
              </w:rPr>
            </m:ctrlPr>
          </m:sSubPr>
          <m:e>
            <m:r>
              <w:rPr>
                <w:rFonts w:ascii="Cambria Math" w:hAnsi="Cambria Math"/>
                <w:szCs w:val="20"/>
              </w:rPr>
              <m:t>C</m:t>
            </m:r>
          </m:e>
          <m:sub>
            <m:r>
              <w:rPr>
                <w:rFonts w:ascii="Cambria Math" w:hAnsi="Cambria Math"/>
                <w:szCs w:val="20"/>
              </w:rPr>
              <m:t>d</m:t>
            </m:r>
          </m:sub>
        </m:sSub>
        <m:r>
          <w:rPr>
            <w:rFonts w:ascii="Cambria Math" w:hAnsi="Cambria Math"/>
            <w:szCs w:val="20"/>
            <w:lang w:val="pt-PT"/>
          </w:rPr>
          <m:t>·</m:t>
        </m:r>
        <m:f>
          <m:fPr>
            <m:ctrlPr>
              <w:rPr>
                <w:rFonts w:ascii="Cambria Math" w:hAnsi="Cambria Math"/>
                <w:i/>
                <w:szCs w:val="20"/>
              </w:rPr>
            </m:ctrlPr>
          </m:fPr>
          <m:num>
            <m:r>
              <w:rPr>
                <w:rFonts w:ascii="Cambria Math" w:hAnsi="Cambria Math"/>
                <w:szCs w:val="20"/>
              </w:rPr>
              <m:t>Q</m:t>
            </m:r>
          </m:num>
          <m:den>
            <m:r>
              <w:rPr>
                <w:rFonts w:ascii="Cambria Math" w:hAnsi="Cambria Math"/>
                <w:szCs w:val="20"/>
              </w:rPr>
              <m:t>A</m:t>
            </m:r>
          </m:den>
        </m:f>
      </m:oMath>
      <w:r w:rsidR="00831252">
        <w:t xml:space="preserve">   [Bq/m</w:t>
      </w:r>
      <w:r w:rsidR="00831252">
        <w:rPr>
          <w:vertAlign w:val="superscript"/>
        </w:rPr>
        <w:t>2</w:t>
      </w:r>
      <w:r w:rsidR="00831252">
        <w:t>·h]</w:t>
      </w:r>
      <w:r w:rsidR="00831252">
        <w:tab/>
        <w:t>(3.1)</w:t>
      </w:r>
    </w:p>
    <w:p w:rsidR="00431690" w:rsidRPr="00937C8B" w:rsidRDefault="00431690" w:rsidP="00431690">
      <w:pPr>
        <w:pStyle w:val="CTENormal"/>
        <w:spacing w:before="0" w:after="60"/>
        <w:ind w:left="426"/>
        <w:rPr>
          <w:rFonts w:eastAsia="Calibri"/>
          <w:sz w:val="20"/>
          <w:szCs w:val="20"/>
        </w:rPr>
      </w:pPr>
      <w:r>
        <w:rPr>
          <w:sz w:val="20"/>
        </w:rPr>
        <w:t>where</w:t>
      </w:r>
    </w:p>
    <w:p w:rsidR="00431690" w:rsidRPr="00937C8B" w:rsidRDefault="00431690" w:rsidP="00431690">
      <w:pPr>
        <w:tabs>
          <w:tab w:val="left" w:pos="851"/>
        </w:tabs>
        <w:suppressAutoHyphens/>
        <w:spacing w:after="60"/>
        <w:ind w:left="851" w:hanging="425"/>
        <w:rPr>
          <w:rFonts w:ascii="Arial" w:hAnsi="Arial" w:cs="Arial"/>
          <w:sz w:val="20"/>
          <w:szCs w:val="20"/>
        </w:rPr>
      </w:pPr>
      <w:r>
        <w:rPr>
          <w:rFonts w:ascii="Arial" w:hAnsi="Arial"/>
          <w:sz w:val="20"/>
        </w:rPr>
        <w:t>C</w:t>
      </w:r>
      <w:r>
        <w:rPr>
          <w:rFonts w:ascii="Arial" w:hAnsi="Arial"/>
          <w:sz w:val="20"/>
          <w:vertAlign w:val="subscript"/>
        </w:rPr>
        <w:t>d</w:t>
      </w:r>
      <w:r>
        <w:rPr>
          <w:rFonts w:ascii="Arial" w:hAnsi="Arial"/>
          <w:sz w:val="20"/>
        </w:rPr>
        <w:tab/>
        <w:t xml:space="preserve">is the design concentration, corresponding to 10% of the </w:t>
      </w:r>
      <w:r>
        <w:rPr>
          <w:rFonts w:ascii="Arial" w:hAnsi="Arial"/>
          <w:i/>
          <w:sz w:val="20"/>
        </w:rPr>
        <w:t>reference level</w:t>
      </w:r>
      <w:r>
        <w:rPr>
          <w:rFonts w:ascii="Arial" w:hAnsi="Arial"/>
          <w:sz w:val="20"/>
        </w:rPr>
        <w:t xml:space="preserve"> [Bq/m</w:t>
      </w:r>
      <w:r>
        <w:rPr>
          <w:rFonts w:ascii="Arial" w:hAnsi="Arial"/>
          <w:sz w:val="20"/>
          <w:vertAlign w:val="superscript"/>
        </w:rPr>
        <w:t>3</w:t>
      </w:r>
      <w:r>
        <w:rPr>
          <w:rFonts w:ascii="Arial" w:hAnsi="Arial"/>
          <w:sz w:val="20"/>
        </w:rPr>
        <w:t>];</w:t>
      </w:r>
    </w:p>
    <w:p w:rsidR="00431690" w:rsidRPr="00937C8B" w:rsidRDefault="00431690" w:rsidP="00431690">
      <w:pPr>
        <w:tabs>
          <w:tab w:val="left" w:pos="851"/>
        </w:tabs>
        <w:suppressAutoHyphens/>
        <w:spacing w:after="60"/>
        <w:ind w:left="851" w:hanging="425"/>
        <w:rPr>
          <w:rFonts w:ascii="Arial" w:hAnsi="Arial" w:cs="Arial"/>
          <w:sz w:val="20"/>
          <w:szCs w:val="20"/>
        </w:rPr>
      </w:pPr>
      <w:r>
        <w:rPr>
          <w:rFonts w:ascii="Arial" w:hAnsi="Arial"/>
          <w:sz w:val="20"/>
        </w:rPr>
        <w:t>Q</w:t>
      </w:r>
      <w:r>
        <w:rPr>
          <w:rFonts w:ascii="Arial" w:hAnsi="Arial"/>
          <w:sz w:val="20"/>
        </w:rPr>
        <w:tab/>
        <w:t>is the ventilation rate of the space to be protected [m</w:t>
      </w:r>
      <w:r>
        <w:rPr>
          <w:rFonts w:ascii="Arial" w:hAnsi="Arial"/>
          <w:sz w:val="20"/>
          <w:vertAlign w:val="superscript"/>
        </w:rPr>
        <w:t>3</w:t>
      </w:r>
      <w:r>
        <w:rPr>
          <w:rFonts w:ascii="Arial" w:hAnsi="Arial"/>
          <w:sz w:val="20"/>
        </w:rPr>
        <w:t>/h]. If the ventilation value is not known, the calculation may use a flow rate corresponding to 0.1 air changes per hour;</w:t>
      </w:r>
    </w:p>
    <w:p w:rsidR="00431690" w:rsidRPr="00937C8B" w:rsidRDefault="00431690" w:rsidP="00431690">
      <w:pPr>
        <w:tabs>
          <w:tab w:val="left" w:pos="851"/>
        </w:tabs>
        <w:suppressAutoHyphens/>
        <w:spacing w:after="60"/>
        <w:ind w:left="851" w:hanging="425"/>
        <w:rPr>
          <w:rFonts w:ascii="Arial" w:hAnsi="Arial" w:cs="Arial"/>
          <w:sz w:val="20"/>
          <w:szCs w:val="20"/>
        </w:rPr>
      </w:pPr>
      <w:r>
        <w:rPr>
          <w:rFonts w:ascii="Arial" w:hAnsi="Arial"/>
          <w:sz w:val="20"/>
        </w:rPr>
        <w:t>A</w:t>
      </w:r>
      <w:r>
        <w:rPr>
          <w:rFonts w:ascii="Arial" w:hAnsi="Arial"/>
          <w:sz w:val="20"/>
        </w:rPr>
        <w:tab/>
        <w:t>is the area of the barrier [m</w:t>
      </w:r>
      <w:r>
        <w:rPr>
          <w:rFonts w:ascii="Arial" w:hAnsi="Arial"/>
          <w:sz w:val="20"/>
          <w:vertAlign w:val="superscript"/>
        </w:rPr>
        <w:t>2</w:t>
      </w:r>
      <w:r>
        <w:rPr>
          <w:rFonts w:ascii="Arial" w:hAnsi="Arial"/>
          <w:sz w:val="20"/>
        </w:rPr>
        <w:t>].</w:t>
      </w:r>
    </w:p>
    <w:p w:rsidR="00431690" w:rsidRPr="00937C8B" w:rsidRDefault="00431690" w:rsidP="00D27646">
      <w:pPr>
        <w:pStyle w:val="CTENumeracion"/>
        <w:keepNext/>
        <w:numPr>
          <w:ilvl w:val="0"/>
          <w:numId w:val="64"/>
        </w:numPr>
        <w:tabs>
          <w:tab w:val="clear" w:pos="993"/>
          <w:tab w:val="num" w:pos="426"/>
        </w:tabs>
        <w:suppressAutoHyphens/>
        <w:spacing w:before="0"/>
        <w:ind w:left="426" w:hanging="426"/>
        <w:rPr>
          <w:szCs w:val="20"/>
        </w:rPr>
      </w:pPr>
      <w:r>
        <w:t>In the absence of specific studies, the projected radon exhalation rate for the barrier (E) may be estimated using the following expression:</w:t>
      </w:r>
    </w:p>
    <w:p w:rsidR="00431690" w:rsidRPr="00937C8B" w:rsidRDefault="00A03C86" w:rsidP="00431690">
      <w:pPr>
        <w:pStyle w:val="CTENormal"/>
        <w:tabs>
          <w:tab w:val="left" w:pos="8789"/>
        </w:tabs>
        <w:spacing w:before="0" w:after="60"/>
        <w:ind w:left="284" w:firstLine="142"/>
        <w:rPr>
          <w:szCs w:val="20"/>
        </w:rPr>
      </w:pPr>
      <m:oMath>
        <m:r>
          <w:rPr>
            <w:rFonts w:ascii="Cambria Math" w:hAnsi="Cambria Math"/>
            <w:szCs w:val="20"/>
          </w:rPr>
          <m:t>E</m:t>
        </m:r>
        <m:r>
          <w:rPr>
            <w:rFonts w:ascii="Cambria Math" w:hAnsi="Cambria Math"/>
            <w:szCs w:val="20"/>
            <w:lang w:val="pt-PT"/>
          </w:rPr>
          <m:t>=</m:t>
        </m:r>
        <m:f>
          <m:fPr>
            <m:ctrlPr>
              <w:rPr>
                <w:rFonts w:ascii="Cambria Math" w:hAnsi="Cambria Math"/>
                <w:i/>
                <w:szCs w:val="20"/>
              </w:rPr>
            </m:ctrlPr>
          </m:fPr>
          <m:num>
            <m:r>
              <w:rPr>
                <w:rFonts w:ascii="Cambria Math" w:hAnsi="Cambria Math"/>
                <w:szCs w:val="20"/>
                <w:lang w:val="pt-PT"/>
              </w:rPr>
              <m:t>3·</m:t>
            </m:r>
            <m:sSup>
              <m:sSupPr>
                <m:ctrlPr>
                  <w:rPr>
                    <w:rFonts w:ascii="Cambria Math" w:hAnsi="Cambria Math"/>
                    <w:i/>
                    <w:szCs w:val="20"/>
                  </w:rPr>
                </m:ctrlPr>
              </m:sSupPr>
              <m:e>
                <m:r>
                  <w:rPr>
                    <w:rFonts w:ascii="Cambria Math" w:hAnsi="Cambria Math"/>
                    <w:szCs w:val="20"/>
                    <w:lang w:val="pt-PT"/>
                  </w:rPr>
                  <m:t>10</m:t>
                </m:r>
              </m:e>
              <m:sup>
                <m:r>
                  <w:rPr>
                    <w:rFonts w:ascii="Cambria Math" w:hAnsi="Cambria Math"/>
                    <w:szCs w:val="20"/>
                    <w:lang w:val="pt-PT"/>
                  </w:rPr>
                  <m:t>5</m:t>
                </m:r>
              </m:sup>
            </m:sSup>
            <m:r>
              <w:rPr>
                <w:rFonts w:ascii="Cambria Math" w:hAnsi="Cambria Math"/>
                <w:szCs w:val="20"/>
                <w:lang w:val="pt-PT"/>
              </w:rPr>
              <m:t>·</m:t>
            </m:r>
            <m:r>
              <w:rPr>
                <w:rFonts w:ascii="Cambria Math" w:hAnsi="Cambria Math"/>
                <w:szCs w:val="20"/>
              </w:rPr>
              <m:t>λ</m:t>
            </m:r>
            <m:r>
              <w:rPr>
                <w:rFonts w:ascii="Cambria Math" w:hAnsi="Cambria Math"/>
                <w:szCs w:val="20"/>
                <w:lang w:val="pt-PT"/>
              </w:rPr>
              <m:t>·</m:t>
            </m:r>
            <m:r>
              <w:rPr>
                <w:rFonts w:ascii="Cambria Math" w:hAnsi="Cambria Math"/>
                <w:szCs w:val="20"/>
              </w:rPr>
              <m:t>l</m:t>
            </m:r>
          </m:num>
          <m:den>
            <m:r>
              <w:rPr>
                <w:rFonts w:ascii="Cambria Math" w:hAnsi="Cambria Math"/>
                <w:szCs w:val="20"/>
              </w:rPr>
              <m:t>sen</m:t>
            </m:r>
            <m:r>
              <w:rPr>
                <w:rFonts w:ascii="Cambria Math" w:hAnsi="Cambria Math"/>
                <w:szCs w:val="20"/>
                <w:lang w:val="pt-PT"/>
              </w:rPr>
              <m:t>h</m:t>
            </m:r>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d</m:t>
                    </m:r>
                  </m:num>
                  <m:den>
                    <m:r>
                      <w:rPr>
                        <w:rFonts w:ascii="Cambria Math" w:hAnsi="Cambria Math"/>
                        <w:szCs w:val="20"/>
                      </w:rPr>
                      <m:t>l</m:t>
                    </m:r>
                  </m:den>
                </m:f>
              </m:e>
            </m:d>
          </m:den>
        </m:f>
      </m:oMath>
      <w:r>
        <w:t xml:space="preserve">   [Bq/m</w:t>
      </w:r>
      <w:r>
        <w:rPr>
          <w:vertAlign w:val="superscript"/>
        </w:rPr>
        <w:t>2</w:t>
      </w:r>
      <w:r>
        <w:t>·h]</w:t>
      </w:r>
      <w:r>
        <w:tab/>
        <w:t>(3.2)</w:t>
      </w:r>
    </w:p>
    <w:p w:rsidR="00431690" w:rsidRPr="00937C8B" w:rsidRDefault="00431690" w:rsidP="00431690">
      <w:pPr>
        <w:pStyle w:val="CTENormal"/>
        <w:tabs>
          <w:tab w:val="left" w:pos="8626"/>
        </w:tabs>
        <w:spacing w:before="0" w:after="60"/>
        <w:ind w:left="426"/>
        <w:rPr>
          <w:rFonts w:eastAsia="Calibri"/>
          <w:sz w:val="20"/>
          <w:szCs w:val="20"/>
        </w:rPr>
      </w:pPr>
      <w:r>
        <w:rPr>
          <w:sz w:val="20"/>
        </w:rPr>
        <w:t>where</w:t>
      </w:r>
      <w:r>
        <w:rPr>
          <w:sz w:val="20"/>
        </w:rPr>
        <w:tab/>
      </w:r>
    </w:p>
    <w:p w:rsidR="00431690" w:rsidRPr="00937C8B" w:rsidRDefault="00431690" w:rsidP="00431690">
      <w:pPr>
        <w:tabs>
          <w:tab w:val="left" w:pos="851"/>
        </w:tabs>
        <w:suppressAutoHyphens/>
        <w:spacing w:after="60"/>
        <w:ind w:left="426"/>
        <w:rPr>
          <w:rFonts w:ascii="Arial" w:hAnsi="Arial" w:cs="Arial"/>
          <w:sz w:val="20"/>
          <w:szCs w:val="20"/>
        </w:rPr>
      </w:pPr>
      <w:r>
        <w:rPr>
          <w:rFonts w:ascii="Arial" w:hAnsi="Arial"/>
          <w:sz w:val="20"/>
        </w:rPr>
        <w:t>λ</w:t>
      </w:r>
      <w:r>
        <w:rPr>
          <w:rFonts w:ascii="Arial" w:hAnsi="Arial"/>
          <w:sz w:val="20"/>
        </w:rPr>
        <w:tab/>
        <w:t>is the radon disintegration constant: 7.56 ·10</w:t>
      </w:r>
      <w:r>
        <w:rPr>
          <w:rFonts w:ascii="Arial" w:hAnsi="Arial"/>
          <w:sz w:val="20"/>
          <w:vertAlign w:val="superscript"/>
        </w:rPr>
        <w:t>-3</w:t>
      </w:r>
      <w:r>
        <w:rPr>
          <w:rFonts w:ascii="Arial" w:hAnsi="Arial"/>
          <w:sz w:val="20"/>
        </w:rPr>
        <w:t xml:space="preserve"> [h</w:t>
      </w:r>
      <w:r>
        <w:rPr>
          <w:rFonts w:ascii="Arial" w:hAnsi="Arial"/>
          <w:sz w:val="20"/>
          <w:vertAlign w:val="superscript"/>
        </w:rPr>
        <w:t>-1</w:t>
      </w:r>
      <w:r>
        <w:rPr>
          <w:rFonts w:ascii="Arial" w:hAnsi="Arial"/>
          <w:sz w:val="20"/>
        </w:rPr>
        <w:t>];</w:t>
      </w:r>
    </w:p>
    <w:p w:rsidR="00431690" w:rsidRPr="00937C8B" w:rsidRDefault="00431690" w:rsidP="00431690">
      <w:pPr>
        <w:tabs>
          <w:tab w:val="left" w:pos="851"/>
        </w:tabs>
        <w:suppressAutoHyphens/>
        <w:spacing w:after="60"/>
        <w:ind w:left="426"/>
        <w:rPr>
          <w:rFonts w:ascii="Arial" w:hAnsi="Arial" w:cs="Arial"/>
          <w:sz w:val="20"/>
          <w:szCs w:val="20"/>
        </w:rPr>
      </w:pPr>
      <w:r>
        <w:rPr>
          <w:rFonts w:ascii="Arial" w:hAnsi="Arial"/>
          <w:sz w:val="20"/>
        </w:rPr>
        <w:t>d</w:t>
      </w:r>
      <w:r>
        <w:rPr>
          <w:rFonts w:ascii="Arial" w:hAnsi="Arial"/>
          <w:sz w:val="20"/>
        </w:rPr>
        <w:tab/>
        <w:t>is the thickness of the barrier [m];</w:t>
      </w:r>
    </w:p>
    <w:p w:rsidR="00431690" w:rsidRPr="00937C8B" w:rsidRDefault="00431690" w:rsidP="00D27646">
      <w:pPr>
        <w:keepNext/>
        <w:tabs>
          <w:tab w:val="left" w:pos="851"/>
        </w:tabs>
        <w:suppressAutoHyphens/>
        <w:spacing w:after="60"/>
        <w:ind w:left="426"/>
        <w:rPr>
          <w:rFonts w:ascii="Arial" w:hAnsi="Arial" w:cs="Arial"/>
          <w:sz w:val="20"/>
          <w:szCs w:val="20"/>
        </w:rPr>
      </w:pPr>
      <w:r>
        <w:rPr>
          <w:rFonts w:ascii="Arial" w:hAnsi="Arial"/>
          <w:sz w:val="20"/>
        </w:rPr>
        <w:t>l</w:t>
      </w:r>
      <w:r>
        <w:rPr>
          <w:rFonts w:ascii="Arial" w:hAnsi="Arial"/>
          <w:sz w:val="20"/>
        </w:rPr>
        <w:tab/>
        <w:t>is the radon diffusion length of the barrier, according to the following equation:</w:t>
      </w:r>
    </w:p>
    <w:p w:rsidR="00431690" w:rsidRPr="00937C8B" w:rsidRDefault="00431690" w:rsidP="00431690">
      <w:pPr>
        <w:tabs>
          <w:tab w:val="left" w:pos="851"/>
          <w:tab w:val="left" w:pos="8789"/>
        </w:tabs>
        <w:suppressAutoHyphens/>
        <w:spacing w:after="60"/>
        <w:ind w:left="851" w:hanging="284"/>
        <w:rPr>
          <w:szCs w:val="20"/>
        </w:rPr>
      </w:pPr>
      <w:r>
        <w:tab/>
      </w:r>
      <m:oMath>
        <m:r>
          <w:rPr>
            <w:rFonts w:ascii="Cambria Math" w:hAnsi="Cambria Math"/>
            <w:szCs w:val="20"/>
            <w:vertAlign w:val="superscript"/>
          </w:rPr>
          <m:t>l=</m:t>
        </m:r>
        <m:rad>
          <m:radPr>
            <m:degHide m:val="1"/>
            <m:ctrlPr>
              <w:rPr>
                <w:rFonts w:ascii="Cambria Math" w:hAnsi="Cambria Math"/>
                <w:i/>
                <w:szCs w:val="20"/>
                <w:vertAlign w:val="superscript"/>
              </w:rPr>
            </m:ctrlPr>
          </m:radPr>
          <m:deg/>
          <m:e>
            <m:f>
              <m:fPr>
                <m:ctrlPr>
                  <w:rPr>
                    <w:rFonts w:ascii="Cambria Math" w:hAnsi="Cambria Math"/>
                    <w:i/>
                    <w:szCs w:val="20"/>
                    <w:vertAlign w:val="superscript"/>
                  </w:rPr>
                </m:ctrlPr>
              </m:fPr>
              <m:num>
                <m:r>
                  <w:rPr>
                    <w:rFonts w:ascii="Cambria Math" w:hAnsi="Cambria Math"/>
                    <w:szCs w:val="20"/>
                    <w:vertAlign w:val="superscript"/>
                  </w:rPr>
                  <m:t>D·3600</m:t>
                </m:r>
              </m:num>
              <m:den>
                <m:r>
                  <w:rPr>
                    <w:rFonts w:ascii="Cambria Math" w:hAnsi="Cambria Math"/>
                    <w:szCs w:val="20"/>
                    <w:vertAlign w:val="superscript"/>
                  </w:rPr>
                  <m:t>λ</m:t>
                </m:r>
              </m:den>
            </m:f>
          </m:e>
        </m:rad>
      </m:oMath>
      <w:r>
        <w:t xml:space="preserve">   [m]</w:t>
      </w:r>
      <w:r>
        <w:tab/>
      </w:r>
      <w:r>
        <w:rPr>
          <w:rFonts w:ascii="Arial" w:hAnsi="Arial"/>
          <w:sz w:val="22"/>
        </w:rPr>
        <w:t>(3.3)</w:t>
      </w:r>
    </w:p>
    <w:p w:rsidR="00431690" w:rsidRPr="00937C8B" w:rsidRDefault="00431690" w:rsidP="00431690">
      <w:pPr>
        <w:tabs>
          <w:tab w:val="left" w:pos="1418"/>
        </w:tabs>
        <w:suppressAutoHyphens/>
        <w:spacing w:after="60"/>
        <w:ind w:left="851"/>
        <w:rPr>
          <w:rFonts w:ascii="Arial" w:hAnsi="Arial" w:cs="Arial"/>
          <w:sz w:val="20"/>
          <w:szCs w:val="20"/>
        </w:rPr>
      </w:pPr>
      <w:r>
        <w:rPr>
          <w:rFonts w:ascii="Arial" w:hAnsi="Arial"/>
          <w:sz w:val="20"/>
        </w:rPr>
        <w:t>where</w:t>
      </w:r>
    </w:p>
    <w:p w:rsidR="00431690" w:rsidRPr="00937C8B" w:rsidRDefault="00431690" w:rsidP="00431690">
      <w:pPr>
        <w:tabs>
          <w:tab w:val="left" w:pos="1418"/>
        </w:tabs>
        <w:suppressAutoHyphens/>
        <w:spacing w:after="60"/>
        <w:ind w:left="851"/>
        <w:rPr>
          <w:rFonts w:ascii="Arial" w:hAnsi="Arial" w:cs="Arial"/>
          <w:sz w:val="20"/>
          <w:szCs w:val="20"/>
        </w:rPr>
      </w:pPr>
      <w:r>
        <w:rPr>
          <w:rFonts w:ascii="Arial" w:hAnsi="Arial"/>
          <w:sz w:val="20"/>
        </w:rPr>
        <w:t xml:space="preserve">D is the radon </w:t>
      </w:r>
      <w:r>
        <w:rPr>
          <w:rFonts w:ascii="Arial" w:hAnsi="Arial"/>
          <w:i/>
          <w:sz w:val="20"/>
        </w:rPr>
        <w:t>diffusion coefficient</w:t>
      </w:r>
      <w:r>
        <w:rPr>
          <w:rFonts w:ascii="Arial" w:hAnsi="Arial"/>
          <w:sz w:val="20"/>
        </w:rPr>
        <w:t xml:space="preserve"> of the barrier [m</w:t>
      </w:r>
      <w:r>
        <w:rPr>
          <w:rFonts w:ascii="Arial" w:hAnsi="Arial"/>
          <w:sz w:val="20"/>
          <w:vertAlign w:val="superscript"/>
        </w:rPr>
        <w:t>2</w:t>
      </w:r>
      <w:r>
        <w:rPr>
          <w:rFonts w:ascii="Arial" w:hAnsi="Arial"/>
          <w:sz w:val="20"/>
        </w:rPr>
        <w:t>/s].</w:t>
      </w:r>
    </w:p>
    <w:p w:rsidR="00431690" w:rsidRPr="00937C8B" w:rsidRDefault="00431690" w:rsidP="00431690">
      <w:pPr>
        <w:pStyle w:val="CteTtulo2"/>
        <w:tabs>
          <w:tab w:val="left" w:pos="454"/>
        </w:tabs>
        <w:spacing w:before="280"/>
        <w:rPr>
          <w:szCs w:val="24"/>
        </w:rPr>
      </w:pPr>
      <w:bookmarkStart w:id="427" w:name="_Toc39157994"/>
      <w:bookmarkStart w:id="428" w:name="_Toc39158158"/>
      <w:r>
        <w:t>3.2</w:t>
      </w:r>
      <w:r>
        <w:tab/>
      </w:r>
      <w:r>
        <w:rPr>
          <w:i/>
        </w:rPr>
        <w:t>Ventilated containment space</w:t>
      </w:r>
      <w:bookmarkEnd w:id="427"/>
      <w:bookmarkEnd w:id="428"/>
    </w:p>
    <w:p w:rsidR="00431690" w:rsidRPr="00937C8B" w:rsidRDefault="00431690" w:rsidP="00425ADA">
      <w:pPr>
        <w:pStyle w:val="CTENumeracion"/>
        <w:numPr>
          <w:ilvl w:val="0"/>
          <w:numId w:val="59"/>
        </w:numPr>
        <w:tabs>
          <w:tab w:val="clear" w:pos="567"/>
          <w:tab w:val="num" w:pos="426"/>
        </w:tabs>
        <w:suppressAutoHyphens/>
        <w:spacing w:before="0"/>
        <w:ind w:left="426" w:hanging="426"/>
        <w:rPr>
          <w:szCs w:val="20"/>
        </w:rPr>
      </w:pPr>
      <w:r>
        <w:t xml:space="preserve">The containment space shall be made up of an air cavity, which may be vertical or horizontal depending to the enclosure to be protected, or a </w:t>
      </w:r>
      <w:r>
        <w:rPr>
          <w:i/>
          <w:iCs/>
        </w:rPr>
        <w:t>non-habitable space</w:t>
      </w:r>
      <w:r>
        <w:t xml:space="preserve">. In any case, this space shall have mechanical or </w:t>
      </w:r>
      <w:r>
        <w:rPr>
          <w:i/>
          <w:iCs/>
        </w:rPr>
        <w:t>natural ventilation</w:t>
      </w:r>
      <w:r>
        <w:t>.</w:t>
      </w:r>
    </w:p>
    <w:p w:rsidR="00431690" w:rsidRPr="00937C8B" w:rsidRDefault="00431690" w:rsidP="00425ADA">
      <w:pPr>
        <w:pStyle w:val="CTENumeracion"/>
        <w:numPr>
          <w:ilvl w:val="0"/>
          <w:numId w:val="59"/>
        </w:numPr>
        <w:tabs>
          <w:tab w:val="clear" w:pos="567"/>
          <w:tab w:val="num" w:pos="426"/>
        </w:tabs>
        <w:suppressAutoHyphens/>
        <w:spacing w:before="0"/>
        <w:ind w:left="425" w:hanging="425"/>
        <w:rPr>
          <w:szCs w:val="20"/>
        </w:rPr>
      </w:pPr>
      <w:r>
        <w:t>To ensure ventilation, the containment space shall be connected to the outside by ventilation openings that shall be kept free of obstacles.</w:t>
      </w:r>
    </w:p>
    <w:p w:rsidR="00431690" w:rsidRPr="00937C8B" w:rsidRDefault="00431690" w:rsidP="00425ADA">
      <w:pPr>
        <w:pStyle w:val="CTENumeracion"/>
        <w:numPr>
          <w:ilvl w:val="0"/>
          <w:numId w:val="59"/>
        </w:numPr>
        <w:tabs>
          <w:tab w:val="clear" w:pos="567"/>
          <w:tab w:val="num" w:pos="426"/>
        </w:tabs>
        <w:suppressAutoHyphens/>
        <w:spacing w:before="0"/>
        <w:ind w:left="426" w:hanging="426"/>
        <w:rPr>
          <w:szCs w:val="20"/>
        </w:rPr>
      </w:pPr>
      <w:r>
        <w:t xml:space="preserve">For </w:t>
      </w:r>
      <w:r>
        <w:rPr>
          <w:i/>
          <w:iCs/>
        </w:rPr>
        <w:t>natural ventilation</w:t>
      </w:r>
      <w:r>
        <w:t xml:space="preserve"> of a horizontal air cavity, unless specific studies are available that enable a different distribution, the ventilation openings shall be installed uniformly in all façades, where the area of all openings shall be at least 10 cm</w:t>
      </w:r>
      <w:r>
        <w:rPr>
          <w:vertAlign w:val="superscript"/>
        </w:rPr>
        <w:t>2</w:t>
      </w:r>
      <w:r>
        <w:t xml:space="preserve"> per linear metre of the cavity perimeter. In cases of areas of less than 100 m</w:t>
      </w:r>
      <w:r>
        <w:rPr>
          <w:vertAlign w:val="superscript"/>
        </w:rPr>
        <w:t>2</w:t>
      </w:r>
      <w:r>
        <w:t>, the openings may be installed in the same façade provided that no point of the cavity is further than 10 m away from any of them. If the interior of the cavity features obstacles to free circulation, openings shall be installed to enable such.</w:t>
      </w:r>
    </w:p>
    <w:p w:rsidR="00431690" w:rsidRPr="00937C8B" w:rsidRDefault="00431690" w:rsidP="00425ADA">
      <w:pPr>
        <w:pStyle w:val="CTENumeracion"/>
        <w:numPr>
          <w:ilvl w:val="0"/>
          <w:numId w:val="59"/>
        </w:numPr>
        <w:tabs>
          <w:tab w:val="clear" w:pos="567"/>
        </w:tabs>
        <w:suppressAutoHyphens/>
        <w:spacing w:before="0"/>
        <w:ind w:left="425" w:hanging="425"/>
        <w:rPr>
          <w:szCs w:val="20"/>
        </w:rPr>
      </w:pPr>
      <w:r>
        <w:t xml:space="preserve">For </w:t>
      </w:r>
      <w:r>
        <w:rPr>
          <w:i/>
          <w:iCs/>
        </w:rPr>
        <w:t>natural ventilation</w:t>
      </w:r>
      <w:r>
        <w:t xml:space="preserve"> of a vertical air cavity, unless specific studies are available that enable a different distribution, ventilation openings shall be installed in the top of said cavity, close to the outer face of the wall to be protected, so all of the openings come to at least 10 cm</w:t>
      </w:r>
      <w:r>
        <w:rPr>
          <w:vertAlign w:val="superscript"/>
        </w:rPr>
        <w:t>2</w:t>
      </w:r>
      <w:r>
        <w:t xml:space="preserve"> per linear metre.</w:t>
      </w:r>
    </w:p>
    <w:p w:rsidR="00431690" w:rsidRPr="00937C8B" w:rsidRDefault="00431690" w:rsidP="00425ADA">
      <w:pPr>
        <w:pStyle w:val="CTENumeracion"/>
        <w:numPr>
          <w:ilvl w:val="0"/>
          <w:numId w:val="59"/>
        </w:numPr>
        <w:tabs>
          <w:tab w:val="clear" w:pos="567"/>
          <w:tab w:val="num" w:pos="426"/>
        </w:tabs>
        <w:suppressAutoHyphens/>
        <w:spacing w:before="0"/>
        <w:ind w:left="425" w:hanging="425"/>
        <w:rPr>
          <w:szCs w:val="20"/>
        </w:rPr>
      </w:pPr>
      <w:r>
        <w:t xml:space="preserve">If using </w:t>
      </w:r>
      <w:r>
        <w:rPr>
          <w:i/>
        </w:rPr>
        <w:t>non-habitable spaces</w:t>
      </w:r>
      <w:r>
        <w:t xml:space="preserve"> as containment spaces, the required ventilation given in DB HS3 or the RITE, whichever applies, shall be considered adequate.</w:t>
      </w:r>
    </w:p>
    <w:p w:rsidR="00431690" w:rsidRPr="00937C8B" w:rsidRDefault="00431690" w:rsidP="00425ADA">
      <w:pPr>
        <w:pStyle w:val="CTENumeracion"/>
        <w:numPr>
          <w:ilvl w:val="0"/>
          <w:numId w:val="59"/>
        </w:numPr>
        <w:tabs>
          <w:tab w:val="clear" w:pos="567"/>
          <w:tab w:val="num" w:pos="426"/>
        </w:tabs>
        <w:suppressAutoHyphens/>
        <w:spacing w:before="0"/>
        <w:ind w:left="425" w:hanging="425"/>
        <w:rPr>
          <w:szCs w:val="20"/>
        </w:rPr>
      </w:pPr>
      <w:r>
        <w:t>In cases of existing buildings without an air cavity, it shall be permitted to install a cavity that improves radon protection, even if it does not meet the characteristics of the cavity described above. In this case, the cavity could be made from the inside of the enclosure in contact with the ground, which must be continuous and cover the entire floor area to be protected. Moreover, it shall be connected to the outside and have a height and thickness of at least 5 cm.</w:t>
      </w:r>
    </w:p>
    <w:p w:rsidR="00431690" w:rsidRPr="00937C8B" w:rsidRDefault="00431690" w:rsidP="00425ADA">
      <w:pPr>
        <w:pStyle w:val="CTENumeracion"/>
        <w:numPr>
          <w:ilvl w:val="0"/>
          <w:numId w:val="59"/>
        </w:numPr>
        <w:tabs>
          <w:tab w:val="clear" w:pos="567"/>
          <w:tab w:val="num" w:pos="426"/>
        </w:tabs>
        <w:suppressAutoHyphens/>
        <w:spacing w:before="0"/>
        <w:ind w:left="425" w:hanging="425"/>
        <w:rPr>
          <w:szCs w:val="20"/>
        </w:rPr>
      </w:pPr>
      <w:r>
        <w:t xml:space="preserve">The effectiveness of the solution shall be verified experimentally with </w:t>
      </w:r>
      <w:r>
        <w:rPr>
          <w:i/>
          <w:iCs/>
        </w:rPr>
        <w:t>radon level</w:t>
      </w:r>
      <w:r>
        <w:t xml:space="preserve"> measurements after the work, according to Appendix C. </w:t>
      </w:r>
    </w:p>
    <w:p w:rsidR="00431690" w:rsidRPr="00937C8B" w:rsidRDefault="00431690" w:rsidP="00425ADA">
      <w:pPr>
        <w:pStyle w:val="CTENumeracion"/>
        <w:numPr>
          <w:ilvl w:val="0"/>
          <w:numId w:val="59"/>
        </w:numPr>
        <w:tabs>
          <w:tab w:val="clear" w:pos="567"/>
          <w:tab w:val="num" w:pos="426"/>
        </w:tabs>
        <w:suppressAutoHyphens/>
        <w:spacing w:before="0"/>
        <w:ind w:left="425" w:hanging="425"/>
        <w:rPr>
          <w:szCs w:val="20"/>
        </w:rPr>
      </w:pPr>
      <w:r>
        <w:t xml:space="preserve">If the necessary conditions for </w:t>
      </w:r>
      <w:r>
        <w:rPr>
          <w:i/>
          <w:iCs/>
        </w:rPr>
        <w:t>natural ventilation</w:t>
      </w:r>
      <w:r>
        <w:t xml:space="preserve"> are not met or if it is deemed necessary to increase the effectiveness of the installation if the </w:t>
      </w:r>
      <w:r>
        <w:rPr>
          <w:i/>
          <w:iCs/>
        </w:rPr>
        <w:t>radon level</w:t>
      </w:r>
      <w:r>
        <w:t xml:space="preserve"> measurement values after the work are not acceptable, mechanical exhaust fans shall be installed. In this case, the openings shall be dimensioned according to the specific characteristics of the cavity, and the inlet openings shall be located as far as possible from the exhaust opening, to facilitate ventilation of the space. The location of the discharge ports shall be in accordance with the provisions of section 3.2.1 of DB HS3, except in cases of roof ports, which are considered optional.</w:t>
      </w:r>
    </w:p>
    <w:p w:rsidR="00431690" w:rsidRPr="00937C8B" w:rsidRDefault="00431690" w:rsidP="00431690">
      <w:pPr>
        <w:pStyle w:val="CteTtulo2"/>
        <w:tabs>
          <w:tab w:val="left" w:pos="454"/>
        </w:tabs>
        <w:spacing w:before="280"/>
        <w:rPr>
          <w:szCs w:val="24"/>
        </w:rPr>
      </w:pPr>
      <w:bookmarkStart w:id="429" w:name="_Toc39157995"/>
      <w:bookmarkStart w:id="430" w:name="_Toc39158159"/>
      <w:r>
        <w:t>3.3</w:t>
      </w:r>
      <w:r>
        <w:tab/>
      </w:r>
      <w:r>
        <w:rPr>
          <w:i/>
          <w:iCs/>
        </w:rPr>
        <w:t>Soil depressurisation</w:t>
      </w:r>
      <w:bookmarkEnd w:id="429"/>
      <w:bookmarkEnd w:id="430"/>
    </w:p>
    <w:p w:rsidR="00431690" w:rsidRPr="00937C8B" w:rsidRDefault="00431690" w:rsidP="00425ADA">
      <w:pPr>
        <w:pStyle w:val="CTENumeracion"/>
        <w:numPr>
          <w:ilvl w:val="0"/>
          <w:numId w:val="41"/>
        </w:numPr>
        <w:tabs>
          <w:tab w:val="clear" w:pos="567"/>
        </w:tabs>
        <w:suppressAutoHyphens/>
        <w:spacing w:before="0"/>
        <w:ind w:left="425" w:hanging="425"/>
        <w:rPr>
          <w:szCs w:val="20"/>
        </w:rPr>
      </w:pPr>
      <w:r>
        <w:t xml:space="preserve">The </w:t>
      </w:r>
      <w:r>
        <w:rPr>
          <w:i/>
          <w:iCs/>
        </w:rPr>
        <w:t>soil depressurisation</w:t>
      </w:r>
      <w:r>
        <w:t xml:space="preserve"> system shall be set up with a network of suction elements, made up of perforated tubes or boxes installed in a layer of granular backfill that promotes air circulation, located under the building, connected to an exhaust duct and a mechanical exhaust system.</w:t>
      </w:r>
    </w:p>
    <w:p w:rsidR="00431690" w:rsidRPr="00937C8B" w:rsidRDefault="00431690" w:rsidP="00425ADA">
      <w:pPr>
        <w:pStyle w:val="CTENumeracion"/>
        <w:numPr>
          <w:ilvl w:val="0"/>
          <w:numId w:val="41"/>
        </w:numPr>
        <w:tabs>
          <w:tab w:val="clear" w:pos="567"/>
        </w:tabs>
        <w:suppressAutoHyphens/>
        <w:spacing w:before="0"/>
        <w:ind w:left="425" w:hanging="425"/>
        <w:rPr>
          <w:szCs w:val="20"/>
        </w:rPr>
      </w:pPr>
      <w:r>
        <w:t>The location of the discharge ports shall be in accordance with the provisions of section 3.2.1 of DB HS3. If installation in the roof is not possible, at least the rest of the conditions given in that section shall be met.</w:t>
      </w:r>
    </w:p>
    <w:p w:rsidR="00431690" w:rsidRPr="00937C8B" w:rsidRDefault="00431690" w:rsidP="00425ADA">
      <w:pPr>
        <w:pStyle w:val="CTENumeracion"/>
        <w:numPr>
          <w:ilvl w:val="0"/>
          <w:numId w:val="41"/>
        </w:numPr>
        <w:tabs>
          <w:tab w:val="clear" w:pos="567"/>
        </w:tabs>
        <w:suppressAutoHyphens/>
        <w:spacing w:before="0"/>
        <w:ind w:left="425" w:hanging="425"/>
        <w:rPr>
          <w:szCs w:val="20"/>
        </w:rPr>
      </w:pPr>
      <w:r>
        <w:t>In cases of work on existing buildings, if it is not possible to install the system under the building with access from the floor slab or from the outside, it shall be permitted to install it around the perimeter in the exterior soil adjacent to the building. In all of these cases, it shall be necessary to conduct a specific study of the foundation and air circulation under the building.</w:t>
      </w:r>
    </w:p>
    <w:p w:rsidR="00431690" w:rsidRPr="00937C8B" w:rsidRDefault="00431690" w:rsidP="00425ADA">
      <w:pPr>
        <w:pStyle w:val="CTENumeracion"/>
        <w:numPr>
          <w:ilvl w:val="0"/>
          <w:numId w:val="41"/>
        </w:numPr>
        <w:tabs>
          <w:tab w:val="clear" w:pos="567"/>
          <w:tab w:val="num" w:pos="426"/>
        </w:tabs>
        <w:suppressAutoHyphens/>
        <w:spacing w:before="0"/>
        <w:ind w:left="425" w:hanging="425"/>
        <w:rPr>
          <w:szCs w:val="20"/>
        </w:rPr>
      </w:pPr>
      <w:r>
        <w:t>If the backfill layer is not continuous under the floor due to the presence of obstacles, such as parts of the foundation, this continuity shall be provided by installing openings in the obstacles or, where this is not possible, by installation suction elements in each of the different zones.</w:t>
      </w:r>
    </w:p>
    <w:p w:rsidR="00431690" w:rsidRPr="00937C8B" w:rsidRDefault="00431690" w:rsidP="00425ADA">
      <w:pPr>
        <w:pStyle w:val="CTENumeracion"/>
        <w:numPr>
          <w:ilvl w:val="0"/>
          <w:numId w:val="41"/>
        </w:numPr>
        <w:tabs>
          <w:tab w:val="clear" w:pos="567"/>
          <w:tab w:val="num" w:pos="426"/>
        </w:tabs>
        <w:suppressAutoHyphens/>
        <w:spacing w:before="0"/>
        <w:ind w:left="425" w:hanging="425"/>
        <w:rPr>
          <w:szCs w:val="20"/>
        </w:rPr>
      </w:pPr>
      <w:r>
        <w:t>In cases of walls, it shall be permitted to use a similar system tailored to their specific circumstances.</w:t>
      </w:r>
    </w:p>
    <w:p w:rsidR="00431690" w:rsidRPr="00937C8B" w:rsidRDefault="00431690" w:rsidP="00431690">
      <w:pPr>
        <w:pStyle w:val="CTENumeracion"/>
        <w:suppressAutoHyphens/>
        <w:spacing w:before="0"/>
        <w:ind w:left="425" w:hanging="425"/>
        <w:rPr>
          <w:szCs w:val="20"/>
        </w:rPr>
      </w:pPr>
      <w:r>
        <w:t>6.</w:t>
      </w:r>
      <w:r>
        <w:tab/>
        <w:t xml:space="preserve">The effectiveness of the system shall be verified experimentally with </w:t>
      </w:r>
      <w:r>
        <w:rPr>
          <w:i/>
          <w:iCs/>
        </w:rPr>
        <w:t>radon level</w:t>
      </w:r>
      <w:r>
        <w:t xml:space="preserve"> measurements after the work, according to Appendix C. </w:t>
      </w:r>
    </w:p>
    <w:p w:rsidR="00431690" w:rsidRPr="00937C8B" w:rsidRDefault="00431690" w:rsidP="00431690">
      <w:pPr>
        <w:pStyle w:val="CTENumeracion"/>
        <w:suppressAutoHyphens/>
        <w:spacing w:before="0"/>
        <w:ind w:left="425" w:hanging="425"/>
        <w:rPr>
          <w:szCs w:val="20"/>
        </w:rPr>
      </w:pPr>
      <w:r>
        <w:t>7.</w:t>
      </w:r>
      <w:r>
        <w:tab/>
        <w:t xml:space="preserve">If it is deemed necessary to increase the effectiveness of the installation because these measurement values are not acceptable, it shall be permitted to increase the exhaust flow rate, add new suction elements or apply other solutions. </w:t>
      </w:r>
    </w:p>
    <w:p w:rsidR="00431690" w:rsidRPr="00937C8B" w:rsidRDefault="00431690" w:rsidP="00831B50">
      <w:pPr>
        <w:keepNext/>
        <w:tabs>
          <w:tab w:val="left" w:pos="426"/>
        </w:tabs>
        <w:spacing w:before="480" w:after="160"/>
        <w:outlineLvl w:val="0"/>
        <w:rPr>
          <w:rFonts w:ascii="Arial" w:eastAsia="Calibri" w:hAnsi="Arial" w:cs="Arial"/>
          <w:b/>
          <w:bCs/>
          <w:noProof/>
          <w:kern w:val="32"/>
          <w:sz w:val="28"/>
          <w:szCs w:val="28"/>
        </w:rPr>
      </w:pPr>
      <w:bookmarkStart w:id="431" w:name="_Toc39157996"/>
      <w:bookmarkStart w:id="432" w:name="_Toc39158160"/>
      <w:r>
        <w:rPr>
          <w:rFonts w:ascii="Arial" w:hAnsi="Arial"/>
          <w:b/>
          <w:sz w:val="28"/>
        </w:rPr>
        <w:t>4.</w:t>
      </w:r>
      <w:r>
        <w:rPr>
          <w:rFonts w:ascii="Arial" w:hAnsi="Arial"/>
          <w:b/>
          <w:sz w:val="28"/>
        </w:rPr>
        <w:tab/>
        <w:t>Construction products</w:t>
      </w:r>
      <w:bookmarkEnd w:id="431"/>
      <w:bookmarkEnd w:id="432"/>
    </w:p>
    <w:p w:rsidR="00431690" w:rsidRPr="00937C8B" w:rsidRDefault="00431690" w:rsidP="00431690">
      <w:pPr>
        <w:pStyle w:val="CteTtulo2"/>
        <w:tabs>
          <w:tab w:val="left" w:pos="454"/>
        </w:tabs>
        <w:spacing w:before="280"/>
        <w:rPr>
          <w:szCs w:val="24"/>
        </w:rPr>
      </w:pPr>
      <w:bookmarkStart w:id="433" w:name="_Toc39157997"/>
      <w:bookmarkStart w:id="434" w:name="_Toc39158161"/>
      <w:r>
        <w:t>4.1</w:t>
      </w:r>
      <w:r>
        <w:tab/>
        <w:t>Mandatory product characteristics</w:t>
      </w:r>
      <w:bookmarkEnd w:id="433"/>
      <w:bookmarkEnd w:id="434"/>
    </w:p>
    <w:p w:rsidR="00431690" w:rsidRPr="00937C8B" w:rsidRDefault="00431690" w:rsidP="00D27646">
      <w:pPr>
        <w:pStyle w:val="CTENumeracion"/>
        <w:keepNext/>
        <w:numPr>
          <w:ilvl w:val="0"/>
          <w:numId w:val="42"/>
        </w:numPr>
        <w:tabs>
          <w:tab w:val="clear" w:pos="567"/>
        </w:tabs>
        <w:suppressAutoHyphens/>
        <w:spacing w:before="0"/>
        <w:ind w:left="426" w:hanging="426"/>
        <w:rPr>
          <w:rFonts w:cs="Arial"/>
          <w:szCs w:val="20"/>
        </w:rPr>
      </w:pPr>
      <w:r>
        <w:t>In general, all materials to be used in radon protection systems must meet the following conditions:</w:t>
      </w:r>
    </w:p>
    <w:p w:rsidR="00431690" w:rsidRPr="00937C8B" w:rsidRDefault="00431690" w:rsidP="00425ADA">
      <w:pPr>
        <w:numPr>
          <w:ilvl w:val="6"/>
          <w:numId w:val="29"/>
        </w:numPr>
        <w:tabs>
          <w:tab w:val="clear" w:pos="720"/>
          <w:tab w:val="left" w:pos="1276"/>
        </w:tabs>
        <w:spacing w:after="60"/>
        <w:ind w:left="851" w:hanging="454"/>
        <w:jc w:val="both"/>
        <w:rPr>
          <w:rFonts w:ascii="Arial" w:hAnsi="Arial" w:cs="Arial"/>
          <w:sz w:val="20"/>
          <w:szCs w:val="20"/>
        </w:rPr>
      </w:pPr>
      <w:r>
        <w:rPr>
          <w:rFonts w:ascii="Arial" w:hAnsi="Arial"/>
          <w:sz w:val="20"/>
        </w:rPr>
        <w:t>the provisions of the above sections;</w:t>
      </w:r>
    </w:p>
    <w:p w:rsidR="00431690" w:rsidRPr="00937C8B" w:rsidRDefault="00431690" w:rsidP="00425ADA">
      <w:pPr>
        <w:numPr>
          <w:ilvl w:val="6"/>
          <w:numId w:val="29"/>
        </w:numPr>
        <w:tabs>
          <w:tab w:val="clear" w:pos="720"/>
          <w:tab w:val="left" w:pos="1276"/>
        </w:tabs>
        <w:spacing w:after="60"/>
        <w:ind w:left="851" w:hanging="454"/>
        <w:jc w:val="both"/>
        <w:rPr>
          <w:rFonts w:ascii="Arial" w:hAnsi="Arial" w:cs="Arial"/>
          <w:sz w:val="20"/>
          <w:szCs w:val="20"/>
        </w:rPr>
      </w:pPr>
      <w:r>
        <w:rPr>
          <w:rFonts w:ascii="Arial" w:hAnsi="Arial"/>
          <w:sz w:val="20"/>
        </w:rPr>
        <w:t>the applicable provisions of the law;</w:t>
      </w:r>
    </w:p>
    <w:p w:rsidR="00431690" w:rsidRPr="00937C8B" w:rsidRDefault="00431690" w:rsidP="002D2C01">
      <w:pPr>
        <w:numPr>
          <w:ilvl w:val="6"/>
          <w:numId w:val="29"/>
        </w:numPr>
        <w:tabs>
          <w:tab w:val="clear" w:pos="720"/>
          <w:tab w:val="left" w:pos="1276"/>
        </w:tabs>
        <w:spacing w:after="60"/>
        <w:ind w:left="851" w:hanging="454"/>
        <w:jc w:val="both"/>
        <w:rPr>
          <w:rFonts w:ascii="Arial" w:hAnsi="Arial" w:cs="Arial"/>
          <w:sz w:val="20"/>
          <w:szCs w:val="20"/>
        </w:rPr>
      </w:pPr>
      <w:r>
        <w:rPr>
          <w:rFonts w:ascii="Arial" w:hAnsi="Arial"/>
          <w:sz w:val="20"/>
        </w:rPr>
        <w:t>they shall be able to operate effectively under the planned service conditions.</w:t>
      </w:r>
    </w:p>
    <w:p w:rsidR="00431690" w:rsidRPr="00937C8B" w:rsidRDefault="00431690" w:rsidP="00431690">
      <w:pPr>
        <w:pStyle w:val="CteTtulo2"/>
        <w:tabs>
          <w:tab w:val="left" w:pos="454"/>
        </w:tabs>
        <w:spacing w:before="280"/>
        <w:rPr>
          <w:szCs w:val="24"/>
        </w:rPr>
      </w:pPr>
      <w:bookmarkStart w:id="435" w:name="_Toc51478615"/>
      <w:bookmarkStart w:id="436" w:name="_Toc39157998"/>
      <w:bookmarkStart w:id="437" w:name="_Toc39158162"/>
      <w:r>
        <w:t>4.2</w:t>
      </w:r>
      <w:r>
        <w:tab/>
      </w:r>
      <w:bookmarkEnd w:id="435"/>
      <w:r>
        <w:t>Onsite product acceptance inspection</w:t>
      </w:r>
      <w:bookmarkEnd w:id="436"/>
      <w:bookmarkEnd w:id="437"/>
    </w:p>
    <w:p w:rsidR="00431690" w:rsidRPr="00937C8B" w:rsidRDefault="00431690" w:rsidP="002D2C01">
      <w:pPr>
        <w:pStyle w:val="CTENumeracion"/>
        <w:numPr>
          <w:ilvl w:val="0"/>
          <w:numId w:val="43"/>
        </w:numPr>
        <w:tabs>
          <w:tab w:val="clear" w:pos="567"/>
        </w:tabs>
        <w:suppressAutoHyphens/>
        <w:spacing w:before="0"/>
        <w:ind w:left="426" w:hanging="426"/>
        <w:rPr>
          <w:rFonts w:cs="Arial"/>
          <w:szCs w:val="20"/>
        </w:rPr>
      </w:pPr>
      <w:r>
        <w:t>The project specifications shall give the specific inspection conditions for acceptance of the products, including the tests required to verify that they meet the mandatory characteristics set out in the sections above.</w:t>
      </w:r>
    </w:p>
    <w:p w:rsidR="00431690" w:rsidRPr="00937C8B" w:rsidRDefault="00431690" w:rsidP="00D27646">
      <w:pPr>
        <w:pStyle w:val="CTENumeracion"/>
        <w:keepNext/>
        <w:numPr>
          <w:ilvl w:val="0"/>
          <w:numId w:val="43"/>
        </w:numPr>
        <w:tabs>
          <w:tab w:val="clear" w:pos="567"/>
          <w:tab w:val="num" w:pos="426"/>
        </w:tabs>
        <w:suppressAutoHyphens/>
        <w:spacing w:before="0"/>
        <w:rPr>
          <w:rFonts w:cs="Arial"/>
          <w:szCs w:val="20"/>
        </w:rPr>
      </w:pPr>
      <w:r>
        <w:t>The products received shall be checked to verify that they:</w:t>
      </w:r>
    </w:p>
    <w:p w:rsidR="00431690" w:rsidRPr="00937C8B" w:rsidRDefault="00431690" w:rsidP="00425ADA">
      <w:pPr>
        <w:numPr>
          <w:ilvl w:val="6"/>
          <w:numId w:val="62"/>
        </w:numPr>
        <w:tabs>
          <w:tab w:val="clear" w:pos="5040"/>
          <w:tab w:val="left" w:pos="907"/>
          <w:tab w:val="num" w:pos="1276"/>
        </w:tabs>
        <w:spacing w:after="60"/>
        <w:ind w:left="851" w:hanging="425"/>
        <w:jc w:val="both"/>
        <w:rPr>
          <w:rFonts w:ascii="Arial" w:hAnsi="Arial" w:cs="Arial"/>
          <w:sz w:val="20"/>
          <w:szCs w:val="20"/>
        </w:rPr>
      </w:pPr>
      <w:r>
        <w:rPr>
          <w:rFonts w:ascii="Arial" w:hAnsi="Arial"/>
          <w:sz w:val="20"/>
        </w:rPr>
        <w:t>are in accordance with those detailed in the project specifications;</w:t>
      </w:r>
    </w:p>
    <w:p w:rsidR="00431690" w:rsidRPr="00937C8B" w:rsidRDefault="00431690" w:rsidP="00425ADA">
      <w:pPr>
        <w:numPr>
          <w:ilvl w:val="6"/>
          <w:numId w:val="62"/>
        </w:numPr>
        <w:tabs>
          <w:tab w:val="clear" w:pos="5040"/>
          <w:tab w:val="left" w:pos="907"/>
          <w:tab w:val="num" w:pos="1276"/>
        </w:tabs>
        <w:spacing w:after="60"/>
        <w:ind w:left="851" w:hanging="425"/>
        <w:jc w:val="both"/>
        <w:rPr>
          <w:rFonts w:ascii="Arial" w:hAnsi="Arial" w:cs="Arial"/>
          <w:sz w:val="20"/>
          <w:szCs w:val="20"/>
        </w:rPr>
      </w:pPr>
      <w:r>
        <w:rPr>
          <w:rFonts w:ascii="Arial" w:hAnsi="Arial"/>
          <w:sz w:val="20"/>
        </w:rPr>
        <w:t>come with the required documentation;</w:t>
      </w:r>
    </w:p>
    <w:p w:rsidR="00431690" w:rsidRPr="00937C8B" w:rsidRDefault="00431690" w:rsidP="00425ADA">
      <w:pPr>
        <w:numPr>
          <w:ilvl w:val="6"/>
          <w:numId w:val="62"/>
        </w:numPr>
        <w:tabs>
          <w:tab w:val="clear" w:pos="5040"/>
          <w:tab w:val="left" w:pos="907"/>
          <w:tab w:val="num" w:pos="1276"/>
        </w:tabs>
        <w:spacing w:after="60"/>
        <w:ind w:left="851" w:hanging="425"/>
        <w:jc w:val="both"/>
        <w:rPr>
          <w:rFonts w:ascii="Arial" w:hAnsi="Arial" w:cs="Arial"/>
          <w:sz w:val="20"/>
          <w:szCs w:val="20"/>
        </w:rPr>
      </w:pPr>
      <w:r>
        <w:rPr>
          <w:rFonts w:ascii="Arial" w:hAnsi="Arial"/>
          <w:sz w:val="20"/>
        </w:rPr>
        <w:t>feature the required properties;</w:t>
      </w:r>
    </w:p>
    <w:p w:rsidR="00431690" w:rsidRPr="00937C8B" w:rsidRDefault="00431690" w:rsidP="00425ADA">
      <w:pPr>
        <w:numPr>
          <w:ilvl w:val="6"/>
          <w:numId w:val="62"/>
        </w:numPr>
        <w:tabs>
          <w:tab w:val="clear" w:pos="5040"/>
          <w:tab w:val="left" w:pos="907"/>
          <w:tab w:val="num" w:pos="1276"/>
        </w:tabs>
        <w:spacing w:after="60"/>
        <w:ind w:left="851" w:hanging="425"/>
        <w:jc w:val="both"/>
        <w:rPr>
          <w:rFonts w:ascii="Arial" w:hAnsi="Arial" w:cs="Arial"/>
          <w:sz w:val="20"/>
          <w:szCs w:val="20"/>
        </w:rPr>
      </w:pPr>
      <w:r>
        <w:rPr>
          <w:rFonts w:ascii="Arial" w:hAnsi="Arial"/>
          <w:sz w:val="20"/>
        </w:rPr>
        <w:t>have been tested, where this is indicated in the specifications or ordered by the project manager with the approval of the site manager, at the specified frequency.</w:t>
      </w:r>
    </w:p>
    <w:p w:rsidR="00431690" w:rsidRPr="00937C8B" w:rsidRDefault="00431690" w:rsidP="00425ADA">
      <w:pPr>
        <w:pStyle w:val="CTENumeracion"/>
        <w:numPr>
          <w:ilvl w:val="0"/>
          <w:numId w:val="43"/>
        </w:numPr>
        <w:tabs>
          <w:tab w:val="clear" w:pos="567"/>
        </w:tabs>
        <w:suppressAutoHyphens/>
        <w:spacing w:before="0"/>
        <w:ind w:left="426" w:hanging="426"/>
        <w:rPr>
          <w:rFonts w:cs="Arial"/>
          <w:szCs w:val="20"/>
        </w:rPr>
      </w:pPr>
      <w:r>
        <w:t>The inspection shall apply the criteria indicated in Article 7.2 of Part I of the CTE.</w:t>
      </w:r>
    </w:p>
    <w:p w:rsidR="00431690" w:rsidRPr="00937C8B" w:rsidRDefault="00431690" w:rsidP="002D2C01">
      <w:pPr>
        <w:keepNext/>
        <w:tabs>
          <w:tab w:val="left" w:pos="426"/>
        </w:tabs>
        <w:spacing w:before="480" w:after="160"/>
        <w:outlineLvl w:val="0"/>
        <w:rPr>
          <w:rFonts w:ascii="Arial" w:eastAsia="Calibri" w:hAnsi="Arial" w:cs="Arial"/>
          <w:b/>
          <w:bCs/>
          <w:noProof/>
          <w:kern w:val="32"/>
          <w:sz w:val="28"/>
          <w:szCs w:val="28"/>
        </w:rPr>
      </w:pPr>
      <w:bookmarkStart w:id="438" w:name="_Toc39157999"/>
      <w:bookmarkStart w:id="439" w:name="_Toc39158163"/>
      <w:r>
        <w:rPr>
          <w:rFonts w:ascii="Arial" w:hAnsi="Arial"/>
          <w:b/>
          <w:sz w:val="28"/>
        </w:rPr>
        <w:t>5.</w:t>
      </w:r>
      <w:r>
        <w:rPr>
          <w:rFonts w:ascii="Arial" w:hAnsi="Arial"/>
          <w:b/>
          <w:sz w:val="28"/>
        </w:rPr>
        <w:tab/>
        <w:t>Construction</w:t>
      </w:r>
      <w:bookmarkEnd w:id="438"/>
      <w:bookmarkEnd w:id="439"/>
    </w:p>
    <w:p w:rsidR="00431690" w:rsidRPr="00937C8B" w:rsidRDefault="00431690" w:rsidP="00425ADA">
      <w:pPr>
        <w:pStyle w:val="CTENumeracion"/>
        <w:numPr>
          <w:ilvl w:val="0"/>
          <w:numId w:val="44"/>
        </w:numPr>
        <w:tabs>
          <w:tab w:val="clear" w:pos="567"/>
          <w:tab w:val="num" w:pos="426"/>
        </w:tabs>
        <w:suppressAutoHyphens/>
        <w:spacing w:before="0"/>
        <w:ind w:left="425" w:hanging="425"/>
        <w:rPr>
          <w:szCs w:val="20"/>
        </w:rPr>
      </w:pPr>
      <w:bookmarkStart w:id="440" w:name="_Toc51478616"/>
      <w:r>
        <w:t>The design shall indicate and demonstrate the minimum technical characteristics for the products, as well as the execution conditions for each unit of work, with special checks and inspections to verify their compliance with the design specifications, as per Article 6 of Part I of the CTE.</w:t>
      </w:r>
    </w:p>
    <w:p w:rsidR="00431690" w:rsidRPr="00937C8B" w:rsidRDefault="00431690" w:rsidP="00431690">
      <w:pPr>
        <w:pStyle w:val="CteTtulo2"/>
        <w:tabs>
          <w:tab w:val="left" w:pos="454"/>
        </w:tabs>
        <w:spacing w:before="280"/>
        <w:rPr>
          <w:szCs w:val="24"/>
        </w:rPr>
      </w:pPr>
      <w:bookmarkStart w:id="441" w:name="_Toc39158000"/>
      <w:bookmarkStart w:id="442" w:name="_Toc39158164"/>
      <w:r>
        <w:t>5.1</w:t>
      </w:r>
      <w:r>
        <w:tab/>
        <w:t>Execution</w:t>
      </w:r>
      <w:bookmarkEnd w:id="440"/>
      <w:bookmarkEnd w:id="441"/>
      <w:bookmarkEnd w:id="442"/>
    </w:p>
    <w:p w:rsidR="00431690" w:rsidRPr="00937C8B" w:rsidRDefault="00431690" w:rsidP="00425ADA">
      <w:pPr>
        <w:pStyle w:val="CTENumeracion"/>
        <w:numPr>
          <w:ilvl w:val="0"/>
          <w:numId w:val="45"/>
        </w:numPr>
        <w:tabs>
          <w:tab w:val="clear" w:pos="567"/>
          <w:tab w:val="num" w:pos="426"/>
        </w:tabs>
        <w:suppressAutoHyphens/>
        <w:spacing w:before="0"/>
        <w:ind w:left="425" w:hanging="425"/>
        <w:rPr>
          <w:szCs w:val="20"/>
        </w:rPr>
      </w:pPr>
      <w:r>
        <w:t xml:space="preserve">The building construction work related to this section shall be performed according to the design, the applicable legislation, best practices in construction and the instructions of the site manager and the project manager, as per Article 7 of Part I of the CTE. The project specifications shall give the specific execution conditions of the radon protection systems. </w:t>
      </w:r>
    </w:p>
    <w:p w:rsidR="00431690" w:rsidRPr="00937C8B" w:rsidRDefault="00431690" w:rsidP="00431690">
      <w:pPr>
        <w:pStyle w:val="Ttulo3CTE"/>
      </w:pPr>
      <w:bookmarkStart w:id="443" w:name="_Toc39158001"/>
      <w:r>
        <w:t>5.1.1 Film barrier</w:t>
      </w:r>
      <w:bookmarkEnd w:id="443"/>
    </w:p>
    <w:p w:rsidR="00431690" w:rsidRPr="00937C8B" w:rsidRDefault="00431690" w:rsidP="00425ADA">
      <w:pPr>
        <w:pStyle w:val="CTENumeracion"/>
        <w:numPr>
          <w:ilvl w:val="0"/>
          <w:numId w:val="46"/>
        </w:numPr>
        <w:tabs>
          <w:tab w:val="clear" w:pos="567"/>
          <w:tab w:val="num" w:pos="426"/>
        </w:tabs>
        <w:suppressAutoHyphens/>
        <w:spacing w:before="0"/>
        <w:ind w:left="426" w:hanging="426"/>
        <w:rPr>
          <w:szCs w:val="20"/>
        </w:rPr>
      </w:pPr>
      <w:r>
        <w:t>The barrier shall be located on a clean and even surface, to prevent cracks that would let radon gas in.</w:t>
      </w:r>
    </w:p>
    <w:p w:rsidR="00431690" w:rsidRPr="00937C8B" w:rsidRDefault="00431690" w:rsidP="00425ADA">
      <w:pPr>
        <w:pStyle w:val="CTENumeracion"/>
        <w:numPr>
          <w:ilvl w:val="0"/>
          <w:numId w:val="46"/>
        </w:numPr>
        <w:tabs>
          <w:tab w:val="clear" w:pos="567"/>
          <w:tab w:val="num" w:pos="426"/>
        </w:tabs>
        <w:suppressAutoHyphens/>
        <w:spacing w:before="0"/>
        <w:ind w:left="426" w:hanging="426"/>
        <w:rPr>
          <w:szCs w:val="20"/>
        </w:rPr>
      </w:pPr>
      <w:r>
        <w:t>If the film will be located on the ground or on a granulate layer, it shall be necessary to ensure the uniformity and cleanliness of the contact surface and the absence of any objects that could damage the barrier. For this, a layer of blinding concrete or hydraulic lime mortar shall be applied.</w:t>
      </w:r>
    </w:p>
    <w:p w:rsidR="00431690" w:rsidRPr="00937C8B" w:rsidRDefault="00431690" w:rsidP="00425ADA">
      <w:pPr>
        <w:pStyle w:val="CTENumeracion"/>
        <w:numPr>
          <w:ilvl w:val="0"/>
          <w:numId w:val="46"/>
        </w:numPr>
        <w:tabs>
          <w:tab w:val="clear" w:pos="567"/>
          <w:tab w:val="num" w:pos="426"/>
        </w:tabs>
        <w:suppressAutoHyphens/>
        <w:spacing w:before="0"/>
        <w:ind w:left="426" w:hanging="426"/>
        <w:rPr>
          <w:szCs w:val="20"/>
        </w:rPr>
      </w:pPr>
      <w:r>
        <w:t xml:space="preserve">If the barrier does not have anti-puncture characteristics, </w:t>
      </w:r>
      <w:r>
        <w:rPr>
          <w:i/>
          <w:iCs/>
        </w:rPr>
        <w:t>anti-puncture layers</w:t>
      </w:r>
      <w:r>
        <w:t xml:space="preserve"> shall be installed.</w:t>
      </w:r>
    </w:p>
    <w:p w:rsidR="00431690" w:rsidRPr="00937C8B" w:rsidRDefault="00431690" w:rsidP="00425ADA">
      <w:pPr>
        <w:pStyle w:val="CTENumeracion"/>
        <w:numPr>
          <w:ilvl w:val="0"/>
          <w:numId w:val="46"/>
        </w:numPr>
        <w:tabs>
          <w:tab w:val="clear" w:pos="567"/>
          <w:tab w:val="num" w:pos="426"/>
        </w:tabs>
        <w:suppressAutoHyphens/>
        <w:spacing w:before="0"/>
        <w:ind w:left="426" w:hanging="426"/>
        <w:rPr>
          <w:szCs w:val="20"/>
        </w:rPr>
      </w:pPr>
      <w:r>
        <w:t>The barrier shall be reinforced at the corners, angles, points where it passes through walls, at line penetrations and other weak points where a reduction in properties may be expected, unless indicated otherwise in the barrier specifications.</w:t>
      </w:r>
    </w:p>
    <w:p w:rsidR="00431690" w:rsidRPr="00937C8B" w:rsidRDefault="00431690" w:rsidP="00425ADA">
      <w:pPr>
        <w:pStyle w:val="CTENumeracion"/>
        <w:numPr>
          <w:ilvl w:val="0"/>
          <w:numId w:val="46"/>
        </w:numPr>
        <w:tabs>
          <w:tab w:val="clear" w:pos="567"/>
          <w:tab w:val="num" w:pos="426"/>
        </w:tabs>
        <w:suppressAutoHyphens/>
        <w:spacing w:before="0"/>
        <w:ind w:left="426" w:hanging="426"/>
        <w:rPr>
          <w:szCs w:val="20"/>
        </w:rPr>
      </w:pPr>
      <w:r>
        <w:t>Joints with other elements, line penetrations, overlaps and joints between different parts of the barrier shall be sealed appropriately according to the barrier specifications, to prevent discontinuities between different sections. The seal shall be provided using products that guarantee the blockage of radon gas, such as insulating paints, plastic covers, flexible caulks, rubber profiles or other solutions that achieve the same effect.</w:t>
      </w:r>
    </w:p>
    <w:p w:rsidR="00431690" w:rsidRPr="00937C8B" w:rsidRDefault="00431690" w:rsidP="00425ADA">
      <w:pPr>
        <w:pStyle w:val="CTENumeracion"/>
        <w:numPr>
          <w:ilvl w:val="0"/>
          <w:numId w:val="46"/>
        </w:numPr>
        <w:tabs>
          <w:tab w:val="clear" w:pos="567"/>
          <w:tab w:val="num" w:pos="426"/>
        </w:tabs>
        <w:suppressAutoHyphens/>
        <w:spacing w:before="0"/>
        <w:ind w:left="426" w:hanging="426"/>
        <w:rPr>
          <w:szCs w:val="20"/>
        </w:rPr>
      </w:pPr>
      <w:r>
        <w:t>The horizontal barrier shall be extended through the vertical walls (outer walls, façades) up to 20 cm above the outside ground level.</w:t>
      </w:r>
    </w:p>
    <w:p w:rsidR="00431690" w:rsidRPr="00937C8B" w:rsidRDefault="00431690" w:rsidP="00D27646">
      <w:pPr>
        <w:pStyle w:val="CTENumeracion"/>
        <w:keepNext/>
        <w:numPr>
          <w:ilvl w:val="0"/>
          <w:numId w:val="46"/>
        </w:numPr>
        <w:tabs>
          <w:tab w:val="clear" w:pos="567"/>
          <w:tab w:val="num" w:pos="426"/>
        </w:tabs>
        <w:suppressAutoHyphens/>
        <w:spacing w:before="0"/>
        <w:ind w:left="426" w:hanging="426"/>
        <w:rPr>
          <w:szCs w:val="20"/>
        </w:rPr>
      </w:pPr>
      <w:r>
        <w:t>To the greatest extent possible, the inspection chambers, collection boxes, openings or vertical conduits in contact with the ground and any and all elements that create a barrier discontinuity shall be sealed, and implemented with:</w:t>
      </w:r>
    </w:p>
    <w:p w:rsidR="00431690" w:rsidRPr="00937C8B" w:rsidRDefault="00431690" w:rsidP="00425ADA">
      <w:pPr>
        <w:pStyle w:val="ListParagraph"/>
        <w:numPr>
          <w:ilvl w:val="2"/>
          <w:numId w:val="69"/>
        </w:numPr>
        <w:suppressAutoHyphens/>
        <w:spacing w:after="60" w:line="240" w:lineRule="auto"/>
        <w:ind w:left="851" w:hanging="425"/>
        <w:rPr>
          <w:rFonts w:ascii="Arial" w:hAnsi="Arial" w:cs="Arial"/>
          <w:sz w:val="20"/>
          <w:szCs w:val="20"/>
        </w:rPr>
      </w:pPr>
      <w:r>
        <w:rPr>
          <w:rFonts w:ascii="Arial" w:hAnsi="Arial"/>
          <w:sz w:val="20"/>
        </w:rPr>
        <w:t>waterproof reinforced concrete;</w:t>
      </w:r>
    </w:p>
    <w:p w:rsidR="00E57BE8" w:rsidRPr="00937C8B" w:rsidRDefault="00431690" w:rsidP="00425ADA">
      <w:pPr>
        <w:pStyle w:val="ListParagraph"/>
        <w:numPr>
          <w:ilvl w:val="2"/>
          <w:numId w:val="69"/>
        </w:numPr>
        <w:suppressAutoHyphens/>
        <w:spacing w:after="60" w:line="240" w:lineRule="auto"/>
        <w:ind w:left="851" w:hanging="425"/>
        <w:rPr>
          <w:rFonts w:ascii="Arial" w:hAnsi="Arial" w:cs="Arial"/>
          <w:sz w:val="20"/>
          <w:szCs w:val="20"/>
        </w:rPr>
      </w:pPr>
      <w:r>
        <w:rPr>
          <w:rFonts w:ascii="Arial" w:hAnsi="Arial"/>
          <w:sz w:val="20"/>
        </w:rPr>
        <w:t>a layer of waterproof material; or</w:t>
      </w:r>
    </w:p>
    <w:p w:rsidR="00431690" w:rsidRPr="00937C8B" w:rsidRDefault="00431690" w:rsidP="00E57BE8">
      <w:pPr>
        <w:pStyle w:val="ListParagraph"/>
        <w:numPr>
          <w:ilvl w:val="2"/>
          <w:numId w:val="69"/>
        </w:numPr>
        <w:suppressAutoHyphens/>
        <w:spacing w:after="60" w:line="240" w:lineRule="auto"/>
        <w:ind w:left="851" w:hanging="425"/>
        <w:rPr>
          <w:rFonts w:ascii="Arial" w:hAnsi="Arial" w:cs="Arial"/>
          <w:sz w:val="20"/>
          <w:szCs w:val="20"/>
        </w:rPr>
      </w:pPr>
      <w:r>
        <w:rPr>
          <w:rFonts w:ascii="Arial" w:hAnsi="Arial"/>
          <w:sz w:val="20"/>
        </w:rPr>
        <w:t>a radon barrier.</w:t>
      </w:r>
    </w:p>
    <w:p w:rsidR="00431690" w:rsidRPr="00937C8B" w:rsidRDefault="00431690" w:rsidP="00431690">
      <w:pPr>
        <w:pStyle w:val="Ttulo3CTE"/>
      </w:pPr>
      <w:bookmarkStart w:id="444" w:name="_Toc39158002"/>
      <w:r>
        <w:t>5.1.2 Horizontal ventilated air cavity</w:t>
      </w:r>
      <w:bookmarkEnd w:id="444"/>
    </w:p>
    <w:p w:rsidR="00431690" w:rsidRPr="00937C8B" w:rsidRDefault="00431690" w:rsidP="00E57BE8">
      <w:pPr>
        <w:pStyle w:val="CTENumeracion"/>
        <w:numPr>
          <w:ilvl w:val="0"/>
          <w:numId w:val="47"/>
        </w:numPr>
        <w:tabs>
          <w:tab w:val="clear" w:pos="567"/>
        </w:tabs>
        <w:suppressAutoHyphens/>
        <w:spacing w:before="0"/>
        <w:ind w:left="425" w:hanging="425"/>
        <w:rPr>
          <w:szCs w:val="20"/>
        </w:rPr>
      </w:pPr>
      <w:r>
        <w:t>In cases of a horizontal air cavity, it is advisable to fit the surface of the ground under the cavity with a blinding concrete layer.</w:t>
      </w:r>
    </w:p>
    <w:p w:rsidR="00431690" w:rsidRPr="00937C8B" w:rsidRDefault="00431690" w:rsidP="00431690">
      <w:pPr>
        <w:pStyle w:val="Ttulo3CTE"/>
      </w:pPr>
      <w:bookmarkStart w:id="445" w:name="_Toc39158003"/>
      <w:r>
        <w:t>5.1.3 Vertical ventilated air cavity</w:t>
      </w:r>
      <w:bookmarkEnd w:id="445"/>
    </w:p>
    <w:p w:rsidR="00431690" w:rsidRPr="00937C8B" w:rsidRDefault="00431690" w:rsidP="00425ADA">
      <w:pPr>
        <w:pStyle w:val="CTENumeracion"/>
        <w:numPr>
          <w:ilvl w:val="0"/>
          <w:numId w:val="61"/>
        </w:numPr>
        <w:tabs>
          <w:tab w:val="clear" w:pos="567"/>
          <w:tab w:val="num" w:pos="426"/>
        </w:tabs>
        <w:suppressAutoHyphens/>
        <w:spacing w:before="0"/>
        <w:ind w:left="425" w:hanging="425"/>
        <w:rPr>
          <w:szCs w:val="20"/>
        </w:rPr>
      </w:pPr>
      <w:r>
        <w:t>An outer cavity wall or sunken forecourt may be considered a ventilated vertical air cavity, even though they are not entirely open on top.</w:t>
      </w:r>
    </w:p>
    <w:p w:rsidR="00431690" w:rsidRPr="00937C8B" w:rsidRDefault="00431690" w:rsidP="00431690">
      <w:pPr>
        <w:pStyle w:val="Ttulo3CTE"/>
      </w:pPr>
      <w:bookmarkStart w:id="446" w:name="_Toc39158004"/>
      <w:r>
        <w:t>5.1.4 Depressurisation systems</w:t>
      </w:r>
      <w:bookmarkEnd w:id="446"/>
    </w:p>
    <w:p w:rsidR="00431690" w:rsidRPr="00937C8B" w:rsidRDefault="00431690" w:rsidP="00E57BE8">
      <w:pPr>
        <w:pStyle w:val="CTENumeracion"/>
        <w:numPr>
          <w:ilvl w:val="0"/>
          <w:numId w:val="48"/>
        </w:numPr>
        <w:tabs>
          <w:tab w:val="clear" w:pos="567"/>
        </w:tabs>
        <w:suppressAutoHyphens/>
        <w:spacing w:before="0"/>
        <w:ind w:left="425" w:hanging="425"/>
        <w:rPr>
          <w:szCs w:val="20"/>
        </w:rPr>
      </w:pPr>
      <w:r>
        <w:t>The suction elements, both perforated tubes and boxes, must be located in the centre of the depth dimension of the backfill layer specified in section 3.3, to use all of its surface area for air suction.</w:t>
      </w:r>
    </w:p>
    <w:p w:rsidR="00431690" w:rsidRPr="00937C8B" w:rsidRDefault="00431690" w:rsidP="00E57BE8">
      <w:pPr>
        <w:pStyle w:val="CTENumeracion"/>
        <w:numPr>
          <w:ilvl w:val="0"/>
          <w:numId w:val="48"/>
        </w:numPr>
        <w:tabs>
          <w:tab w:val="clear" w:pos="567"/>
          <w:tab w:val="num" w:pos="426"/>
        </w:tabs>
        <w:suppressAutoHyphens/>
        <w:spacing w:before="0"/>
        <w:ind w:left="425" w:hanging="425"/>
        <w:rPr>
          <w:szCs w:val="20"/>
        </w:rPr>
      </w:pPr>
      <w:r>
        <w:t>If the floor slab concrete is cast directly onto the backfill layer, it shall be protected by means such as a geotextile layer, to prevent saturation of its openings and disabling of its perforated tubes or boxes.</w:t>
      </w:r>
    </w:p>
    <w:p w:rsidR="00431690" w:rsidRPr="00937C8B" w:rsidRDefault="00431690" w:rsidP="00431690">
      <w:pPr>
        <w:pStyle w:val="CteTtulo2"/>
        <w:tabs>
          <w:tab w:val="left" w:pos="454"/>
        </w:tabs>
        <w:spacing w:before="280"/>
        <w:rPr>
          <w:szCs w:val="24"/>
        </w:rPr>
      </w:pPr>
      <w:bookmarkStart w:id="447" w:name="_Toc51478620"/>
      <w:bookmarkStart w:id="448" w:name="_Toc39158005"/>
      <w:bookmarkStart w:id="449" w:name="_Toc39158165"/>
      <w:r>
        <w:t>5.2</w:t>
      </w:r>
      <w:r>
        <w:tab/>
        <w:t>Execution verification</w:t>
      </w:r>
      <w:bookmarkEnd w:id="447"/>
      <w:bookmarkEnd w:id="448"/>
      <w:bookmarkEnd w:id="449"/>
    </w:p>
    <w:p w:rsidR="00431690" w:rsidRPr="00937C8B" w:rsidRDefault="00431690" w:rsidP="00E57BE8">
      <w:pPr>
        <w:pStyle w:val="CTENumeracion"/>
        <w:numPr>
          <w:ilvl w:val="0"/>
          <w:numId w:val="49"/>
        </w:numPr>
        <w:tabs>
          <w:tab w:val="clear" w:pos="567"/>
          <w:tab w:val="num" w:pos="426"/>
        </w:tabs>
        <w:suppressAutoHyphens/>
        <w:spacing w:before="0"/>
        <w:ind w:left="425" w:hanging="425"/>
        <w:rPr>
          <w:szCs w:val="20"/>
        </w:rPr>
      </w:pPr>
      <w:bookmarkStart w:id="450" w:name="_Toc529156475"/>
      <w:bookmarkStart w:id="451" w:name="_Toc529328630"/>
      <w:bookmarkStart w:id="452" w:name="_Toc535122951"/>
      <w:bookmarkStart w:id="453" w:name="_Toc41274002"/>
      <w:r>
        <w:t>Execution of the work shall be verified according to the design specifications, annexes and any amendments approved by the site manager and the instructions of the project manager, as per Article 7.3 of Part I of the CTE and other applicable prevailing regulations.</w:t>
      </w:r>
    </w:p>
    <w:p w:rsidR="00431690" w:rsidRPr="00937C8B" w:rsidRDefault="00431690" w:rsidP="00E57BE8">
      <w:pPr>
        <w:pStyle w:val="CTENumeracion"/>
        <w:numPr>
          <w:ilvl w:val="0"/>
          <w:numId w:val="49"/>
        </w:numPr>
        <w:tabs>
          <w:tab w:val="clear" w:pos="567"/>
        </w:tabs>
        <w:suppressAutoHyphens/>
        <w:spacing w:before="0"/>
        <w:ind w:left="425" w:hanging="425"/>
        <w:rPr>
          <w:szCs w:val="20"/>
        </w:rPr>
      </w:pPr>
      <w:r>
        <w:t>Execution of the work shall be checked to ensure performance of inspections at the required frequency, as per the project specifications.</w:t>
      </w:r>
    </w:p>
    <w:p w:rsidR="00431690" w:rsidRPr="00937C8B" w:rsidRDefault="00431690" w:rsidP="00E57BE8">
      <w:pPr>
        <w:pStyle w:val="CTENumeracion"/>
        <w:numPr>
          <w:ilvl w:val="0"/>
          <w:numId w:val="49"/>
        </w:numPr>
        <w:tabs>
          <w:tab w:val="clear" w:pos="567"/>
          <w:tab w:val="num" w:pos="426"/>
        </w:tabs>
        <w:suppressAutoHyphens/>
        <w:spacing w:before="0"/>
        <w:ind w:left="425" w:hanging="425"/>
        <w:rPr>
          <w:szCs w:val="20"/>
        </w:rPr>
      </w:pPr>
      <w:r>
        <w:t>Any changes introduced during execution of the works shall be recorded in the as-built documents, and shall always be in accordance with the minimum conditions set out in this section.</w:t>
      </w:r>
    </w:p>
    <w:p w:rsidR="00431690" w:rsidRPr="00937C8B" w:rsidRDefault="00431690" w:rsidP="00431690">
      <w:pPr>
        <w:pStyle w:val="CteTtulo2"/>
        <w:tabs>
          <w:tab w:val="left" w:pos="454"/>
        </w:tabs>
        <w:spacing w:before="280"/>
        <w:rPr>
          <w:szCs w:val="24"/>
        </w:rPr>
      </w:pPr>
      <w:bookmarkStart w:id="454" w:name="_Toc39158006"/>
      <w:bookmarkStart w:id="455" w:name="_Toc39158166"/>
      <w:bookmarkEnd w:id="450"/>
      <w:bookmarkEnd w:id="451"/>
      <w:bookmarkEnd w:id="452"/>
      <w:bookmarkEnd w:id="453"/>
      <w:r>
        <w:t>5.3</w:t>
      </w:r>
      <w:r>
        <w:tab/>
        <w:t>As-built verification</w:t>
      </w:r>
      <w:bookmarkEnd w:id="454"/>
      <w:bookmarkEnd w:id="455"/>
    </w:p>
    <w:p w:rsidR="00431690" w:rsidRPr="00937C8B" w:rsidRDefault="00431690" w:rsidP="00425ADA">
      <w:pPr>
        <w:pStyle w:val="CTENumeracion"/>
        <w:numPr>
          <w:ilvl w:val="0"/>
          <w:numId w:val="50"/>
        </w:numPr>
        <w:tabs>
          <w:tab w:val="clear" w:pos="567"/>
          <w:tab w:val="num" w:pos="709"/>
        </w:tabs>
        <w:suppressAutoHyphens/>
        <w:spacing w:before="0"/>
        <w:ind w:left="425" w:hanging="425"/>
      </w:pPr>
      <w:r>
        <w:t xml:space="preserve">The inspection shall apply the criteria indicated in Article 7.4 of Part I of the CTE. </w:t>
      </w:r>
    </w:p>
    <w:p w:rsidR="00431690" w:rsidRPr="00937C8B" w:rsidRDefault="00431690" w:rsidP="00E57BE8">
      <w:pPr>
        <w:keepNext/>
        <w:tabs>
          <w:tab w:val="left" w:pos="426"/>
        </w:tabs>
        <w:spacing w:before="480" w:after="160"/>
        <w:outlineLvl w:val="0"/>
        <w:rPr>
          <w:rFonts w:ascii="Arial" w:eastAsia="Calibri" w:hAnsi="Arial" w:cs="Arial"/>
          <w:b/>
          <w:bCs/>
          <w:noProof/>
          <w:kern w:val="32"/>
          <w:sz w:val="28"/>
          <w:szCs w:val="28"/>
        </w:rPr>
      </w:pPr>
      <w:bookmarkStart w:id="456" w:name="_Toc39158007"/>
      <w:bookmarkStart w:id="457" w:name="_Toc39158167"/>
      <w:r>
        <w:rPr>
          <w:rFonts w:ascii="Arial" w:hAnsi="Arial"/>
          <w:b/>
          <w:sz w:val="28"/>
        </w:rPr>
        <w:t>6.</w:t>
      </w:r>
      <w:r>
        <w:rPr>
          <w:rFonts w:ascii="Arial" w:hAnsi="Arial"/>
          <w:b/>
          <w:sz w:val="28"/>
        </w:rPr>
        <w:tab/>
        <w:t>Maintenance and preservation</w:t>
      </w:r>
      <w:bookmarkEnd w:id="456"/>
      <w:bookmarkEnd w:id="457"/>
    </w:p>
    <w:p w:rsidR="00431690" w:rsidRPr="00937C8B" w:rsidRDefault="00431690" w:rsidP="00425ADA">
      <w:pPr>
        <w:pStyle w:val="CTENumeracion"/>
        <w:numPr>
          <w:ilvl w:val="0"/>
          <w:numId w:val="51"/>
        </w:numPr>
        <w:tabs>
          <w:tab w:val="clear" w:pos="567"/>
        </w:tabs>
        <w:suppressAutoHyphens/>
        <w:spacing w:before="0"/>
        <w:ind w:left="425" w:hanging="425"/>
        <w:rPr>
          <w:szCs w:val="20"/>
        </w:rPr>
      </w:pPr>
      <w:r>
        <w:t>A maintenance plan shall specify the work required over the service life of the radon protection systems to ensure functioning, increase reliability and extend their life.</w:t>
      </w:r>
    </w:p>
    <w:p w:rsidR="00E57BE8" w:rsidRPr="00937C8B" w:rsidRDefault="00431690" w:rsidP="00D27646">
      <w:pPr>
        <w:pStyle w:val="CTENumeracion"/>
        <w:keepNext/>
        <w:numPr>
          <w:ilvl w:val="0"/>
          <w:numId w:val="51"/>
        </w:numPr>
        <w:tabs>
          <w:tab w:val="clear" w:pos="567"/>
          <w:tab w:val="num" w:pos="426"/>
        </w:tabs>
        <w:suppressAutoHyphens/>
        <w:spacing w:before="0"/>
        <w:ind w:left="425" w:hanging="425"/>
        <w:rPr>
          <w:szCs w:val="20"/>
        </w:rPr>
      </w:pPr>
      <w:r>
        <w:t>At least the maintenance work and intervals given in Table 6.1 and the relevant repairs for any identified defects shall be performed. In addition, the specifications for the individual materials and systems used shall be observed, to ensure the durability of the protection systems:</w:t>
      </w:r>
    </w:p>
    <w:p w:rsidR="00431690" w:rsidRPr="00937C8B" w:rsidRDefault="00431690" w:rsidP="00D27646">
      <w:pPr>
        <w:pStyle w:val="CTENumeracion"/>
        <w:keepNext/>
        <w:suppressAutoHyphens/>
        <w:spacing w:before="0"/>
        <w:ind w:left="425" w:firstLine="0"/>
        <w:rPr>
          <w:szCs w:val="20"/>
        </w:rPr>
      </w:pPr>
    </w:p>
    <w:p w:rsidR="00431690" w:rsidRPr="00937C8B" w:rsidRDefault="00431690" w:rsidP="00D27646">
      <w:pPr>
        <w:pStyle w:val="ttulofiguratablafrmulaCTE"/>
        <w:keepNext/>
        <w:rPr>
          <w:vertAlign w:val="superscript"/>
        </w:rPr>
      </w:pPr>
      <w:r>
        <w:t>Table 6.1 Maintenance work</w:t>
      </w:r>
    </w:p>
    <w:tbl>
      <w:tblPr>
        <w:tblW w:w="8222" w:type="dxa"/>
        <w:tblInd w:w="659" w:type="dxa"/>
        <w:tblLook w:val="01E0" w:firstRow="1" w:lastRow="1" w:firstColumn="1" w:lastColumn="1" w:noHBand="0" w:noVBand="0"/>
      </w:tblPr>
      <w:tblGrid>
        <w:gridCol w:w="1968"/>
        <w:gridCol w:w="4411"/>
        <w:gridCol w:w="768"/>
        <w:gridCol w:w="1075"/>
      </w:tblGrid>
      <w:tr w:rsidR="00431690" w:rsidRPr="00937C8B" w:rsidTr="00935676">
        <w:tc>
          <w:tcPr>
            <w:tcW w:w="1968" w:type="dxa"/>
            <w:tcBorders>
              <w:bottom w:val="single" w:sz="4" w:space="0" w:color="auto"/>
              <w:right w:val="single" w:sz="4" w:space="0" w:color="auto"/>
            </w:tcBorders>
            <w:vAlign w:val="center"/>
          </w:tcPr>
          <w:p w:rsidR="00431690" w:rsidRPr="00937C8B" w:rsidRDefault="00431690" w:rsidP="00D27646">
            <w:pPr>
              <w:keepNext/>
              <w:jc w:val="center"/>
              <w:rPr>
                <w:rFonts w:ascii="Arial" w:hAnsi="Arial" w:cs="Arial"/>
              </w:rPr>
            </w:pP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937C8B" w:rsidRDefault="00431690" w:rsidP="00D27646">
            <w:pPr>
              <w:keepNext/>
              <w:jc w:val="center"/>
              <w:rPr>
                <w:rFonts w:ascii="Arial" w:hAnsi="Arial" w:cs="Arial"/>
                <w:b/>
                <w:sz w:val="18"/>
                <w:szCs w:val="18"/>
              </w:rPr>
            </w:pPr>
            <w:r>
              <w:rPr>
                <w:rFonts w:ascii="Arial" w:hAnsi="Arial"/>
                <w:b/>
                <w:sz w:val="18"/>
              </w:rPr>
              <w:t>Operation</w:t>
            </w:r>
          </w:p>
        </w:tc>
        <w:tc>
          <w:tcPr>
            <w:tcW w:w="1843" w:type="dxa"/>
            <w:gridSpan w:val="2"/>
            <w:tcBorders>
              <w:top w:val="single" w:sz="4" w:space="0" w:color="auto"/>
              <w:left w:val="single" w:sz="4" w:space="0" w:color="auto"/>
              <w:bottom w:val="single" w:sz="4" w:space="0" w:color="auto"/>
            </w:tcBorders>
            <w:vAlign w:val="center"/>
          </w:tcPr>
          <w:p w:rsidR="00431690" w:rsidRPr="00937C8B" w:rsidRDefault="00431690" w:rsidP="00D27646">
            <w:pPr>
              <w:keepNext/>
              <w:jc w:val="center"/>
              <w:rPr>
                <w:rFonts w:ascii="Arial" w:hAnsi="Arial" w:cs="Arial"/>
                <w:b/>
                <w:sz w:val="18"/>
                <w:szCs w:val="18"/>
              </w:rPr>
            </w:pPr>
            <w:r>
              <w:rPr>
                <w:rFonts w:ascii="Arial" w:hAnsi="Arial"/>
                <w:b/>
                <w:sz w:val="18"/>
              </w:rPr>
              <w:t>Interval</w:t>
            </w:r>
          </w:p>
        </w:tc>
      </w:tr>
      <w:tr w:rsidR="00431690" w:rsidRPr="00937C8B" w:rsidTr="00935676">
        <w:tc>
          <w:tcPr>
            <w:tcW w:w="1968" w:type="dxa"/>
            <w:vMerge w:val="restart"/>
            <w:tcBorders>
              <w:top w:val="single" w:sz="4" w:space="0" w:color="auto"/>
              <w:bottom w:val="single" w:sz="4" w:space="0" w:color="auto"/>
              <w:right w:val="single" w:sz="4" w:space="0" w:color="auto"/>
            </w:tcBorders>
            <w:vAlign w:val="center"/>
          </w:tcPr>
          <w:p w:rsidR="00431690" w:rsidRPr="00937C8B" w:rsidRDefault="00431690" w:rsidP="003E38D0">
            <w:pPr>
              <w:jc w:val="center"/>
              <w:rPr>
                <w:rFonts w:ascii="Arial" w:hAnsi="Arial" w:cs="Arial"/>
                <w:b/>
                <w:sz w:val="18"/>
                <w:szCs w:val="18"/>
              </w:rPr>
            </w:pPr>
            <w:r>
              <w:rPr>
                <w:rFonts w:ascii="Arial" w:hAnsi="Arial"/>
                <w:b/>
                <w:sz w:val="18"/>
              </w:rPr>
              <w:t>Ductwork</w:t>
            </w: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937C8B" w:rsidRDefault="00431690" w:rsidP="003E38D0">
            <w:pPr>
              <w:rPr>
                <w:rFonts w:ascii="Arial" w:hAnsi="Arial" w:cs="Arial"/>
                <w:sz w:val="18"/>
                <w:szCs w:val="18"/>
              </w:rPr>
            </w:pPr>
            <w:r>
              <w:rPr>
                <w:rFonts w:ascii="Arial" w:hAnsi="Arial"/>
                <w:sz w:val="18"/>
              </w:rPr>
              <w:t>Cleaning</w:t>
            </w:r>
          </w:p>
        </w:tc>
        <w:tc>
          <w:tcPr>
            <w:tcW w:w="768" w:type="dxa"/>
            <w:tcBorders>
              <w:top w:val="single" w:sz="4" w:space="0" w:color="auto"/>
              <w:left w:val="single" w:sz="4" w:space="0" w:color="auto"/>
              <w:bottom w:val="single" w:sz="4" w:space="0" w:color="auto"/>
            </w:tcBorders>
            <w:vAlign w:val="center"/>
          </w:tcPr>
          <w:p w:rsidR="00431690" w:rsidRPr="00937C8B" w:rsidRDefault="00431690" w:rsidP="003E38D0">
            <w:pPr>
              <w:jc w:val="right"/>
              <w:rPr>
                <w:rFonts w:ascii="Arial" w:hAnsi="Arial" w:cs="Arial"/>
              </w:rPr>
            </w:pPr>
            <w:r>
              <w:rPr>
                <w:rFonts w:ascii="Arial" w:hAnsi="Arial"/>
              </w:rPr>
              <w:t>1</w:t>
            </w:r>
          </w:p>
        </w:tc>
        <w:tc>
          <w:tcPr>
            <w:tcW w:w="1075" w:type="dxa"/>
            <w:tcBorders>
              <w:top w:val="single" w:sz="4" w:space="0" w:color="auto"/>
              <w:bottom w:val="single" w:sz="4" w:space="0" w:color="auto"/>
            </w:tcBorders>
            <w:vAlign w:val="center"/>
          </w:tcPr>
          <w:p w:rsidR="00431690" w:rsidRPr="00937C8B" w:rsidRDefault="00431690" w:rsidP="003E38D0">
            <w:pPr>
              <w:rPr>
                <w:rFonts w:ascii="Arial" w:hAnsi="Arial" w:cs="Arial"/>
              </w:rPr>
            </w:pPr>
            <w:r>
              <w:rPr>
                <w:rFonts w:ascii="Arial" w:hAnsi="Arial"/>
              </w:rPr>
              <w:t>year</w:t>
            </w:r>
          </w:p>
        </w:tc>
      </w:tr>
      <w:tr w:rsidR="00431690" w:rsidRPr="00937C8B" w:rsidTr="00935676">
        <w:tc>
          <w:tcPr>
            <w:tcW w:w="1968" w:type="dxa"/>
            <w:vMerge/>
            <w:tcBorders>
              <w:top w:val="single" w:sz="4" w:space="0" w:color="auto"/>
              <w:bottom w:val="single" w:sz="4" w:space="0" w:color="auto"/>
              <w:right w:val="single" w:sz="4" w:space="0" w:color="auto"/>
            </w:tcBorders>
            <w:vAlign w:val="center"/>
          </w:tcPr>
          <w:p w:rsidR="00431690" w:rsidRPr="00937C8B" w:rsidRDefault="00431690" w:rsidP="003E38D0">
            <w:pPr>
              <w:jc w:val="center"/>
              <w:rPr>
                <w:rFonts w:ascii="Arial" w:hAnsi="Arial" w:cs="Arial"/>
                <w:b/>
                <w:sz w:val="18"/>
                <w:szCs w:val="18"/>
              </w:rPr>
            </w:pP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937C8B" w:rsidRDefault="00431690" w:rsidP="003E38D0">
            <w:pPr>
              <w:rPr>
                <w:rFonts w:ascii="Arial" w:hAnsi="Arial" w:cs="Arial"/>
                <w:sz w:val="18"/>
                <w:szCs w:val="18"/>
              </w:rPr>
            </w:pPr>
            <w:r>
              <w:rPr>
                <w:rFonts w:ascii="Arial" w:hAnsi="Arial"/>
                <w:sz w:val="18"/>
              </w:rPr>
              <w:t>Verification of apparent seal</w:t>
            </w:r>
          </w:p>
        </w:tc>
        <w:tc>
          <w:tcPr>
            <w:tcW w:w="768" w:type="dxa"/>
            <w:tcBorders>
              <w:top w:val="single" w:sz="4" w:space="0" w:color="auto"/>
              <w:left w:val="single" w:sz="4" w:space="0" w:color="auto"/>
              <w:bottom w:val="single" w:sz="4" w:space="0" w:color="auto"/>
            </w:tcBorders>
            <w:vAlign w:val="center"/>
          </w:tcPr>
          <w:p w:rsidR="00431690" w:rsidRPr="00937C8B" w:rsidRDefault="00431690" w:rsidP="003E38D0">
            <w:pPr>
              <w:jc w:val="right"/>
              <w:rPr>
                <w:rFonts w:ascii="Arial" w:hAnsi="Arial" w:cs="Arial"/>
              </w:rPr>
            </w:pPr>
            <w:r>
              <w:rPr>
                <w:rFonts w:ascii="Arial" w:hAnsi="Arial"/>
              </w:rPr>
              <w:t>5</w:t>
            </w:r>
          </w:p>
        </w:tc>
        <w:tc>
          <w:tcPr>
            <w:tcW w:w="1075" w:type="dxa"/>
            <w:tcBorders>
              <w:top w:val="single" w:sz="4" w:space="0" w:color="auto"/>
              <w:bottom w:val="single" w:sz="4" w:space="0" w:color="auto"/>
            </w:tcBorders>
            <w:vAlign w:val="center"/>
          </w:tcPr>
          <w:p w:rsidR="00431690" w:rsidRPr="00937C8B" w:rsidRDefault="00431690" w:rsidP="003E38D0">
            <w:pPr>
              <w:rPr>
                <w:rFonts w:ascii="Arial" w:hAnsi="Arial" w:cs="Arial"/>
              </w:rPr>
            </w:pPr>
            <w:r>
              <w:rPr>
                <w:rFonts w:ascii="Arial" w:hAnsi="Arial"/>
              </w:rPr>
              <w:t>years</w:t>
            </w:r>
          </w:p>
        </w:tc>
      </w:tr>
      <w:tr w:rsidR="00431690" w:rsidRPr="00937C8B" w:rsidTr="00935676">
        <w:tc>
          <w:tcPr>
            <w:tcW w:w="1968" w:type="dxa"/>
            <w:tcBorders>
              <w:top w:val="single" w:sz="4" w:space="0" w:color="auto"/>
              <w:bottom w:val="single" w:sz="4" w:space="0" w:color="auto"/>
              <w:right w:val="single" w:sz="4" w:space="0" w:color="auto"/>
            </w:tcBorders>
            <w:vAlign w:val="center"/>
          </w:tcPr>
          <w:p w:rsidR="00431690" w:rsidRPr="00937C8B" w:rsidRDefault="00431690" w:rsidP="003E38D0">
            <w:pPr>
              <w:jc w:val="center"/>
              <w:rPr>
                <w:rFonts w:ascii="Arial" w:hAnsi="Arial" w:cs="Arial"/>
                <w:b/>
                <w:sz w:val="18"/>
                <w:szCs w:val="18"/>
              </w:rPr>
            </w:pPr>
            <w:r>
              <w:rPr>
                <w:rFonts w:ascii="Arial" w:hAnsi="Arial"/>
                <w:b/>
                <w:sz w:val="18"/>
              </w:rPr>
              <w:t>Openings</w:t>
            </w: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937C8B" w:rsidRDefault="00431690" w:rsidP="003E38D0">
            <w:pPr>
              <w:rPr>
                <w:rFonts w:ascii="Arial" w:hAnsi="Arial" w:cs="Arial"/>
                <w:sz w:val="18"/>
                <w:szCs w:val="18"/>
              </w:rPr>
            </w:pPr>
            <w:r>
              <w:rPr>
                <w:rFonts w:ascii="Arial" w:hAnsi="Arial"/>
                <w:sz w:val="18"/>
              </w:rPr>
              <w:t>Cleaning</w:t>
            </w:r>
          </w:p>
        </w:tc>
        <w:tc>
          <w:tcPr>
            <w:tcW w:w="768" w:type="dxa"/>
            <w:tcBorders>
              <w:top w:val="single" w:sz="4" w:space="0" w:color="auto"/>
              <w:left w:val="single" w:sz="4" w:space="0" w:color="auto"/>
              <w:bottom w:val="single" w:sz="4" w:space="0" w:color="auto"/>
            </w:tcBorders>
            <w:vAlign w:val="center"/>
          </w:tcPr>
          <w:p w:rsidR="00431690" w:rsidRPr="00937C8B" w:rsidRDefault="00431690" w:rsidP="003E38D0">
            <w:pPr>
              <w:jc w:val="right"/>
              <w:rPr>
                <w:rFonts w:ascii="Arial" w:hAnsi="Arial" w:cs="Arial"/>
              </w:rPr>
            </w:pPr>
            <w:r>
              <w:rPr>
                <w:rFonts w:ascii="Arial" w:hAnsi="Arial"/>
              </w:rPr>
              <w:t>1</w:t>
            </w:r>
          </w:p>
        </w:tc>
        <w:tc>
          <w:tcPr>
            <w:tcW w:w="1075" w:type="dxa"/>
            <w:tcBorders>
              <w:top w:val="single" w:sz="4" w:space="0" w:color="auto"/>
              <w:bottom w:val="single" w:sz="4" w:space="0" w:color="auto"/>
            </w:tcBorders>
            <w:vAlign w:val="center"/>
          </w:tcPr>
          <w:p w:rsidR="00431690" w:rsidRPr="00937C8B" w:rsidRDefault="00431690" w:rsidP="003E38D0">
            <w:pPr>
              <w:rPr>
                <w:rFonts w:ascii="Arial" w:hAnsi="Arial" w:cs="Arial"/>
              </w:rPr>
            </w:pPr>
            <w:r>
              <w:rPr>
                <w:rFonts w:ascii="Arial" w:hAnsi="Arial"/>
              </w:rPr>
              <w:t>year</w:t>
            </w:r>
          </w:p>
        </w:tc>
      </w:tr>
      <w:tr w:rsidR="00431690" w:rsidRPr="00937C8B" w:rsidTr="00935676">
        <w:tc>
          <w:tcPr>
            <w:tcW w:w="1968" w:type="dxa"/>
            <w:vMerge w:val="restart"/>
            <w:tcBorders>
              <w:top w:val="single" w:sz="4" w:space="0" w:color="auto"/>
              <w:bottom w:val="single" w:sz="4" w:space="0" w:color="auto"/>
              <w:right w:val="single" w:sz="4" w:space="0" w:color="auto"/>
            </w:tcBorders>
            <w:vAlign w:val="center"/>
          </w:tcPr>
          <w:p w:rsidR="00431690" w:rsidRPr="00937C8B" w:rsidRDefault="00431690" w:rsidP="003E38D0">
            <w:pPr>
              <w:jc w:val="center"/>
              <w:rPr>
                <w:rFonts w:ascii="Arial" w:hAnsi="Arial" w:cs="Arial"/>
                <w:b/>
                <w:i/>
                <w:iCs/>
                <w:sz w:val="18"/>
                <w:szCs w:val="18"/>
              </w:rPr>
            </w:pPr>
            <w:r>
              <w:rPr>
                <w:rFonts w:ascii="Arial" w:hAnsi="Arial"/>
                <w:b/>
                <w:i/>
                <w:sz w:val="18"/>
              </w:rPr>
              <w:t>Exhaust fans</w:t>
            </w: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937C8B" w:rsidRDefault="00431690" w:rsidP="003E38D0">
            <w:pPr>
              <w:rPr>
                <w:rFonts w:ascii="Arial" w:hAnsi="Arial" w:cs="Arial"/>
                <w:sz w:val="18"/>
                <w:szCs w:val="18"/>
              </w:rPr>
            </w:pPr>
            <w:r>
              <w:rPr>
                <w:rFonts w:ascii="Arial" w:hAnsi="Arial"/>
                <w:sz w:val="18"/>
              </w:rPr>
              <w:t>Cleaning</w:t>
            </w:r>
          </w:p>
        </w:tc>
        <w:tc>
          <w:tcPr>
            <w:tcW w:w="768" w:type="dxa"/>
            <w:tcBorders>
              <w:top w:val="single" w:sz="4" w:space="0" w:color="auto"/>
              <w:left w:val="single" w:sz="4" w:space="0" w:color="auto"/>
              <w:bottom w:val="single" w:sz="4" w:space="0" w:color="auto"/>
            </w:tcBorders>
            <w:vAlign w:val="center"/>
          </w:tcPr>
          <w:p w:rsidR="00431690" w:rsidRPr="00937C8B" w:rsidRDefault="00431690" w:rsidP="003E38D0">
            <w:pPr>
              <w:jc w:val="right"/>
              <w:rPr>
                <w:rFonts w:ascii="Arial" w:hAnsi="Arial" w:cs="Arial"/>
              </w:rPr>
            </w:pPr>
            <w:r>
              <w:rPr>
                <w:rFonts w:ascii="Arial" w:hAnsi="Arial"/>
              </w:rPr>
              <w:t>1</w:t>
            </w:r>
          </w:p>
        </w:tc>
        <w:tc>
          <w:tcPr>
            <w:tcW w:w="1075" w:type="dxa"/>
            <w:tcBorders>
              <w:top w:val="single" w:sz="4" w:space="0" w:color="auto"/>
              <w:bottom w:val="single" w:sz="4" w:space="0" w:color="auto"/>
            </w:tcBorders>
            <w:vAlign w:val="center"/>
          </w:tcPr>
          <w:p w:rsidR="00431690" w:rsidRPr="00937C8B" w:rsidRDefault="00431690" w:rsidP="003E38D0">
            <w:pPr>
              <w:rPr>
                <w:rFonts w:ascii="Arial" w:hAnsi="Arial" w:cs="Arial"/>
              </w:rPr>
            </w:pPr>
            <w:r>
              <w:rPr>
                <w:rFonts w:ascii="Arial" w:hAnsi="Arial"/>
              </w:rPr>
              <w:t>year</w:t>
            </w:r>
          </w:p>
        </w:tc>
      </w:tr>
      <w:tr w:rsidR="00431690" w:rsidRPr="00937C8B" w:rsidTr="00935676">
        <w:tc>
          <w:tcPr>
            <w:tcW w:w="1968" w:type="dxa"/>
            <w:vMerge/>
            <w:tcBorders>
              <w:top w:val="single" w:sz="4" w:space="0" w:color="auto"/>
              <w:bottom w:val="single" w:sz="4" w:space="0" w:color="auto"/>
              <w:right w:val="single" w:sz="4" w:space="0" w:color="auto"/>
            </w:tcBorders>
            <w:vAlign w:val="center"/>
          </w:tcPr>
          <w:p w:rsidR="00431690" w:rsidRPr="00937C8B" w:rsidRDefault="00431690" w:rsidP="003E38D0">
            <w:pPr>
              <w:jc w:val="center"/>
              <w:rPr>
                <w:rFonts w:ascii="Arial" w:hAnsi="Arial" w:cs="Arial"/>
                <w:b/>
                <w:sz w:val="18"/>
                <w:szCs w:val="18"/>
              </w:rPr>
            </w:pP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937C8B" w:rsidRDefault="00431690" w:rsidP="003E38D0">
            <w:pPr>
              <w:rPr>
                <w:rFonts w:ascii="Arial" w:hAnsi="Arial" w:cs="Arial"/>
                <w:sz w:val="18"/>
                <w:szCs w:val="18"/>
              </w:rPr>
            </w:pPr>
            <w:r>
              <w:rPr>
                <w:rFonts w:ascii="Arial" w:hAnsi="Arial"/>
                <w:sz w:val="18"/>
              </w:rPr>
              <w:t>Functionality check</w:t>
            </w:r>
          </w:p>
        </w:tc>
        <w:tc>
          <w:tcPr>
            <w:tcW w:w="768" w:type="dxa"/>
            <w:tcBorders>
              <w:top w:val="single" w:sz="4" w:space="0" w:color="auto"/>
              <w:left w:val="single" w:sz="4" w:space="0" w:color="auto"/>
              <w:bottom w:val="single" w:sz="4" w:space="0" w:color="auto"/>
            </w:tcBorders>
            <w:vAlign w:val="center"/>
          </w:tcPr>
          <w:p w:rsidR="00431690" w:rsidRPr="00937C8B" w:rsidRDefault="00431690" w:rsidP="003E38D0">
            <w:pPr>
              <w:jc w:val="right"/>
              <w:rPr>
                <w:rFonts w:ascii="Arial" w:hAnsi="Arial" w:cs="Arial"/>
              </w:rPr>
            </w:pPr>
            <w:r>
              <w:rPr>
                <w:rFonts w:ascii="Arial" w:hAnsi="Arial"/>
              </w:rPr>
              <w:t>5</w:t>
            </w:r>
          </w:p>
        </w:tc>
        <w:tc>
          <w:tcPr>
            <w:tcW w:w="1075" w:type="dxa"/>
            <w:tcBorders>
              <w:top w:val="single" w:sz="4" w:space="0" w:color="auto"/>
              <w:bottom w:val="single" w:sz="4" w:space="0" w:color="auto"/>
            </w:tcBorders>
            <w:vAlign w:val="center"/>
          </w:tcPr>
          <w:p w:rsidR="00431690" w:rsidRPr="00937C8B" w:rsidRDefault="00431690" w:rsidP="003E38D0">
            <w:pPr>
              <w:rPr>
                <w:rFonts w:ascii="Arial" w:hAnsi="Arial" w:cs="Arial"/>
              </w:rPr>
            </w:pPr>
            <w:r>
              <w:rPr>
                <w:rFonts w:ascii="Arial" w:hAnsi="Arial"/>
              </w:rPr>
              <w:t>years</w:t>
            </w:r>
          </w:p>
        </w:tc>
      </w:tr>
      <w:tr w:rsidR="00431690" w:rsidRPr="00937C8B" w:rsidTr="00935676">
        <w:tc>
          <w:tcPr>
            <w:tcW w:w="1968" w:type="dxa"/>
            <w:vMerge w:val="restart"/>
            <w:tcBorders>
              <w:top w:val="single" w:sz="4" w:space="0" w:color="auto"/>
              <w:bottom w:val="single" w:sz="4" w:space="0" w:color="auto"/>
              <w:right w:val="single" w:sz="4" w:space="0" w:color="auto"/>
            </w:tcBorders>
            <w:vAlign w:val="center"/>
          </w:tcPr>
          <w:p w:rsidR="00431690" w:rsidRPr="00937C8B" w:rsidRDefault="00431690" w:rsidP="003E38D0">
            <w:pPr>
              <w:jc w:val="center"/>
              <w:rPr>
                <w:rFonts w:ascii="Arial" w:hAnsi="Arial" w:cs="Arial"/>
                <w:b/>
                <w:sz w:val="18"/>
                <w:szCs w:val="18"/>
              </w:rPr>
            </w:pPr>
            <w:r>
              <w:rPr>
                <w:rFonts w:ascii="Arial" w:hAnsi="Arial"/>
                <w:b/>
                <w:sz w:val="18"/>
              </w:rPr>
              <w:t>Filters</w:t>
            </w: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937C8B" w:rsidRDefault="00431690" w:rsidP="003E38D0">
            <w:pPr>
              <w:rPr>
                <w:rFonts w:ascii="Arial" w:hAnsi="Arial" w:cs="Arial"/>
                <w:sz w:val="18"/>
                <w:szCs w:val="18"/>
              </w:rPr>
            </w:pPr>
            <w:r>
              <w:rPr>
                <w:rFonts w:ascii="Arial" w:hAnsi="Arial"/>
                <w:sz w:val="18"/>
              </w:rPr>
              <w:t>Condition check</w:t>
            </w:r>
          </w:p>
        </w:tc>
        <w:tc>
          <w:tcPr>
            <w:tcW w:w="768" w:type="dxa"/>
            <w:tcBorders>
              <w:top w:val="single" w:sz="4" w:space="0" w:color="auto"/>
              <w:left w:val="single" w:sz="4" w:space="0" w:color="auto"/>
              <w:bottom w:val="single" w:sz="4" w:space="0" w:color="auto"/>
            </w:tcBorders>
            <w:vAlign w:val="center"/>
          </w:tcPr>
          <w:p w:rsidR="00431690" w:rsidRPr="00937C8B" w:rsidRDefault="00431690" w:rsidP="003E38D0">
            <w:pPr>
              <w:jc w:val="right"/>
              <w:rPr>
                <w:rFonts w:ascii="Arial" w:hAnsi="Arial" w:cs="Arial"/>
              </w:rPr>
            </w:pPr>
            <w:r>
              <w:rPr>
                <w:rFonts w:ascii="Arial" w:hAnsi="Arial"/>
              </w:rPr>
              <w:t>6</w:t>
            </w:r>
          </w:p>
        </w:tc>
        <w:tc>
          <w:tcPr>
            <w:tcW w:w="1075" w:type="dxa"/>
            <w:tcBorders>
              <w:top w:val="single" w:sz="4" w:space="0" w:color="auto"/>
              <w:bottom w:val="single" w:sz="4" w:space="0" w:color="auto"/>
            </w:tcBorders>
            <w:vAlign w:val="center"/>
          </w:tcPr>
          <w:p w:rsidR="00431690" w:rsidRPr="00937C8B" w:rsidRDefault="00431690" w:rsidP="003E38D0">
            <w:pPr>
              <w:rPr>
                <w:rFonts w:ascii="Arial" w:hAnsi="Arial" w:cs="Arial"/>
              </w:rPr>
            </w:pPr>
            <w:r>
              <w:rPr>
                <w:rFonts w:ascii="Arial" w:hAnsi="Arial"/>
              </w:rPr>
              <w:t>months</w:t>
            </w:r>
          </w:p>
        </w:tc>
      </w:tr>
      <w:tr w:rsidR="00431690" w:rsidRPr="00937C8B" w:rsidTr="00935676">
        <w:tc>
          <w:tcPr>
            <w:tcW w:w="1968" w:type="dxa"/>
            <w:vMerge/>
            <w:tcBorders>
              <w:top w:val="single" w:sz="4" w:space="0" w:color="auto"/>
              <w:bottom w:val="single" w:sz="4" w:space="0" w:color="auto"/>
              <w:right w:val="single" w:sz="4" w:space="0" w:color="auto"/>
            </w:tcBorders>
            <w:vAlign w:val="center"/>
          </w:tcPr>
          <w:p w:rsidR="00431690" w:rsidRPr="00937C8B" w:rsidRDefault="00431690" w:rsidP="003E38D0">
            <w:pPr>
              <w:jc w:val="center"/>
              <w:rPr>
                <w:rFonts w:ascii="Arial" w:hAnsi="Arial" w:cs="Arial"/>
                <w:b/>
                <w:sz w:val="18"/>
                <w:szCs w:val="18"/>
              </w:rPr>
            </w:pP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937C8B" w:rsidRDefault="00431690" w:rsidP="003E38D0">
            <w:pPr>
              <w:rPr>
                <w:rFonts w:ascii="Arial" w:hAnsi="Arial" w:cs="Arial"/>
                <w:sz w:val="18"/>
                <w:szCs w:val="18"/>
              </w:rPr>
            </w:pPr>
            <w:r>
              <w:rPr>
                <w:rFonts w:ascii="Arial" w:hAnsi="Arial"/>
                <w:sz w:val="18"/>
              </w:rPr>
              <w:t>Cleaning or replacement</w:t>
            </w:r>
          </w:p>
        </w:tc>
        <w:tc>
          <w:tcPr>
            <w:tcW w:w="768" w:type="dxa"/>
            <w:tcBorders>
              <w:top w:val="single" w:sz="4" w:space="0" w:color="auto"/>
              <w:left w:val="single" w:sz="4" w:space="0" w:color="auto"/>
              <w:bottom w:val="single" w:sz="4" w:space="0" w:color="auto"/>
            </w:tcBorders>
            <w:vAlign w:val="center"/>
          </w:tcPr>
          <w:p w:rsidR="00431690" w:rsidRPr="00937C8B" w:rsidRDefault="00431690" w:rsidP="003E38D0">
            <w:pPr>
              <w:jc w:val="right"/>
              <w:rPr>
                <w:rFonts w:ascii="Arial" w:hAnsi="Arial" w:cs="Arial"/>
              </w:rPr>
            </w:pPr>
            <w:r>
              <w:rPr>
                <w:rFonts w:ascii="Arial" w:hAnsi="Arial"/>
              </w:rPr>
              <w:t>1</w:t>
            </w:r>
          </w:p>
        </w:tc>
        <w:tc>
          <w:tcPr>
            <w:tcW w:w="1075" w:type="dxa"/>
            <w:tcBorders>
              <w:top w:val="single" w:sz="4" w:space="0" w:color="auto"/>
              <w:bottom w:val="single" w:sz="4" w:space="0" w:color="auto"/>
            </w:tcBorders>
            <w:vAlign w:val="center"/>
          </w:tcPr>
          <w:p w:rsidR="00431690" w:rsidRPr="00937C8B" w:rsidRDefault="00431690" w:rsidP="003E38D0">
            <w:pPr>
              <w:rPr>
                <w:rFonts w:ascii="Arial" w:hAnsi="Arial" w:cs="Arial"/>
              </w:rPr>
            </w:pPr>
            <w:r>
              <w:rPr>
                <w:rFonts w:ascii="Arial" w:hAnsi="Arial"/>
              </w:rPr>
              <w:t>year</w:t>
            </w:r>
          </w:p>
        </w:tc>
      </w:tr>
      <w:tr w:rsidR="00431690" w:rsidRPr="00937C8B" w:rsidTr="00935676">
        <w:tc>
          <w:tcPr>
            <w:tcW w:w="1968" w:type="dxa"/>
            <w:tcBorders>
              <w:top w:val="single" w:sz="4" w:space="0" w:color="auto"/>
              <w:bottom w:val="single" w:sz="4" w:space="0" w:color="auto"/>
              <w:right w:val="single" w:sz="4" w:space="0" w:color="auto"/>
            </w:tcBorders>
            <w:vAlign w:val="center"/>
          </w:tcPr>
          <w:p w:rsidR="00431690" w:rsidRPr="00937C8B" w:rsidRDefault="00431690" w:rsidP="003E38D0">
            <w:pPr>
              <w:jc w:val="center"/>
              <w:rPr>
                <w:rFonts w:ascii="Arial" w:hAnsi="Arial" w:cs="Arial"/>
                <w:b/>
                <w:sz w:val="18"/>
                <w:szCs w:val="18"/>
              </w:rPr>
            </w:pPr>
            <w:r>
              <w:rPr>
                <w:rFonts w:ascii="Arial" w:hAnsi="Arial"/>
                <w:b/>
                <w:sz w:val="18"/>
              </w:rPr>
              <w:t>Control systems</w:t>
            </w:r>
          </w:p>
        </w:tc>
        <w:tc>
          <w:tcPr>
            <w:tcW w:w="4411" w:type="dxa"/>
            <w:tcBorders>
              <w:top w:val="single" w:sz="4" w:space="0" w:color="auto"/>
              <w:left w:val="single" w:sz="4" w:space="0" w:color="auto"/>
              <w:bottom w:val="single" w:sz="4" w:space="0" w:color="auto"/>
              <w:right w:val="single" w:sz="4" w:space="0" w:color="auto"/>
            </w:tcBorders>
            <w:vAlign w:val="center"/>
          </w:tcPr>
          <w:p w:rsidR="00431690" w:rsidRPr="00937C8B" w:rsidRDefault="00431690" w:rsidP="003E38D0">
            <w:pPr>
              <w:rPr>
                <w:rFonts w:ascii="Arial" w:hAnsi="Arial" w:cs="Arial"/>
                <w:sz w:val="18"/>
                <w:szCs w:val="18"/>
              </w:rPr>
            </w:pPr>
            <w:r>
              <w:rPr>
                <w:rFonts w:ascii="Arial" w:hAnsi="Arial"/>
                <w:sz w:val="18"/>
              </w:rPr>
              <w:t>Condition check on automatic systems</w:t>
            </w:r>
          </w:p>
        </w:tc>
        <w:tc>
          <w:tcPr>
            <w:tcW w:w="768" w:type="dxa"/>
            <w:tcBorders>
              <w:top w:val="single" w:sz="4" w:space="0" w:color="auto"/>
              <w:left w:val="single" w:sz="4" w:space="0" w:color="auto"/>
              <w:bottom w:val="single" w:sz="4" w:space="0" w:color="auto"/>
            </w:tcBorders>
            <w:vAlign w:val="center"/>
          </w:tcPr>
          <w:p w:rsidR="00431690" w:rsidRPr="00937C8B" w:rsidRDefault="00431690" w:rsidP="003E38D0">
            <w:pPr>
              <w:jc w:val="right"/>
              <w:rPr>
                <w:rFonts w:ascii="Arial" w:hAnsi="Arial" w:cs="Arial"/>
              </w:rPr>
            </w:pPr>
            <w:r>
              <w:rPr>
                <w:rFonts w:ascii="Arial" w:hAnsi="Arial"/>
              </w:rPr>
              <w:t>2</w:t>
            </w:r>
          </w:p>
        </w:tc>
        <w:tc>
          <w:tcPr>
            <w:tcW w:w="1075" w:type="dxa"/>
            <w:tcBorders>
              <w:top w:val="single" w:sz="4" w:space="0" w:color="auto"/>
              <w:bottom w:val="single" w:sz="4" w:space="0" w:color="auto"/>
            </w:tcBorders>
            <w:vAlign w:val="center"/>
          </w:tcPr>
          <w:p w:rsidR="00431690" w:rsidRPr="00937C8B" w:rsidRDefault="00431690" w:rsidP="003E38D0">
            <w:pPr>
              <w:rPr>
                <w:rFonts w:ascii="Arial" w:hAnsi="Arial" w:cs="Arial"/>
              </w:rPr>
            </w:pPr>
            <w:r>
              <w:rPr>
                <w:rFonts w:ascii="Arial" w:hAnsi="Arial"/>
              </w:rPr>
              <w:t>years</w:t>
            </w:r>
          </w:p>
        </w:tc>
      </w:tr>
    </w:tbl>
    <w:p w:rsidR="00431690" w:rsidRPr="00937C8B" w:rsidRDefault="00431690" w:rsidP="0084739B">
      <w:pPr>
        <w:pStyle w:val="EstiloTtulo1CTEAntes24ptoDespus8pto"/>
      </w:pPr>
      <w:bookmarkStart w:id="458" w:name="_Toc309145612"/>
      <w:bookmarkStart w:id="459" w:name="_Toc39158008"/>
      <w:bookmarkStart w:id="460" w:name="_Toc39158168"/>
      <w:bookmarkEnd w:id="418"/>
      <w:r>
        <w:t>Appendix A. Terminology</w:t>
      </w:r>
      <w:bookmarkEnd w:id="458"/>
      <w:bookmarkEnd w:id="459"/>
      <w:bookmarkEnd w:id="460"/>
    </w:p>
    <w:p w:rsidR="00431690" w:rsidRPr="00937C8B" w:rsidRDefault="00431690" w:rsidP="00BB6ADF">
      <w:pPr>
        <w:spacing w:after="60"/>
        <w:jc w:val="both"/>
        <w:rPr>
          <w:rFonts w:ascii="Arial" w:hAnsi="Arial" w:cs="Arial"/>
          <w:sz w:val="20"/>
          <w:szCs w:val="20"/>
        </w:rPr>
      </w:pPr>
      <w:r>
        <w:rPr>
          <w:rFonts w:ascii="Arial" w:hAnsi="Arial"/>
          <w:b/>
          <w:sz w:val="20"/>
        </w:rPr>
        <w:t xml:space="preserve">Protective barrier (for radon): </w:t>
      </w:r>
      <w:r>
        <w:rPr>
          <w:rFonts w:ascii="Arial" w:hAnsi="Arial"/>
          <w:sz w:val="20"/>
        </w:rPr>
        <w:t>Barrier located between the ground and the spaces to be protected, whose low radon exhalation rate curbs radon penetration, thus reducing the entry of radon into the building.</w:t>
      </w:r>
    </w:p>
    <w:p w:rsidR="00431690" w:rsidRPr="00937C8B" w:rsidRDefault="00431690" w:rsidP="00BB6ADF">
      <w:pPr>
        <w:spacing w:after="60"/>
        <w:jc w:val="both"/>
        <w:rPr>
          <w:rFonts w:ascii="Arial" w:hAnsi="Arial" w:cs="Arial"/>
          <w:sz w:val="20"/>
          <w:szCs w:val="20"/>
        </w:rPr>
      </w:pPr>
      <w:r>
        <w:rPr>
          <w:rFonts w:ascii="Arial" w:hAnsi="Arial"/>
          <w:b/>
          <w:sz w:val="20"/>
        </w:rPr>
        <w:t xml:space="preserve">Anti-puncture layer: </w:t>
      </w:r>
      <w:r>
        <w:rPr>
          <w:rFonts w:ascii="Arial" w:hAnsi="Arial"/>
          <w:sz w:val="20"/>
        </w:rPr>
        <w:t>separating layer installed between two pressurised layers that serves to protect the weaker one and prevent its breakage.</w:t>
      </w:r>
    </w:p>
    <w:p w:rsidR="00431690" w:rsidRPr="00937C8B" w:rsidRDefault="00431690" w:rsidP="00BB6ADF">
      <w:pPr>
        <w:spacing w:after="60"/>
        <w:jc w:val="both"/>
        <w:rPr>
          <w:rFonts w:ascii="Arial" w:hAnsi="Arial" w:cs="Arial"/>
          <w:sz w:val="20"/>
          <w:szCs w:val="20"/>
        </w:rPr>
      </w:pPr>
      <w:r>
        <w:rPr>
          <w:rFonts w:ascii="Arial" w:hAnsi="Arial"/>
          <w:b/>
          <w:sz w:val="20"/>
        </w:rPr>
        <w:t xml:space="preserve">Diffusion coefficient (of radon): </w:t>
      </w:r>
      <w:r>
        <w:rPr>
          <w:rFonts w:ascii="Arial" w:hAnsi="Arial"/>
          <w:sz w:val="20"/>
        </w:rPr>
        <w:t>coefficient that measures how easily radon passes through a material. This may be obtained experimentally using any of the procedures detailed in ISO/TS 11665-13:2017 Measurement of radioactivity in the environment - Air: radon 222 - Part 13: Determination of the diffusion coefficient in waterproof materials: membrane two-side activity concentration measurement method; or in ISO/TS 11665-12:2018 Measurement of radioactivity in the environment - Air: radon 222 - Part 12: Determination of the diffusion coefficient in waterproof materials: membrane one-side activity concentration measurement method.</w:t>
      </w:r>
    </w:p>
    <w:p w:rsidR="00431690" w:rsidRPr="00937C8B" w:rsidRDefault="00431690" w:rsidP="00BB6ADF">
      <w:pPr>
        <w:spacing w:after="60"/>
        <w:jc w:val="both"/>
        <w:rPr>
          <w:rFonts w:ascii="Arial" w:hAnsi="Arial" w:cs="Arial"/>
          <w:b/>
          <w:sz w:val="20"/>
          <w:szCs w:val="20"/>
        </w:rPr>
      </w:pPr>
      <w:r>
        <w:rPr>
          <w:rFonts w:ascii="Arial" w:hAnsi="Arial"/>
          <w:b/>
          <w:sz w:val="20"/>
        </w:rPr>
        <w:t xml:space="preserve">Radon level: </w:t>
      </w:r>
      <w:r>
        <w:rPr>
          <w:rFonts w:ascii="Arial" w:hAnsi="Arial"/>
          <w:sz w:val="20"/>
        </w:rPr>
        <w:t>Specific activity of radon (Rn-222) in the air. This is expressed in becquerels per cubic metre (Bq/m</w:t>
      </w:r>
      <w:r>
        <w:rPr>
          <w:rFonts w:ascii="Arial" w:hAnsi="Arial"/>
          <w:sz w:val="20"/>
          <w:vertAlign w:val="superscript"/>
        </w:rPr>
        <w:t>3</w:t>
      </w:r>
      <w:r>
        <w:rPr>
          <w:rFonts w:ascii="Arial" w:hAnsi="Arial"/>
          <w:sz w:val="20"/>
        </w:rPr>
        <w:t>), corresponding to the number of disintegrations per second per cubic metre of air.</w:t>
      </w:r>
    </w:p>
    <w:p w:rsidR="00431690" w:rsidRPr="00937C8B" w:rsidRDefault="00431690" w:rsidP="00BB6ADF">
      <w:pPr>
        <w:spacing w:after="60"/>
        <w:jc w:val="both"/>
        <w:rPr>
          <w:rFonts w:ascii="Arial" w:hAnsi="Arial" w:cs="Arial"/>
          <w:b/>
          <w:sz w:val="20"/>
          <w:szCs w:val="20"/>
        </w:rPr>
      </w:pPr>
      <w:r>
        <w:rPr>
          <w:rFonts w:ascii="Arial" w:hAnsi="Arial"/>
          <w:b/>
          <w:sz w:val="20"/>
        </w:rPr>
        <w:t xml:space="preserve">Soil depressurisation (system): </w:t>
      </w:r>
      <w:r>
        <w:rPr>
          <w:rFonts w:ascii="Arial" w:hAnsi="Arial"/>
          <w:sz w:val="20"/>
        </w:rPr>
        <w:t>System that can extract gases contained in the soil adjacent to the building by creating a negative pressure in the ground with respect to the inside of the building, thus inhibiting the entry of radon into the building.</w:t>
      </w:r>
    </w:p>
    <w:p w:rsidR="00431690" w:rsidRPr="00937C8B" w:rsidRDefault="00431690" w:rsidP="00BB6ADF">
      <w:pPr>
        <w:spacing w:after="60"/>
        <w:jc w:val="both"/>
        <w:rPr>
          <w:rFonts w:ascii="Arial" w:hAnsi="Arial" w:cs="Arial"/>
          <w:b/>
          <w:sz w:val="20"/>
          <w:szCs w:val="20"/>
        </w:rPr>
      </w:pPr>
      <w:r>
        <w:rPr>
          <w:rFonts w:ascii="Arial" w:hAnsi="Arial"/>
          <w:b/>
          <w:sz w:val="20"/>
        </w:rPr>
        <w:t xml:space="preserve">Active detector (for radon): </w:t>
      </w:r>
      <w:r>
        <w:rPr>
          <w:rFonts w:ascii="Arial" w:hAnsi="Arial"/>
          <w:sz w:val="20"/>
        </w:rPr>
        <w:t>Instrument that detects this gas, or its short-lived daughters, and that includes active components (such as pumps or display screens), and therefore requires the use of a power supply.</w:t>
      </w:r>
    </w:p>
    <w:p w:rsidR="00431690" w:rsidRPr="00937C8B" w:rsidRDefault="00431690" w:rsidP="00BB6ADF">
      <w:pPr>
        <w:spacing w:after="60"/>
        <w:jc w:val="both"/>
        <w:rPr>
          <w:rFonts w:ascii="Arial" w:hAnsi="Arial" w:cs="Arial"/>
          <w:sz w:val="20"/>
          <w:szCs w:val="20"/>
        </w:rPr>
      </w:pPr>
      <w:r>
        <w:rPr>
          <w:rFonts w:ascii="Arial" w:hAnsi="Arial"/>
          <w:b/>
          <w:sz w:val="20"/>
        </w:rPr>
        <w:t xml:space="preserve">Passive detector (for radon): </w:t>
      </w:r>
      <w:r>
        <w:rPr>
          <w:rFonts w:ascii="Arial" w:hAnsi="Arial"/>
          <w:sz w:val="20"/>
        </w:rPr>
        <w:t>Instrument that detects this gas, or its short-lived daughters, and that does not include active components (such as pumps or display screens), and therefore does not require the use of a power supply.</w:t>
      </w:r>
    </w:p>
    <w:p w:rsidR="00431690" w:rsidRPr="00937C8B" w:rsidRDefault="00431690" w:rsidP="00BB6ADF">
      <w:pPr>
        <w:spacing w:after="60"/>
        <w:jc w:val="both"/>
        <w:rPr>
          <w:rFonts w:ascii="Arial" w:hAnsi="Arial" w:cs="Arial"/>
          <w:sz w:val="20"/>
          <w:szCs w:val="20"/>
        </w:rPr>
      </w:pPr>
      <w:r>
        <w:rPr>
          <w:rFonts w:ascii="Arial" w:hAnsi="Arial"/>
          <w:b/>
          <w:sz w:val="20"/>
        </w:rPr>
        <w:t>Ventilated containment space:</w:t>
      </w:r>
      <w:r>
        <w:rPr>
          <w:rFonts w:ascii="Arial" w:hAnsi="Arial"/>
          <w:sz w:val="20"/>
        </w:rPr>
        <w:t xml:space="preserve"> Space located between the ground and the spaces to be protected that receives the radon from the ground and uses mechanical or </w:t>
      </w:r>
      <w:r>
        <w:rPr>
          <w:rFonts w:ascii="Arial" w:hAnsi="Arial"/>
          <w:i/>
          <w:iCs/>
          <w:sz w:val="20"/>
        </w:rPr>
        <w:t>natural ventilation</w:t>
      </w:r>
      <w:r>
        <w:rPr>
          <w:rFonts w:ascii="Arial" w:hAnsi="Arial"/>
          <w:sz w:val="20"/>
        </w:rPr>
        <w:t xml:space="preserve"> to discharge it outside the building, thus reducing the entry of radon into </w:t>
      </w:r>
      <w:r>
        <w:rPr>
          <w:rFonts w:ascii="Arial" w:hAnsi="Arial"/>
          <w:i/>
          <w:iCs/>
          <w:sz w:val="20"/>
        </w:rPr>
        <w:t>habitable spaces</w:t>
      </w:r>
      <w:r>
        <w:rPr>
          <w:rFonts w:ascii="Arial" w:hAnsi="Arial"/>
          <w:sz w:val="20"/>
        </w:rPr>
        <w:t>.</w:t>
      </w:r>
    </w:p>
    <w:p w:rsidR="00431690" w:rsidRPr="00937C8B" w:rsidRDefault="00431690" w:rsidP="00BB6ADF">
      <w:pPr>
        <w:spacing w:after="60"/>
        <w:jc w:val="both"/>
        <w:rPr>
          <w:rFonts w:ascii="Arial" w:hAnsi="Arial" w:cs="Arial"/>
          <w:sz w:val="20"/>
          <w:szCs w:val="20"/>
        </w:rPr>
      </w:pPr>
      <w:r>
        <w:rPr>
          <w:rFonts w:ascii="Arial" w:hAnsi="Arial"/>
          <w:b/>
          <w:sz w:val="20"/>
        </w:rPr>
        <w:t xml:space="preserve">Radon exposure: </w:t>
      </w:r>
      <w:r>
        <w:rPr>
          <w:rFonts w:ascii="Arial" w:hAnsi="Arial"/>
          <w:sz w:val="20"/>
        </w:rPr>
        <w:t>Specific activity of radon (Rn-222) in the air over time. This is obtained by multiplying the radon level by the exposure period.</w:t>
      </w:r>
    </w:p>
    <w:p w:rsidR="00431690" w:rsidRPr="00937C8B" w:rsidRDefault="00431690" w:rsidP="00E42FD8">
      <w:pPr>
        <w:keepNext/>
        <w:spacing w:after="60"/>
        <w:jc w:val="both"/>
        <w:rPr>
          <w:rFonts w:ascii="Arial" w:hAnsi="Arial" w:cs="Arial"/>
          <w:sz w:val="20"/>
          <w:szCs w:val="20"/>
        </w:rPr>
      </w:pPr>
      <w:r>
        <w:rPr>
          <w:rFonts w:ascii="Arial" w:hAnsi="Arial"/>
          <w:b/>
          <w:sz w:val="20"/>
        </w:rPr>
        <w:t xml:space="preserve">Habitable space: </w:t>
      </w:r>
      <w:r>
        <w:rPr>
          <w:rFonts w:ascii="Arial" w:hAnsi="Arial"/>
          <w:sz w:val="20"/>
        </w:rPr>
        <w:t xml:space="preserve">Indoor area intended for personal use whose occupation density and length of stay require suitable acoustic, thermal and hygiene conditions. Below are some examples of what would be considered </w:t>
      </w:r>
      <w:r>
        <w:rPr>
          <w:rFonts w:ascii="Arial" w:hAnsi="Arial"/>
          <w:i/>
          <w:sz w:val="20"/>
        </w:rPr>
        <w:t>habitable spaces</w:t>
      </w:r>
      <w:r>
        <w:rPr>
          <w:rFonts w:ascii="Arial" w:hAnsi="Arial"/>
          <w:sz w:val="20"/>
        </w:rPr>
        <w:t xml:space="preserve"> for the purposes of this section:</w:t>
      </w:r>
    </w:p>
    <w:p w:rsidR="00431690" w:rsidRPr="00937C8B" w:rsidRDefault="00431690" w:rsidP="00BB6ADF">
      <w:pPr>
        <w:spacing w:after="60"/>
        <w:jc w:val="both"/>
        <w:rPr>
          <w:rFonts w:ascii="Arial" w:hAnsi="Arial" w:cs="Arial"/>
          <w:sz w:val="20"/>
          <w:szCs w:val="20"/>
        </w:rPr>
      </w:pPr>
      <w:r>
        <w:rPr>
          <w:rFonts w:ascii="Arial" w:hAnsi="Arial"/>
          <w:sz w:val="20"/>
        </w:rPr>
        <w:t>- rooms (bedrooms, dining rooms, living rooms, kitchens, bathrooms, toilets, traffic areas of dwellings, etc.);</w:t>
      </w:r>
    </w:p>
    <w:p w:rsidR="00431690" w:rsidRPr="00937C8B" w:rsidRDefault="00431690" w:rsidP="00BB6ADF">
      <w:pPr>
        <w:spacing w:after="60"/>
        <w:jc w:val="both"/>
        <w:rPr>
          <w:rFonts w:ascii="Arial" w:hAnsi="Arial" w:cs="Arial"/>
          <w:sz w:val="20"/>
          <w:szCs w:val="20"/>
        </w:rPr>
      </w:pPr>
      <w:r>
        <w:rPr>
          <w:rFonts w:ascii="Arial" w:hAnsi="Arial"/>
          <w:sz w:val="20"/>
        </w:rPr>
        <w:t>- work areas or publicly accessible areas such as halls, libraries, hospital rooms, offices, waiting rooms or meeting rooms, etc.</w:t>
      </w:r>
    </w:p>
    <w:p w:rsidR="00431690" w:rsidRPr="00937C8B" w:rsidRDefault="00431690" w:rsidP="00BB6ADF">
      <w:pPr>
        <w:spacing w:after="60"/>
        <w:jc w:val="both"/>
        <w:rPr>
          <w:rFonts w:ascii="Arial" w:hAnsi="Arial" w:cs="Arial"/>
          <w:sz w:val="20"/>
          <w:szCs w:val="20"/>
        </w:rPr>
      </w:pPr>
      <w:r>
        <w:rPr>
          <w:rFonts w:ascii="Arial" w:hAnsi="Arial"/>
          <w:b/>
          <w:sz w:val="20"/>
        </w:rPr>
        <w:t xml:space="preserve">Non-habitable space: </w:t>
      </w:r>
      <w:r>
        <w:rPr>
          <w:rFonts w:ascii="Arial" w:hAnsi="Arial"/>
          <w:sz w:val="20"/>
        </w:rPr>
        <w:t xml:space="preserve">Indoor area not intended for continuous use by persons, and therefore not requiring any special protection conditions for the purposes of this section. Garages, store rooms and technical rooms are considered </w:t>
      </w:r>
      <w:r>
        <w:rPr>
          <w:rFonts w:ascii="Arial" w:hAnsi="Arial"/>
          <w:i/>
          <w:sz w:val="20"/>
        </w:rPr>
        <w:t>non-habitable spaces</w:t>
      </w:r>
      <w:r>
        <w:rPr>
          <w:rFonts w:ascii="Arial" w:hAnsi="Arial"/>
          <w:sz w:val="20"/>
        </w:rPr>
        <w:t xml:space="preserve"> for the purposes of this section.</w:t>
      </w:r>
    </w:p>
    <w:p w:rsidR="00431690" w:rsidRPr="00937C8B" w:rsidRDefault="00431690" w:rsidP="00BB6ADF">
      <w:pPr>
        <w:spacing w:after="60"/>
        <w:jc w:val="both"/>
        <w:rPr>
          <w:rFonts w:ascii="Arial" w:hAnsi="Arial" w:cs="Arial"/>
          <w:sz w:val="20"/>
          <w:szCs w:val="20"/>
        </w:rPr>
      </w:pPr>
      <w:r>
        <w:rPr>
          <w:rFonts w:ascii="Arial" w:hAnsi="Arial"/>
          <w:b/>
          <w:sz w:val="20"/>
        </w:rPr>
        <w:t xml:space="preserve">Reference level: </w:t>
      </w:r>
      <w:r>
        <w:rPr>
          <w:rFonts w:ascii="Arial" w:hAnsi="Arial"/>
          <w:sz w:val="20"/>
        </w:rPr>
        <w:t xml:space="preserve">Value of the </w:t>
      </w:r>
      <w:r>
        <w:rPr>
          <w:rFonts w:ascii="Arial" w:hAnsi="Arial"/>
          <w:i/>
          <w:sz w:val="20"/>
        </w:rPr>
        <w:t xml:space="preserve">annual average radon level </w:t>
      </w:r>
      <w:r>
        <w:rPr>
          <w:rFonts w:ascii="Arial" w:hAnsi="Arial"/>
          <w:sz w:val="20"/>
        </w:rPr>
        <w:t>above which it is considered improper to allow exposure, even when this is not a limit that cannot be exceeded.</w:t>
      </w:r>
    </w:p>
    <w:p w:rsidR="00431690" w:rsidRPr="00937C8B" w:rsidRDefault="00431690" w:rsidP="00BB6ADF">
      <w:pPr>
        <w:spacing w:after="60"/>
        <w:jc w:val="both"/>
        <w:rPr>
          <w:rFonts w:ascii="Arial" w:hAnsi="Arial" w:cs="Arial"/>
          <w:sz w:val="20"/>
          <w:szCs w:val="20"/>
        </w:rPr>
      </w:pPr>
      <w:r>
        <w:rPr>
          <w:rFonts w:ascii="Arial" w:hAnsi="Arial"/>
          <w:b/>
          <w:sz w:val="20"/>
        </w:rPr>
        <w:t xml:space="preserve">Annual average </w:t>
      </w:r>
      <w:r>
        <w:rPr>
          <w:rFonts w:ascii="Arial" w:hAnsi="Arial"/>
          <w:b/>
          <w:i/>
          <w:sz w:val="20"/>
        </w:rPr>
        <w:t>radon level</w:t>
      </w:r>
      <w:r>
        <w:rPr>
          <w:rFonts w:ascii="Arial" w:hAnsi="Arial"/>
          <w:b/>
          <w:sz w:val="20"/>
        </w:rPr>
        <w:t xml:space="preserve">: </w:t>
      </w:r>
      <w:r>
        <w:rPr>
          <w:rFonts w:ascii="Arial" w:hAnsi="Arial"/>
          <w:sz w:val="20"/>
        </w:rPr>
        <w:t xml:space="preserve">Average value of the </w:t>
      </w:r>
      <w:r>
        <w:rPr>
          <w:rFonts w:ascii="Arial" w:hAnsi="Arial"/>
          <w:i/>
          <w:iCs/>
          <w:sz w:val="20"/>
        </w:rPr>
        <w:t>radon level</w:t>
      </w:r>
      <w:r>
        <w:rPr>
          <w:rFonts w:ascii="Arial" w:hAnsi="Arial"/>
          <w:sz w:val="20"/>
        </w:rPr>
        <w:t xml:space="preserve"> estimated according to Appendix C.</w:t>
      </w:r>
    </w:p>
    <w:p w:rsidR="00431690" w:rsidRPr="00937C8B" w:rsidRDefault="00431690" w:rsidP="00BB6ADF">
      <w:pPr>
        <w:spacing w:after="60"/>
        <w:jc w:val="both"/>
        <w:rPr>
          <w:rFonts w:ascii="Arial" w:hAnsi="Arial" w:cs="Arial"/>
          <w:sz w:val="20"/>
          <w:szCs w:val="20"/>
        </w:rPr>
      </w:pPr>
      <w:r>
        <w:rPr>
          <w:rFonts w:ascii="Arial" w:hAnsi="Arial"/>
          <w:b/>
          <w:sz w:val="20"/>
        </w:rPr>
        <w:t xml:space="preserve">Radon: </w:t>
      </w:r>
      <w:r>
        <w:rPr>
          <w:rFonts w:ascii="Arial" w:hAnsi="Arial"/>
          <w:sz w:val="20"/>
        </w:rPr>
        <w:t>Radon (radon-222) is a natural radioactive gas originating from the uranium-238 decay chain, which makes it ubiquitous in nature. It can build up inside of buildings. Its decay products can be inhaled and deposited in the bronchopulmonary tract. Radon is currently considered the main source of human exposure to natural radiation.</w:t>
      </w:r>
    </w:p>
    <w:p w:rsidR="00431690" w:rsidRPr="00937C8B" w:rsidRDefault="00431690" w:rsidP="00E42FD8">
      <w:pPr>
        <w:keepNext/>
        <w:spacing w:after="60"/>
        <w:jc w:val="both"/>
        <w:rPr>
          <w:rFonts w:ascii="Arial" w:hAnsi="Arial" w:cs="Arial"/>
          <w:sz w:val="20"/>
          <w:szCs w:val="20"/>
        </w:rPr>
      </w:pPr>
      <w:r>
        <w:rPr>
          <w:rFonts w:ascii="Arial" w:hAnsi="Arial"/>
          <w:b/>
          <w:sz w:val="20"/>
        </w:rPr>
        <w:t xml:space="preserve">Usage unit: </w:t>
      </w:r>
      <w:r>
        <w:rPr>
          <w:rFonts w:ascii="Arial" w:hAnsi="Arial"/>
          <w:sz w:val="20"/>
        </w:rPr>
        <w:t xml:space="preserve">Building or part thereof intended for a specific use, whose users are related to one another either as members of the same family unit, business or corporation, or as part of a group or organisation performing the same activity. For the purposes of this document, the following are considered examples of </w:t>
      </w:r>
      <w:r>
        <w:rPr>
          <w:rFonts w:ascii="Arial" w:hAnsi="Arial"/>
          <w:i/>
          <w:iCs/>
          <w:sz w:val="20"/>
        </w:rPr>
        <w:t>usage units</w:t>
      </w:r>
      <w:r>
        <w:rPr>
          <w:rFonts w:ascii="Arial" w:hAnsi="Arial"/>
          <w:sz w:val="20"/>
        </w:rPr>
        <w:t>:</w:t>
      </w:r>
    </w:p>
    <w:p w:rsidR="00431690" w:rsidRPr="00937C8B" w:rsidRDefault="00431690" w:rsidP="00BB6ADF">
      <w:pPr>
        <w:spacing w:after="60"/>
        <w:jc w:val="both"/>
        <w:rPr>
          <w:rFonts w:ascii="Arial" w:hAnsi="Arial" w:cs="Arial"/>
          <w:sz w:val="20"/>
          <w:szCs w:val="20"/>
        </w:rPr>
      </w:pPr>
      <w:r>
        <w:rPr>
          <w:rFonts w:ascii="Arial" w:hAnsi="Arial"/>
          <w:sz w:val="20"/>
        </w:rPr>
        <w:t>a) in residential buildings, each dwelling, and each commercial space present;</w:t>
      </w:r>
    </w:p>
    <w:p w:rsidR="00431690" w:rsidRPr="00937C8B" w:rsidRDefault="00431690" w:rsidP="00BB6ADF">
      <w:pPr>
        <w:spacing w:after="60"/>
        <w:jc w:val="both"/>
        <w:rPr>
          <w:rFonts w:ascii="Arial" w:hAnsi="Arial" w:cs="Arial"/>
          <w:sz w:val="20"/>
          <w:szCs w:val="20"/>
        </w:rPr>
      </w:pPr>
      <w:r>
        <w:rPr>
          <w:rFonts w:ascii="Arial" w:hAnsi="Arial"/>
          <w:sz w:val="20"/>
        </w:rPr>
        <w:t>b) in buildings for other uses, each independent commercial space or establishment.</w:t>
      </w:r>
    </w:p>
    <w:p w:rsidR="00431690" w:rsidRPr="00937C8B" w:rsidRDefault="00431690" w:rsidP="00BB6ADF">
      <w:pPr>
        <w:spacing w:after="60"/>
        <w:jc w:val="both"/>
        <w:rPr>
          <w:rFonts w:ascii="Arial" w:hAnsi="Arial" w:cs="Arial"/>
          <w:sz w:val="20"/>
          <w:szCs w:val="20"/>
        </w:rPr>
      </w:pPr>
      <w:r>
        <w:rPr>
          <w:rFonts w:ascii="Arial" w:hAnsi="Arial"/>
          <w:b/>
          <w:sz w:val="20"/>
        </w:rPr>
        <w:t xml:space="preserve">Natural ventilation: </w:t>
      </w:r>
      <w:r>
        <w:rPr>
          <w:rFonts w:ascii="Arial" w:hAnsi="Arial"/>
          <w:sz w:val="20"/>
        </w:rPr>
        <w:t>Ventilation where air renewal is provided solely by wind or the existence of a temperature or pressure gradient between the inlet and outlet points.</w:t>
      </w:r>
    </w:p>
    <w:p w:rsidR="009110ED" w:rsidRPr="00937C8B" w:rsidRDefault="009110ED" w:rsidP="0084739B">
      <w:pPr>
        <w:pStyle w:val="EstiloTtulo1CTEAntes24ptoDespus8pto"/>
      </w:pPr>
      <w:bookmarkStart w:id="461" w:name="_Toc39158009"/>
      <w:bookmarkStart w:id="462" w:name="_Toc39158169"/>
      <w:r>
        <w:t>Appendix B. Classification of municipalities based on radon potential</w:t>
      </w:r>
      <w:bookmarkEnd w:id="461"/>
      <w:bookmarkEnd w:id="462"/>
    </w:p>
    <w:p w:rsidR="009110ED" w:rsidRPr="00937C8B" w:rsidRDefault="009110ED" w:rsidP="009110ED">
      <w:pPr>
        <w:pStyle w:val="CTENumeracion"/>
        <w:numPr>
          <w:ilvl w:val="0"/>
          <w:numId w:val="52"/>
        </w:numPr>
        <w:tabs>
          <w:tab w:val="clear" w:pos="567"/>
          <w:tab w:val="num" w:pos="851"/>
        </w:tabs>
        <w:suppressAutoHyphens/>
        <w:ind w:left="426" w:hanging="426"/>
        <w:rPr>
          <w:szCs w:val="20"/>
        </w:rPr>
      </w:pPr>
      <w:r>
        <w:t xml:space="preserve">This appendix includes the list of municipal boundaries which are considered, based on measurements conducted by the Nuclear Safety Council, to have a significant likelihood of </w:t>
      </w:r>
      <w:r>
        <w:rPr>
          <w:i/>
          <w:iCs/>
        </w:rPr>
        <w:t>radon levels</w:t>
      </w:r>
      <w:r>
        <w:t xml:space="preserve"> higher than the </w:t>
      </w:r>
      <w:r>
        <w:rPr>
          <w:i/>
          <w:iCs/>
        </w:rPr>
        <w:t>reference level</w:t>
      </w:r>
      <w:r>
        <w:t xml:space="preserve"> in buildings built there, without special radon protection solutions. </w:t>
      </w:r>
    </w:p>
    <w:p w:rsidR="009110ED" w:rsidRPr="00937C8B" w:rsidRDefault="009110ED" w:rsidP="009110ED">
      <w:pPr>
        <w:pStyle w:val="CTENumeracion"/>
        <w:numPr>
          <w:ilvl w:val="0"/>
          <w:numId w:val="52"/>
        </w:numPr>
        <w:tabs>
          <w:tab w:val="clear" w:pos="567"/>
          <w:tab w:val="num" w:pos="709"/>
        </w:tabs>
        <w:suppressAutoHyphens/>
        <w:ind w:left="426" w:hanging="426"/>
        <w:rPr>
          <w:szCs w:val="20"/>
        </w:rPr>
      </w:pPr>
      <w:r>
        <w:t>These are classified into:</w:t>
      </w:r>
    </w:p>
    <w:p w:rsidR="009110ED" w:rsidRPr="00937C8B" w:rsidRDefault="009110ED" w:rsidP="009110ED">
      <w:pPr>
        <w:pStyle w:val="CTENumeracion"/>
        <w:numPr>
          <w:ilvl w:val="7"/>
          <w:numId w:val="35"/>
        </w:numPr>
        <w:suppressAutoHyphens/>
        <w:ind w:left="851" w:hanging="425"/>
        <w:rPr>
          <w:szCs w:val="20"/>
        </w:rPr>
      </w:pPr>
      <w:r>
        <w:t>municipalities in zone I;</w:t>
      </w:r>
    </w:p>
    <w:p w:rsidR="009110ED" w:rsidRPr="00937C8B" w:rsidRDefault="009110ED" w:rsidP="009110ED">
      <w:pPr>
        <w:pStyle w:val="CTENumeracion"/>
        <w:numPr>
          <w:ilvl w:val="7"/>
          <w:numId w:val="35"/>
        </w:numPr>
        <w:suppressAutoHyphens/>
        <w:ind w:left="851" w:hanging="425"/>
        <w:rPr>
          <w:szCs w:val="20"/>
        </w:rPr>
      </w:pPr>
      <w:r>
        <w:t>municipalities in zone II.</w:t>
      </w:r>
    </w:p>
    <w:p w:rsidR="002A4DDF" w:rsidRPr="00937C8B" w:rsidRDefault="002A4DDF" w:rsidP="00BB6ADF">
      <w:pPr>
        <w:spacing w:after="60"/>
        <w:jc w:val="both"/>
        <w:rPr>
          <w:rFonts w:ascii="Arial" w:hAnsi="Arial" w:cs="Arial"/>
          <w:sz w:val="20"/>
          <w:szCs w:val="20"/>
        </w:rPr>
      </w:pPr>
    </w:p>
    <w:tbl>
      <w:tblPr>
        <w:tblW w:w="8075" w:type="dxa"/>
        <w:tblInd w:w="1173" w:type="dxa"/>
        <w:tblBorders>
          <w:top w:val="single" w:sz="4" w:space="0" w:color="E7E6E6"/>
          <w:left w:val="single" w:sz="4" w:space="0" w:color="E7E6E6"/>
          <w:bottom w:val="single" w:sz="4" w:space="0" w:color="E7E6E6"/>
          <w:right w:val="single" w:sz="4" w:space="0" w:color="E7E6E6"/>
          <w:insideH w:val="single" w:sz="4" w:space="0" w:color="E7E6E6"/>
          <w:insideV w:val="single" w:sz="4" w:space="0" w:color="E7E6E6"/>
        </w:tblBorders>
        <w:tblLayout w:type="fixed"/>
        <w:tblCellMar>
          <w:left w:w="70" w:type="dxa"/>
          <w:right w:w="70" w:type="dxa"/>
        </w:tblCellMar>
        <w:tblLook w:val="04A0" w:firstRow="1" w:lastRow="0" w:firstColumn="1" w:lastColumn="0" w:noHBand="0" w:noVBand="1"/>
      </w:tblPr>
      <w:tblGrid>
        <w:gridCol w:w="1696"/>
        <w:gridCol w:w="1843"/>
        <w:gridCol w:w="2268"/>
        <w:gridCol w:w="2268"/>
      </w:tblGrid>
      <w:tr w:rsidR="002A4DDF" w:rsidRPr="00937C8B" w:rsidTr="00935676">
        <w:trPr>
          <w:cantSplit/>
        </w:trPr>
        <w:tc>
          <w:tcPr>
            <w:tcW w:w="1696" w:type="dxa"/>
            <w:tcBorders>
              <w:top w:val="single" w:sz="4" w:space="0" w:color="auto"/>
              <w:left w:val="single" w:sz="4" w:space="0" w:color="auto"/>
              <w:bottom w:val="single" w:sz="4" w:space="0" w:color="auto"/>
            </w:tcBorders>
            <w:shd w:val="clear" w:color="auto" w:fill="D9D9D9"/>
            <w:vAlign w:val="center"/>
            <w:hideMark/>
          </w:tcPr>
          <w:p w:rsidR="002A4DDF" w:rsidRPr="00937C8B" w:rsidRDefault="002A4DDF" w:rsidP="009110ED">
            <w:pPr>
              <w:rPr>
                <w:rFonts w:ascii="Arial" w:hAnsi="Arial" w:cs="Arial"/>
                <w:b/>
                <w:bCs/>
                <w:sz w:val="12"/>
                <w:szCs w:val="12"/>
              </w:rPr>
            </w:pPr>
            <w:r>
              <w:rPr>
                <w:rFonts w:ascii="Arial" w:hAnsi="Arial"/>
                <w:b/>
                <w:sz w:val="12"/>
              </w:rPr>
              <w:t>Autonomous Communities</w:t>
            </w:r>
          </w:p>
        </w:tc>
        <w:tc>
          <w:tcPr>
            <w:tcW w:w="1843" w:type="dxa"/>
            <w:tcBorders>
              <w:top w:val="single" w:sz="4" w:space="0" w:color="auto"/>
              <w:bottom w:val="single" w:sz="4" w:space="0" w:color="auto"/>
            </w:tcBorders>
            <w:shd w:val="clear" w:color="auto" w:fill="D9D9D9"/>
            <w:vAlign w:val="center"/>
            <w:hideMark/>
          </w:tcPr>
          <w:p w:rsidR="002A4DDF" w:rsidRPr="00937C8B" w:rsidRDefault="002A4DDF" w:rsidP="009110ED">
            <w:pPr>
              <w:rPr>
                <w:rFonts w:ascii="Arial" w:hAnsi="Arial" w:cs="Arial"/>
                <w:b/>
                <w:bCs/>
                <w:sz w:val="12"/>
                <w:szCs w:val="12"/>
              </w:rPr>
            </w:pPr>
            <w:r>
              <w:rPr>
                <w:rFonts w:ascii="Arial" w:hAnsi="Arial"/>
                <w:b/>
                <w:sz w:val="12"/>
              </w:rPr>
              <w:t>PROVINCES</w:t>
            </w:r>
          </w:p>
        </w:tc>
        <w:tc>
          <w:tcPr>
            <w:tcW w:w="2268" w:type="dxa"/>
            <w:tcBorders>
              <w:top w:val="single" w:sz="4" w:space="0" w:color="auto"/>
              <w:bottom w:val="single" w:sz="4" w:space="0" w:color="auto"/>
            </w:tcBorders>
            <w:shd w:val="clear" w:color="auto" w:fill="D9D9D9"/>
            <w:vAlign w:val="center"/>
            <w:hideMark/>
          </w:tcPr>
          <w:p w:rsidR="002A4DDF" w:rsidRPr="00937C8B" w:rsidRDefault="002A4DDF" w:rsidP="009110ED">
            <w:pPr>
              <w:rPr>
                <w:rFonts w:ascii="Arial" w:hAnsi="Arial" w:cs="Arial"/>
                <w:b/>
                <w:bCs/>
                <w:sz w:val="12"/>
                <w:szCs w:val="12"/>
              </w:rPr>
            </w:pPr>
            <w:r>
              <w:rPr>
                <w:rFonts w:ascii="Arial" w:hAnsi="Arial"/>
                <w:b/>
                <w:sz w:val="12"/>
              </w:rPr>
              <w:t>Municipalities in ZONE 1</w:t>
            </w:r>
          </w:p>
        </w:tc>
        <w:tc>
          <w:tcPr>
            <w:tcW w:w="2268" w:type="dxa"/>
            <w:tcBorders>
              <w:top w:val="single" w:sz="4" w:space="0" w:color="auto"/>
              <w:bottom w:val="single" w:sz="4" w:space="0" w:color="auto"/>
              <w:right w:val="single" w:sz="4" w:space="0" w:color="auto"/>
            </w:tcBorders>
            <w:shd w:val="clear" w:color="auto" w:fill="D9D9D9"/>
            <w:vAlign w:val="center"/>
            <w:hideMark/>
          </w:tcPr>
          <w:p w:rsidR="002A4DDF" w:rsidRPr="00937C8B" w:rsidRDefault="002A4DDF" w:rsidP="009110ED">
            <w:pPr>
              <w:rPr>
                <w:rFonts w:ascii="Arial" w:hAnsi="Arial" w:cs="Arial"/>
                <w:b/>
                <w:bCs/>
                <w:sz w:val="12"/>
                <w:szCs w:val="12"/>
              </w:rPr>
            </w:pPr>
            <w:r>
              <w:rPr>
                <w:rFonts w:ascii="Arial" w:hAnsi="Arial"/>
                <w:b/>
                <w:sz w:val="12"/>
              </w:rPr>
              <w:t>Municipalities in ZONE 2</w:t>
            </w:r>
          </w:p>
        </w:tc>
      </w:tr>
      <w:tr w:rsidR="002A4DDF" w:rsidRPr="00937C8B" w:rsidTr="00935676">
        <w:trPr>
          <w:cantSplit/>
        </w:trPr>
        <w:tc>
          <w:tcPr>
            <w:tcW w:w="1696" w:type="dxa"/>
            <w:tcBorders>
              <w:top w:val="single" w:sz="4" w:space="0" w:color="auto"/>
              <w:left w:val="single" w:sz="4" w:space="0" w:color="auto"/>
              <w:bottom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auto"/>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right w:val="single" w:sz="4" w:space="0" w:color="auto"/>
            </w:tcBorders>
            <w:shd w:val="clear" w:color="auto" w:fill="auto"/>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Almería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Abla</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Abrucena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Alcolea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Alboloduy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ind w:right="-45"/>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Alcóntar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Alcudia de Monteagud</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Almócita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Bacares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Armuña de Almanzora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Bayárcal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Bayarque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Benitagla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Beires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Benizalón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Fiñana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Castro de Filabres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Instinción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Chercos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Lúcar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Gérgal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Níjar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Laroya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Las Tres Villas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Padules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Lubrín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Rágol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Nacimiento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Sorbas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Ohanes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Suflí</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Olula de Castro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Tabernas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Paterna del Río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Taberno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Senés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Tíjola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Serón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Turrillas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Sierro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Tahal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Uleila del Campo</w:t>
            </w:r>
          </w:p>
        </w:tc>
      </w:tr>
      <w:tr w:rsidR="002A4DDF" w:rsidRPr="00937C8B" w:rsidTr="00935676">
        <w:trPr>
          <w:cantSplit/>
        </w:trPr>
        <w:tc>
          <w:tcPr>
            <w:tcW w:w="1696" w:type="dxa"/>
            <w:tcBorders>
              <w:left w:val="single" w:sz="4" w:space="0" w:color="auto"/>
              <w:bottom w:val="single" w:sz="4" w:space="0" w:color="auto"/>
            </w:tcBorders>
            <w:shd w:val="clear" w:color="auto" w:fill="auto"/>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bottom w:val="single" w:sz="4" w:space="0" w:color="auto"/>
            </w:tcBorders>
            <w:shd w:val="clear" w:color="auto" w:fill="auto"/>
          </w:tcPr>
          <w:p w:rsidR="002A4DDF" w:rsidRPr="00937C8B" w:rsidRDefault="002A4DDF" w:rsidP="009110ED">
            <w:pPr>
              <w:rPr>
                <w:rFonts w:ascii="Arial" w:hAnsi="Arial" w:cs="Arial"/>
                <w:sz w:val="12"/>
                <w:szCs w:val="12"/>
              </w:rPr>
            </w:pPr>
            <w:r>
              <w:rPr>
                <w:rFonts w:ascii="Arial" w:hAnsi="Arial"/>
                <w:sz w:val="12"/>
              </w:rPr>
              <w:t>Almería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Velefique</w:t>
            </w:r>
          </w:p>
        </w:tc>
      </w:tr>
      <w:tr w:rsidR="002A4DDF" w:rsidRPr="00937C8B" w:rsidTr="00935676">
        <w:trPr>
          <w:cantSplit/>
        </w:trPr>
        <w:tc>
          <w:tcPr>
            <w:tcW w:w="1696" w:type="dxa"/>
            <w:tcBorders>
              <w:top w:val="single" w:sz="4" w:space="0" w:color="auto"/>
              <w:bottom w:val="single" w:sz="4" w:space="0" w:color="auto"/>
            </w:tcBorders>
            <w:shd w:val="clear" w:color="auto" w:fill="FFFFFF"/>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FFFFFF"/>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FFFFF"/>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FFFFFF"/>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Córdoba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Almodóvar del Río</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Alcaracejos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Belmez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Añora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Espiel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Belalcázar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Hornachuelos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Cardeña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Granjuela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Conquista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Blázquez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Córdoba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Palma del Río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Dos Torres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Peñarroya-Pueblonuevo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Guijo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Posadas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Viso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Villafranca de Córdoba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Fuente la Lancha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Villaharta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Fuente Obejuna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Hinojosa del Duque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Obejo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Pedroche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Pozoblanco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Eufemia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Torrecampo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Valsequillo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Villanueva de Córdoba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Villanueva del Duque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Villanueva del Rey</w:t>
            </w:r>
          </w:p>
        </w:tc>
      </w:tr>
      <w:tr w:rsidR="002A4DDF" w:rsidRPr="00937C8B" w:rsidTr="00935676">
        <w:trPr>
          <w:cantSplit/>
        </w:trPr>
        <w:tc>
          <w:tcPr>
            <w:tcW w:w="1696" w:type="dxa"/>
            <w:tcBorders>
              <w:left w:val="single" w:sz="4" w:space="0" w:color="auto"/>
              <w:bottom w:val="single" w:sz="4" w:space="0" w:color="auto"/>
            </w:tcBorders>
            <w:shd w:val="clear" w:color="auto" w:fill="auto"/>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bottom w:val="single" w:sz="4" w:space="0" w:color="auto"/>
            </w:tcBorders>
            <w:shd w:val="clear" w:color="auto" w:fill="auto"/>
          </w:tcPr>
          <w:p w:rsidR="002A4DDF" w:rsidRPr="00937C8B" w:rsidRDefault="002A4DDF" w:rsidP="009110ED">
            <w:pPr>
              <w:rPr>
                <w:rFonts w:ascii="Arial" w:hAnsi="Arial" w:cs="Arial"/>
                <w:sz w:val="12"/>
                <w:szCs w:val="12"/>
              </w:rPr>
            </w:pPr>
            <w:r>
              <w:rPr>
                <w:rFonts w:ascii="Arial" w:hAnsi="Arial"/>
                <w:sz w:val="12"/>
              </w:rPr>
              <w:t>Córdoba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Villaralto</w:t>
            </w: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Granada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Albondón</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Aldeire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Albuñán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Alpujarra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Albuñol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Alquife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tcPr>
          <w:p w:rsidR="002A4DDF" w:rsidRPr="00937C8B" w:rsidRDefault="002A4DDF" w:rsidP="009110ED">
            <w:pPr>
              <w:rPr>
                <w:rFonts w:ascii="Arial" w:hAnsi="Arial" w:cs="Arial"/>
                <w:sz w:val="12"/>
                <w:szCs w:val="12"/>
              </w:rPr>
            </w:pPr>
            <w:r>
              <w:rPr>
                <w:rFonts w:ascii="Arial" w:hAnsi="Arial"/>
                <w:sz w:val="12"/>
              </w:rPr>
              <w:t>Almegíjar</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Baza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Almuñécar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Bubión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Bérchules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Busquístar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tcPr>
          <w:p w:rsidR="002A4DDF" w:rsidRPr="00937C8B" w:rsidRDefault="002A4DDF" w:rsidP="009110ED">
            <w:pPr>
              <w:rPr>
                <w:rFonts w:ascii="Arial" w:hAnsi="Arial" w:cs="Arial"/>
                <w:sz w:val="12"/>
                <w:szCs w:val="12"/>
              </w:rPr>
            </w:pPr>
            <w:r>
              <w:rPr>
                <w:rFonts w:ascii="Arial" w:hAnsi="Arial"/>
                <w:sz w:val="12"/>
              </w:rPr>
              <w:t>Cádiar</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Caniles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Cástaras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Capileira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Cenes de la Vega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Dólar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Cogollos de Guadix</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Ferreira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tcPr>
          <w:p w:rsidR="002A4DDF" w:rsidRPr="00937C8B" w:rsidRDefault="002A4DDF" w:rsidP="009110ED">
            <w:pPr>
              <w:rPr>
                <w:rFonts w:ascii="Arial" w:hAnsi="Arial" w:cs="Arial"/>
                <w:sz w:val="12"/>
                <w:szCs w:val="12"/>
              </w:rPr>
            </w:pPr>
            <w:r>
              <w:rPr>
                <w:rFonts w:ascii="Arial" w:hAnsi="Arial"/>
                <w:sz w:val="12"/>
              </w:rPr>
              <w:t>Guadix</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Gor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Güéjar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Jerez del Marquesado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Huéneja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Calahorra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Ítrabo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Taha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Jete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Lanteira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Juviles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Lugros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Lobras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Monachil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Lújar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Nevada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Murtas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Pampaneira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Otívar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Pórtugos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Pinos Genil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Soportújar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Polopos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Trevélez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Quéntar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Válor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Rubite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Salobreña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Sorvilán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Torvizcón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Turón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Ugíjar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r>
              <w:rPr>
                <w:rFonts w:ascii="Arial" w:hAnsi="Arial"/>
                <w:sz w:val="12"/>
              </w:rPr>
              <w:t>Andalusia</w:t>
            </w:r>
          </w:p>
        </w:tc>
        <w:tc>
          <w:tcPr>
            <w:tcW w:w="1843" w:type="dxa"/>
            <w:shd w:val="clear" w:color="auto" w:fill="auto"/>
          </w:tcPr>
          <w:p w:rsidR="002A4DDF" w:rsidRPr="00937C8B" w:rsidRDefault="002A4DDF" w:rsidP="009110ED">
            <w:pPr>
              <w:rPr>
                <w:rFonts w:ascii="Arial" w:hAnsi="Arial" w:cs="Arial"/>
                <w:sz w:val="12"/>
                <w:szCs w:val="12"/>
              </w:rPr>
            </w:pPr>
            <w:r>
              <w:rPr>
                <w:rFonts w:ascii="Arial" w:hAnsi="Arial"/>
                <w:sz w:val="12"/>
              </w:rPr>
              <w:t>Granada</w:t>
            </w: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Valle del Zalabí</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Huelva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Alájar</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Almonaster la Real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Alosno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Arroyomolinos de León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Aracena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Aroche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Cañaveral de León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Ayamonte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Cumbres Mayores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Berrocal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Encinasola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Cabezas Rubias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Hinojales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Calañas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Rosal de la Frontera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Cortegana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Cortelazor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Cumbres de Enmedio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Cumbres de San Bartolomé</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Almendro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Cerro de Andévalo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Higuera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Jabugo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Granada de Río-Tinto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Nava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Linares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Nerva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Paterna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Puebla de Guzmán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Puerto Moral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Ana la Real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Bárbara de Casa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Valdelarco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Valverde del Camino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los Castillejos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Zalamea la Real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bottom w:val="single" w:sz="4" w:space="0" w:color="auto"/>
            </w:tcBorders>
            <w:shd w:val="clear" w:color="auto" w:fill="auto"/>
          </w:tcPr>
          <w:p w:rsidR="002A4DDF" w:rsidRPr="00937C8B" w:rsidRDefault="002A4DDF" w:rsidP="009110ED">
            <w:pPr>
              <w:rPr>
                <w:rFonts w:ascii="Arial" w:hAnsi="Arial" w:cs="Arial"/>
                <w:sz w:val="12"/>
                <w:szCs w:val="12"/>
              </w:rPr>
            </w:pPr>
            <w:r>
              <w:rPr>
                <w:rFonts w:ascii="Arial" w:hAnsi="Arial"/>
                <w:sz w:val="12"/>
              </w:rPr>
              <w:t>Huelva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Zufre</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Jaén</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Aldeaquemada</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Andújar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Arroyo del Ojanco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Guarromán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Baños de la Encina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Linares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Cabra del Santo Cristo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Elena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Carboneros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Chiclana de Segura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Cuarto del Madroño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Génave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Ibros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Puerta de Segura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Lupión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Marmolejo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Montizón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Navas de San Juan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Pozo Alcón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Puente de Génave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Santiago-Pontones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Torreblascopedro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Torres de Albánchez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Vilches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bottom w:val="single" w:sz="4" w:space="0" w:color="auto"/>
            </w:tcBorders>
            <w:shd w:val="clear" w:color="auto" w:fill="auto"/>
          </w:tcPr>
          <w:p w:rsidR="002A4DDF" w:rsidRPr="00937C8B" w:rsidRDefault="002A4DDF" w:rsidP="009110ED">
            <w:pPr>
              <w:rPr>
                <w:rFonts w:ascii="Arial" w:hAnsi="Arial" w:cs="Arial"/>
                <w:sz w:val="12"/>
                <w:szCs w:val="12"/>
              </w:rPr>
            </w:pPr>
            <w:r>
              <w:rPr>
                <w:rFonts w:ascii="Arial" w:hAnsi="Arial"/>
                <w:sz w:val="12"/>
              </w:rPr>
              <w:t>Jaén</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la Reina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Málaga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Algarrobo</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Almáchar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Benamargosa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Benamocarra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Benarrabá</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Colmenar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Comares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Borge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Genalguacil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Guaro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Istán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Jubrique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Macharaviaya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Málaga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Ojén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Sayalonga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Tolox</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Torrox</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Málaga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Vélez-Málaga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Seville</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Alanís</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Almadén de la Plata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Alcolea del Río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Castilblanco de los Arroyos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Aznalcóllar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Cazalla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Brenes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Constantina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Cantillana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Castillo de las Guardas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Madroño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Garrobo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Real de la Jara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Pedroso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Ronquillo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Guillena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Guadalcanal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Puebla de los Infantes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Lora del Río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Nicolás del Puerto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Tocina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del Río y Minas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Andalusia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Seville</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Villaverde del Río</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Aragon</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Huesca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Albalate de Cinca</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Aisa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Albelda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Benasque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Alcalá del Obispo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Canfranc</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Alcolea de Cinca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Castejón de Sos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Almudévar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Gistaín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Almuniente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Hoz de Jaca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Antillón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Jaca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Barbuñales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Laspaúles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Belver de Cinca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Montanuy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Beranuy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Panticosa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Berbegal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Sahún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Bielsa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Sallent de Gállego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Biescas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Juan de Plan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Binaced</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Bisaurri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Capdesaso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Casbas de Huesca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Castejón del Puente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Chía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Fraga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Grañén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Huesca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Ilche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Isábena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Laluenga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Lalueza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Lanaja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Laperdiguera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Lascellas-Ponzano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Loarre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Loporzano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Monflorite-Lascasas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Monzón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Osso de Cinca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Peralta de Alcofea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Plan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Poleñino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Puente de Montañana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Puente la Reina de Jaca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Pueyo de Santa Cruz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Quicena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Miguel del Cinca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Sariñena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Seira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Sesué</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Siétamo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Sopeira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Tardienta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Tella-Sin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Tierz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Torralba de Aragón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Torrente de Cinca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Torres de Alcanadre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Torres de Barbués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Vicién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Villanova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Aragon</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Huesca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Sigena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Aragon</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Teruel</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Ababuj</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Alcañiz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Alfambra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Aliaga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Allepuz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Alpeñés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Anadón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Andorra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Arens de Lledó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Argente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Ariño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Bádenas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Báguena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Beceite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Bezas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Blancas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Bronchales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Burbáguena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Cabra de Mora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Calamocha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Calanda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Calomarde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Camañas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Caminreal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Castejón de Tornos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Castel de Cabra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Cedrillas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Celadas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Cucalón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Cuevas Labradas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Castellar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Escorihuela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Escucha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Estercuel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Formiche Alto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 Claras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Gea de Albarracín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Griegos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Gúdar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Huesa del Común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Lagueruela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Lanzuela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Lidón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Linares de Mora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Lledó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Loscos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Martín del Río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Monforte de Moyuela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Monreal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Montalbán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Monteagudo del Castillo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Monterde de Albarracín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Noguera de Albarracín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Nogueras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Obón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Ojos Negros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Orihuela del Tremedal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Orrios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Palomar de Arroyos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Pancrudo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Peralejos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Pozondón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Pozuel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Rubielos de la Cérida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Martín del Río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Cruz de Nogueras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Teruel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Torralba de los Sisones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 de las Arcas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 los Negros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Torres de Albarracín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Torrijo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Tramacastiel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Tramacastilla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Utrillas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Valbona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Valdelinares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Valderrobres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Villahermosa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del Rebollar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 del Cobo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Villarquemado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Villastar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Visiedo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Aragon</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Teruel</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Vivel del Río Martín</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Aragon</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Zaragoza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Abanto</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Acered</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Aguarón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Aladrén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Alcalá de Moncayo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Alfamén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Almonacid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Alpartir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Ambel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Aniñón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Añón de Moncayo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Aranda de Moncayo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Ariza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Ateca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Badules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Belmonte de Gracián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Berrueco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Boquiñeni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Bordalba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Brea de Aragón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Bubierca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Bulbuente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Calatayud</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Calcena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Carenas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Cariñena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Castejón de Alarba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Castejón de las Armas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Cerveruela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Codos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Cosuenda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Cubel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Daroca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Frasno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Embid de Ariza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 de Jiloca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Gallocanta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Gallur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Gotor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Herrera de los Navarros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Illueca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Jarque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Vilueña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Las Cuerlas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Litago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Longares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Longás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Fayos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Pintanos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Luceni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Luesma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Maella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Mainar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Malanquilla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Maluenda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Manchones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Mezalocha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Miedes de Aragón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Monterde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Morata de Jiloca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Morés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Moyuela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Munébrega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Murero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Navardún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Nonaspe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Oseja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Paniza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Paracuellos de Jiloca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Paracuellos de la Ribera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Pina de Ebro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Pomer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Pradilla de Ebro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Purujosa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Romanos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Ruesca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Sabiñán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Martín de la Virgen de Moncayo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Cruz de Grío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Santed</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Sediles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Sestrica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Sigüés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Tarazona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Tauste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Terrer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Torrijo de la Cañada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Trasmoz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Trasobares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Used</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 de San Martín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Valdehorna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Valtorres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Velilla de Jiloca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Vera de Moncayo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Vierlas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Villadoz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Villafeliche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Villalengua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Jiloca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Villarroya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Villarroya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Aragon</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Zaragoza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Vistabella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Canary Islands</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Las Palmas</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Agaete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Agüimes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Artenara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Arucas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Firgas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Gáldar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Ingenio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La Aldea de San Nicolás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Las Palmas, Gran Canaria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Mogán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Bartolomé de Tirajana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Brígida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Lucía de Tirajana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María de Guía de Gran Canaria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Tejeda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Telde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Teror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Valleseco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Valsequillo de Gran Canaria</w:t>
            </w: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Canary Islands</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Las Palmas</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Vega de San Mateo</w:t>
            </w: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Canary Islands</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Santa Cruz de Tenerife</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Adeje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Arafo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Arico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Arona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Buenavista del Norte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Candelaria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Rosario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Sauzal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Tanque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Fasnia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Garachico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Granadilla de Abona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Guía de Isora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Güímar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Icod de los Vinos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Matanza de Acentejo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Orotava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Victoria de Acentejo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Los Realejos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Los Silos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Puerto de la Cruz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Cristóbal de La Laguna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Miguel de Abona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Cruz de Tenerife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Úrsula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Santiago del Teide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Tacoronte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Tegueste</w:t>
            </w: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Canary Islands</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Santa Cruz de Tenerife</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Vilaflor de Chasna</w:t>
            </w:r>
          </w:p>
        </w:tc>
      </w:tr>
      <w:tr w:rsidR="002A4DDF" w:rsidRPr="00937C8B" w:rsidTr="00935676">
        <w:trPr>
          <w:cantSplit/>
        </w:trPr>
        <w:tc>
          <w:tcPr>
            <w:tcW w:w="1696"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Cantabria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Cantabria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Anievas</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Roque de Riomiera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Arenas de Iguña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Arredondo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Bárcena de Pie de Concha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Cabezón de la Sal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Cabezón de Liébana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Cabuérniga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Camaleño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Camargo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Castro-Urdiales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Cieza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Cillorigo de Liébana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Astillero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Entrambasaguas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Guriezo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Hazas de Cesto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Hermandad de Campoo de Suso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Liendo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Liérganes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Corrales de Buelna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Tojos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Marina de Cudeyo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Mazcuerras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Medio Cudeyo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Meruelo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Molledo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Penagos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Pesaguero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Piélagos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Polaciones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Rasines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Reocín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Ribamontán al Mar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Ribamontán al Monte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Riotuerto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Ruente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Ruesga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Felices de Buelna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Pedro del Romeral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Cruz de Bezana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Santander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Solórzano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Tudanca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Udías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Valle de Villaverde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Vega de Liébana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Vega de Pas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E7E6E6"/>
            </w:tcBorders>
            <w:shd w:val="clear" w:color="auto" w:fill="auto"/>
          </w:tcPr>
          <w:p w:rsidR="002A4DDF" w:rsidRPr="00937C8B" w:rsidRDefault="002A4DDF" w:rsidP="009110ED">
            <w:pPr>
              <w:rPr>
                <w:rFonts w:ascii="Arial" w:hAnsi="Arial" w:cs="Arial"/>
                <w:sz w:val="12"/>
                <w:szCs w:val="12"/>
              </w:rPr>
            </w:pPr>
          </w:p>
        </w:tc>
        <w:tc>
          <w:tcPr>
            <w:tcW w:w="1843" w:type="dxa"/>
            <w:tcBorders>
              <w:bottom w:val="single" w:sz="4" w:space="0" w:color="E7E6E6"/>
            </w:tcBorders>
            <w:shd w:val="clear" w:color="auto" w:fill="auto"/>
          </w:tcPr>
          <w:p w:rsidR="002A4DDF" w:rsidRPr="00937C8B" w:rsidRDefault="002A4DDF" w:rsidP="009110ED">
            <w:pPr>
              <w:rPr>
                <w:rFonts w:ascii="Arial" w:hAnsi="Arial" w:cs="Arial"/>
                <w:sz w:val="12"/>
                <w:szCs w:val="12"/>
              </w:rPr>
            </w:pPr>
          </w:p>
        </w:tc>
        <w:tc>
          <w:tcPr>
            <w:tcW w:w="2268" w:type="dxa"/>
            <w:tcBorders>
              <w:bottom w:val="single" w:sz="4" w:space="0" w:color="E7E6E6"/>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Villaescusa</w:t>
            </w:r>
          </w:p>
        </w:tc>
        <w:tc>
          <w:tcPr>
            <w:tcW w:w="2268" w:type="dxa"/>
            <w:tcBorders>
              <w:bottom w:val="single" w:sz="4" w:space="0" w:color="E7E6E6"/>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Cantabria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Cantabria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Voto</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Ávila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Adanero</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Aldeanueva de Santa Cruz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Albornos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Amavida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Aldeaseca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Arenas de San Pedro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Arévalo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Arevalillo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Aveinte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Avellaneda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Barromán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Ávila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Bercial de Zapardiel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Becedas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Bernuy-Zapardiel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Becedillas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Blascomillán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Berrocalejo de Aragona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Blasconuño de Matacabras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Bohoyo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Blascosancho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Bonilla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Brabos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Bularros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Cabezas de Alambre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Burgohondo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Cabezas del Pozo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Cabezas del Villar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Cabizuela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Candeleda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Cardeñosa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Cantiveros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Casas del Puerto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Castellanos de Zapardiel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Casasola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Cisla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Casavieja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Collado de Contreras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Casillas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Constanzana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Cebreros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Crespos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Cepeda la Mora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Donjimeno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Chamartín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Donvidas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Cillán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Bohodón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Collado del Mirón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Fresno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Cuevas del Valle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Oso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Diego del Carpio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Parral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Arenal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Espinosa de los Caballeros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Barco de Ávila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Flores de Ávila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Barraco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Fontiveros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Hornillo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 el Saúz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Hoyo de Pinares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 de Año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Losar del Barco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Gemuño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Mirón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Gimialcón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Tiemblo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Gotarrendura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Fresnedilla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Gutierre-Muñoz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Gallegos de Altamiros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Hernansancho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Gallegos de Sobrinos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Herreros de Suso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Gavilanes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Horcajo de las Torres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Gil García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Junciana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Gilbuena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Langa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Grandes y San Martín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Las Berlanas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Guisando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Madrigal de las Altas Torres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Herradón de Pinares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Maello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Higuera de las Dueñas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Mamblas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Hoyocasero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Mancera de Arriba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Hoyorredondo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Monsalupe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Hoyos de Miguel Muñoz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Moraleja de Matacabras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Hoyos del Collado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Muñico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Hoyos del Espino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Muñogalindo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Hurtumpascual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Muñogrande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Adrada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Muñomer del Peco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Aldehuela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Muñosancho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Carrera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Narros de Saldueña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Colilla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Narros del Castillo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Hija de Dios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Nava de Arévalo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Horcajada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Niharra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Serrada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Orbita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Torre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Padiernos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Lanzahíta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Pajares de Adaja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Las Navas del Marqués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Palacios de Goda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Los Llanos de Tormes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Papatrigo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Manjabálago y Ortigosa de Rioalmar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Pedro-Rodríguez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Marlín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Peñalba de Ávila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Martiherrero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Pozanco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Martínez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Rasueros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Mediana de Voltoya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Riocabado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Medinilla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Rivilla de Barajas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Mengamuñoz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Salobral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Mijares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Salvadiós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Mingorría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Esteban de Zapardiel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Mironcillo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Juan de la Encinilla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Mirueña de los Infanzones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Pascual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Mombeltrán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Pedro del Arroyo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Muñana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Vicente de Arévalo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Muñopepe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Sanchidrián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Muñotello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María del Arroyo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Narrillos del Álamo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María del Berrocal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Narrillos del Rebollar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Santo Domingo de las Posadas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Narros del Puerto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Santo Tomé de Zabarcos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 del Barco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Sigeres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Navacepedilla de Corneja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Sinlabajos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Navadijos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Tiñosillos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Navaescurial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Vega de Santa María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Navahondilla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Velayos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Navalacruz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Villaflor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Navalmoral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Gómez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Navalonguilla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del Aceral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Navalosa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Viñegra de Moraña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Navalperal de Pinares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Navalperal de Tormes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Navaluenga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Navaquesera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Navarredonda de Gredos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Navarredondilla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Navarrevisca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Navatalgordo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Navatejares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Neila de San Miguel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Ojos-Albos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Pascualcobo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Pedro Bernardo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Peguerinos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Piedrahíta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Piedralaves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Poveda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Poyales del Hoyo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Pradosegar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Puerto Castilla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Riofrío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Bartolomé de Béjar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Bartolomé de Pinares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Esteban de los Patos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Esteban del Valle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García de Ingelmos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Juan de Gredos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Juan de la Nava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Juan del Molinillo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Juan del Olmo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Lorenzo de Tormes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Martín de la Vega del Alberche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Martín del Pimpollar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Miguel de Serrezuela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Sanchorreja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Cruz de Pinares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Cruz del Valle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María de los Caballeros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María del Cubillo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María del Tiétar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Santiago del Collado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Santiago del Tormes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Serranillos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Solana de Ávila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Solana de Rioalmar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Solosancho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Sotalbo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Sotillo de la Adrada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Tolbaños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Tormellas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Tornadizos de Ávila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Tórtoles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Umbrías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Vadillo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Valdecasa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Villafranca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Villanueva de Ávila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Villanueva del Campillo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Villarejo del Valle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Villatoro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Zapardiel de la Cañada</w:t>
            </w: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Ávila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Zapardiel de la Ribera</w:t>
            </w: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Burgos</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Alcocero de Mola</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Arlanzón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Arraya de Oca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Atapuerca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Bañuelos de Bureba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Barbadillo del Mercado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Barbadillo del Pez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Barrios de Colina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Bascuñana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Belorado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Brazacorta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Burgos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Cabeza Alta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Campolara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Carcedo de Burgos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Cardeñajimeno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Cardeñuela Riopico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Carrias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Cascajares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Castil de Peones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Castrillo del Val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Castrojeriz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Cebrecos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Cerezo de Río Tirón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Cerratón de Juarros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Contreras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Covarrubias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Cuevas de San Clemente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Espinosa de los Monteros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Espinosa del Camino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Fresneda de la Sierra Tirón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Fresneña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Fresno de Río Tirón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Fresno de Rodilla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Hortigüela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Huerta de Arriba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Hurones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Ibeas de Juarros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Jaramillo de la Fuente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Jaramillo Quemado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Junta de Traslaloma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Jurisdicción de Lara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Revilla y Ahedo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Ausines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Mambrillas de Lara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Mecerreyes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Medina de Pomar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Merindad de Montija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Monasterio de Rodilla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Monterrubio de la Demanda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Nebreda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Neila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Orbaneja Riopico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Palazuelos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Pedrosa del Páramo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Pedrosa del Príncipe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Peñaranda de Duero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Pineda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Pinilla de los Moros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Prádanos de Bureba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Pradoluengo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Puentedura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Quintanapalla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Quintanavides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Quintanilla del Agua y Tordueles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Quintanilla San García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Rábanos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Redecilla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Revilla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Riocavado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Rubena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Salas de los Infantes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Adrián de Juarros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Millán de Lara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Vicente del Valle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Cruz del Valle Urbión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Inés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María del Invierno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Olalla de Bureba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Sasamón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Solarana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Tinieblas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Torrelara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Tosantos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Vallarta de Bureba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Valle de Mena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Valle de Oca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Valle de Valdelaguna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Valluércanes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Valmala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Villaescusa la Sombría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Villaespasa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Villafranca Montes de Oca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Villagalijo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Villambistia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Villamiel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Villasur de Herreros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Villegas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Villoruebo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Viloria de Rioja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Burgos</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Vizcaínos</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León</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Acebedo</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Astorga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Arganza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Balboa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Bembibre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Barjas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Berlanga del Bierzo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Benuza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Boca de Huérgano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Candín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Boñar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Carucedo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Borrenes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Congosto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Brazuelo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Corullón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Burón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Encinedo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Cabañas Raras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Igüeña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Cabrillanes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Los Barrios de Luna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Cacabelos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Murias de Paredes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Camponaraya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Oencia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Cármenes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Palacios del Sil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Carracedelo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Páramo del Sil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Carrocera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Peranzanes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Castrillo de Cabrera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Ponferrada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Castrillo de la Valduerna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Quintana del Castillo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Castrocalbón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María de Ordás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Castrocontrigo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Sobrado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Castropodame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Truchas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Crémenes</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Vega de Valcarce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Cuadros</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Villagatón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Cubillos del Sil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Destriana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Escobar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Fabero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Folgoso de la Ribera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Gordaliza del Pino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Gradefes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Grajal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Joarilla de las Matas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Bañeza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Pola de Gordón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Robla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Las Omañas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Lucillo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Luyego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Magaz de Cepeda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Maraña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Matallana de Torío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Molinaseca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Noceda del Bierzo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Oseja de Sajambre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Palacios de la Valduerna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Posada de Valdeón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Prado de la Guzpeña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Priaranza del Bierzo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Prioro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Puebla de Lillo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Puente de Domingo Flórez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Quintana del Marco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Quintana y Congosto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Reyero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Riaño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Riego de la Vega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Riello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Rioseco de Tapia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Sabero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Sahagún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Cristóbal de la Polantera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Emiliano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Esteban de Nogales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Justo de la Vega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Sancedo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Colomba de Somoza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Elena de Jamuz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María de la Isla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María del Monte de Cea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Santiago Millas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Sena de Luna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Soto y Amío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Toral de los Vados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Toreno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 del Bierzo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Trabadelo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 de San Lorenzo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Valdelugueros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Valdepiélago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Valdepolo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Valderrey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Valderrueda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Valdesamario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Vallecillo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Vega de Espinareda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Vegacervera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Vegaquemada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Villablino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Villafranca del Bierzo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Villamanín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Villamejil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Villamontán de la Valduerna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León</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Villaobispo de Otero</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Palencia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Abarca de Campos</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Autillo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Barruelo de Santullán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Becerril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Boadilla de Rioseco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Bustillo de la Vega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Bustillo del Páramo de Carrión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Calzada de los Molinos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Capillas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Cardeñosa de Volpejera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Carrión de los Condes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Castromocho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Cervatos de la Cueza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Cervera de Pisuerga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Cisneros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Dehesa de Montejo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Frechilla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 de Nava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Guaza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Pernía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Serna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Lagartos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Ledigos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Lomas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Mazariegos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Mazuecos de Valdeginate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Moratinos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Nogal de las Huertas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Paredes de Nava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Pedrosa de la Vega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Población de Arroyo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Población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Pozo de Urama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Quintanilla de Onsoña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Renedo de la Vega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Revenga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Riberos de la Cueza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Salinas de Pisuerga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Mamés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Román de la Cuba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Triollo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Valle del Retortillo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Velilla del Río Carrión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Villacidaler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Villalcázar de Sirga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Villalcón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Villamartín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Villamoronta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Villamuera de la Cueza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del Rebollar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Villarmentero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Villarrabé</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Villarramiel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Villaturde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Villaumbrales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Palencia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Villoldo</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Salamanca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Abusejo</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Agallas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Alaraz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Ahigal de los Aceiteros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Alba de Yeltes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Ahigal de Villarino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Alconada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Alba de Tormes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Aldealengua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 del Obispo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Aldeanueva de Figueroa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Aldeacipreste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Aldeanueva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Aldeadávila de la Ribera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Aldearrodrigo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Aldeatejada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Aldearrubia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Aldeavieja de Tormes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Aldeaseca de Alba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Almendra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Aldeaseca de la Frontera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Añover de Tormes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Aldehuela de la Bóveda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Arapiles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Aldehuela de Yeltes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Armenteros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Almenara de Tormes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Bañobárez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Anaya de Alba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Barbalos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Arabayona de Mógica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Barceo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Arcediano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Barruecopardo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Babilafuente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Béjar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Barbadillo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Beleña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Bóveda del Río Almar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Bermellar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Cabezabellosa de la Calzada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Berrocal de Huebra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Cabrerizos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Berrocal de Salvatierra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Cabrillas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Boada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Calvarrasa de Abajo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Bogajo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Calvarrasa de Arriba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Brincones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Calzada de Don Diego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Buenamadre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Calzada de Valdunciel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Buenavista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Canillas de Abajo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Cabeza del Caballo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Cantalapiedra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Campillo de Azaba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Cantalpino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Candelario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Cantaracillo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Cantagallo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Carbajosa de la Sagrada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Carpio de Azaba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Carrascal de Barregas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Carrascal del Obispo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Castellanos de Moriscos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Casafranca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Castellanos de Villiquera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Casillas de Flores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Castraz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Castillejo de Martín Viejo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Cilleros de la Bastida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Cepeda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Coca de Alba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Cereceda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Cordovilla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Cerezal de Peñahorcada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Coto Mancomunado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Cerralbo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Dios le Guarde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Cespedosa de Tormes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Doñinos de Salamanca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Chagarcía Medianero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Ejeme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Cipérez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Arco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Ciudad Rodrigo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Campo de Peñaranda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Colmenar de Montemayor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Cubo de Don Sancho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Cristóbal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Pedroso de la Armuña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Doñinos de Ledesma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Pino de Tormes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Bodón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Encinas de Abajo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Cabaco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Encinas de Arriba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Cerro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Espino de la Orbada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Maíllo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Fresno Alhándiga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Manzano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Gajates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Milano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Galindo y Perahuy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Payo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Galisancho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Sahugo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Garcihernández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Tejado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Golpejas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Tornadizo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Gomecello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Encina de San Silvestre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Huerta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Encinasola de los Comendadores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Bastida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Endrinal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Maya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Escurial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Orbada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Espadaña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Sagrada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Espeja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Vellés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Frades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Larrodrigo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Fresnedoso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Machacón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Fuenteguinaldo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Macotera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Fuenteliante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Malpartida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Fuenterroble de Salvatierra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Mancera de Abajo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Fuentes de Béjar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Matilla de los Caños del Río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Fuentes de Oñoro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Monterrubio de Armuña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Galinduste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Morasverdes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Gallegos de Argañán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Morille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Gallegos de Solmirón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Moríñigo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Garcibuey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Moriscos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Garcirrey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Nava de Sotrobal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Gejuelo del Barro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Guadramiro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Negrilla de Palencia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Guijo de Ávila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Pajares de la Laguna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Guijuelo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Palaciosrubios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Herguijuela de Ciudad Rodrigo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Palencia de Negrilla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Herguijuela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Parada de Arriba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Herguijuela del Campo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Parada de Rubiales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Hinojosa de Duero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Paradinas de San Juan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Horcajo de Montemayor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Pedraza de Alba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Horcajo Medianero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Pedrosillo de Alba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Iruelos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Pedrosillo el Ralo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Ituero de Azaba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Pelabravo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Juzbado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Peñaranda de Bracamonte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Alameda de Gardón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Peñarandilla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Alamedilla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Pitiegua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Alberca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Poveda de las Cintas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Alberguería de Argañán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Puebla de Yeltes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Atalaya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Rágama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Bouza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Retortillo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Cabeza de Béjar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Robliza de Cojos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Calzada de Béjar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Rollán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Encina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Salmoral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Fregeneda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Cristóbal de la Cuesta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Fuente de San Esteban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Morales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Hoya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Marta de Tormes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Mata de Ledesma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Santiago de la Puebla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Peña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Santiz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Redonda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Sepulcro-Hilario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Rinconada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Sieteiglesias de Tormes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Sierpe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Tarazona de Guareña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Tala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Tardáguila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Vídola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Topas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Zarza de Pumareda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Tordillos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Lagunilla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Torresmenudas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Las Casas del Conde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Valdecarros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Las Veguillas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Valdehijaderos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Ledesma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Valdelosa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Ledrada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Valdunciel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Linares de Riofrío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Los Santos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Ventosa del Río Almar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Lumbrales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Villaflores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Madroñal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Villalba de los Llanos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Martiago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Villamayor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Martín de Yeltes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 de Gallimazo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Martinamor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Villares de la Reina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Masueco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Villarmayor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Membribe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Villaverde de Guareña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Mieza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Villoria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Miranda de Azán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Villoruela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Miranda del Castañar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Zarapicos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Mogarraz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Zorita de la Frontera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Molinillo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Monforte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Monleón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Monleras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Monsagro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Montemayor del Río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Monterrubio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Moronta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Mozárbez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Narros de Matalayegua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 de Béjar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 de Francia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Navacarros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Navalmoral de Béjar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Navamorales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Navarredonda de la Rinconada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Navasfrías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Olmedo de Camaces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Palacios del Arzobispo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Pastores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Pedrosillo de los Aires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Pelarrodríguez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Pelayos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Peñacaballera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Peñaparda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Peralejos de Abajo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Peralejos de Arriba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Pereña de la Ribera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Peromingo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Pinedas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Pizarral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Pozos de Hinojo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Puebla de Azaba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Puebla de San Medel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Puente del Congosto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Puertas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Puerto de Béjar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Puerto Seguro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Robleda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Saelices el Chico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Salamanca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Saldeana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Salvatierra de Tormes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Esteban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Felices de los Gallegos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Martín del Castañar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Miguel de Valero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Miguel del Robledo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Muñoz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Pedro de Rozados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Pedro del Valle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Pelayo de Guareña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Sanchón de la Ribera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Sanchón de la Sagrada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Sanchotello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Sancti-Spíritus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María de Sando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Santibáñez de Béjar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Santibáñez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Sardón de los Frailes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Saucelle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Sequeros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Serradilla del Arroyo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Serradilla del Llano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Sobradillo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Sorihuela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Sotoserrano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Tabera de Abajo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Tamames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Tejeda y Segoyuela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Tenebrón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Terradillos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Trabanca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Tremedal de Tormes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Valdefuentes de Sangusín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Valdelacasa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Valdelageve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Valdemierque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Valderrodrigo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Vallejera de Riofrío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Valsalabroso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Valverde de Valdelacasa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Vecinos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Vega de Tirados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Villagonzalo de Tormes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Villanueva del Conde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 de Argañán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 de Ciervo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 de la Yegua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 de Peralonso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 de Samaniego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Villares de Yeltes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Villarino de los Aires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Villarmuerto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Villasbuenas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Villasdardo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Villaseco de los Gamitos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Villaseco de los Reyes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Villasrubias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Villavieja de Yeltes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Vilvestre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Vitigudino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Yecla de Yeltes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Zamarra</w:t>
            </w: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Salamanca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Zamayón</w:t>
            </w: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Segovia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Abades</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Adrada de Pirón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Aguilafuente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Aldealengua de Pedraza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 Real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Arahuetes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Aldealcorvo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Arcones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Aldeanueva del Codonal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Arevalillo de Cega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Aldeasoña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Armuña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Aldehuela del Codonal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Basardilla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Aldeonte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Bernuy de Porreros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Anaya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Brieva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Añe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Cabañas de Polendos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Ayllón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Cerezo de Abajo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Barbolla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Cerezo de Arriba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Bercial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Collado Hermoso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Bercimuel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Cubillo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Bernardos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Espinar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Boceguillas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Espirdo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Caballar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Gallegos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Cabezuela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Ituero y Lama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Calabazas de Fuentidueña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Lastrilla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Campo de San Pedro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Losa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Cantalejo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Matabuena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Cantimpalos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Navafría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Carbonero el Mayor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Navas de Riofrío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Navas de San Antonio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Castillejo de Mesleón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Orejana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Castroserna de Abajo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Ortigosa del Monte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Cedillo de la Torre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Otero de Herreros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Chañe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Palazuelos de Eresma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Cilleruelo de San Mamés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Pedraza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Pelayos del Arroyo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Codorniz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Real Sitio de San Ildefonso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Condado de Castilnovo</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Riofrío de Riaza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Corral de Ayllón</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San Cristóbal de Segovia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Cuéllar</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Santa María la Real de Nieva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Cuevas de Provanco</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Santiuste de Pedraza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Domingo García</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Santo Domingo de Pirón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Donhierro</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Santo Tomé del Puerto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Duruelo</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Segovia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Encinillas</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Sotosalbos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Escalona del Prado</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Torre Val de San Pedro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Escarabajosa de Cabezas</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Torrecaballeros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Escobar de Polendos</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Torreiglesias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Fresno de Cantespino</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Trescasas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 de Santa Cruz</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Turégano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Fuentepelayo</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Valdeprados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Fuentesaúco de Fuentidueña</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Valdevacas y Guijar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Fuentidueña</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Vegas de Matute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Garcillán</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Ventosilla y Tejadilla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Gomezserracín</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Villacastín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Grajera</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Zarzuela del Monte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Hontanares de Eresma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Zarzuela del Pinar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Juarros de Riomoros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Juarros de Voltoya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Matilla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Labajos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Laguna de Contreras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Lastras del Pozo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Huertos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Marazoleja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Marazuela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Martín Miguel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Martín Muñoz de la Dehesa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Martín Muñoz de las Posadas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Marugán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Melque de Cercos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Membibre de la Hoz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Migueláñez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Montejo de Arévalo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Monterrubio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Mozoncillo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Muñopedro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Muñoveros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Nava de la Asunción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Navalmanzano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Navas de Oro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Nieva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Ortigosa de Pestaño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Pajarejos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Pinarejos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Pinarnegrillo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Prádena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Puebla de Pedraza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Rapariegos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Rebollo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Riaguas de San Bartolomé</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Riaza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Ribota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Roda de Eresma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Sacramenia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Samboal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Cristóbal de la Vega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Martín y Mudrián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Pedro de Gaíllos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Sanchonuño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Sangarcía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Marta del Cerro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Santiuste de San Juan Bautista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Sauquillo de Cabezas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Sebúlcor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Sepúlveda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Sequera de Fresno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Sotillo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Tabanera la Luenga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Tolocirio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Valleruela de Pedraza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Valleruela de Sepúlveda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Valseca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Valtiendas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Valverde del Majano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Veganzones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Villeguillo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Segovia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Yanguas de Eresma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Soria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Ágreda</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Alcubilla de Avellaneda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Aldealafuente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Aldealices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Aldealpozo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Aldealseñor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Almajano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Almarza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Arancón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Arcos de Jalón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Arévalo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Ausejo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Beratón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Bliecos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Borjabad</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Borobia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Carrascosa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Castilfrío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Cerbón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Cidones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Cihuela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Cirujales del Río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Coscurita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Cubo de la Solana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Cueva de Ágreda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Deza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Escobosa de Almazán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Estepa de San Juan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Frechilla de Almazán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Fuentearmegil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 de Magaña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Fuentestrún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Golmayo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Gómara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Hinojosa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Losilla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Póveda de Soria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Langa de Duero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Las Aldehuelas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Villares de Soria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Magaña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Matalebreras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Medinaceli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Miño de Medinaceli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Montejo de Tiermes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Narros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Nepas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Nolay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Noviercas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Ólvega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Oncala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Pinilla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Pozalmuro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Quintana Redonda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Esteban de Gormaz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Pedro Manrique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Cruz de Yanguas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Soliedra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Suellacabras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Tajahuerce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Tejado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Trévago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Valdegeña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Valdelagua del Cerro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Valdemaluque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Valtajeros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Villaciervos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 del Río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Vizmanos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Vozmediano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Soria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Yanguas</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Valladolid</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Aguasal</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Alaejos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Alcazarén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Almenara de Adaja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Ataquines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Bahabón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Becilla de Valderaduey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Bobadilla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Bocigas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Bocos de Duero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Boecillo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Brahojos de Medina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Bustillo de Chaves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Cabezón de Valderaduey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Canalejas de Peñafiel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Carpio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Casasola de Arión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Castrejón de Trabancos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Castrillo de Duero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Castronuño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Castroponce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Ceinos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Cervillego de la Cruz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Cogeces del Monte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Cuenca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Curiel de Duero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Campillo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Fompedraza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Fontihoyuelo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Fresno el Viejo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 el Sol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Fuente-Olmedo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Gatón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Herrín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Hornillos de Eresma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Seca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Zarza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Langayo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Llano de Olmedo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Lomoviejo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Matapozuelos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Medina de Rioseco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Medina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Melgar de Arriba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Mojados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Moraleja de las Panaderas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Muriel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Nava del Rey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Nueva Villa de las Torres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Olivares de Duero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Olmedo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Olmos de Peñafiel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Pedrosa del Rey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Peñafiel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Pesquera de Duero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Piñel de Abajo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Piñel de Arriba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Pollos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Pozal de Gallinas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Pozaldez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Quintanilla de Onésimo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Rábano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Ramiro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Roturas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Rubí de Bracamonte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Rueda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Salvador de Zapardiel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Miguel del Pino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Pablo de la Moraleja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Román de Hornija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Vicente del Palacio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Santervás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Santibáñez de Valcorba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Sardón de Duero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Serrada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Siete Iglesias de Trabancos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Simancas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Tordesillas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 de Peñafiel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Torrecilla de la Abadesa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Torrecilla de la Orden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Torrescárcela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Traspinedo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Valdearcos de la Vega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Valdenebro de los Valles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Valdestillas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Vega de Ruiponce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Velascálvaro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Ventosa de la Cuesta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Viana de Cega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Villabaruz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Villacarralón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Villacid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Villafrades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Villafranca de Duero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Villagómez la Nueva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Villalba de la Loma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Villalón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Duero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la Condesa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Valladolid</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Villaverde de Medina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Zamora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Abezames</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Alcañices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Alcubilla de Nogales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Alfaraz de Sayago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Algodre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Almaraz de Duero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Andavías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Almeida de Sayago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Arcenillas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Argañín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Arcos de la Polvorosa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Asturianos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Argujillo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Bermillo de Sayago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Arquillinos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Carbellino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Arrabalde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Cernadilla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Aspariegos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Cobreros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Ayoó de Vidriales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Espadañedo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Barcial del Barco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Fariza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Belver de los Montes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Fermoselle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Benavente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Ferreras de Arriba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Benegiles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Figueruela de Arriba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Bretó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Fonfría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Bretocino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Fresno de Sayago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Brime de Sog</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Galende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Brime de Urz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Gamones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Burganes de Valverde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Hermisende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Bustillo del Oro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Justel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Cabañas de Sayago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Lubián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Calzadilla de 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Luelmo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Camarzana de 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Manzanal de Arriba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Cañizal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Manzanal de los Infantes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Cañizo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Mombuey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Carbajales de Alba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Moral de Sayago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Casaseca de Campeán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Moraleja de Sayago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Casaseca de las Chanas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Moralina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Castrillo de la Guareña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Muelas de los Caballeros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Castrogonzalo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Muelas del Pan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Castronuevo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Muga de Sayago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Cazurra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Otero de Bodas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Cerecinos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Palacios de Sanabria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Cerecinos del Carrizal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Pedralba de la Pradería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Coreses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Peñausende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Corrales del Vino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Pereruela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Cubillos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Pías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Cubo de Benavente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Pino del Oro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Cuelgamures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Porto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Cubo de Tierra del Vino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Puebla de Sanabria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Maderal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Rabanales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Pego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Rábano de Aliste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Perdigón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Requejo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Piñero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Rionegro del Puente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Entrala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Robleda-Cervantes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Faramontanos de Tábara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Roelos de Sayago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Ferreras de Abajo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Rosinos de la Requejada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Ferreruela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Salce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Fresno de la Ribera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Samir de los Caños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Friera de Valverde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Justo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 Encalada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Vitero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Fuentelapeña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Torregamones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 de Ropel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Trabazos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Fuentesaúco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Trefacio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Fuentesecas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Videmala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Fuentespreadas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Villadepera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Gallegos del Pan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Villalcampo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Gallegos del Río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 del Buey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Gema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Villardeciervos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Granja de Moreruela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Villardiegua de la Ribera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Granucillo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Villaseco del Pan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Guarrate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Viñas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Jambrina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Bóveda de Toro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Hiniesta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Losacino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Losacio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Madridanos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Mahide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Malva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Manganeses de la Lampreana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Manzanal del Barco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Matilla la Seca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Mayalde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Melgar de 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Micereces de 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Milles de la Polvorosa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Molacillos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Molezuelas de la Carballeda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Monfarracinos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Montamarta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Moraleja del Vino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Morales de Toro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Morales de Valverde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Morales del Vino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Moreruela de los Infanzones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Moreruela de Tábara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Navianos de Valverde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Olmillos de Castro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Pajares de la Lampreana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Palacios del Pan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Peleagonzalo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Peleas de Abajo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Perilla de Castro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Piedrahita de Castro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Pinilla de Toro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Pobladura de Valderaduey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Pozoantiguo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Pozuelo de Tábara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Pueblica de Valverde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Quintanilla de Urz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Quintanilla del Olmo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Quiruelas de Vidriales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Revellinos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Riofrío de Aliste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Roales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Agustín del Pozo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Cebrián de Castro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Cristóbal de Entreviñas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Esteban del Molar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Martín de Valderaduey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Miguel de la Ribera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Pedro de Ceque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Pedro de la Nave-Almendra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Vicente de la Cabeza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Clara de Avedillo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Colomba de las Monjas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Cristina de la Polvorosa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Croya de 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Eufemia del Barco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María de Valverde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Santibáñez de 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Santibáñez de Vidriales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Santovenia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Sanzoles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Tábara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Tapioles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Torres del Carrizal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Uña de Quintana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Vadillo de la Guareña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Valcabado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Valdefinjas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Vallesa de la Guareña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Vega de 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Vegalatrave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Venialbo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Vezdemarbán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Vidayanes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Villabuena del Puente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Villaescusa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Villafáfila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Villageriz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Villalazán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Villalba de la Lampreana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Villalobos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Villalonso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Villalpando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Villalube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Villamor de los Escuderos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Villanázar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Azoague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Campeán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las Peras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Villaralbo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Villárdiga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Villardondiego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Villarrín de Campos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Villavendimio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Villaveza de Valverde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Villaveza del Agua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 and León</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Zamora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Zamora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Castile-La Mancha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Albacete</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Lezuza</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Pétrola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Castile-La Mancha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Albacete</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Yeste</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Castile-La Mancha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Ciudad Real</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Abenójar</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Agudo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Albaladejo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Alamillo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Alcoba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Almodóvar del Campo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Almadén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Anchuras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Almadenejos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Arroba de los Montes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Almedina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Cabezarrubias del Puerto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Almuradiel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Fontanarejo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Brazatortas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Hinojosas de Calatrava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Cabezarados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Horcajo de los Montes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Calzada de Calatrava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Mestanza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Castellar de Santiago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Navalpino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Chillón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Piedrabuena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Cózar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Puerto Lápice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Robledo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Lorenzo de Calatrava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Fernán Caballero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Fuencaliente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 el Fresno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Guadalmez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Las Labores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Cortijos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Malagón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Navas de Estena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Porzuna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Puebla de Don Rodrigo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Puebla del Príncipe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Puertollano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Retuerta del Bullaque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Saceruela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Cruz de los Cáñamos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Cruz de Mudela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Solana del Pino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Terrinches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 de Juan Abad</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Torrenueva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Valdemanco del Esteras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Villamanrique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los Infantes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Villarrubia de los Ojos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Villarta de San Juan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Castile-La Mancha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Ciudad Real</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Viso del Marqués</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Castile-La Mancha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Cuenca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Arguisuelas</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Beamud</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Campillos-Sierra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Carboneras de Guadazaón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Cardenete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Casas de los Pinos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Graja de Campalbo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Henarejos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Huerta del Marquesado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Laguna del Marquesado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Landete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Monteagudo de las Salinas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Mota del Cuervo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Osa de la Vega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Reíllo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Clemente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Cruz de Moya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Talayuelas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Valdemeca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Castile-La Mancha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Cuenca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Valdemoro-Sierra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Castile-La Mancha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Guadalajara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Alcolea del Pinar</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Arroyo de las Fraguas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Alcoroches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Bustares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Alovera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Condemios de Arriba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Alustante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Cardoso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Angón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Ordial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Anquela del Pedregal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Gascueña de Bornova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Arbancón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Hiendelaencina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Argecilla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Bodera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Atienza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Huerce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Azuqueca de Henares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Las Navas de Jadraque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Bañuelos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Tamajón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Cabanillas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Valverde de los Arroyos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Campillo de Dueñas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Villares de Jadraque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Campillo de Ranas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Zarzuela de Jadraque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Campisábalos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Cantalojas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Casa de Uceda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Checa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Chiloeches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Cincovillas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Cogolludo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Congostrina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Casar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Cubillo de Uceda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Pedregal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Pobo de Dueñas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Espinosa de Henares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Establés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Estriégana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Fontanar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Fuentelahiguera de Albatages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Galápagos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Galve de Sorbe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Guadalajara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Henche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Heras de Ayuso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Hita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Hombrados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Humanes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Jadraque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Jirueque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Mierla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Miñosa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Olmeda de Jadraque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Yunta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Ledanca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Majaelrayo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Málaga del Fresno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Malaguilla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Maranchón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Marchamalo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Matarrubia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Matillas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Medranda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Membrillera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Miedes de Atienza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Mochales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Mohernando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Monasterio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Morenilla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Orea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Pálmaces de Jadraque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Pinilla de Jadraque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Prádena de Atienza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Puebla de Beleña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Puebla de Valles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Rebollosa de Jadraque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Retiendas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Riofrío del Llano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Robledillo de Mohernando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Robledo de Corpes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Andrés del Congosto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Saúca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Semillas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Setiles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Sigüenza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Somolinos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Tartanedo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Tordelrábano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Tordesilos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 del Burgo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Torrejón del Rey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Torremocha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Torrubia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Tortuero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Uceda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Valdearenas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Valdeaveruelo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Valdenuño Fernández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Valdepeñas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Valdesotos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la Torre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Villaseca de Henares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Villaseca de Uceda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Viñuelas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Castile-La Mancha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Guadalajara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Yunquera de Henares</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Castile-La Mancha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Toledo</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Alcabón</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Ajofrín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Alcaudete de la Jara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Albarreal de Tajo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Añover de Tajo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 en Cabo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Arcicóllar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Aldeanueva de Barbarroya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Barcience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Aldeanueva de San Bartolomé</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Bargas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Almendral de la Cañada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Belvís de la Jara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Almonacid de Toledo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Borox</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Almorox</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Calera y Chozas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Argés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Camarenilla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Buenaventura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Cardiel de los Montes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Burguillos de Toledo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Carmena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Burujón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Carriches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Camarena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Cazalegas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Casarrubios del Monte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Cebolla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Casasbuenas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Cedillo del Condado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Castillo de Bayuela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Cobeja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Cervera de los Montes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Domingo Pérez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Chueca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Casar de Escalona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Cobisa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Viso de San Juan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Cuerva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Erustes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Campillo de la Jara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Esquivias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Carpio de Tajo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Gerindote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Puente del Arzobispo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Hormigos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Real de San Vicente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Illescas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Escalona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Puebla de Almoradiel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Espinoso del Rey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Las Herencias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Fuensalida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Cerralbos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Gálvez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Yébenes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Guadamur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Lucillos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Hinojosa de San Vicente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Madridejos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Hontanar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Magán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Huecas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Malpica de Tajo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Estrella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Manzaneque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Iglesuela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Marjaliza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Nava de Ricomalillo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Miguel Esteban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Puebla de Montalbán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Mocejón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Lagartera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Numancia de la Sagra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Las Ventas con Peña Aguilera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Olías del Rey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Las Ventas de Retamosa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Ontígola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Layos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Otero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Los Navalmorales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Pantoja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Los Navalucillos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Quintanar de la Orden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Marrupe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Rielves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Mascaraque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Román de los Montes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Mazarambroz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Olalla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Mejorada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Santo Domingo-Caudilla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Menasalbas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Seseña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Méntrida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Torralba de Oropesa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Mesegar de Tajo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Ugena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Mohedas de la Jara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Villamiel de Toledo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Montearagón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Yeles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Montesclaros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Yuncler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Nambroca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Navahermosa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Navalcán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Navalmoralejo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Navamorcuende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Noez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Nombela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Novés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Nuño Gómez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Orgaz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Oropesa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Paredes de Escalona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Parrillas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Pelahustán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Pepino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Polán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Portillo de Toledo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Puerto de San Vicente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Pulgar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Retamoso de la Jara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Robledo del Mazo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Martín de Montalbán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Martín de Pusa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Pablo de los Montes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Ana de Pusa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Cruz del Retamar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Sartajada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Segurilla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Sevilleja de la Jara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Sonseca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Sotillo de las Palomas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Talavera de la Reina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Toledo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Torrecilla de la Jara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Torrico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Torrijos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Totanés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Valdeverdeja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Valmojado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Velada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Villaminaya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Villamuelas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Villanueva de Bogas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Villarejo de Montalbán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Villaseca de la Sagra</w:t>
            </w: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Castile-La Mancha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Toledo</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Villasequilla</w:t>
            </w: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r>
              <w:rPr>
                <w:rFonts w:ascii="Arial" w:hAnsi="Arial"/>
                <w:sz w:val="12"/>
              </w:rPr>
              <w:t>Catalonia</w:t>
            </w:r>
          </w:p>
        </w:tc>
        <w:tc>
          <w:tcPr>
            <w:tcW w:w="1843" w:type="dxa"/>
            <w:shd w:val="clear" w:color="auto" w:fill="auto"/>
          </w:tcPr>
          <w:p w:rsidR="002A4DDF" w:rsidRPr="00937C8B" w:rsidRDefault="002A4DDF" w:rsidP="009110ED">
            <w:pPr>
              <w:rPr>
                <w:rFonts w:ascii="Arial" w:hAnsi="Arial" w:cs="Arial"/>
                <w:sz w:val="12"/>
                <w:szCs w:val="12"/>
              </w:rPr>
            </w:pPr>
            <w:r>
              <w:rPr>
                <w:rFonts w:ascii="Arial" w:hAnsi="Arial"/>
                <w:sz w:val="12"/>
              </w:rPr>
              <w:t>Barcelona</w:t>
            </w: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Abrera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Alella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Aiguafreda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Arenys de 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Artés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Arenys de Munt</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Avinyó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Argentona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Badia del Vallès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Badalona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Balenyà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Bagà</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Balsareny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Bigues i Riells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Barberà del Vallès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Cabrera de 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Barcelona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Cabrils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Calldetenes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Caldes de Montbui</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Callús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Caldes d'Estrac</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tcPr>
          <w:p w:rsidR="002A4DDF" w:rsidRPr="00937C8B" w:rsidRDefault="002A4DDF" w:rsidP="009110ED">
            <w:pPr>
              <w:rPr>
                <w:rFonts w:ascii="Arial" w:hAnsi="Arial" w:cs="Arial"/>
                <w:sz w:val="12"/>
                <w:szCs w:val="12"/>
              </w:rPr>
            </w:pPr>
            <w:r>
              <w:rPr>
                <w:rFonts w:ascii="Arial" w:hAnsi="Arial"/>
                <w:sz w:val="12"/>
              </w:rPr>
              <w:t>Campins</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Calella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Canovelles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Canet de 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Cardedeu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Castellar de n'Hug</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Castellar del Vallès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Dosrius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Castellbisbal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Masnou</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Castellfollit de Riubregós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Figaró-Montmany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Castellgalí</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Fogars de la Selva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Centelles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Gualba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Cerdanyola del Vallès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Guardiola de Berguedà</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Cervelló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Garriga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Corbera de Llobregat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Roca del Vallès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Cornellà de Llobregat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L'Ametlla del Vallès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Brull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Llinars del Vallès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Papiol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Malgrat de 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Pont de Vilomara i Rocafort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Martorelles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Prat de Llobregat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Mataró</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Esparreguera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Montcada i Reixac</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Esplugues de Llobregat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Montgat</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Fogars de Montclús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Montornès del Vallès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Folgueroles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Òrrius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Gelida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Palafolls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Gisclareny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Pineda de 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Granollers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Premià de Dalt</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Gurb</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 Andreu de Llavaneres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Llagosta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 Cebrià de Vallalta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Palma de Cervelló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 Celoni</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Pobla de Lillet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 Fost de Campsentelles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Les Franqueses del Vallès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 Iscle de Vallalta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Les Masies de Roda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 Pol de 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Les Masies de Voltregà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 Sadurní d'Osormort</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L'Hospitalet de Llobregat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 Vicenç de Montalt</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Lliçà d'Amunt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Coloma de Gramenet</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Lliçà de Vall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Eulàlia de Ronçana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Maria de Martorelles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Manlleu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Maria de Palautordera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Manresa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Susanna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Martorell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Teià</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Matadepera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Tiana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Molins de Rei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Tordera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Mollet del Vallès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Vallgorguina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Monistrol de Calders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Vallromanes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Montesquiu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Vilalba Sasserra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Montmeló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Vilanova de Sau</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Navarcles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Vilanova del Vallès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Navàs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Vilassar de Dalt</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Olesa de Montserrat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Orís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Palau-solità i Plegamans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Pallejà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Parets del Vallès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Polinyà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Premià de Mar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Ripollet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Roda de Ter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Rubí</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Sabadell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Saldes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Sallent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Adrià de Besòs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Andreu de la Barca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Boi de Llobregat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Cugat del Vallès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Esteve de Palautordera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Feliu de Codines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Feliu de Llobregat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Joan de Vilatorrada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Joan Despí</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Julià de Cerdanyola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Julià de Vilatorta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Just Desvern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Llorenç Savall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Martí de Centelles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Mateu de Bages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Pere de Torelló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Pere de Vilamajor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Quirze de Besora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Quirze del Vallès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Vicenç de Castellet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Vicenç de Torelló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Vicenç dels Horts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Coloma de Cervelló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Eugènia de Berga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Perpètua de Mogoda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Sentmenat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Súria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Taradell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Tavèrnoles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Terrassa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Torelló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Vic</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Viladecans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Viladecavalls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Catalonia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Barcelona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Vilassar de Mar</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Catalonia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Girona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Agullana</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Alp</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Aiguaviva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Amer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Albanyà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Anglès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Argelaguer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Arbúcies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Banyoles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Begur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Besalú</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Biure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Bescanó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Blanes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Beuda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Brunyola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Boadella i les Escaules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Cadaqués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Bolvir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Caldes de Malavella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Bordils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Calonge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Campelles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Cabanelles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Camprodon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Cabanes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Cassà de la Selva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Camós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Castell-Platja d'Aro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Campdevànol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Colera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Campllong</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Das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Canet d'Adri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Port de la Selva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Cantallops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Espinelves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Capmany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Espolla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Castelló d'Empúries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Fontanals de Cerdanya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Celrà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Garriguella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Cervià de Ter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Ger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Cistella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Guils de Cerdanya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Corçà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Hostalric</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Cornellà del Terri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Jonquera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Cruïlles, Monells i Sant Sadurní de l'Heura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Selva de 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Darnius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Llagostera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Far d'Empordà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Llanars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Figueres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Llançà</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Flaçà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Lloret de 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Foixà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Maçanet de la Selva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Fontcoberta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Massanes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Forallac</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Meranges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Fortià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Molló</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Girona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Mont-ras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Gombrèn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Ogassa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Isòvol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Osor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Juià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Palafrugell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Bisbal d'Empordà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Palamós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Cellera de Ter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Pardines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Pera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Planoles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Vajol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Portbou</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Vall de Bianya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Queralbs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Vall d'en Bas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Rabós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L'Armentera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Ribes de Freser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Les Llosses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Riells i Viabrea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Les Planes d'Hostoles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Riudarenes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Les Preses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Roses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L'Escala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 Climent Sescebes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Llambilles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 Feliu de Buixalleu</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Llers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 Feliu de Guíxols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Llívia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 Hilari Sacalm</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Maçanet de Cabrenys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Coloma de Farners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Madremanya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Cristina d'Aro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Maià de Montcal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Setcases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Masarac</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Sils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Mieres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Susqueda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Mollet de Peralada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Toses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Montagut i Oix</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Tossa de 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Navata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Urús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Olot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Vall-llobrega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Palau-sator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Vidreres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Palau-saverdera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Viladrau</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Palol de Revardit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Vilallonga de Ter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Vilamaniscle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Parlavà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Pedret i Marzà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Peralada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Pont de Molins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Porqueres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Puigcerdà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Quart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Regencós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Ripoll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Riudaura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Riudellots de la Selva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Riumors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Rupià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Aniol de Finestres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Feliu de Pallerols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Ferriol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Gregori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Jaume de Llierca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Joan de les Abadesses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Joan de Mollet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Jordi Desvalls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Julià de Ramis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Julià del Llor i Bonmatí</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Llorenç de la Muga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Martí de Llémena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Martí Vell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Miquel de Campmajor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Pau de Segúries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Pere Pescador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Pau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Sarrià de Ter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Serinyà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Siurana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Torrent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Torroella de Fluvià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Tortellà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Ullastret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Vallfogona de Ripollès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Ventalló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Vilabertran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Vilablareix</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Vilafant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Vilajuïga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Vilamacolum</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Vilamalla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Vilanant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Vila-sacra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Catalonia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Girona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Vilobí d'Onyar</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Catalonia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Lleida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Agramunt</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Alàs i Cerc</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Aitona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Alins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Albatàrrec</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Alt Àneu</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Albesa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Alcanó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Arsèguel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Alcarràs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Baix Pallars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Alcoletge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Bausen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Alguaire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Bellver de Cerdanya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Almacelles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Canejan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Alpicat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Anglesola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Pont de Bar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Balaguer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Pont de Suert</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Barbens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 Bòrdes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Bellcaire d'Urgell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Estamariu</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Bell-lloc d'Urgell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Esterri d'Àneu</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Bellpuig</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Esterri de Cardós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Biosca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Farrera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Bossòst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Guingueta d'Àneu</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Seu d'Urgell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Castellnou de Seana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Torre de Cabdella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Castellserà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Vall de Boí</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Cervera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Corbins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Les Valls d'Aguilar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Poal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Les Valls de Valira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Els Plans de Sió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Lladorre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Espot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Llavorsí</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Estaràs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Lles de Cerdanya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Fígols i Alinyà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Montellà i Martinet</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Gimenells i el Pla de la Font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Montferrer i Castellbò</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Ivars d'Urgell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Naut Aran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Josa i Tuixén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Prullans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Fuliola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Rialp</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Portella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Ribera d'Urgellet</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Sentiu de Sió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Riu de Cerdanya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Vansa i Fórnols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Sarroca de Bellera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Les Oluges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Soriguera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Lleida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Sort</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Massalcoreig</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Tírvia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Menàrguens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Vall de Cardós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Montgai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Vielha e Mijaran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Montoliu de Lleida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Vilaller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Montoliu de Segarra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Vilamòs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Montornès de Segarra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Organyà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Ossó de Sió</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Penelles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Ponts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Prats i Sansor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Preixens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Puigverd d'Agramunt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Puigverd de Lleida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Ribera d'Ondara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Sanaüja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Senterada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Soses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Sudanell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Talavera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Tàrrega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Tarroja de Segarra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Térmens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Tornabous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Torrefeta i Florejacs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Torrelameu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Torres de Segre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Vallfogona de Balaguer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Vilagrassa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Vilanova de la Barca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Vilanova de l'Aguda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Vilanova de Segrià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Catalonia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Lleida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Vila-sana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Catalonia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Tarragona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Arnes</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Alforja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Cambrils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Almoster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Capafonts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Botarell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Caseres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Castellvell del Camp</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Colldejou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L'Aleixar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Constantí</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Les Borges del Camp</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Duesaigües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Maspujols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Catllar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Riudecanyes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Morell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Riudecols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Els Pallaresos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Vilanova d'Escornalbou</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Canonja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Vilaplana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Pobla de Mafumet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Selva del Camp</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Torre de Fontaubella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L'Ametlla de Mar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L'Argentera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Llorac</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Montbrió del Camp</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Mont-ral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Mont-roig del Camp</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Perafort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Poboleda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Pradell de la Teixeta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Pratdip</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Reus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Riudoms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Salou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Tarragona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Vallfogona de Riucorb</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Vandellòs i l'Hospitalet de l'Infant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Vila-seca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Catalonia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Tarragona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Vinyols i els Arcs</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Autonomous City of Ceuta</w:t>
            </w:r>
          </w:p>
        </w:tc>
        <w:tc>
          <w:tcPr>
            <w:tcW w:w="1843"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Ceuta</w:t>
            </w:r>
          </w:p>
        </w:tc>
        <w:tc>
          <w:tcPr>
            <w:tcW w:w="2268" w:type="dxa"/>
            <w:tcBorders>
              <w:top w:val="single" w:sz="4" w:space="0" w:color="auto"/>
              <w:bottom w:val="single" w:sz="4" w:space="0" w:color="auto"/>
            </w:tcBorders>
            <w:shd w:val="clear" w:color="auto" w:fill="F2F2F2"/>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Ceuta</w:t>
            </w: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Community of Madrid</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Madrid</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Ajalvir</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 del Fresno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Alameda del Valle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Alpedrete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Alcalá de Henares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Becerril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Alcobendas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Berzosa del Lozoya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Alcorcón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Braojos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Algete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Brunete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Aranjuez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Buitrago del Lozoya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Arganda del Rey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Bustarviejo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Batres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Cabanillas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Camarma de Esteruelas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Cadalso de los Vidrios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Casarrubuelos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Canencia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Cobeña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Cenicientos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Colmenar de Oreja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Cercedilla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Coslada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Cervera de Buitrago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Cubas de la Sagra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Chapinería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Daganzo de Arriba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Collado Mediano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Atazar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Collado Villalba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Fresno de Torote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Colmenar del Arroyo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Fuenlabrada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Colmenar Viejo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 el Saz de Jarama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Colmenarejo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Fuentidueña de Tajo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Álamo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Getafe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Berrueco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Griñón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Boalo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Leganés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Escorial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Loeches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Molar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Santos de la Humosa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Vellón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Fresnedillas de la Oliva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Mejorada del Campo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Galapagar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Morata de Tajuña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Garganta de los Montes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Paracuellos de Jarama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Gargantilla del Lozoya y Pinilla de Buitrago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Patones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Gascones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Perales de Tajuña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Guadalix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Pinilla del Valle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Guadarrama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Pinto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Horcajo de la Sierra-Aoslos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Quijorna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Horcajuelo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Redueña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Hoyo de Manzanares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Agustín del Guadalix</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Acebeda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Fernando de Henares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Cabrera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Martín de la Vega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Hiruela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Sebastián de los Reyes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Serna del Monte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Talamanca de Jarama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Las Rozas de Madrid</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Tielmes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Los Baldios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Titulcia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Los Molinos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Torrejón de Ardoz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Lozoya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Torrejón de Velasco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Lozoyuela-Navas-Sieteiglesias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Torremocha de Jarama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Madarcos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Torres de la Alameda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Manzanares el Real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Valdeavero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Miraflores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Valdeolmos-Alalpardo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Montejo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Valdepiélagos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Moralzarzal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Valdetorres de Jarama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Navacerrada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Valverde de Alcalá</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Navalafuente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Velilla de San Antonio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Navalagamella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Villaconejos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Navalcarnero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Villalbilla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Navarredonda y San Mamés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Villamanrique de Tajo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Navas del Rey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 la Cañada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Pedrezuela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del Pardillo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Pelayos de la Presa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Villaviciosa de Odón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Piñuécar-Gandullas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Prádena del Rincón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Puebla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Puentes Viejas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Rascafría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Robledillo de la Jara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Robledo de Chavela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Robregordo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Rozas de Puerto Real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Lorenzo de El Escorial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Martín de Valdeiglesias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María de la Alameda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Sevilla la Nueva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Somosierra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Soto del Real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Torrelaguna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Torrelodones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Tres Cantos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Valdemanco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Valdemaqueda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Valdemorillo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Venturada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 del Prado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Villamanta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Villamantilla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Villanueva de Perales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Villavieja del Lozoya</w:t>
            </w: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Community of Madrid</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Madrid</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Zarzalejo</w:t>
            </w: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Chartered Community of Navarre</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Navarre</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Aberin</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Arano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Aibar/Oibar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Arantza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Allín/Allin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Etxalar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Araitz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Goizueta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Arakil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Igantzi</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Areso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Ituren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Atez/Atetz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Lesaka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Auritz/Burguete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Luzaide/Valcarlos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Ayegui/Aiegi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Sunbilla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Basaburua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Urdazubi/Urdax</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Baztan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Zubieta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Beintza-Labaien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Berbinzana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Bertizarana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Cadreita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Castejón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Cintruénigo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Corella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Desojo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Donamaria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Doneztebe/Santesteban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Busto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Elgorriaga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Eratsun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Erro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Estella-Lizarra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Ezkurra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Ezprogui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Falces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Fitero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Igúzquiza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Imotz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Irurtzun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Iza/Itza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Juslapeña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Larraun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Lazagurría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Leitza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Liédena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Arcos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Lumbier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Mendavia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Mendigorría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Milagro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Mirafuentes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Miranda de Arga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Nazar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Odieta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Oiz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Orreaga/Roncesvalles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Saldías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Sangüesa/Zangoza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Sesma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Sierra de Aralar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Torres del Río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Ultzama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Urroz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Valle de Yerri/Deierri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Valtierra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Villafranca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Villatuerta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Ziordia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Chartered Community of Navarre</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Navarre</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Zugarramurdi</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Valencian Community</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Castellón/Castelló</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Alcudia de Veo</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Algimia de Almonacid</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Almedíjar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Arañuel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Azuébar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Castillo de Villamalefa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Chóvar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Gaibiel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Higueras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Matet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Pavías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Torralba del Pinar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 de Almonacid</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Valencian Community</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Castellón/Castelló</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Zucaina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Valencian Community</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Valencia/València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Chera</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Puig de Santa Maria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Gilet</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Puçol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Valencian Community</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Valencia/València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Sagunto/Sagunt</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Extremadura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Badajoz</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Alange</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Acedera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Aljucén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Ahillones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Almendralejo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Alburquerque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Azuaga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Alconchel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Badajoz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Alconera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Barcarrota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Almendral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Benquerencia de la Serena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Atalaya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Berlanga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Baterno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Burguillos del Cerro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Cabeza del Buey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Cabeza la Vaca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Calera de León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Campillo de Llerena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Calzadilla de los Barros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Carmonita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Campanario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Cheles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Capilla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Cordobilla de Lácara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Casas de Don Pedro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Corte de Peleas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Casas de Reina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Cristina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Castilblanco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Don Álvaro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Castuera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Entrín Bajo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Carrascalejo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 del Maestre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Esparragalejo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Fuentes de León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Esparragosa de la Serena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Garlitos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Esparragosa de Lares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Granja de Torrehermosa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Feria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Guadiana del Caudillo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Fuenlabrada de los Montes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Higuera de Llerena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Fuente de Cantos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Hornachos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Garbayuela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tcPr>
          <w:p w:rsidR="002A4DDF" w:rsidRPr="00937C8B" w:rsidRDefault="002A4DDF" w:rsidP="009110ED">
            <w:pPr>
              <w:rPr>
                <w:rFonts w:ascii="Arial" w:hAnsi="Arial" w:cs="Arial"/>
                <w:sz w:val="12"/>
                <w:szCs w:val="12"/>
              </w:rPr>
            </w:pPr>
            <w:r>
              <w:rPr>
                <w:rFonts w:ascii="Arial" w:hAnsi="Arial"/>
                <w:sz w:val="12"/>
              </w:rPr>
              <w:t>La Codosera</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Guareña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Garrovilla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Helechosa de los Montes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Zarza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Herrera del Duque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Lobón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Higuera de la Serena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Los Santos de Maimona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Higuera de Vargas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Maguilla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Higuera la Real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Malcocinado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Jerez de los Caballeros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Malpartida de la Serena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Coronada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Manchita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Haba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Medellín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Lapa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Montijo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Morera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Oliva de la Frontera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Parra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Oliva de Mérida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Roca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Palomas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Llera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Puebla de la Calzada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Magacela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Puebla del Prior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Medina de las Torres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Pueblonuevo del Guadiana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Mérida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Segura de León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Mirandilla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Solana de los Barros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Monesterio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Talavera la Real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Montemolín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Torremayor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Monterrubio de la Serena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Torremejía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Navalvillar de Pela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tcPr>
          <w:p w:rsidR="002A4DDF" w:rsidRPr="00937C8B" w:rsidRDefault="002A4DDF" w:rsidP="009110ED">
            <w:pPr>
              <w:rPr>
                <w:rFonts w:ascii="Arial" w:hAnsi="Arial" w:cs="Arial"/>
                <w:sz w:val="12"/>
                <w:szCs w:val="12"/>
              </w:rPr>
            </w:pPr>
            <w:r>
              <w:rPr>
                <w:rFonts w:ascii="Arial" w:hAnsi="Arial"/>
                <w:sz w:val="12"/>
              </w:rPr>
              <w:t>Trujillanos</w:t>
            </w: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Nogales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Valdelacalzada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Olivenza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Valencia del Mombuey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Orellana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Valencia del Ventoso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Orellana la Vieja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Valle de la Serena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Peñalsordo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Valverde de Burguillos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Peraleda del Zaucejo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Villafranca de los Barros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Puebla de Alcocer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Villagonzalo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Puebla de Obando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Villanueva del Fresno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Puebla de Sancho Pérez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Zahínos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Puebla del Maestre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Quintana de la Serena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Reina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Risco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Salvaleón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Salvatierra de los Barros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Pedro de Mérida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Vicente de Alcántara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Sancti-Spíritus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Marta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Siruela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Talarrubias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Táliga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Tamurejo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 de Miguel Sesmero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Trasierra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Usagre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Valdecaballeros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Valdetorres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Valle de Matamoros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Valverde de Llerena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Valverde de Mérida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Villanueva de la Serena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 de Rena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 del Rey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Villarta de los Montes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Zafra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Zalamea de la Serena</w:t>
            </w: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Extremadura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Badajoz</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Zarza-Capilla</w:t>
            </w:r>
          </w:p>
        </w:tc>
      </w:tr>
      <w:tr w:rsidR="002A4DDF" w:rsidRPr="00937C8B" w:rsidTr="00935676">
        <w:trPr>
          <w:cantSplit/>
        </w:trPr>
        <w:tc>
          <w:tcPr>
            <w:tcW w:w="1696" w:type="dxa"/>
            <w:tcBorders>
              <w:top w:val="single" w:sz="4" w:space="0" w:color="auto"/>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Extremadura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Cáceres</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Alagón del Río</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Abadía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Alcollarín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Abertura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Almoharín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Acebo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Acehúche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Herguijuela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Aceituna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Holguera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Ahigal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Huélaga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Albalá</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 Granja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Alcántara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Madrigal de la Vera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Alcuéscar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Madrigalejo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 del Cano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Moraleja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Aldeacentenera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Portezuelo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Aldeanueva de la Vera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Pueblonuevo de Miramontes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Aldeanueva del Camino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Cruz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Talayuela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Aliseda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Valdemorales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Arroyo de la Luz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Vegaviana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Arroyomolinos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Villamesías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Arroyomolinos de la Vera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Zarza la Mayor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Baños de Montemayor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Barrado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Belvís de Monroy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Benquerencia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Berrocalejo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Berzocana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Bohonal de Ibor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Botija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Brozas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Cabañas del Castillo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Cabezabellosa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Cabezuela del Valle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Cabrero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Cáceres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Cadalso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Calzadilla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Caminomorisco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Campillo de Deleitosa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Campo Lugar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Cañamero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Cañaveral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Carbajo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Carrascalejo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Casar de Cáceres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Casar de Palomero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Casares de las Hurdes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Casas de Don Antonio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Casas de Don Gómez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Casas de Millán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Casas de Miravete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Casas del Castañar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Casas del Monte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Casillas de Coria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Castañar de Ibor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Ceclavín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Cedillo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Cerezo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Cilleros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Collado de la Vera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Conquista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Cuacos de Yuste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Deleitosa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Descargamaría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 Torno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Eljas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Escurial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Fresnedoso de Ibor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Garciaz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Garganta la Olla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Gargantilla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Gargüera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Garrovillas de Alconétar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Garvín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Gata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Guadalupe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Guijo de Coria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Guijo de Galisteo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Guijo de Granadilla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Guijo de Santa Bárbara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Hernán-Pérez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Herrera de Alcántara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Herreruela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Hervás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Higuera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Hinojal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Hoyos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Ibahernando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Jaraicejo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Jaraíz de la Vera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Jarandilla de la Vera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Jarilla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Jerte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Aldea del Obispo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Cumbre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Garganta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 Pesga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Ladrillar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Logrosán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Losar de la Vera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Madroñera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Malpartida de Cáceres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Malpartida de Plasencia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Marchagaz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Mata de Alcántara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Membrío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Mesas de Ibor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Miajadas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Millanes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Mirabel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Mohedas de Granadilla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Monroy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Montánchez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Montehermoso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Navaconcejo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Navalmoral de la Mata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Navalvillar de Ibor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Navas del Madroño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Navezuelas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Nuñomoral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Oliva de Plasencia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Palomero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Pasarón de la Vera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Pedroso de Acim</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Peraleda de San Román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Perales del Puerto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Pescueza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Piedras Albas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Pinofranqueado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Piornal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Plasencia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Plasenzuela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Portaje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Pozuelo de Zarzón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Puerto de Santa Cruz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Rebollar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Robledillo de Gata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Robledillo de la Vera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Robledillo de Trujillo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Robledollano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Romangordo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Ruanes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Salorino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Salvatierra de Santiago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Martín de Trevejo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Ana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Cruz de Paniagua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Marta de Magasca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Santiago de Alcántara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Santiago del Campo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Santibáñez el Alto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Santibáñez el Bajo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Segura de Toro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Serradilla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Serrejón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Sierra de Fuentes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Talaván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Talaveruela de la Vera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Tejeda de Tiétar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Tornavacas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 de Don Miguel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 de Santa María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Torrecilla de los Ángeles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Torrecillas de la Tiesa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Torrejón el Rubio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Torrejoncillo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Torremenga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Torremocha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Torreorgaz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Torrequemada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Trujillo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Valdastillas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Valdecañas de Tajo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Valdefuentes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Valdehúncar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Valdelacasa de Tajo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Valdeobispo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Valencia de Alcántara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Valverde de la Vera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Valverde del Fresno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Viandar de la Vera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 del Campo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 del Rey</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Villamiel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Villanueva de la Sierra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Villanueva de la Vera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 de Plasencia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Villar del Pedroso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Villasbuenas de Gata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Zarza de Granadilla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Zarza de Montánchez</w:t>
            </w: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Extremadura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Cáceres</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Zorita</w:t>
            </w: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Galicia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 Coruña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Melide</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Baña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Sadurniño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Capela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Coruña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Laracha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Pobra do Caramiñal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Abegondo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Ames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Aranga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Arteixo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Arzúa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As Pontes de García Rodríguez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Bergondo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Betanzos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Boimorto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Boiro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Boqueixón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Brión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Cabana de Bergantiños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Cabanas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Camariñas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Cambre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Carballo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Cariño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Carnota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Carral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Cedeira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Cerceda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Coirós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Corcubión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Coristanco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Culleredo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Curtis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Dodro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Dumbría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Fene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Ferrol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Fisterra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Frades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Irixoa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Laxe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Lousame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Malpica de Bergantiños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Mañón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Mazaricos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Mesía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Miño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tcPr>
          <w:p w:rsidR="002A4DDF" w:rsidRPr="00937C8B" w:rsidRDefault="002A4DDF" w:rsidP="009110ED">
            <w:pPr>
              <w:rPr>
                <w:rFonts w:ascii="Arial" w:hAnsi="Arial" w:cs="Arial"/>
                <w:sz w:val="12"/>
                <w:szCs w:val="12"/>
              </w:rPr>
            </w:pPr>
            <w:r>
              <w:rPr>
                <w:rFonts w:ascii="Arial" w:hAnsi="Arial"/>
                <w:sz w:val="12"/>
              </w:rPr>
              <w:t>Moeche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Monfero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Mugardos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Muros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Muxía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Narón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Negreira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Noia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Pino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Oleiros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Ordes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Oroso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Ortigueira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Outes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Oza-Cesuras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Paderne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Padrón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Ponteceso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Pontedeume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Porto do Son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Rianxo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Ribeira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Rois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Santa Comba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Santiago de Compostela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Santiso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Teo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Toques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Tordoia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Touro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Trazo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 do Dubra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Valdoviño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Vedra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Vilarmaior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Vilasantar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Vimianzo</w:t>
            </w: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Galicia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A Coruña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Zas</w:t>
            </w: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Galicia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Lugo</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 Fonsagrada</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Pastoriza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 Pobra do Brollón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Pontenova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Cervantes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Abadín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Cospeito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Alfoz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Folgoso do Courel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Antas de Ulla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Lourenzá</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As Nogais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Navia de Suarna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Baleira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Pol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Baralla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Ribadeo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Barreiros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Ribeira de Piquín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Becerreá</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Trabada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Begonte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Bóveda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Burela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Carballedo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Castro de Rei</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Castroverde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Cervo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Chantada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Foz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Friol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Guitiriz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Guntín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Láncara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Lugo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Mondoñedo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Monforte de Lemos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Monterroso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Muras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Negueira de Muñiz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Corgo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Incio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Páramo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Saviñao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Valadouro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Vicedo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Ourol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Outeiro de Rei</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Palas de Rei</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Pantón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Paradela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Pedrafita do Cebreiro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Portomarín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Quiroga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Rábade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Ribas de Sil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Riotorto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Samos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Sarria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Sober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Taboada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Triacastela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Vilalba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Viveiro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Xermade</w:t>
            </w: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Galicia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Lugo</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Xove</w:t>
            </w: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Galicia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Ourense</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 Rúa</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Arnoia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Castrelo do Val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Bola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Gudiña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 Barco de Valdeorras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Merca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Oímbra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Mezquita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Rairiz de Veiga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Peroxa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Rubiá</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Pobra de Trives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Verín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Teixeira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Viana do Bolo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Veiga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Vilamartín de Valdeorras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Allariz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Amoeiro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Avión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Baltar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Bande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Baños de Molgas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Barbadás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Beade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Beariz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Boborás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Calvos de Randín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Carballeda de Avia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Carballeda de Valdeorras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Cartelle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Castrelo de Miño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Castro Caldelas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Celanova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Cenlle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Chandrexa de Queixa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Coles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Cortegada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Cualedro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Entrimo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Esgos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Gomesende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Larouco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Leiro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Lobeira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Lobios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Maceda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Manzaneda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Maside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Melón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Montederramo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Monterrei</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Muíños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Nogueira de Ramuín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Bolo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Carballiño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Irixo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Pereiro de Aguiar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Os Blancos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Ourense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Paderne de Allariz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Padrenda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Parada de Sil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Petín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Piñor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Pontedeva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Porqueira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Punxín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Quintela de Leirado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Ramirás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Ribadavia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Riós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Amaro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Cibrao das Viñas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Cristovo de Cea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 Xoán de Río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Sandiás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Sarreaus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Taboadela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Toén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Trasmiras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Verea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Vilamarín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Vilar de Barrio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Vilar de Santos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Vilardevós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Vilariño de Conso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Xinzo de Limia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Xunqueira de Ambía</w:t>
            </w: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Galicia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Ourense</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Xunqueira de Espadanedo</w:t>
            </w: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Galicia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Pontevedra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O Rosal</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Cañiza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Salvaterra de Miño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Estrada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Guarda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 Illa de Arousa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Agolada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Arbo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As Neves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Baiona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Barro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Bueu</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Caldas de Reis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Cambados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Campo Lameiro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Cangas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Catoira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Cerdedo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Cotobade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Covelo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Crecente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Cuntis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Dozón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Forcarei</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Fornelos de Montes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Gondomar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Lalín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Marín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Meaño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Meis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Moaña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Mondariz</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Mondariz-Balneario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Moraña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Mos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Nigrán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Grove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 Porriño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Oia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Pazos de Borbén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Poio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Ponte Caldelas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Ponteareas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Pontecesures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Pontevedra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Portas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Redondela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Ribadumia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Rodeiro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Salceda de Caselas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Sanxenxo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Silleda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Soutomaior</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Tomiño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Tui</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Valga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Vigo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 de Cruces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Vilaboa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Vilagarcía de Arousa</w:t>
            </w: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Galicia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Pontevedra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r>
              <w:rPr>
                <w:rFonts w:ascii="Arial" w:hAnsi="Arial"/>
                <w:sz w:val="12"/>
              </w:rPr>
              <w:t>Vilanova de Arousa</w:t>
            </w: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Balearic Islands</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Balearic Islands</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Alaró</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Artà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Bunyola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Capdepera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Deià</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 Migjorn Gran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Esporles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Felanitx</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Ferreries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Fornalutx</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Lloret de Vistalegre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Lloseta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Manacor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Montuïri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Antoni de Portmany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Joan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Joan de Labritja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 Llorenç des Cardassar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Eulària des Riu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Selva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ses Salines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Sineu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Sóller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Son Servera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Balearic Islands</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Balearic Islands</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Valldemossa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Rioja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Rioja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Agoncillo</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Ajamil de Cameros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Aldeanueva de Ebro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Alfaro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Anguciana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Anguiano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Arnedillo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Arnedo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Arrúbal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Autol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Badarán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Bañares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Baños de Río Tobía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Baños de Rioja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Berceo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Bergasa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Bobadilla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Brieva de Cameros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Calahorra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Canales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Cañas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Cárdenas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Casalarreina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Castañares de Rioja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Cervera del Río Alhama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Cidamón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Cirueña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Cornago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 Rasillo de Cameros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Enciso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Estollo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Ezcaray</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Grávalos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Haro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Herce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Hervías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Hornillos de Cameros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Igea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Lagunilla del Jubera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Leza de Río Leza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Mansilla de la Sierra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Manzanares de Rioja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Matute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Munilla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Murillo de Río Leza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Ocón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Ortigosa de Cameros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Pazuengos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Quel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Rincón de Soto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Robres del Castillo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Rodezno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Millán de la Cogolla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Román de Cameros</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 Torcuato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Engracia del Jubera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Santa Eulalia Bajera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Santo Domingo de la Calzada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Santurdejo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Torrecilla sobre Alesanco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Valgañón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Ventrosa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Villalobar de Rioja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Villar de Torre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Villavelayo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Viniegra de Abajo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Viniegra de Arriba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Zarratón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Zarzosa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Rioja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Rioja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Zorraquín</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Murcia</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Murcia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Águilas</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Cartagena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Murcia</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Murcia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Puerto Lumbreras</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Basque Country</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Álava/Araba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Aramaio</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Arratzua-Ubarrundia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Asparrena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Barrundia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Legutio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Moreda de Álava/Moreda Araba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Basque Country</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Álava/Araba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Oyón-Oion</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Basque Country</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Guipúzcoa/Gipuzkoa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Abaltzisketa</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Aizarnazabal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Albiztur</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Alegia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Alkiza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Altzaga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Altzo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Amezketa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Anoeta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Arama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Aretxabaleta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Arrasate/Mondragón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Asteasu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Ataun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Azkoitia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Azpeitia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Baliarrain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Beasain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Beizama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Belauntza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Berastegi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Berrobi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Bidania-Goiatz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Deba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Elduain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Errezil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Eskoriatza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Ezkio-Itsaso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Gabiria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Gaintza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Gaztelu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Hernialde</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Hondarribia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Ibarra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Idiazabal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Ikaztegieta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Irun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Irura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Itsasondo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Larraul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Lazkao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Leaburu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Legazpi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Legorreta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Leintz-Gatzaga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Lezo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Lizartza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Mendaro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Mutiloa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Mutriku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Oiartzun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Olaberria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Ordizia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Orendain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Orexa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Orio</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Ormaiztegi</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Segura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Tolosa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Urretxu</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Villabona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Zaldibia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Zarautz</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Zegama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Zerain</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Zestoa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Zizurkil</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Zumaia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Basque Country</w:t>
            </w:r>
          </w:p>
        </w:tc>
        <w:tc>
          <w:tcPr>
            <w:tcW w:w="1843" w:type="dxa"/>
            <w:tcBorders>
              <w:bottom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Guipúzcoa/Gipuzkoa</w:t>
            </w:r>
          </w:p>
        </w:tc>
        <w:tc>
          <w:tcPr>
            <w:tcW w:w="2268" w:type="dxa"/>
            <w:tcBorders>
              <w:bottom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Zumarraga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ascii="Arial" w:hAnsi="Arial"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ascii="Arial" w:hAnsi="Arial"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ascii="Arial" w:hAnsi="Arial"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Basque Country</w:t>
            </w:r>
          </w:p>
        </w:tc>
        <w:tc>
          <w:tcPr>
            <w:tcW w:w="1843" w:type="dxa"/>
            <w:tcBorders>
              <w:top w:val="single" w:sz="4" w:space="0" w:color="auto"/>
            </w:tcBorders>
            <w:shd w:val="clear" w:color="auto" w:fill="auto"/>
            <w:hideMark/>
          </w:tcPr>
          <w:p w:rsidR="002A4DDF" w:rsidRPr="00937C8B" w:rsidRDefault="002A4DDF" w:rsidP="009110ED">
            <w:pPr>
              <w:rPr>
                <w:rFonts w:ascii="Arial" w:hAnsi="Arial" w:cs="Arial"/>
                <w:sz w:val="12"/>
                <w:szCs w:val="12"/>
              </w:rPr>
            </w:pPr>
            <w:r>
              <w:rPr>
                <w:rFonts w:ascii="Arial" w:hAnsi="Arial"/>
                <w:sz w:val="12"/>
              </w:rPr>
              <w:t>Vizcaya/Bizkaia</w:t>
            </w:r>
          </w:p>
        </w:tc>
        <w:tc>
          <w:tcPr>
            <w:tcW w:w="2268" w:type="dxa"/>
            <w:tcBorders>
              <w:top w:val="single" w:sz="4" w:space="0" w:color="auto"/>
            </w:tcBorders>
            <w:shd w:val="clear" w:color="auto" w:fill="F2F2F2"/>
            <w:hideMark/>
          </w:tcPr>
          <w:p w:rsidR="002A4DDF" w:rsidRPr="00937C8B" w:rsidRDefault="002A4DDF" w:rsidP="009110ED">
            <w:pPr>
              <w:rPr>
                <w:rFonts w:ascii="Arial" w:hAnsi="Arial" w:cs="Arial"/>
                <w:sz w:val="12"/>
                <w:szCs w:val="12"/>
              </w:rPr>
            </w:pPr>
            <w:r>
              <w:rPr>
                <w:rFonts w:ascii="Arial" w:hAnsi="Arial"/>
                <w:sz w:val="12"/>
              </w:rPr>
              <w:t>Abadiño</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ascii="Arial" w:hAnsi="Arial" w:cs="Arial"/>
                <w:sz w:val="12"/>
                <w:szCs w:val="12"/>
              </w:rPr>
            </w:pPr>
          </w:p>
        </w:tc>
        <w:tc>
          <w:tcPr>
            <w:tcW w:w="1843" w:type="dxa"/>
            <w:shd w:val="clear" w:color="auto" w:fill="auto"/>
          </w:tcPr>
          <w:p w:rsidR="002A4DDF" w:rsidRPr="00937C8B" w:rsidRDefault="002A4DDF" w:rsidP="009110ED">
            <w:pPr>
              <w:rPr>
                <w:rFonts w:ascii="Arial" w:hAnsi="Arial" w:cs="Arial"/>
                <w:sz w:val="12"/>
                <w:szCs w:val="12"/>
              </w:rPr>
            </w:pPr>
          </w:p>
        </w:tc>
        <w:tc>
          <w:tcPr>
            <w:tcW w:w="2268" w:type="dxa"/>
            <w:shd w:val="clear" w:color="auto" w:fill="F2F2F2"/>
            <w:hideMark/>
          </w:tcPr>
          <w:p w:rsidR="002A4DDF" w:rsidRPr="00937C8B" w:rsidRDefault="002A4DDF" w:rsidP="009110ED">
            <w:pPr>
              <w:rPr>
                <w:rFonts w:ascii="Arial" w:hAnsi="Arial" w:cs="Arial"/>
                <w:sz w:val="12"/>
                <w:szCs w:val="12"/>
              </w:rPr>
            </w:pPr>
            <w:r>
              <w:rPr>
                <w:rFonts w:ascii="Arial" w:hAnsi="Arial"/>
                <w:sz w:val="12"/>
              </w:rPr>
              <w:t>Abanto and Ciérvana-Abanto Zierbena</w:t>
            </w:r>
          </w:p>
        </w:tc>
        <w:tc>
          <w:tcPr>
            <w:tcW w:w="2268" w:type="dxa"/>
            <w:tcBorders>
              <w:right w:val="single" w:sz="4" w:space="0" w:color="auto"/>
            </w:tcBorders>
            <w:shd w:val="clear" w:color="auto" w:fill="D9D9D9"/>
            <w:hideMark/>
          </w:tcPr>
          <w:p w:rsidR="002A4DDF" w:rsidRPr="00937C8B" w:rsidRDefault="002A4DDF" w:rsidP="009110ED">
            <w:pPr>
              <w:rPr>
                <w:rFonts w:ascii="Arial" w:hAnsi="Arial"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Alonsotegi</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Arantzazu</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Areatza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Arrigorriaga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Artea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Artzentales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Atxondo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Balmaseda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Barakaldo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Basauri</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Bilbao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Durango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Elorrio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ind w:left="-70" w:firstLine="70"/>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Etxebarri</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Galdames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Gordexola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Güeñes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Izurtza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Karrantza Harana/Valle de Carranza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Mañaria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Muskiz</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Otxandio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Sopuerta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Trucios-Turtzioz</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Ubide</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Ugao-Miraballes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Zalla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Zaratamo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Zeanuri</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bottom w:val="single" w:sz="4" w:space="0" w:color="auto"/>
            </w:tcBorders>
            <w:shd w:val="clear" w:color="auto" w:fill="auto"/>
            <w:hideMark/>
          </w:tcPr>
          <w:p w:rsidR="002A4DDF" w:rsidRPr="00937C8B" w:rsidRDefault="002A4DDF" w:rsidP="009110ED">
            <w:pPr>
              <w:rPr>
                <w:rFonts w:cs="Arial"/>
                <w:sz w:val="12"/>
                <w:szCs w:val="12"/>
              </w:rPr>
            </w:pPr>
            <w:r>
              <w:rPr>
                <w:sz w:val="12"/>
              </w:rPr>
              <w:t>Basque Country</w:t>
            </w:r>
          </w:p>
        </w:tc>
        <w:tc>
          <w:tcPr>
            <w:tcW w:w="1843" w:type="dxa"/>
            <w:tcBorders>
              <w:bottom w:val="single" w:sz="4" w:space="0" w:color="auto"/>
            </w:tcBorders>
            <w:shd w:val="clear" w:color="auto" w:fill="auto"/>
            <w:hideMark/>
          </w:tcPr>
          <w:p w:rsidR="002A4DDF" w:rsidRPr="00937C8B" w:rsidRDefault="002A4DDF" w:rsidP="009110ED">
            <w:pPr>
              <w:rPr>
                <w:rFonts w:cs="Arial"/>
                <w:sz w:val="12"/>
                <w:szCs w:val="12"/>
              </w:rPr>
            </w:pPr>
            <w:r>
              <w:rPr>
                <w:sz w:val="12"/>
              </w:rPr>
              <w:t>Vizcaya/Bizkaia</w:t>
            </w:r>
          </w:p>
        </w:tc>
        <w:tc>
          <w:tcPr>
            <w:tcW w:w="2268" w:type="dxa"/>
            <w:tcBorders>
              <w:bottom w:val="single" w:sz="4" w:space="0" w:color="auto"/>
            </w:tcBorders>
            <w:shd w:val="clear" w:color="auto" w:fill="F2F2F2"/>
            <w:hideMark/>
          </w:tcPr>
          <w:p w:rsidR="002A4DDF" w:rsidRPr="00937C8B" w:rsidRDefault="002A4DDF" w:rsidP="009110ED">
            <w:pPr>
              <w:rPr>
                <w:rFonts w:cs="Arial"/>
                <w:sz w:val="12"/>
                <w:szCs w:val="12"/>
              </w:rPr>
            </w:pPr>
            <w:r>
              <w:rPr>
                <w:sz w:val="12"/>
              </w:rPr>
              <w:t>Zierbena</w:t>
            </w:r>
          </w:p>
        </w:tc>
        <w:tc>
          <w:tcPr>
            <w:tcW w:w="2268" w:type="dxa"/>
            <w:tcBorders>
              <w:bottom w:val="single" w:sz="4" w:space="0" w:color="auto"/>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top w:val="single" w:sz="4" w:space="0" w:color="auto"/>
              <w:bottom w:val="single" w:sz="4" w:space="0" w:color="auto"/>
            </w:tcBorders>
            <w:shd w:val="clear" w:color="auto" w:fill="auto"/>
            <w:hideMark/>
          </w:tcPr>
          <w:p w:rsidR="002A4DDF" w:rsidRPr="00937C8B" w:rsidRDefault="002A4DDF" w:rsidP="009110ED">
            <w:pPr>
              <w:rPr>
                <w:rFonts w:cs="Arial"/>
                <w:sz w:val="12"/>
                <w:szCs w:val="12"/>
              </w:rPr>
            </w:pPr>
          </w:p>
        </w:tc>
        <w:tc>
          <w:tcPr>
            <w:tcW w:w="1843" w:type="dxa"/>
            <w:tcBorders>
              <w:top w:val="single" w:sz="4" w:space="0" w:color="auto"/>
              <w:bottom w:val="single" w:sz="4" w:space="0" w:color="auto"/>
            </w:tcBorders>
            <w:shd w:val="clear" w:color="auto" w:fill="auto"/>
            <w:hideMark/>
          </w:tcPr>
          <w:p w:rsidR="002A4DDF" w:rsidRPr="00937C8B" w:rsidRDefault="002A4DDF" w:rsidP="009110ED">
            <w:pPr>
              <w:jc w:val="center"/>
              <w:rPr>
                <w:rFonts w:cs="Arial"/>
                <w:sz w:val="12"/>
                <w:szCs w:val="12"/>
              </w:rPr>
            </w:pPr>
          </w:p>
        </w:tc>
        <w:tc>
          <w:tcPr>
            <w:tcW w:w="2268" w:type="dxa"/>
            <w:tcBorders>
              <w:top w:val="single" w:sz="4" w:space="0" w:color="auto"/>
              <w:bottom w:val="single" w:sz="4" w:space="0" w:color="auto"/>
            </w:tcBorders>
            <w:shd w:val="clear" w:color="auto" w:fill="F2F2F2"/>
            <w:hideMark/>
          </w:tcPr>
          <w:p w:rsidR="002A4DDF" w:rsidRPr="00937C8B" w:rsidRDefault="002A4DDF" w:rsidP="009110ED">
            <w:pPr>
              <w:rPr>
                <w:rFonts w:cs="Arial"/>
                <w:sz w:val="12"/>
                <w:szCs w:val="12"/>
              </w:rPr>
            </w:pPr>
          </w:p>
        </w:tc>
        <w:tc>
          <w:tcPr>
            <w:tcW w:w="2268" w:type="dxa"/>
            <w:tcBorders>
              <w:top w:val="single" w:sz="4" w:space="0" w:color="auto"/>
              <w:bottom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top w:val="single" w:sz="4" w:space="0" w:color="auto"/>
              <w:left w:val="single" w:sz="4" w:space="0" w:color="auto"/>
            </w:tcBorders>
            <w:shd w:val="clear" w:color="auto" w:fill="auto"/>
            <w:hideMark/>
          </w:tcPr>
          <w:p w:rsidR="002A4DDF" w:rsidRPr="00937C8B" w:rsidRDefault="002A4DDF" w:rsidP="009110ED">
            <w:pPr>
              <w:rPr>
                <w:rFonts w:cs="Arial"/>
                <w:sz w:val="12"/>
                <w:szCs w:val="12"/>
              </w:rPr>
            </w:pPr>
            <w:r>
              <w:rPr>
                <w:sz w:val="12"/>
              </w:rPr>
              <w:t>Principality of Asturias</w:t>
            </w:r>
          </w:p>
        </w:tc>
        <w:tc>
          <w:tcPr>
            <w:tcW w:w="1843" w:type="dxa"/>
            <w:tcBorders>
              <w:top w:val="single" w:sz="4" w:space="0" w:color="auto"/>
            </w:tcBorders>
            <w:shd w:val="clear" w:color="auto" w:fill="auto"/>
            <w:hideMark/>
          </w:tcPr>
          <w:p w:rsidR="002A4DDF" w:rsidRPr="00937C8B" w:rsidRDefault="002A4DDF" w:rsidP="009110ED">
            <w:pPr>
              <w:rPr>
                <w:rFonts w:cs="Arial"/>
                <w:sz w:val="12"/>
                <w:szCs w:val="12"/>
              </w:rPr>
            </w:pPr>
            <w:r>
              <w:rPr>
                <w:sz w:val="12"/>
              </w:rPr>
              <w:t>Asturias</w:t>
            </w:r>
          </w:p>
        </w:tc>
        <w:tc>
          <w:tcPr>
            <w:tcW w:w="2268" w:type="dxa"/>
            <w:tcBorders>
              <w:top w:val="single" w:sz="4" w:space="0" w:color="auto"/>
            </w:tcBorders>
            <w:shd w:val="clear" w:color="auto" w:fill="F2F2F2"/>
            <w:hideMark/>
          </w:tcPr>
          <w:p w:rsidR="002A4DDF" w:rsidRPr="00937C8B" w:rsidRDefault="002A4DDF" w:rsidP="009110ED">
            <w:pPr>
              <w:rPr>
                <w:rFonts w:cs="Arial"/>
                <w:sz w:val="12"/>
                <w:szCs w:val="12"/>
              </w:rPr>
            </w:pPr>
            <w:r>
              <w:rPr>
                <w:sz w:val="12"/>
              </w:rPr>
              <w:t>Aller</w:t>
            </w:r>
          </w:p>
        </w:tc>
        <w:tc>
          <w:tcPr>
            <w:tcW w:w="2268" w:type="dxa"/>
            <w:tcBorders>
              <w:top w:val="single" w:sz="4" w:space="0" w:color="auto"/>
              <w:right w:val="single" w:sz="4" w:space="0" w:color="auto"/>
            </w:tcBorders>
            <w:shd w:val="clear" w:color="auto" w:fill="D9D9D9"/>
            <w:hideMark/>
          </w:tcPr>
          <w:p w:rsidR="002A4DDF" w:rsidRPr="00937C8B" w:rsidRDefault="002A4DDF" w:rsidP="009110ED">
            <w:pPr>
              <w:rPr>
                <w:rFonts w:cs="Arial"/>
                <w:sz w:val="12"/>
                <w:szCs w:val="12"/>
              </w:rPr>
            </w:pPr>
            <w:r>
              <w:rPr>
                <w:sz w:val="12"/>
              </w:rPr>
              <w:t>Allande</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Belmonte de Miranda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r>
              <w:rPr>
                <w:sz w:val="12"/>
              </w:rPr>
              <w:t>Amieva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Candamo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r>
              <w:rPr>
                <w:sz w:val="12"/>
              </w:rPr>
              <w:t>Boal</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Cangas del Narcea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r>
              <w:rPr>
                <w:sz w:val="12"/>
              </w:rPr>
              <w:t>Coaña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Castrillón</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r>
              <w:rPr>
                <w:sz w:val="12"/>
              </w:rPr>
              <w:t>Cudillero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Castropol</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r>
              <w:rPr>
                <w:sz w:val="12"/>
              </w:rPr>
              <w:t>Muros de Nalón</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Degaña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r>
              <w:rPr>
                <w:sz w:val="12"/>
              </w:rPr>
              <w:t>Navia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El Franco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r>
              <w:rPr>
                <w:sz w:val="12"/>
              </w:rPr>
              <w:t>Ponga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Gijón</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r>
              <w:rPr>
                <w:sz w:val="12"/>
              </w:rPr>
              <w:t>Tineo</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Grado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r>
              <w:rPr>
                <w:sz w:val="12"/>
              </w:rPr>
              <w:t>Valdés</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Grandas de Salime</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r>
              <w:rPr>
                <w:sz w:val="12"/>
              </w:rPr>
              <w:t>Yernes y Tameza</w:t>
            </w: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Ibias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Illano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Illas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Las Regueras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Laviana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Lena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Llanera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Mieres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Oviedo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Pesoz</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Pravia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Ribera de Arriba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Salas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San Martín de Oscos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San Martín del Rey Aurelio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San Tirso de Abres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Santa Eulalia de Oscos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Santo Adriano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Siero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Somiedo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Soto del Barco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Tapia de Casariego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Taramundi</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Teverga</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Vegadeo</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p>
        </w:tc>
        <w:tc>
          <w:tcPr>
            <w:tcW w:w="1843" w:type="dxa"/>
            <w:shd w:val="clear" w:color="auto" w:fill="auto"/>
          </w:tcPr>
          <w:p w:rsidR="002A4DDF" w:rsidRPr="00937C8B" w:rsidRDefault="002A4DDF" w:rsidP="009110ED">
            <w:pPr>
              <w:rPr>
                <w:rFonts w:cs="Arial"/>
                <w:sz w:val="12"/>
                <w:szCs w:val="12"/>
              </w:rPr>
            </w:pPr>
          </w:p>
        </w:tc>
        <w:tc>
          <w:tcPr>
            <w:tcW w:w="2268" w:type="dxa"/>
            <w:shd w:val="clear" w:color="auto" w:fill="F2F2F2"/>
            <w:hideMark/>
          </w:tcPr>
          <w:p w:rsidR="002A4DDF" w:rsidRPr="00937C8B" w:rsidRDefault="002A4DDF" w:rsidP="009110ED">
            <w:pPr>
              <w:rPr>
                <w:rFonts w:cs="Arial"/>
                <w:sz w:val="12"/>
                <w:szCs w:val="12"/>
              </w:rPr>
            </w:pPr>
            <w:r>
              <w:rPr>
                <w:sz w:val="12"/>
              </w:rPr>
              <w:t>Villanueva de Oscos</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r w:rsidR="002A4DDF" w:rsidRPr="00937C8B" w:rsidTr="00935676">
        <w:trPr>
          <w:cantSplit/>
        </w:trPr>
        <w:tc>
          <w:tcPr>
            <w:tcW w:w="1696" w:type="dxa"/>
            <w:tcBorders>
              <w:left w:val="single" w:sz="4" w:space="0" w:color="auto"/>
            </w:tcBorders>
            <w:shd w:val="clear" w:color="auto" w:fill="auto"/>
          </w:tcPr>
          <w:p w:rsidR="002A4DDF" w:rsidRPr="00937C8B" w:rsidRDefault="002A4DDF" w:rsidP="009110ED">
            <w:pPr>
              <w:rPr>
                <w:rFonts w:cs="Arial"/>
                <w:sz w:val="12"/>
                <w:szCs w:val="12"/>
              </w:rPr>
            </w:pPr>
            <w:r>
              <w:rPr>
                <w:sz w:val="12"/>
              </w:rPr>
              <w:t>Principality of Asturias</w:t>
            </w:r>
          </w:p>
        </w:tc>
        <w:tc>
          <w:tcPr>
            <w:tcW w:w="1843" w:type="dxa"/>
            <w:shd w:val="clear" w:color="auto" w:fill="auto"/>
          </w:tcPr>
          <w:p w:rsidR="002A4DDF" w:rsidRPr="00937C8B" w:rsidRDefault="002A4DDF" w:rsidP="009110ED">
            <w:pPr>
              <w:rPr>
                <w:rFonts w:cs="Arial"/>
                <w:sz w:val="12"/>
                <w:szCs w:val="12"/>
              </w:rPr>
            </w:pPr>
            <w:r>
              <w:rPr>
                <w:sz w:val="12"/>
              </w:rPr>
              <w:t>Asturias</w:t>
            </w:r>
          </w:p>
        </w:tc>
        <w:tc>
          <w:tcPr>
            <w:tcW w:w="2268" w:type="dxa"/>
            <w:shd w:val="clear" w:color="auto" w:fill="F2F2F2"/>
            <w:hideMark/>
          </w:tcPr>
          <w:p w:rsidR="002A4DDF" w:rsidRPr="00937C8B" w:rsidRDefault="002A4DDF" w:rsidP="009110ED">
            <w:pPr>
              <w:rPr>
                <w:rFonts w:cs="Arial"/>
                <w:sz w:val="12"/>
                <w:szCs w:val="12"/>
              </w:rPr>
            </w:pPr>
            <w:r>
              <w:rPr>
                <w:sz w:val="12"/>
              </w:rPr>
              <w:t>Villayón</w:t>
            </w:r>
          </w:p>
        </w:tc>
        <w:tc>
          <w:tcPr>
            <w:tcW w:w="2268" w:type="dxa"/>
            <w:tcBorders>
              <w:right w:val="single" w:sz="4" w:space="0" w:color="auto"/>
            </w:tcBorders>
            <w:shd w:val="clear" w:color="auto" w:fill="D9D9D9"/>
            <w:hideMark/>
          </w:tcPr>
          <w:p w:rsidR="002A4DDF" w:rsidRPr="00937C8B" w:rsidRDefault="002A4DDF" w:rsidP="009110ED">
            <w:pPr>
              <w:rPr>
                <w:rFonts w:cs="Arial"/>
                <w:sz w:val="12"/>
                <w:szCs w:val="12"/>
              </w:rPr>
            </w:pPr>
          </w:p>
        </w:tc>
      </w:tr>
    </w:tbl>
    <w:p w:rsidR="00431690" w:rsidRPr="00937C8B" w:rsidRDefault="00431690" w:rsidP="00431690">
      <w:pPr>
        <w:tabs>
          <w:tab w:val="left" w:pos="567"/>
        </w:tabs>
        <w:rPr>
          <w:b/>
          <w:sz w:val="28"/>
          <w:szCs w:val="28"/>
        </w:rPr>
      </w:pPr>
      <w:bookmarkStart w:id="463" w:name="_Toc309145613"/>
      <w:bookmarkStart w:id="464" w:name="_Toc309145614"/>
    </w:p>
    <w:p w:rsidR="00431690" w:rsidRPr="00937C8B" w:rsidRDefault="00431690" w:rsidP="0084739B">
      <w:pPr>
        <w:pageBreakBefore/>
        <w:rPr>
          <w:rFonts w:ascii="Arial" w:hAnsi="Arial" w:cs="Arial"/>
          <w:b/>
          <w:sz w:val="28"/>
          <w:szCs w:val="28"/>
        </w:rPr>
      </w:pPr>
      <w:r>
        <w:rPr>
          <w:rFonts w:ascii="Arial" w:hAnsi="Arial"/>
          <w:b/>
          <w:sz w:val="28"/>
        </w:rPr>
        <w:t xml:space="preserve">Appendix C. Determination of </w:t>
      </w:r>
      <w:r>
        <w:rPr>
          <w:rFonts w:ascii="Arial" w:hAnsi="Arial"/>
          <w:b/>
          <w:i/>
          <w:iCs/>
          <w:sz w:val="28"/>
        </w:rPr>
        <w:t>average annual levels of radon</w:t>
      </w:r>
      <w:r>
        <w:rPr>
          <w:rFonts w:ascii="Arial" w:hAnsi="Arial"/>
          <w:b/>
          <w:sz w:val="28"/>
        </w:rPr>
        <w:t xml:space="preserve"> </w:t>
      </w:r>
      <w:bookmarkEnd w:id="463"/>
      <w:r>
        <w:rPr>
          <w:rFonts w:ascii="Arial" w:hAnsi="Arial"/>
          <w:b/>
          <w:sz w:val="28"/>
        </w:rPr>
        <w:t xml:space="preserve">in the air in the </w:t>
      </w:r>
      <w:r>
        <w:rPr>
          <w:rFonts w:ascii="Arial" w:hAnsi="Arial"/>
          <w:b/>
          <w:i/>
          <w:iCs/>
          <w:sz w:val="28"/>
        </w:rPr>
        <w:t>habitable spaces</w:t>
      </w:r>
      <w:r>
        <w:rPr>
          <w:rFonts w:ascii="Arial" w:hAnsi="Arial"/>
          <w:b/>
          <w:sz w:val="28"/>
        </w:rPr>
        <w:t xml:space="preserve"> of a building</w:t>
      </w:r>
    </w:p>
    <w:p w:rsidR="00431690" w:rsidRPr="00937C8B" w:rsidRDefault="00431690" w:rsidP="00431690">
      <w:pPr>
        <w:keepNext/>
        <w:tabs>
          <w:tab w:val="left" w:pos="426"/>
        </w:tabs>
        <w:spacing w:before="480" w:after="160"/>
        <w:outlineLvl w:val="0"/>
        <w:rPr>
          <w:rFonts w:ascii="Arial" w:eastAsia="Calibri" w:hAnsi="Arial" w:cs="Arial"/>
          <w:b/>
          <w:bCs/>
          <w:noProof/>
          <w:kern w:val="32"/>
          <w:sz w:val="28"/>
          <w:szCs w:val="28"/>
        </w:rPr>
      </w:pPr>
      <w:bookmarkStart w:id="465" w:name="_Toc39158010"/>
      <w:bookmarkStart w:id="466" w:name="_Toc39158170"/>
      <w:r>
        <w:rPr>
          <w:rFonts w:ascii="Arial" w:hAnsi="Arial"/>
          <w:b/>
          <w:sz w:val="28"/>
        </w:rPr>
        <w:t>1. General</w:t>
      </w:r>
      <w:bookmarkEnd w:id="465"/>
      <w:bookmarkEnd w:id="466"/>
    </w:p>
    <w:p w:rsidR="00431690" w:rsidRPr="00937C8B" w:rsidRDefault="00431690" w:rsidP="00CE59B1">
      <w:pPr>
        <w:numPr>
          <w:ilvl w:val="0"/>
          <w:numId w:val="53"/>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 xml:space="preserve">This appendix provides the basic specifications for determining the </w:t>
      </w:r>
      <w:r>
        <w:rPr>
          <w:rFonts w:ascii="Arial" w:hAnsi="Arial"/>
          <w:i/>
          <w:iCs/>
          <w:sz w:val="20"/>
        </w:rPr>
        <w:t>annual average radon level</w:t>
      </w:r>
      <w:r>
        <w:rPr>
          <w:rFonts w:ascii="Arial" w:hAnsi="Arial"/>
          <w:sz w:val="20"/>
        </w:rPr>
        <w:t xml:space="preserve"> (Rn-222) in the air in the habitable spaces of a building. The process for determining this is divided into three stages: sampling, measurement and estimation of the </w:t>
      </w:r>
      <w:r>
        <w:rPr>
          <w:rFonts w:ascii="Arial" w:hAnsi="Arial"/>
          <w:i/>
          <w:iCs/>
          <w:sz w:val="20"/>
        </w:rPr>
        <w:t>annual average radon level</w:t>
      </w:r>
      <w:r>
        <w:rPr>
          <w:rFonts w:ascii="Arial" w:hAnsi="Arial"/>
          <w:sz w:val="20"/>
        </w:rPr>
        <w:t>.</w:t>
      </w:r>
    </w:p>
    <w:p w:rsidR="00431690" w:rsidRPr="00937C8B" w:rsidRDefault="00431690" w:rsidP="00CE59B1">
      <w:pPr>
        <w:numPr>
          <w:ilvl w:val="0"/>
          <w:numId w:val="53"/>
        </w:numPr>
        <w:tabs>
          <w:tab w:val="left"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The unit of measurement is the becquerel per cubic metre (Bq/m</w:t>
      </w:r>
      <w:r>
        <w:rPr>
          <w:rFonts w:ascii="Arial" w:hAnsi="Arial"/>
          <w:sz w:val="20"/>
          <w:vertAlign w:val="superscript"/>
        </w:rPr>
        <w:t>3</w:t>
      </w:r>
      <w:r>
        <w:rPr>
          <w:rFonts w:ascii="Arial" w:hAnsi="Arial"/>
          <w:sz w:val="20"/>
        </w:rPr>
        <w:t>) of air.</w:t>
      </w:r>
    </w:p>
    <w:p w:rsidR="00431690" w:rsidRPr="00937C8B" w:rsidRDefault="00431690" w:rsidP="00431690">
      <w:pPr>
        <w:keepNext/>
        <w:tabs>
          <w:tab w:val="left" w:pos="426"/>
        </w:tabs>
        <w:spacing w:before="480" w:after="160"/>
        <w:outlineLvl w:val="0"/>
        <w:rPr>
          <w:rFonts w:ascii="Arial" w:eastAsia="Calibri" w:hAnsi="Arial" w:cs="Arial"/>
          <w:b/>
          <w:bCs/>
          <w:kern w:val="32"/>
          <w:sz w:val="28"/>
          <w:szCs w:val="28"/>
        </w:rPr>
      </w:pPr>
      <w:bookmarkStart w:id="467" w:name="_Toc39158011"/>
      <w:bookmarkStart w:id="468" w:name="_Toc39158171"/>
      <w:r>
        <w:rPr>
          <w:rFonts w:ascii="Arial" w:hAnsi="Arial"/>
          <w:b/>
          <w:sz w:val="28"/>
        </w:rPr>
        <w:t>2.</w:t>
      </w:r>
      <w:r>
        <w:rPr>
          <w:rFonts w:ascii="Arial" w:hAnsi="Arial"/>
          <w:b/>
          <w:sz w:val="28"/>
        </w:rPr>
        <w:tab/>
        <w:t>Sampling</w:t>
      </w:r>
      <w:bookmarkEnd w:id="467"/>
      <w:bookmarkEnd w:id="468"/>
    </w:p>
    <w:p w:rsidR="00431690" w:rsidRPr="00937C8B" w:rsidRDefault="00431690" w:rsidP="00B128CB">
      <w:pPr>
        <w:numPr>
          <w:ilvl w:val="0"/>
          <w:numId w:val="54"/>
        </w:numPr>
        <w:tabs>
          <w:tab w:val="left"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The sampling stage shall be determined by the designer, the project management or the inspection body.</w:t>
      </w:r>
    </w:p>
    <w:p w:rsidR="00431690" w:rsidRPr="00937C8B" w:rsidRDefault="00431690" w:rsidP="00431690">
      <w:pPr>
        <w:tabs>
          <w:tab w:val="left" w:pos="0"/>
          <w:tab w:val="left" w:pos="426"/>
        </w:tabs>
        <w:spacing w:before="280" w:after="100"/>
        <w:rPr>
          <w:rFonts w:ascii="Arial" w:eastAsia="Calibri" w:hAnsi="Arial" w:cs="Arial"/>
          <w:b/>
          <w:bCs/>
          <w:noProof/>
        </w:rPr>
      </w:pPr>
      <w:r>
        <w:rPr>
          <w:rFonts w:ascii="Arial" w:hAnsi="Arial"/>
          <w:b/>
        </w:rPr>
        <w:t>2.1</w:t>
      </w:r>
      <w:r>
        <w:rPr>
          <w:rFonts w:ascii="Arial" w:hAnsi="Arial"/>
          <w:b/>
        </w:rPr>
        <w:tab/>
        <w:t>Determination of the number of detectors</w:t>
      </w:r>
    </w:p>
    <w:p w:rsidR="00431690" w:rsidRPr="00937C8B" w:rsidRDefault="00431690" w:rsidP="00B128CB">
      <w:pPr>
        <w:numPr>
          <w:ilvl w:val="0"/>
          <w:numId w:val="5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To determine the number of detectors to deploy, the required sampling zones in the building are first defined.</w:t>
      </w:r>
    </w:p>
    <w:p w:rsidR="00431690" w:rsidRPr="00937C8B" w:rsidRDefault="00431690" w:rsidP="00E42FD8">
      <w:pPr>
        <w:keepNext/>
        <w:numPr>
          <w:ilvl w:val="0"/>
          <w:numId w:val="5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The sampling zones shall be created in the building storeys with an increased risk of high radon levels. In particular:</w:t>
      </w:r>
    </w:p>
    <w:p w:rsidR="00431690" w:rsidRPr="00937C8B" w:rsidRDefault="00431690" w:rsidP="00425ADA">
      <w:pPr>
        <w:numPr>
          <w:ilvl w:val="0"/>
          <w:numId w:val="60"/>
        </w:numPr>
        <w:suppressAutoHyphens/>
        <w:spacing w:before="60" w:after="60" w:line="259" w:lineRule="auto"/>
        <w:ind w:left="851" w:hanging="425"/>
        <w:jc w:val="both"/>
        <w:rPr>
          <w:rFonts w:ascii="Arial" w:eastAsia="Calibri" w:hAnsi="Arial" w:cs="Arial"/>
          <w:sz w:val="20"/>
          <w:szCs w:val="20"/>
        </w:rPr>
      </w:pPr>
      <w:r>
        <w:rPr>
          <w:rFonts w:ascii="Arial" w:hAnsi="Arial"/>
          <w:sz w:val="20"/>
        </w:rPr>
        <w:t xml:space="preserve">below ground, in every storey featuring </w:t>
      </w:r>
      <w:r>
        <w:rPr>
          <w:rFonts w:ascii="Arial" w:hAnsi="Arial"/>
          <w:i/>
          <w:iCs/>
          <w:sz w:val="20"/>
        </w:rPr>
        <w:t>habitable spaces</w:t>
      </w:r>
      <w:r>
        <w:rPr>
          <w:rFonts w:ascii="Arial" w:hAnsi="Arial"/>
          <w:sz w:val="20"/>
        </w:rPr>
        <w:t>;</w:t>
      </w:r>
    </w:p>
    <w:p w:rsidR="00431690" w:rsidRPr="00937C8B" w:rsidRDefault="00431690" w:rsidP="00425ADA">
      <w:pPr>
        <w:numPr>
          <w:ilvl w:val="0"/>
          <w:numId w:val="60"/>
        </w:numPr>
        <w:suppressAutoHyphens/>
        <w:spacing w:before="60" w:after="60" w:line="259" w:lineRule="auto"/>
        <w:ind w:left="851" w:hanging="425"/>
        <w:jc w:val="both"/>
        <w:rPr>
          <w:rFonts w:ascii="Arial" w:eastAsia="Calibri" w:hAnsi="Arial" w:cs="Arial"/>
          <w:sz w:val="20"/>
          <w:szCs w:val="20"/>
        </w:rPr>
      </w:pPr>
      <w:r>
        <w:rPr>
          <w:rFonts w:ascii="Arial" w:hAnsi="Arial"/>
          <w:sz w:val="20"/>
        </w:rPr>
        <w:t xml:space="preserve">above ground, in the two lowest storeys featuring </w:t>
      </w:r>
      <w:r>
        <w:rPr>
          <w:rFonts w:ascii="Arial" w:hAnsi="Arial"/>
          <w:i/>
          <w:iCs/>
          <w:sz w:val="20"/>
        </w:rPr>
        <w:t>habitable spaces</w:t>
      </w:r>
      <w:r>
        <w:rPr>
          <w:rFonts w:ascii="Arial" w:hAnsi="Arial"/>
          <w:sz w:val="20"/>
        </w:rPr>
        <w:t>.</w:t>
      </w:r>
    </w:p>
    <w:p w:rsidR="00431690" w:rsidRPr="00937C8B" w:rsidRDefault="00431690" w:rsidP="00E42FD8">
      <w:pPr>
        <w:keepNext/>
        <w:numPr>
          <w:ilvl w:val="0"/>
          <w:numId w:val="56"/>
        </w:numPr>
        <w:tabs>
          <w:tab w:val="num" w:pos="709"/>
        </w:tabs>
        <w:suppressAutoHyphens/>
        <w:spacing w:before="60" w:after="60" w:line="259" w:lineRule="auto"/>
        <w:ind w:left="426" w:hanging="426"/>
        <w:jc w:val="both"/>
        <w:rPr>
          <w:rFonts w:ascii="Arial" w:eastAsia="Calibri" w:hAnsi="Arial" w:cs="Arial"/>
          <w:sz w:val="20"/>
          <w:szCs w:val="20"/>
        </w:rPr>
      </w:pPr>
      <w:r>
        <w:rPr>
          <w:rFonts w:ascii="Arial" w:hAnsi="Arial"/>
          <w:sz w:val="20"/>
        </w:rPr>
        <w:t>The following conditions shall apply to the demarcation of the sampling zones:</w:t>
      </w:r>
    </w:p>
    <w:p w:rsidR="00431690" w:rsidRPr="00937C8B" w:rsidRDefault="00431690" w:rsidP="00E42FD8">
      <w:pPr>
        <w:keepNext/>
        <w:numPr>
          <w:ilvl w:val="1"/>
          <w:numId w:val="65"/>
        </w:numPr>
        <w:suppressAutoHyphens/>
        <w:spacing w:before="60" w:after="60" w:line="259" w:lineRule="auto"/>
        <w:ind w:left="851" w:hanging="425"/>
        <w:jc w:val="both"/>
        <w:rPr>
          <w:rFonts w:ascii="Arial" w:eastAsia="Calibri" w:hAnsi="Arial" w:cs="Arial"/>
          <w:sz w:val="20"/>
          <w:szCs w:val="20"/>
        </w:rPr>
      </w:pPr>
      <w:r>
        <w:rPr>
          <w:rFonts w:ascii="Arial" w:hAnsi="Arial"/>
          <w:sz w:val="20"/>
        </w:rPr>
        <w:t xml:space="preserve">In each </w:t>
      </w:r>
      <w:r>
        <w:rPr>
          <w:rFonts w:ascii="Arial" w:hAnsi="Arial"/>
          <w:i/>
          <w:sz w:val="20"/>
        </w:rPr>
        <w:t>usage unit</w:t>
      </w:r>
      <w:r>
        <w:rPr>
          <w:rFonts w:ascii="Arial" w:hAnsi="Arial"/>
          <w:sz w:val="20"/>
        </w:rPr>
        <w:t>, at least the following shall be created:</w:t>
      </w:r>
    </w:p>
    <w:p w:rsidR="00431690" w:rsidRPr="00937C8B" w:rsidRDefault="00431690" w:rsidP="00425ADA">
      <w:pPr>
        <w:pStyle w:val="ListParagraph"/>
        <w:numPr>
          <w:ilvl w:val="7"/>
          <w:numId w:val="29"/>
        </w:numPr>
        <w:tabs>
          <w:tab w:val="clear" w:pos="1080"/>
          <w:tab w:val="num" w:pos="1418"/>
        </w:tabs>
        <w:suppressAutoHyphens/>
        <w:spacing w:before="60" w:after="60"/>
        <w:ind w:left="1418" w:hanging="425"/>
        <w:jc w:val="both"/>
        <w:rPr>
          <w:rFonts w:ascii="Arial" w:hAnsi="Arial" w:cs="Arial"/>
          <w:sz w:val="20"/>
          <w:szCs w:val="20"/>
        </w:rPr>
      </w:pPr>
      <w:r>
        <w:rPr>
          <w:rFonts w:ascii="Arial" w:hAnsi="Arial"/>
          <w:sz w:val="20"/>
        </w:rPr>
        <w:t>one sampling zone for every 200 m</w:t>
      </w:r>
      <w:r>
        <w:rPr>
          <w:rFonts w:ascii="Arial" w:hAnsi="Arial"/>
          <w:sz w:val="20"/>
          <w:vertAlign w:val="superscript"/>
        </w:rPr>
        <w:t>2</w:t>
      </w:r>
      <w:r>
        <w:rPr>
          <w:rFonts w:ascii="Arial" w:hAnsi="Arial"/>
          <w:sz w:val="20"/>
        </w:rPr>
        <w:t xml:space="preserve"> of usable floor area;</w:t>
      </w:r>
    </w:p>
    <w:p w:rsidR="00431690" w:rsidRPr="00937C8B" w:rsidRDefault="00431690" w:rsidP="00425ADA">
      <w:pPr>
        <w:pStyle w:val="ListParagraph"/>
        <w:numPr>
          <w:ilvl w:val="7"/>
          <w:numId w:val="29"/>
        </w:numPr>
        <w:tabs>
          <w:tab w:val="clear" w:pos="1080"/>
          <w:tab w:val="num" w:pos="1418"/>
        </w:tabs>
        <w:suppressAutoHyphens/>
        <w:spacing w:before="60" w:after="60"/>
        <w:ind w:left="1418" w:hanging="425"/>
        <w:jc w:val="both"/>
        <w:rPr>
          <w:rFonts w:ascii="Arial" w:hAnsi="Arial" w:cs="Arial"/>
          <w:sz w:val="20"/>
          <w:szCs w:val="20"/>
        </w:rPr>
      </w:pPr>
      <w:r>
        <w:rPr>
          <w:rFonts w:ascii="Arial" w:hAnsi="Arial"/>
          <w:sz w:val="20"/>
        </w:rPr>
        <w:t>one sampling zone per storey.</w:t>
      </w:r>
    </w:p>
    <w:p w:rsidR="00431690" w:rsidRPr="00937C8B" w:rsidRDefault="00431690" w:rsidP="00E42FD8">
      <w:pPr>
        <w:keepNext/>
        <w:numPr>
          <w:ilvl w:val="1"/>
          <w:numId w:val="65"/>
        </w:numPr>
        <w:suppressAutoHyphens/>
        <w:spacing w:before="60" w:after="60" w:line="259" w:lineRule="auto"/>
        <w:ind w:left="851" w:hanging="425"/>
        <w:jc w:val="both"/>
        <w:rPr>
          <w:rFonts w:ascii="Arial" w:eastAsia="Calibri" w:hAnsi="Arial" w:cs="Arial"/>
          <w:sz w:val="20"/>
          <w:szCs w:val="20"/>
        </w:rPr>
      </w:pPr>
      <w:r>
        <w:rPr>
          <w:rFonts w:ascii="Arial" w:hAnsi="Arial"/>
          <w:sz w:val="20"/>
        </w:rPr>
        <w:t xml:space="preserve">The following shall apply for </w:t>
      </w:r>
      <w:r>
        <w:rPr>
          <w:rFonts w:ascii="Arial" w:hAnsi="Arial"/>
          <w:i/>
          <w:iCs/>
          <w:sz w:val="20"/>
        </w:rPr>
        <w:t>usage units</w:t>
      </w:r>
      <w:r>
        <w:rPr>
          <w:rFonts w:ascii="Arial" w:hAnsi="Arial"/>
          <w:sz w:val="20"/>
        </w:rPr>
        <w:t xml:space="preserve"> with large uncompartmentalised areas (such as open-plan offices, customer service areas, etc.):</w:t>
      </w:r>
    </w:p>
    <w:p w:rsidR="00431690" w:rsidRPr="00937C8B" w:rsidRDefault="00431690" w:rsidP="00425ADA">
      <w:pPr>
        <w:pStyle w:val="ListParagraph"/>
        <w:numPr>
          <w:ilvl w:val="7"/>
          <w:numId w:val="26"/>
        </w:numPr>
        <w:tabs>
          <w:tab w:val="clear" w:pos="1080"/>
          <w:tab w:val="num" w:pos="1418"/>
        </w:tabs>
        <w:suppressAutoHyphens/>
        <w:spacing w:before="60" w:after="60"/>
        <w:ind w:left="1418" w:hanging="425"/>
        <w:jc w:val="both"/>
        <w:rPr>
          <w:rFonts w:ascii="Arial" w:hAnsi="Arial" w:cs="Arial"/>
          <w:sz w:val="20"/>
          <w:szCs w:val="20"/>
        </w:rPr>
      </w:pPr>
      <w:r>
        <w:rPr>
          <w:rFonts w:ascii="Arial" w:hAnsi="Arial"/>
          <w:sz w:val="20"/>
        </w:rPr>
        <w:t>if the area is greater than 1,000 m</w:t>
      </w:r>
      <w:r>
        <w:rPr>
          <w:rFonts w:ascii="Arial" w:hAnsi="Arial"/>
          <w:sz w:val="20"/>
          <w:vertAlign w:val="superscript"/>
        </w:rPr>
        <w:t>2</w:t>
      </w:r>
      <w:r>
        <w:rPr>
          <w:rFonts w:ascii="Arial" w:hAnsi="Arial"/>
          <w:sz w:val="20"/>
        </w:rPr>
        <w:t xml:space="preserve"> and less than or equal to 5,000 m</w:t>
      </w:r>
      <w:r>
        <w:rPr>
          <w:rFonts w:ascii="Arial" w:hAnsi="Arial"/>
          <w:sz w:val="20"/>
          <w:vertAlign w:val="superscript"/>
        </w:rPr>
        <w:t>2</w:t>
      </w:r>
      <w:r>
        <w:rPr>
          <w:rFonts w:ascii="Arial" w:hAnsi="Arial"/>
          <w:sz w:val="20"/>
        </w:rPr>
        <w:t>, one sampling zone may be created for every 400 m</w:t>
      </w:r>
      <w:r>
        <w:rPr>
          <w:rFonts w:ascii="Arial" w:hAnsi="Arial"/>
          <w:sz w:val="20"/>
          <w:vertAlign w:val="superscript"/>
        </w:rPr>
        <w:t>2</w:t>
      </w:r>
      <w:r>
        <w:rPr>
          <w:rFonts w:ascii="Arial" w:hAnsi="Arial"/>
          <w:sz w:val="20"/>
        </w:rPr>
        <w:t>;</w:t>
      </w:r>
    </w:p>
    <w:p w:rsidR="00431690" w:rsidRPr="00937C8B" w:rsidRDefault="00431690" w:rsidP="00425ADA">
      <w:pPr>
        <w:pStyle w:val="ListParagraph"/>
        <w:numPr>
          <w:ilvl w:val="7"/>
          <w:numId w:val="26"/>
        </w:numPr>
        <w:tabs>
          <w:tab w:val="clear" w:pos="1080"/>
          <w:tab w:val="num" w:pos="1418"/>
        </w:tabs>
        <w:suppressAutoHyphens/>
        <w:spacing w:before="60" w:after="60"/>
        <w:ind w:left="1418" w:hanging="425"/>
        <w:jc w:val="both"/>
        <w:rPr>
          <w:rFonts w:ascii="Arial" w:hAnsi="Arial" w:cs="Arial"/>
          <w:sz w:val="20"/>
          <w:szCs w:val="20"/>
        </w:rPr>
      </w:pPr>
      <w:r>
        <w:rPr>
          <w:rFonts w:ascii="Arial" w:hAnsi="Arial"/>
          <w:sz w:val="20"/>
        </w:rPr>
        <w:t>if the area is greater than 5,000 m</w:t>
      </w:r>
      <w:r>
        <w:rPr>
          <w:rFonts w:ascii="Arial" w:hAnsi="Arial"/>
          <w:sz w:val="20"/>
          <w:vertAlign w:val="superscript"/>
        </w:rPr>
        <w:t>2</w:t>
      </w:r>
      <w:r>
        <w:rPr>
          <w:rFonts w:ascii="Arial" w:hAnsi="Arial"/>
          <w:sz w:val="20"/>
        </w:rPr>
        <w:t>, one sampling zone may be created for every 500 m</w:t>
      </w:r>
      <w:r>
        <w:rPr>
          <w:rFonts w:ascii="Arial" w:hAnsi="Arial"/>
          <w:sz w:val="20"/>
          <w:vertAlign w:val="superscript"/>
        </w:rPr>
        <w:t>2</w:t>
      </w:r>
      <w:r>
        <w:rPr>
          <w:rFonts w:ascii="Arial" w:hAnsi="Arial"/>
          <w:sz w:val="20"/>
        </w:rPr>
        <w:t>.</w:t>
      </w:r>
    </w:p>
    <w:p w:rsidR="00431690" w:rsidRPr="00937C8B" w:rsidRDefault="00431690" w:rsidP="00B128CB">
      <w:pPr>
        <w:numPr>
          <w:ilvl w:val="0"/>
          <w:numId w:val="5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 xml:space="preserve">In each sampling zone, at least one detector shall be installed, except in </w:t>
      </w:r>
      <w:r>
        <w:rPr>
          <w:rFonts w:ascii="Arial" w:hAnsi="Arial"/>
          <w:i/>
          <w:iCs/>
          <w:sz w:val="20"/>
        </w:rPr>
        <w:t>usage units</w:t>
      </w:r>
      <w:r>
        <w:rPr>
          <w:rFonts w:ascii="Arial" w:hAnsi="Arial"/>
          <w:sz w:val="20"/>
        </w:rPr>
        <w:t xml:space="preserve"> with an area of less than 200 m</w:t>
      </w:r>
      <w:r>
        <w:rPr>
          <w:rFonts w:ascii="Arial" w:hAnsi="Arial"/>
          <w:sz w:val="20"/>
          <w:vertAlign w:val="superscript"/>
        </w:rPr>
        <w:t>2</w:t>
      </w:r>
      <w:r>
        <w:rPr>
          <w:rFonts w:ascii="Arial" w:hAnsi="Arial"/>
          <w:sz w:val="20"/>
        </w:rPr>
        <w:t xml:space="preserve"> in which a single sampling zone has been defined, where at least two detectors shall be installed.</w:t>
      </w:r>
    </w:p>
    <w:p w:rsidR="00B128CB" w:rsidRPr="00937C8B" w:rsidRDefault="00431690" w:rsidP="00B128CB">
      <w:pPr>
        <w:numPr>
          <w:ilvl w:val="0"/>
          <w:numId w:val="5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 xml:space="preserve">In cases of </w:t>
      </w:r>
      <w:r>
        <w:rPr>
          <w:rFonts w:ascii="Arial" w:hAnsi="Arial"/>
          <w:i/>
          <w:iCs/>
          <w:sz w:val="20"/>
        </w:rPr>
        <w:t>passive detectors</w:t>
      </w:r>
      <w:r>
        <w:rPr>
          <w:rFonts w:ascii="Arial" w:hAnsi="Arial"/>
          <w:sz w:val="20"/>
        </w:rPr>
        <w:t xml:space="preserve">, if the above provisions indicate that the number of detectors to deploy in the same building is between 15 and 25, it shall be necessary to install one additional detector, for verification. Starting from 25 detectors, one additional verification detector shall be installed for every 20 detectors deployed. These detectors shall be located in a building zone expected to feature a low </w:t>
      </w:r>
      <w:r>
        <w:rPr>
          <w:rFonts w:ascii="Arial" w:hAnsi="Arial"/>
          <w:i/>
          <w:iCs/>
          <w:sz w:val="20"/>
        </w:rPr>
        <w:t>radon level</w:t>
      </w:r>
      <w:r>
        <w:rPr>
          <w:rFonts w:ascii="Arial" w:hAnsi="Arial"/>
          <w:sz w:val="20"/>
        </w:rPr>
        <w:t>.</w:t>
      </w:r>
    </w:p>
    <w:p w:rsidR="00431690" w:rsidRPr="00937C8B" w:rsidRDefault="00431690" w:rsidP="00E42FD8">
      <w:pPr>
        <w:keepNext/>
        <w:tabs>
          <w:tab w:val="left" w:pos="0"/>
          <w:tab w:val="left" w:pos="426"/>
        </w:tabs>
        <w:spacing w:before="280" w:after="100"/>
        <w:rPr>
          <w:rFonts w:ascii="Arial" w:eastAsia="Calibri" w:hAnsi="Arial" w:cs="Arial"/>
          <w:b/>
          <w:bCs/>
          <w:noProof/>
        </w:rPr>
      </w:pPr>
      <w:r>
        <w:rPr>
          <w:rFonts w:ascii="Arial" w:hAnsi="Arial"/>
          <w:b/>
        </w:rPr>
        <w:t>2.2</w:t>
      </w:r>
      <w:r>
        <w:rPr>
          <w:rFonts w:ascii="Arial" w:hAnsi="Arial"/>
          <w:b/>
        </w:rPr>
        <w:tab/>
        <w:t>Detector locations</w:t>
      </w:r>
    </w:p>
    <w:p w:rsidR="00431690" w:rsidRPr="00937C8B" w:rsidRDefault="00431690" w:rsidP="00425ADA">
      <w:pPr>
        <w:numPr>
          <w:ilvl w:val="0"/>
          <w:numId w:val="33"/>
        </w:numPr>
        <w:suppressAutoHyphens/>
        <w:spacing w:before="60" w:after="60" w:line="259" w:lineRule="auto"/>
        <w:ind w:left="426" w:hanging="426"/>
        <w:jc w:val="both"/>
        <w:rPr>
          <w:rFonts w:ascii="Arial" w:eastAsia="Calibri" w:hAnsi="Arial" w:cs="Arial"/>
          <w:sz w:val="20"/>
          <w:szCs w:val="20"/>
        </w:rPr>
      </w:pPr>
      <w:r>
        <w:rPr>
          <w:rFonts w:ascii="Arial" w:hAnsi="Arial"/>
          <w:sz w:val="20"/>
        </w:rPr>
        <w:t>The selected positioning of the detectors in each sampling zone shall be representative of rooms with the highest continuous occupancy (such as bedrooms and living rooms, in dwellings).</w:t>
      </w:r>
    </w:p>
    <w:p w:rsidR="00431690" w:rsidRPr="00937C8B" w:rsidRDefault="00431690" w:rsidP="00B128CB">
      <w:pPr>
        <w:numPr>
          <w:ilvl w:val="0"/>
          <w:numId w:val="54"/>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The precise location of the detectors within each sampling zone shall be determined based on the layout of each storey, dwelling or space, taking into account the characteristics of the heating, cooling and ventilation systems, and in particular the distribution of air inlets and outlets as well as doors and windows.</w:t>
      </w:r>
    </w:p>
    <w:p w:rsidR="00431690" w:rsidRPr="00937C8B" w:rsidRDefault="00431690" w:rsidP="00B128CB">
      <w:pPr>
        <w:numPr>
          <w:ilvl w:val="0"/>
          <w:numId w:val="54"/>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A building schematic and floor plan for each storey shall be used to show the location of each detector, the distribution of the sampling zones and the locations of the heating and cooling systems, the air inlets and outlets of the ventilation system and the doors and windows.</w:t>
      </w:r>
    </w:p>
    <w:p w:rsidR="00431690" w:rsidRPr="00937C8B" w:rsidRDefault="00431690" w:rsidP="00E42FD8">
      <w:pPr>
        <w:keepNext/>
        <w:tabs>
          <w:tab w:val="left" w:pos="426"/>
        </w:tabs>
        <w:spacing w:before="480" w:after="160"/>
        <w:outlineLvl w:val="0"/>
        <w:rPr>
          <w:rFonts w:ascii="Arial" w:eastAsia="Calibri" w:hAnsi="Arial" w:cs="Arial"/>
          <w:b/>
          <w:bCs/>
          <w:kern w:val="32"/>
          <w:sz w:val="28"/>
          <w:szCs w:val="28"/>
        </w:rPr>
      </w:pPr>
      <w:bookmarkStart w:id="469" w:name="_Toc39158012"/>
      <w:bookmarkStart w:id="470" w:name="_Toc39158172"/>
      <w:r>
        <w:rPr>
          <w:rFonts w:ascii="Arial" w:hAnsi="Arial"/>
          <w:b/>
          <w:sz w:val="28"/>
        </w:rPr>
        <w:t>3.</w:t>
      </w:r>
      <w:r>
        <w:rPr>
          <w:rFonts w:ascii="Arial" w:hAnsi="Arial"/>
          <w:b/>
          <w:sz w:val="28"/>
        </w:rPr>
        <w:tab/>
        <w:t>Measurement</w:t>
      </w:r>
      <w:bookmarkEnd w:id="469"/>
      <w:bookmarkEnd w:id="470"/>
    </w:p>
    <w:p w:rsidR="00431690" w:rsidRPr="00937C8B" w:rsidRDefault="00431690" w:rsidP="00E42FD8">
      <w:pPr>
        <w:keepNext/>
        <w:tabs>
          <w:tab w:val="left" w:pos="0"/>
          <w:tab w:val="left" w:pos="426"/>
        </w:tabs>
        <w:spacing w:before="280" w:after="100"/>
        <w:rPr>
          <w:rFonts w:ascii="Arial" w:eastAsia="Calibri" w:hAnsi="Arial" w:cs="Arial"/>
          <w:b/>
          <w:bCs/>
          <w:noProof/>
        </w:rPr>
      </w:pPr>
      <w:r>
        <w:rPr>
          <w:rFonts w:ascii="Arial" w:hAnsi="Arial"/>
          <w:b/>
        </w:rPr>
        <w:t>3.1</w:t>
      </w:r>
      <w:r>
        <w:rPr>
          <w:rFonts w:ascii="Arial" w:hAnsi="Arial"/>
          <w:b/>
        </w:rPr>
        <w:tab/>
        <w:t>Measurement bodies</w:t>
      </w:r>
    </w:p>
    <w:p w:rsidR="005F61FB" w:rsidRPr="00937C8B" w:rsidRDefault="00431690" w:rsidP="00E42FD8">
      <w:pPr>
        <w:keepNext/>
        <w:numPr>
          <w:ilvl w:val="0"/>
          <w:numId w:val="55"/>
        </w:numPr>
        <w:tabs>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 xml:space="preserve">The </w:t>
      </w:r>
      <w:r>
        <w:rPr>
          <w:rFonts w:ascii="Arial" w:hAnsi="Arial"/>
          <w:i/>
          <w:iCs/>
          <w:sz w:val="20"/>
        </w:rPr>
        <w:t>annual average radon level</w:t>
      </w:r>
      <w:r>
        <w:rPr>
          <w:rFonts w:ascii="Arial" w:hAnsi="Arial"/>
          <w:sz w:val="20"/>
        </w:rPr>
        <w:t xml:space="preserve"> in the air may be estimated using detectors of the passive or active type. The measurement bodies that provide the detectors and that either conduct detector analysis or process the measurement logs shall meet the following requirements: </w:t>
      </w:r>
    </w:p>
    <w:p w:rsidR="00431690" w:rsidRPr="00937C8B" w:rsidRDefault="005F61FB" w:rsidP="005F61FB">
      <w:pPr>
        <w:suppressAutoHyphens/>
        <w:spacing w:before="60" w:after="60" w:line="259" w:lineRule="auto"/>
        <w:ind w:left="426"/>
        <w:jc w:val="both"/>
        <w:rPr>
          <w:rFonts w:ascii="Arial" w:eastAsia="Calibri" w:hAnsi="Arial" w:cs="Arial"/>
          <w:sz w:val="20"/>
          <w:szCs w:val="20"/>
        </w:rPr>
      </w:pPr>
      <w:r>
        <w:rPr>
          <w:rFonts w:ascii="Arial" w:hAnsi="Arial"/>
          <w:sz w:val="20"/>
        </w:rPr>
        <w:t xml:space="preserve">a) they shall be accredited according to UNE EN ISO/IEC 17025:2017 by the National Accreditation Body [ENAC], or by another national accreditation body designated in accordance with European regulations; and </w:t>
      </w:r>
    </w:p>
    <w:p w:rsidR="005F61FB" w:rsidRPr="00937C8B" w:rsidRDefault="005F61FB" w:rsidP="005F61FB">
      <w:pPr>
        <w:suppressAutoHyphens/>
        <w:spacing w:before="60" w:after="60" w:line="259" w:lineRule="auto"/>
        <w:ind w:left="426"/>
        <w:jc w:val="both"/>
        <w:rPr>
          <w:rFonts w:ascii="Arial" w:eastAsia="Calibri" w:hAnsi="Arial" w:cs="Arial"/>
          <w:sz w:val="20"/>
          <w:szCs w:val="20"/>
        </w:rPr>
      </w:pPr>
      <w:r>
        <w:rPr>
          <w:rFonts w:ascii="Arial" w:hAnsi="Arial"/>
          <w:sz w:val="20"/>
        </w:rPr>
        <w:t>b) they shall meet the requirements pursuant to Royal Decree 410/2010 of 31 March 2010 and shall have submitted the statement of compliance as a testing laboratory for construction quality control to the competent body of the Autonomous Community.</w:t>
      </w:r>
    </w:p>
    <w:p w:rsidR="00431690" w:rsidRPr="00937C8B" w:rsidRDefault="00431690" w:rsidP="00B128CB">
      <w:pPr>
        <w:numPr>
          <w:ilvl w:val="0"/>
          <w:numId w:val="55"/>
        </w:numPr>
        <w:tabs>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Where the measurement system used requires such, the measurement bodies shall handle installation, commissioning, data collections, measurement reading or determination, and expression of the measurements of the detectors that are used to determine the radon level in each sampling zone, and that are identified and located in the places indicated by the designer, the project management or the inspection body.</w:t>
      </w:r>
    </w:p>
    <w:p w:rsidR="00431690" w:rsidRPr="00937C8B" w:rsidRDefault="00431690" w:rsidP="00E42FD8">
      <w:pPr>
        <w:keepNext/>
        <w:tabs>
          <w:tab w:val="left" w:pos="0"/>
          <w:tab w:val="left" w:pos="426"/>
        </w:tabs>
        <w:spacing w:before="280" w:after="100"/>
        <w:rPr>
          <w:rFonts w:ascii="Arial" w:eastAsia="Calibri" w:hAnsi="Arial" w:cs="Arial"/>
          <w:b/>
          <w:bCs/>
          <w:noProof/>
        </w:rPr>
      </w:pPr>
      <w:r>
        <w:rPr>
          <w:rFonts w:ascii="Arial" w:hAnsi="Arial"/>
          <w:b/>
        </w:rPr>
        <w:t>3.2</w:t>
      </w:r>
      <w:r>
        <w:rPr>
          <w:rFonts w:ascii="Arial" w:hAnsi="Arial"/>
          <w:b/>
        </w:rPr>
        <w:tab/>
        <w:t>Installation and commissioning</w:t>
      </w:r>
    </w:p>
    <w:p w:rsidR="00431690" w:rsidRPr="00937C8B" w:rsidRDefault="00431690" w:rsidP="00E42FD8">
      <w:pPr>
        <w:keepNext/>
        <w:numPr>
          <w:ilvl w:val="0"/>
          <w:numId w:val="68"/>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The following criteria shall apply to detector positioning:</w:t>
      </w:r>
    </w:p>
    <w:p w:rsidR="00431690" w:rsidRPr="00937C8B" w:rsidRDefault="00431690" w:rsidP="00B128CB">
      <w:pPr>
        <w:numPr>
          <w:ilvl w:val="0"/>
          <w:numId w:val="67"/>
        </w:numPr>
        <w:suppressAutoHyphens/>
        <w:spacing w:before="60" w:after="60" w:line="259" w:lineRule="auto"/>
        <w:ind w:left="709" w:hanging="283"/>
        <w:jc w:val="both"/>
        <w:rPr>
          <w:rFonts w:ascii="Arial" w:eastAsia="Calibri" w:hAnsi="Arial" w:cs="Arial"/>
          <w:sz w:val="20"/>
          <w:szCs w:val="20"/>
        </w:rPr>
      </w:pPr>
      <w:r>
        <w:rPr>
          <w:rFonts w:ascii="Arial" w:hAnsi="Arial"/>
          <w:sz w:val="20"/>
        </w:rPr>
        <w:t xml:space="preserve">the detectors shall be located at a height of between 50 and 180 cm above ground level, at a distance of over 30 cm from walls or doors, and over 10 cm from other objects; </w:t>
      </w:r>
    </w:p>
    <w:p w:rsidR="00431690" w:rsidRPr="00937C8B" w:rsidRDefault="00431690" w:rsidP="00425ADA">
      <w:pPr>
        <w:numPr>
          <w:ilvl w:val="0"/>
          <w:numId w:val="67"/>
        </w:numPr>
        <w:suppressAutoHyphens/>
        <w:spacing w:before="60" w:after="60" w:line="259" w:lineRule="auto"/>
        <w:ind w:left="851" w:hanging="425"/>
        <w:jc w:val="both"/>
        <w:rPr>
          <w:rFonts w:ascii="Arial" w:eastAsia="Calibri" w:hAnsi="Arial" w:cs="Arial"/>
          <w:sz w:val="20"/>
          <w:szCs w:val="20"/>
        </w:rPr>
      </w:pPr>
      <w:r>
        <w:rPr>
          <w:rFonts w:ascii="Arial" w:hAnsi="Arial"/>
          <w:sz w:val="20"/>
        </w:rPr>
        <w:t>they shall not be placed inside closed elements, such as cabinets, drawers or showcases;</w:t>
      </w:r>
    </w:p>
    <w:p w:rsidR="00431690" w:rsidRPr="00937C8B" w:rsidRDefault="00431690" w:rsidP="00B128CB">
      <w:pPr>
        <w:numPr>
          <w:ilvl w:val="0"/>
          <w:numId w:val="67"/>
        </w:numPr>
        <w:suppressAutoHyphens/>
        <w:spacing w:before="60" w:after="60" w:line="259" w:lineRule="auto"/>
        <w:ind w:left="709" w:hanging="283"/>
        <w:jc w:val="both"/>
        <w:rPr>
          <w:rFonts w:ascii="Arial" w:eastAsia="Calibri" w:hAnsi="Arial" w:cs="Arial"/>
          <w:sz w:val="20"/>
          <w:szCs w:val="20"/>
        </w:rPr>
      </w:pPr>
      <w:r>
        <w:rPr>
          <w:rFonts w:ascii="Arial" w:hAnsi="Arial"/>
          <w:sz w:val="20"/>
        </w:rPr>
        <w:t>they shall not be placed close to air currents (windows, fans) or exposed to direct sunlight or other heat sources;</w:t>
      </w:r>
    </w:p>
    <w:p w:rsidR="00431690" w:rsidRPr="00937C8B" w:rsidRDefault="00431690" w:rsidP="00B128CB">
      <w:pPr>
        <w:numPr>
          <w:ilvl w:val="0"/>
          <w:numId w:val="67"/>
        </w:numPr>
        <w:suppressAutoHyphens/>
        <w:spacing w:before="60" w:after="60" w:line="259" w:lineRule="auto"/>
        <w:ind w:left="709" w:hanging="283"/>
        <w:jc w:val="both"/>
        <w:rPr>
          <w:rFonts w:ascii="Arial" w:eastAsia="Calibri" w:hAnsi="Arial" w:cs="Arial"/>
          <w:sz w:val="20"/>
          <w:szCs w:val="20"/>
        </w:rPr>
      </w:pPr>
      <w:r>
        <w:rPr>
          <w:rFonts w:ascii="Arial" w:hAnsi="Arial"/>
          <w:sz w:val="20"/>
        </w:rPr>
        <w:t>if it is necessary to place detectors in locations with high humidity (HR &gt; 70%) and this could disrupt them according to manufacturer specifications, the detectors shall be covered with a membrane to protect them from the humidity without interfering with the radon measurement result.</w:t>
      </w:r>
    </w:p>
    <w:p w:rsidR="00431690" w:rsidRPr="00937C8B" w:rsidRDefault="00431690" w:rsidP="00E42FD8">
      <w:pPr>
        <w:keepNext/>
        <w:tabs>
          <w:tab w:val="left" w:pos="0"/>
          <w:tab w:val="left" w:pos="426"/>
        </w:tabs>
        <w:spacing w:before="280" w:after="100"/>
        <w:rPr>
          <w:rFonts w:ascii="Arial" w:eastAsia="Calibri" w:hAnsi="Arial" w:cs="Arial"/>
          <w:b/>
          <w:bCs/>
          <w:noProof/>
        </w:rPr>
      </w:pPr>
      <w:r>
        <w:rPr>
          <w:rFonts w:ascii="Arial" w:hAnsi="Arial"/>
          <w:b/>
        </w:rPr>
        <w:t>3.3</w:t>
      </w:r>
      <w:r>
        <w:rPr>
          <w:rFonts w:ascii="Arial" w:hAnsi="Arial"/>
          <w:b/>
        </w:rPr>
        <w:tab/>
        <w:t>Conditions during exposure</w:t>
      </w:r>
    </w:p>
    <w:p w:rsidR="00431690" w:rsidRPr="00937C8B" w:rsidRDefault="00431690" w:rsidP="00B128CB">
      <w:pPr>
        <w:numPr>
          <w:ilvl w:val="0"/>
          <w:numId w:val="6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 xml:space="preserve">During the detector exposure period, the ordinary occupancy routines of the buildings shall continue and any radon protection solutions such as </w:t>
      </w:r>
      <w:r>
        <w:rPr>
          <w:rFonts w:ascii="Arial" w:hAnsi="Arial"/>
          <w:i/>
          <w:iCs/>
          <w:sz w:val="20"/>
        </w:rPr>
        <w:t>ventilated containment spaces</w:t>
      </w:r>
      <w:r>
        <w:rPr>
          <w:rFonts w:ascii="Arial" w:hAnsi="Arial"/>
          <w:sz w:val="20"/>
        </w:rPr>
        <w:t xml:space="preserve"> or depressurisation systems shall be in normal operating mode. </w:t>
      </w:r>
    </w:p>
    <w:p w:rsidR="00431690" w:rsidRPr="00937C8B" w:rsidRDefault="00431690" w:rsidP="00B128CB">
      <w:pPr>
        <w:numPr>
          <w:ilvl w:val="0"/>
          <w:numId w:val="6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 xml:space="preserve">If the building is not occupied, the closed building conditions shall be maintained to the greatest extent possible (exterior windows and doors closed and interior doors open). If radon protection solutions are installed, these must be in normal operating mode. </w:t>
      </w:r>
    </w:p>
    <w:p w:rsidR="00431690" w:rsidRPr="00937C8B" w:rsidRDefault="00431690" w:rsidP="00B128CB">
      <w:pPr>
        <w:numPr>
          <w:ilvl w:val="0"/>
          <w:numId w:val="6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The detectors shall remain exposed for a period of at least two months.</w:t>
      </w:r>
    </w:p>
    <w:p w:rsidR="00431690" w:rsidRPr="00937C8B" w:rsidRDefault="00431690" w:rsidP="00B128CB">
      <w:pPr>
        <w:numPr>
          <w:ilvl w:val="0"/>
          <w:numId w:val="66"/>
        </w:numPr>
        <w:tabs>
          <w:tab w:val="clear" w:pos="567"/>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If the building is located in winter climate zone C, D or E as per DB-HE Energy Saving, the exposure period shall preferably occur during the months of the heating season.</w:t>
      </w:r>
    </w:p>
    <w:p w:rsidR="00431690" w:rsidRPr="00937C8B" w:rsidRDefault="00431690" w:rsidP="00E42FD8">
      <w:pPr>
        <w:keepNext/>
        <w:tabs>
          <w:tab w:val="left" w:pos="0"/>
          <w:tab w:val="left" w:pos="426"/>
        </w:tabs>
        <w:spacing w:before="280" w:after="100"/>
        <w:rPr>
          <w:rFonts w:ascii="Arial" w:eastAsia="Calibri" w:hAnsi="Arial" w:cs="Arial"/>
          <w:b/>
          <w:bCs/>
          <w:noProof/>
        </w:rPr>
      </w:pPr>
      <w:r>
        <w:rPr>
          <w:rFonts w:ascii="Arial" w:hAnsi="Arial"/>
          <w:b/>
        </w:rPr>
        <w:t>3.4</w:t>
      </w:r>
      <w:r>
        <w:rPr>
          <w:rFonts w:ascii="Arial" w:hAnsi="Arial"/>
          <w:b/>
        </w:rPr>
        <w:tab/>
        <w:t>Analysis of detectors and expression of measurement results</w:t>
      </w:r>
    </w:p>
    <w:p w:rsidR="00431690" w:rsidRPr="00937C8B" w:rsidRDefault="00431690" w:rsidP="00B128CB">
      <w:pPr>
        <w:numPr>
          <w:ilvl w:val="0"/>
          <w:numId w:val="57"/>
        </w:numPr>
        <w:tabs>
          <w:tab w:val="clear" w:pos="567"/>
          <w:tab w:val="num" w:pos="426"/>
          <w:tab w:val="num" w:pos="709"/>
        </w:tabs>
        <w:suppressAutoHyphens/>
        <w:spacing w:before="60" w:after="60" w:line="259" w:lineRule="auto"/>
        <w:ind w:left="426" w:hanging="426"/>
        <w:jc w:val="both"/>
        <w:rPr>
          <w:rFonts w:ascii="Arial" w:eastAsia="Calibri" w:hAnsi="Arial" w:cs="Arial"/>
          <w:sz w:val="20"/>
          <w:szCs w:val="20"/>
        </w:rPr>
      </w:pPr>
      <w:r>
        <w:rPr>
          <w:rFonts w:ascii="Arial" w:hAnsi="Arial"/>
          <w:sz w:val="20"/>
        </w:rPr>
        <w:t>The values measured by each detector, associated with its corresponding identification code, must be presented in a report issued by the measurement body as the average radon level (Bq/m</w:t>
      </w:r>
      <w:r>
        <w:rPr>
          <w:rFonts w:ascii="Arial" w:hAnsi="Arial"/>
          <w:sz w:val="20"/>
          <w:vertAlign w:val="superscript"/>
        </w:rPr>
        <w:t>3</w:t>
      </w:r>
      <w:r>
        <w:rPr>
          <w:rFonts w:ascii="Arial" w:hAnsi="Arial"/>
          <w:sz w:val="20"/>
        </w:rPr>
        <w:t xml:space="preserve">) during the exposure period. The concentration or exposure value must be expressed along with the expanded uncertainty and the K-factor used. It is always necessary to indicate the detection threshold of the measurement procedure and/or device or system used. </w:t>
      </w:r>
    </w:p>
    <w:p w:rsidR="00431690" w:rsidRPr="00937C8B" w:rsidRDefault="00431690" w:rsidP="00E42FD8">
      <w:pPr>
        <w:keepNext/>
        <w:numPr>
          <w:ilvl w:val="0"/>
          <w:numId w:val="57"/>
        </w:numPr>
        <w:tabs>
          <w:tab w:val="num" w:pos="426"/>
        </w:tabs>
        <w:suppressAutoHyphens/>
        <w:spacing w:before="60" w:after="60" w:line="259" w:lineRule="auto"/>
        <w:ind w:left="426" w:hanging="426"/>
        <w:jc w:val="both"/>
        <w:rPr>
          <w:rFonts w:ascii="Arial" w:eastAsia="Calibri" w:hAnsi="Arial" w:cs="Arial"/>
          <w:sz w:val="20"/>
          <w:szCs w:val="20"/>
        </w:rPr>
      </w:pPr>
      <w:r>
        <w:rPr>
          <w:rFonts w:ascii="Arial" w:hAnsi="Arial"/>
          <w:sz w:val="20"/>
        </w:rPr>
        <w:t>The results report shall also include the following information:</w:t>
      </w:r>
    </w:p>
    <w:p w:rsidR="00431690" w:rsidRPr="00937C8B" w:rsidRDefault="00431690" w:rsidP="00425ADA">
      <w:pPr>
        <w:pStyle w:val="ListParagraph"/>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rPr>
        <w:t>identification of the measurement body;</w:t>
      </w:r>
    </w:p>
    <w:p w:rsidR="00431690" w:rsidRPr="00937C8B" w:rsidRDefault="00431690" w:rsidP="00425ADA">
      <w:pPr>
        <w:pStyle w:val="ListParagraph"/>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rPr>
        <w:t>identification of client;</w:t>
      </w:r>
    </w:p>
    <w:p w:rsidR="00431690" w:rsidRPr="00937C8B" w:rsidRDefault="00431690" w:rsidP="00425ADA">
      <w:pPr>
        <w:pStyle w:val="ListParagraph"/>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rPr>
        <w:t>report issue date;</w:t>
      </w:r>
    </w:p>
    <w:p w:rsidR="00431690" w:rsidRPr="00937C8B" w:rsidRDefault="00431690" w:rsidP="00425ADA">
      <w:pPr>
        <w:pStyle w:val="ListParagraph"/>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rPr>
        <w:t>exposure start and end dates;</w:t>
      </w:r>
    </w:p>
    <w:p w:rsidR="00431690" w:rsidRPr="00937C8B" w:rsidRDefault="00431690" w:rsidP="00425ADA">
      <w:pPr>
        <w:pStyle w:val="ListParagraph"/>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rPr>
        <w:t>detector characteristics and types;</w:t>
      </w:r>
    </w:p>
    <w:p w:rsidR="00431690" w:rsidRPr="00937C8B" w:rsidRDefault="00431690" w:rsidP="00425ADA">
      <w:pPr>
        <w:pStyle w:val="ListParagraph"/>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rPr>
        <w:t>reading procedure;</w:t>
      </w:r>
    </w:p>
    <w:p w:rsidR="00431690" w:rsidRPr="00937C8B" w:rsidRDefault="00431690" w:rsidP="00425ADA">
      <w:pPr>
        <w:pStyle w:val="ListParagraph"/>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rPr>
        <w:t>identification and location of each detector on the drawing;</w:t>
      </w:r>
    </w:p>
    <w:p w:rsidR="00431690" w:rsidRPr="00937C8B" w:rsidRDefault="00431690" w:rsidP="00425ADA">
      <w:pPr>
        <w:pStyle w:val="ListParagraph"/>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rPr>
        <w:t>environmental and weather conditions that could have affected the result;</w:t>
      </w:r>
    </w:p>
    <w:p w:rsidR="00431690" w:rsidRPr="00937C8B" w:rsidRDefault="00431690" w:rsidP="00425ADA">
      <w:pPr>
        <w:pStyle w:val="ListParagraph"/>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rPr>
        <w:t>continuous presentation of data stored by the sensors in each detector, if the detectors enable this;</w:t>
      </w:r>
    </w:p>
    <w:p w:rsidR="00431690" w:rsidRPr="00937C8B" w:rsidRDefault="00431690" w:rsidP="00425ADA">
      <w:pPr>
        <w:pStyle w:val="ListParagraph"/>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rPr>
        <w:t>manufacturer of the device, model, device measurement limits, and resulting error;</w:t>
      </w:r>
    </w:p>
    <w:p w:rsidR="00431690" w:rsidRPr="00937C8B" w:rsidRDefault="00431690" w:rsidP="00425ADA">
      <w:pPr>
        <w:pStyle w:val="ListParagraph"/>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rPr>
        <w:t>any other relevant information that could affect the measurement results;</w:t>
      </w:r>
    </w:p>
    <w:p w:rsidR="00431690" w:rsidRPr="00937C8B" w:rsidRDefault="00431690" w:rsidP="00425ADA">
      <w:pPr>
        <w:pStyle w:val="ListParagraph"/>
        <w:numPr>
          <w:ilvl w:val="6"/>
          <w:numId w:val="69"/>
        </w:numPr>
        <w:tabs>
          <w:tab w:val="clear" w:pos="5040"/>
          <w:tab w:val="num" w:pos="851"/>
        </w:tabs>
        <w:suppressAutoHyphens/>
        <w:spacing w:before="60" w:after="60"/>
        <w:ind w:left="851" w:hanging="425"/>
        <w:jc w:val="both"/>
        <w:rPr>
          <w:rFonts w:ascii="Arial" w:hAnsi="Arial" w:cs="Arial"/>
          <w:sz w:val="20"/>
          <w:szCs w:val="20"/>
        </w:rPr>
      </w:pPr>
      <w:r>
        <w:rPr>
          <w:rFonts w:ascii="Arial" w:hAnsi="Arial"/>
          <w:sz w:val="20"/>
        </w:rPr>
        <w:t>signature of the person(s) taking on technical responsibility for the report.</w:t>
      </w:r>
    </w:p>
    <w:p w:rsidR="00431690" w:rsidRPr="00937C8B" w:rsidRDefault="00431690" w:rsidP="00E42FD8">
      <w:pPr>
        <w:keepNext/>
        <w:tabs>
          <w:tab w:val="left" w:pos="426"/>
        </w:tabs>
        <w:spacing w:before="480" w:after="160"/>
        <w:outlineLvl w:val="0"/>
        <w:rPr>
          <w:rFonts w:ascii="Arial" w:eastAsia="Calibri" w:hAnsi="Arial" w:cs="Arial"/>
          <w:b/>
          <w:bCs/>
          <w:i/>
          <w:kern w:val="32"/>
          <w:sz w:val="28"/>
          <w:szCs w:val="28"/>
        </w:rPr>
      </w:pPr>
      <w:bookmarkStart w:id="471" w:name="_Toc39158013"/>
      <w:bookmarkStart w:id="472" w:name="_Toc39158173"/>
      <w:r>
        <w:rPr>
          <w:rFonts w:ascii="Arial" w:hAnsi="Arial"/>
          <w:b/>
          <w:sz w:val="28"/>
        </w:rPr>
        <w:t>4.</w:t>
      </w:r>
      <w:r>
        <w:rPr>
          <w:rFonts w:ascii="Arial" w:hAnsi="Arial"/>
          <w:b/>
          <w:sz w:val="28"/>
        </w:rPr>
        <w:tab/>
        <w:t xml:space="preserve">Estimation of the </w:t>
      </w:r>
      <w:r>
        <w:rPr>
          <w:rFonts w:ascii="Arial" w:hAnsi="Arial"/>
          <w:b/>
          <w:i/>
          <w:iCs/>
          <w:sz w:val="28"/>
        </w:rPr>
        <w:t>annual average radon level</w:t>
      </w:r>
      <w:bookmarkEnd w:id="471"/>
      <w:bookmarkEnd w:id="472"/>
    </w:p>
    <w:p w:rsidR="00431690" w:rsidRPr="00937C8B" w:rsidRDefault="00431690" w:rsidP="00B128CB">
      <w:pPr>
        <w:numPr>
          <w:ilvl w:val="0"/>
          <w:numId w:val="58"/>
        </w:numPr>
        <w:tabs>
          <w:tab w:val="clear" w:pos="567"/>
        </w:tabs>
        <w:spacing w:after="200" w:line="276" w:lineRule="auto"/>
        <w:ind w:left="426" w:hanging="426"/>
        <w:contextualSpacing/>
        <w:jc w:val="both"/>
        <w:rPr>
          <w:rFonts w:ascii="Arial" w:eastAsia="Calibri" w:hAnsi="Arial" w:cs="Arial"/>
          <w:sz w:val="20"/>
          <w:szCs w:val="20"/>
        </w:rPr>
      </w:pPr>
      <w:r>
        <w:rPr>
          <w:rFonts w:ascii="Arial" w:hAnsi="Arial"/>
          <w:sz w:val="20"/>
        </w:rPr>
        <w:t xml:space="preserve">The project management or the inspection body shall perform the estimation stage for the </w:t>
      </w:r>
      <w:r>
        <w:rPr>
          <w:rFonts w:ascii="Arial" w:hAnsi="Arial"/>
          <w:i/>
          <w:iCs/>
          <w:sz w:val="20"/>
        </w:rPr>
        <w:t>annual average radon level</w:t>
      </w:r>
      <w:r>
        <w:rPr>
          <w:rFonts w:ascii="Arial" w:hAnsi="Arial"/>
          <w:sz w:val="20"/>
        </w:rPr>
        <w:t>.</w:t>
      </w:r>
    </w:p>
    <w:p w:rsidR="00431690" w:rsidRPr="00937C8B" w:rsidRDefault="00431690" w:rsidP="00B128CB">
      <w:pPr>
        <w:numPr>
          <w:ilvl w:val="0"/>
          <w:numId w:val="58"/>
        </w:numPr>
        <w:tabs>
          <w:tab w:val="num" w:pos="426"/>
        </w:tabs>
        <w:suppressAutoHyphens/>
        <w:spacing w:before="200" w:after="60" w:line="259" w:lineRule="auto"/>
        <w:ind w:left="425" w:hanging="425"/>
        <w:jc w:val="both"/>
        <w:rPr>
          <w:rFonts w:ascii="Arial" w:eastAsia="Calibri" w:hAnsi="Arial" w:cs="Arial"/>
          <w:sz w:val="20"/>
          <w:szCs w:val="20"/>
        </w:rPr>
      </w:pPr>
      <w:r>
        <w:rPr>
          <w:rFonts w:ascii="Arial" w:hAnsi="Arial"/>
          <w:sz w:val="20"/>
        </w:rPr>
        <w:t xml:space="preserve">The values for the </w:t>
      </w:r>
      <w:r>
        <w:rPr>
          <w:rFonts w:ascii="Arial" w:hAnsi="Arial"/>
          <w:i/>
          <w:iCs/>
          <w:sz w:val="20"/>
        </w:rPr>
        <w:t>radon level</w:t>
      </w:r>
      <w:r>
        <w:rPr>
          <w:rFonts w:ascii="Arial" w:hAnsi="Arial"/>
          <w:sz w:val="20"/>
        </w:rPr>
        <w:t xml:space="preserve"> in the air, provided by the measurement body, shall be used to estimate the </w:t>
      </w:r>
      <w:r>
        <w:rPr>
          <w:rFonts w:ascii="Arial" w:hAnsi="Arial"/>
          <w:i/>
          <w:iCs/>
          <w:sz w:val="20"/>
        </w:rPr>
        <w:t>annual average radon level</w:t>
      </w:r>
      <w:r>
        <w:rPr>
          <w:rFonts w:ascii="Arial" w:hAnsi="Arial"/>
          <w:i/>
          <w:sz w:val="20"/>
        </w:rPr>
        <w:t xml:space="preserve"> </w:t>
      </w:r>
      <w:r>
        <w:rPr>
          <w:rFonts w:ascii="Arial" w:hAnsi="Arial"/>
          <w:sz w:val="20"/>
        </w:rPr>
        <w:t>during the exposure period for each of the sampling zones where the detectors were deployed.</w:t>
      </w:r>
    </w:p>
    <w:p w:rsidR="00431690" w:rsidRPr="00937C8B" w:rsidRDefault="00431690" w:rsidP="00B128CB">
      <w:pPr>
        <w:numPr>
          <w:ilvl w:val="0"/>
          <w:numId w:val="58"/>
        </w:numPr>
        <w:tabs>
          <w:tab w:val="clear" w:pos="567"/>
          <w:tab w:val="num" w:pos="426"/>
        </w:tabs>
        <w:suppressAutoHyphens/>
        <w:spacing w:before="200" w:after="100" w:line="259" w:lineRule="auto"/>
        <w:ind w:left="426" w:hanging="426"/>
        <w:jc w:val="both"/>
        <w:rPr>
          <w:rFonts w:ascii="Arial" w:eastAsia="Calibri" w:hAnsi="Arial" w:cs="Arial"/>
          <w:sz w:val="20"/>
          <w:szCs w:val="20"/>
        </w:rPr>
      </w:pPr>
      <w:r>
        <w:rPr>
          <w:rFonts w:ascii="Arial" w:hAnsi="Arial"/>
          <w:sz w:val="20"/>
        </w:rPr>
        <w:t xml:space="preserve">If only one or two detectors were placed in a sampling zone, the average value of the level shall be the highest measurement result. In other cases, the average shall be calculated as the arithmetic mean of the </w:t>
      </w:r>
      <w:r>
        <w:rPr>
          <w:rFonts w:ascii="Arial" w:hAnsi="Arial"/>
          <w:i/>
          <w:iCs/>
          <w:sz w:val="20"/>
        </w:rPr>
        <w:t>radon level</w:t>
      </w:r>
      <w:r>
        <w:rPr>
          <w:rFonts w:ascii="Arial" w:hAnsi="Arial"/>
          <w:sz w:val="20"/>
        </w:rPr>
        <w:t xml:space="preserve"> values provided by all detectors deployed in the sampling zone.</w:t>
      </w:r>
    </w:p>
    <w:p w:rsidR="00431690" w:rsidRPr="00937C8B" w:rsidRDefault="00431690" w:rsidP="00E42FD8">
      <w:pPr>
        <w:keepNext/>
        <w:numPr>
          <w:ilvl w:val="0"/>
          <w:numId w:val="58"/>
        </w:numPr>
        <w:tabs>
          <w:tab w:val="num" w:pos="426"/>
        </w:tabs>
        <w:suppressAutoHyphens/>
        <w:spacing w:before="200" w:after="100" w:line="259" w:lineRule="auto"/>
        <w:ind w:left="425" w:hanging="425"/>
        <w:jc w:val="both"/>
        <w:rPr>
          <w:rFonts w:ascii="Arial" w:eastAsia="Calibri" w:hAnsi="Arial" w:cs="Arial"/>
          <w:sz w:val="20"/>
          <w:szCs w:val="20"/>
        </w:rPr>
      </w:pPr>
      <w:r>
        <w:rPr>
          <w:rFonts w:ascii="Arial" w:hAnsi="Arial"/>
          <w:sz w:val="20"/>
        </w:rPr>
        <w:t xml:space="preserve">To obtain the </w:t>
      </w:r>
      <w:r>
        <w:rPr>
          <w:rFonts w:ascii="Arial" w:hAnsi="Arial"/>
          <w:i/>
          <w:sz w:val="20"/>
        </w:rPr>
        <w:t>annual average radon level</w:t>
      </w:r>
      <w:r>
        <w:rPr>
          <w:rFonts w:ascii="Arial" w:hAnsi="Arial"/>
          <w:sz w:val="20"/>
        </w:rPr>
        <w:t xml:space="preserve"> in each sampling zone, the result obtained according to point 2 of this subsection shall be multiplied by a factor of 1.4 in the following cases:</w:t>
      </w:r>
    </w:p>
    <w:p w:rsidR="00431690" w:rsidRPr="00937C8B" w:rsidRDefault="00431690" w:rsidP="00B128CB">
      <w:pPr>
        <w:numPr>
          <w:ilvl w:val="1"/>
          <w:numId w:val="36"/>
        </w:numPr>
        <w:suppressAutoHyphens/>
        <w:spacing w:before="60" w:after="60" w:line="259" w:lineRule="auto"/>
        <w:ind w:left="709" w:hanging="283"/>
        <w:jc w:val="both"/>
        <w:rPr>
          <w:rFonts w:ascii="Arial" w:eastAsia="Calibri" w:hAnsi="Arial" w:cs="Arial"/>
          <w:sz w:val="20"/>
          <w:szCs w:val="20"/>
        </w:rPr>
      </w:pPr>
      <w:r>
        <w:rPr>
          <w:rFonts w:ascii="Arial" w:hAnsi="Arial"/>
          <w:sz w:val="20"/>
        </w:rPr>
        <w:t>if the detectors were deployed in an unoccupied building where, for practical reasons, closed building conditions cannot be guaranteed; or</w:t>
      </w:r>
    </w:p>
    <w:p w:rsidR="00431690" w:rsidRPr="00937C8B" w:rsidRDefault="00431690" w:rsidP="00B128CB">
      <w:pPr>
        <w:numPr>
          <w:ilvl w:val="1"/>
          <w:numId w:val="36"/>
        </w:numPr>
        <w:suppressAutoHyphens/>
        <w:spacing w:before="60" w:after="60" w:line="259" w:lineRule="auto"/>
        <w:ind w:left="709" w:hanging="283"/>
        <w:jc w:val="both"/>
        <w:rPr>
          <w:rFonts w:ascii="Arial" w:eastAsia="Calibri" w:hAnsi="Arial" w:cs="Arial"/>
          <w:sz w:val="20"/>
          <w:szCs w:val="20"/>
        </w:rPr>
      </w:pPr>
      <w:r>
        <w:rPr>
          <w:rFonts w:ascii="Arial" w:hAnsi="Arial"/>
          <w:sz w:val="20"/>
        </w:rPr>
        <w:t>if the detectors were deployed in a building in use that is located in winter climate zone C, D or E as per DB-HE Energy Saving, and at least two thirds of the exposure period falls outside of the heating season.</w:t>
      </w:r>
    </w:p>
    <w:p w:rsidR="00431690" w:rsidRPr="00937C8B" w:rsidRDefault="00431690" w:rsidP="00B128CB">
      <w:pPr>
        <w:numPr>
          <w:ilvl w:val="0"/>
          <w:numId w:val="58"/>
        </w:numPr>
        <w:tabs>
          <w:tab w:val="num" w:pos="426"/>
        </w:tabs>
        <w:suppressAutoHyphens/>
        <w:spacing w:before="200" w:after="100" w:line="259" w:lineRule="auto"/>
        <w:ind w:left="425" w:hanging="425"/>
        <w:jc w:val="both"/>
        <w:rPr>
          <w:rFonts w:ascii="Arial" w:eastAsia="Calibri" w:hAnsi="Arial" w:cs="Arial"/>
          <w:sz w:val="20"/>
          <w:szCs w:val="20"/>
        </w:rPr>
      </w:pPr>
      <w:r>
        <w:rPr>
          <w:rFonts w:ascii="Arial" w:hAnsi="Arial"/>
          <w:sz w:val="20"/>
        </w:rPr>
        <w:t xml:space="preserve">In other cases, the average </w:t>
      </w:r>
      <w:r>
        <w:rPr>
          <w:rFonts w:ascii="Arial" w:hAnsi="Arial"/>
          <w:i/>
          <w:iCs/>
          <w:sz w:val="20"/>
        </w:rPr>
        <w:t>radon level</w:t>
      </w:r>
      <w:r>
        <w:rPr>
          <w:rFonts w:ascii="Arial" w:hAnsi="Arial"/>
          <w:sz w:val="20"/>
        </w:rPr>
        <w:t xml:space="preserve"> during the exposure period shall be considered an adequate estimate of the </w:t>
      </w:r>
      <w:r>
        <w:rPr>
          <w:rFonts w:ascii="Arial" w:hAnsi="Arial"/>
          <w:i/>
          <w:iCs/>
          <w:sz w:val="20"/>
        </w:rPr>
        <w:t>annual average radon level</w:t>
      </w:r>
      <w:r>
        <w:rPr>
          <w:rFonts w:ascii="Arial" w:hAnsi="Arial"/>
          <w:sz w:val="20"/>
        </w:rPr>
        <w:t>.</w:t>
      </w:r>
    </w:p>
    <w:p w:rsidR="00431690" w:rsidRPr="00937C8B" w:rsidRDefault="00431690" w:rsidP="00E42FD8">
      <w:pPr>
        <w:keepNext/>
        <w:numPr>
          <w:ilvl w:val="0"/>
          <w:numId w:val="58"/>
        </w:numPr>
        <w:tabs>
          <w:tab w:val="clear" w:pos="567"/>
          <w:tab w:val="num" w:pos="426"/>
        </w:tabs>
        <w:suppressAutoHyphens/>
        <w:spacing w:before="200" w:after="60" w:line="259" w:lineRule="auto"/>
        <w:ind w:left="425" w:hanging="425"/>
        <w:jc w:val="both"/>
        <w:rPr>
          <w:rFonts w:ascii="Arial" w:eastAsia="Calibri" w:hAnsi="Arial" w:cs="Arial"/>
          <w:sz w:val="20"/>
          <w:szCs w:val="20"/>
        </w:rPr>
      </w:pPr>
      <w:r>
        <w:rPr>
          <w:rFonts w:ascii="Arial" w:hAnsi="Arial"/>
          <w:sz w:val="20"/>
        </w:rPr>
        <w:t xml:space="preserve">The information supporting the estimate of the </w:t>
      </w:r>
      <w:r>
        <w:rPr>
          <w:rFonts w:ascii="Arial" w:hAnsi="Arial"/>
          <w:i/>
          <w:iCs/>
          <w:sz w:val="20"/>
        </w:rPr>
        <w:t>annual average radon level</w:t>
      </w:r>
      <w:r>
        <w:rPr>
          <w:rFonts w:ascii="Arial" w:hAnsi="Arial"/>
          <w:sz w:val="20"/>
        </w:rPr>
        <w:t xml:space="preserve"> inside the building shall include the following details:</w:t>
      </w:r>
    </w:p>
    <w:p w:rsidR="00431690" w:rsidRPr="00937C8B" w:rsidRDefault="00431690" w:rsidP="00B128CB">
      <w:pPr>
        <w:numPr>
          <w:ilvl w:val="0"/>
          <w:numId w:val="34"/>
        </w:numPr>
        <w:suppressAutoHyphens/>
        <w:spacing w:before="60" w:after="60" w:line="259" w:lineRule="auto"/>
        <w:ind w:left="709" w:hanging="283"/>
        <w:jc w:val="both"/>
        <w:rPr>
          <w:rFonts w:ascii="Arial" w:eastAsia="Calibri" w:hAnsi="Arial" w:cs="Arial"/>
          <w:sz w:val="20"/>
          <w:szCs w:val="20"/>
        </w:rPr>
      </w:pPr>
      <w:r>
        <w:rPr>
          <w:rFonts w:ascii="Arial" w:hAnsi="Arial"/>
          <w:sz w:val="20"/>
        </w:rPr>
        <w:t>information on the condition of the building or sampling zone during detector deployment (in use/unoccupied, closed/not closed, energy rating);</w:t>
      </w:r>
    </w:p>
    <w:p w:rsidR="00431690" w:rsidRPr="00937C8B" w:rsidRDefault="00431690" w:rsidP="00B128CB">
      <w:pPr>
        <w:numPr>
          <w:ilvl w:val="0"/>
          <w:numId w:val="34"/>
        </w:numPr>
        <w:suppressAutoHyphens/>
        <w:spacing w:before="60" w:after="60" w:line="259" w:lineRule="auto"/>
        <w:ind w:left="709" w:hanging="283"/>
        <w:jc w:val="both"/>
        <w:rPr>
          <w:rFonts w:ascii="Arial" w:eastAsia="Calibri" w:hAnsi="Arial" w:cs="Arial"/>
          <w:sz w:val="20"/>
          <w:szCs w:val="20"/>
        </w:rPr>
      </w:pPr>
      <w:r>
        <w:rPr>
          <w:rFonts w:ascii="Arial" w:hAnsi="Arial"/>
          <w:sz w:val="20"/>
        </w:rPr>
        <w:t>the schematic of the building and floor plan for each storey, indicated in section 2.2, shall be used to show the location of each detector, with corresponding identification codes;</w:t>
      </w:r>
    </w:p>
    <w:p w:rsidR="00431690" w:rsidRPr="00937C8B" w:rsidRDefault="00431690" w:rsidP="00B128CB">
      <w:pPr>
        <w:numPr>
          <w:ilvl w:val="0"/>
          <w:numId w:val="34"/>
        </w:numPr>
        <w:suppressAutoHyphens/>
        <w:spacing w:before="60" w:after="60" w:line="259" w:lineRule="auto"/>
        <w:ind w:left="709" w:hanging="283"/>
        <w:jc w:val="both"/>
        <w:rPr>
          <w:rFonts w:ascii="Arial" w:eastAsia="Calibri" w:hAnsi="Arial" w:cs="Arial"/>
          <w:sz w:val="20"/>
          <w:szCs w:val="20"/>
        </w:rPr>
      </w:pPr>
      <w:r>
        <w:rPr>
          <w:rFonts w:ascii="Arial" w:hAnsi="Arial"/>
          <w:sz w:val="20"/>
        </w:rPr>
        <w:t>any circumstances that could cause measurement outliers (high radon levels, unusual weather conditions, etc.);</w:t>
      </w:r>
    </w:p>
    <w:p w:rsidR="00431690" w:rsidRPr="00937C8B" w:rsidRDefault="00431690" w:rsidP="00E42FD8">
      <w:pPr>
        <w:keepNext/>
        <w:numPr>
          <w:ilvl w:val="0"/>
          <w:numId w:val="34"/>
        </w:numPr>
        <w:suppressAutoHyphens/>
        <w:spacing w:before="60" w:after="60" w:line="259" w:lineRule="auto"/>
        <w:ind w:left="851" w:hanging="425"/>
        <w:jc w:val="both"/>
        <w:rPr>
          <w:rFonts w:ascii="Arial" w:eastAsia="Calibri" w:hAnsi="Arial" w:cs="Arial"/>
          <w:sz w:val="20"/>
          <w:szCs w:val="20"/>
        </w:rPr>
      </w:pPr>
      <w:r>
        <w:rPr>
          <w:rFonts w:ascii="Arial" w:hAnsi="Arial"/>
          <w:sz w:val="20"/>
        </w:rPr>
        <w:t>for each sampling zone:</w:t>
      </w:r>
    </w:p>
    <w:p w:rsidR="00431690" w:rsidRPr="00937C8B" w:rsidRDefault="00431690" w:rsidP="00425ADA">
      <w:pPr>
        <w:numPr>
          <w:ilvl w:val="1"/>
          <w:numId w:val="34"/>
        </w:numPr>
        <w:suppressAutoHyphens/>
        <w:spacing w:before="60" w:after="60" w:line="259" w:lineRule="auto"/>
        <w:ind w:left="1276" w:hanging="283"/>
        <w:jc w:val="both"/>
        <w:rPr>
          <w:rFonts w:ascii="Arial" w:eastAsia="Calibri" w:hAnsi="Arial" w:cs="Arial"/>
          <w:sz w:val="20"/>
          <w:szCs w:val="20"/>
        </w:rPr>
      </w:pPr>
      <w:r>
        <w:rPr>
          <w:rFonts w:ascii="Arial" w:hAnsi="Arial"/>
          <w:sz w:val="20"/>
        </w:rPr>
        <w:t>number of detectors deployed and identification code of each one;</w:t>
      </w:r>
    </w:p>
    <w:p w:rsidR="00431690" w:rsidRPr="00937C8B" w:rsidRDefault="00431690" w:rsidP="00425ADA">
      <w:pPr>
        <w:numPr>
          <w:ilvl w:val="1"/>
          <w:numId w:val="34"/>
        </w:numPr>
        <w:suppressAutoHyphens/>
        <w:spacing w:before="60" w:after="60" w:line="259" w:lineRule="auto"/>
        <w:ind w:left="1276" w:hanging="283"/>
        <w:jc w:val="both"/>
        <w:rPr>
          <w:rFonts w:ascii="Arial" w:eastAsia="Calibri" w:hAnsi="Arial" w:cs="Arial"/>
          <w:sz w:val="20"/>
          <w:szCs w:val="20"/>
        </w:rPr>
      </w:pPr>
      <w:r>
        <w:rPr>
          <w:rFonts w:ascii="Arial" w:hAnsi="Arial"/>
          <w:sz w:val="20"/>
        </w:rPr>
        <w:t xml:space="preserve">average </w:t>
      </w:r>
      <w:r>
        <w:rPr>
          <w:rFonts w:ascii="Arial" w:hAnsi="Arial"/>
          <w:i/>
          <w:iCs/>
          <w:sz w:val="20"/>
        </w:rPr>
        <w:t>radon level</w:t>
      </w:r>
      <w:r>
        <w:rPr>
          <w:rFonts w:ascii="Arial" w:hAnsi="Arial"/>
          <w:sz w:val="20"/>
        </w:rPr>
        <w:t xml:space="preserve"> during the sampling period and </w:t>
      </w:r>
      <w:r>
        <w:rPr>
          <w:rFonts w:ascii="Arial" w:hAnsi="Arial"/>
          <w:i/>
          <w:iCs/>
          <w:sz w:val="20"/>
        </w:rPr>
        <w:t>annual average radon level</w:t>
      </w:r>
      <w:r>
        <w:rPr>
          <w:rFonts w:ascii="Arial" w:hAnsi="Arial"/>
          <w:sz w:val="20"/>
        </w:rPr>
        <w:t>;</w:t>
      </w:r>
    </w:p>
    <w:p w:rsidR="00C331B9" w:rsidRPr="00937C8B" w:rsidRDefault="00431690" w:rsidP="00425ADA">
      <w:pPr>
        <w:pStyle w:val="CTENumeracion"/>
        <w:numPr>
          <w:ilvl w:val="0"/>
          <w:numId w:val="34"/>
        </w:numPr>
        <w:spacing w:before="120"/>
        <w:rPr>
          <w:rFonts w:cs="Arial"/>
          <w:szCs w:val="20"/>
        </w:rPr>
      </w:pPr>
      <w:r>
        <w:t>an annex with the results report provided by the measurement body.</w:t>
      </w:r>
      <w:bookmarkEnd w:id="464"/>
    </w:p>
    <w:sectPr w:rsidR="00C331B9" w:rsidRPr="00937C8B" w:rsidSect="00C56654">
      <w:headerReference w:type="first" r:id="rId23"/>
      <w:footerReference w:type="first" r:id="rId24"/>
      <w:pgSz w:w="11906" w:h="16838"/>
      <w:pgMar w:top="1701" w:right="737" w:bottom="726" w:left="737" w:header="720" w:footer="720" w:gutter="0"/>
      <w:cols w:space="720"/>
      <w:formProt w:val="0"/>
      <w:titlePg/>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97B" w:rsidRDefault="002E597B">
      <w:r>
        <w:separator/>
      </w:r>
    </w:p>
  </w:endnote>
  <w:endnote w:type="continuationSeparator" w:id="0">
    <w:p w:rsidR="002E597B" w:rsidRDefault="002E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Univers Extend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arro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auto"/>
    <w:pitch w:val="variable"/>
  </w:font>
  <w:font w:name="FreeSans">
    <w:altName w:val="Times New Roman"/>
    <w:charset w:val="00"/>
    <w:family w:val="swiss"/>
    <w:pitch w:val="default"/>
  </w:font>
  <w:font w:name="DejaVu Sans">
    <w:altName w:val="Arial"/>
    <w:charset w:val="00"/>
    <w:family w:val="swiss"/>
    <w:pitch w:val="variable"/>
    <w:sig w:usb0="00000000" w:usb1="D200F5FF" w:usb2="0A246029" w:usb3="00000000" w:csb0="000001FF" w:csb1="00000000"/>
  </w:font>
  <w:font w:name="Lohit Hindi">
    <w:altName w:val="Times New Roman"/>
    <w:charset w:val="00"/>
    <w:family w:val="auto"/>
    <w:pitch w:val="variable"/>
  </w:font>
  <w:font w:name="Droid Sans Fallback">
    <w:charset w:val="00"/>
    <w:family w:val="auto"/>
    <w:pitch w:val="variable"/>
  </w:font>
  <w:font w:name="AR PL UMing HK">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GBGEGH+Arial,Bold">
    <w:panose1 w:val="00000000000000000000"/>
    <w:charset w:val="00"/>
    <w:family w:val="swiss"/>
    <w:notTrueType/>
    <w:pitch w:val="default"/>
    <w:sig w:usb0="00000003" w:usb1="00000000" w:usb2="00000000" w:usb3="00000000" w:csb0="00000001" w:csb1="00000000"/>
  </w:font>
  <w:font w:name="Arial, sans-serif">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D25" w:rsidRDefault="00511D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3974EC">
      <w:rPr>
        <w:rStyle w:val="PageNumber"/>
      </w:rPr>
      <w:fldChar w:fldCharType="separate"/>
    </w:r>
    <w:r w:rsidR="003974EC">
      <w:rPr>
        <w:rStyle w:val="PageNumber"/>
        <w:noProof/>
      </w:rPr>
      <w:t>0</w:t>
    </w:r>
    <w:r>
      <w:rPr>
        <w:rStyle w:val="PageNumber"/>
      </w:rPr>
      <w:fldChar w:fldCharType="end"/>
    </w:r>
  </w:p>
  <w:p w:rsidR="00511D25" w:rsidRDefault="00511D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D25" w:rsidRDefault="00511D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74EC">
      <w:rPr>
        <w:rStyle w:val="PageNumber"/>
        <w:noProof/>
      </w:rPr>
      <w:t>71</w:t>
    </w:r>
    <w:r>
      <w:rPr>
        <w:rStyle w:val="PageNumber"/>
      </w:rPr>
      <w:fldChar w:fldCharType="end"/>
    </w:r>
  </w:p>
  <w:p w:rsidR="00511D25" w:rsidRDefault="00511D2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D25" w:rsidRDefault="00511D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97B" w:rsidRDefault="002E597B">
      <w:r>
        <w:separator/>
      </w:r>
    </w:p>
  </w:footnote>
  <w:footnote w:type="continuationSeparator" w:id="0">
    <w:p w:rsidR="002E597B" w:rsidRDefault="002E59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346"/>
      <w:gridCol w:w="7726"/>
      <w:gridCol w:w="1843"/>
    </w:tblGrid>
    <w:tr w:rsidR="00511D25">
      <w:trPr>
        <w:cantSplit/>
        <w:trHeight w:val="991"/>
        <w:jc w:val="center"/>
      </w:trPr>
      <w:tc>
        <w:tcPr>
          <w:tcW w:w="1346" w:type="dxa"/>
        </w:tcPr>
        <w:p w:rsidR="00511D25" w:rsidRDefault="00511D25">
          <w:pPr>
            <w:pStyle w:val="Header"/>
            <w:tabs>
              <w:tab w:val="clear" w:pos="4252"/>
              <w:tab w:val="clear" w:pos="8504"/>
            </w:tabs>
          </w:pPr>
        </w:p>
      </w:tc>
      <w:tc>
        <w:tcPr>
          <w:tcW w:w="7726" w:type="dxa"/>
        </w:tcPr>
        <w:p w:rsidR="00511D25" w:rsidRDefault="00511D25">
          <w:pPr>
            <w:pStyle w:val="Header"/>
            <w:tabs>
              <w:tab w:val="clear" w:pos="4252"/>
              <w:tab w:val="left" w:pos="2127"/>
              <w:tab w:val="left" w:pos="6521"/>
            </w:tabs>
          </w:pPr>
        </w:p>
      </w:tc>
      <w:bookmarkStart w:id="13" w:name="_MON_1030527131"/>
      <w:bookmarkEnd w:id="13"/>
      <w:tc>
        <w:tcPr>
          <w:tcW w:w="1843" w:type="dxa"/>
        </w:tcPr>
        <w:p w:rsidR="00511D25" w:rsidRDefault="00511D25">
          <w:pPr>
            <w:pStyle w:val="Header"/>
            <w:tabs>
              <w:tab w:val="clear" w:pos="4252"/>
              <w:tab w:val="left" w:pos="6521"/>
            </w:tabs>
            <w:spacing w:before="120" w:after="120"/>
            <w:jc w:val="right"/>
            <w:rPr>
              <w:rFonts w:ascii="Gill Sans MT" w:hAnsi="Gill Sans MT"/>
              <w:sz w:val="10"/>
            </w:rPr>
          </w:pPr>
          <w: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75pt;height:44.25pt" o:ole="" fillcolor="window">
                <v:imagedata r:id="rId1" o:title=""/>
              </v:shape>
              <o:OLEObject Type="Embed" ProgID="Word.Picture.8" ShapeID="_x0000_i1027" DrawAspect="Content" ObjectID="_1655488974" r:id="rId2"/>
            </w:object>
          </w:r>
        </w:p>
      </w:tc>
    </w:tr>
  </w:tbl>
  <w:p w:rsidR="00511D25" w:rsidRDefault="00511D25">
    <w:pPr>
      <w:pStyle w:val="Header"/>
    </w:pPr>
    <w:r>
      <w:rPr>
        <w:noProof/>
        <w:sz w:val="20"/>
        <w:lang w:val="en-US" w:eastAsia="en-US"/>
      </w:rPr>
      <mc:AlternateContent>
        <mc:Choice Requires="wps">
          <w:drawing>
            <wp:anchor distT="0" distB="0" distL="114300" distR="114300" simplePos="0" relativeHeight="251657728" behindDoc="0" locked="0" layoutInCell="1" allowOverlap="1">
              <wp:simplePos x="0" y="0"/>
              <wp:positionH relativeFrom="margin">
                <wp:posOffset>-102870</wp:posOffset>
              </wp:positionH>
              <wp:positionV relativeFrom="page">
                <wp:posOffset>1247775</wp:posOffset>
              </wp:positionV>
              <wp:extent cx="6840220" cy="8686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8686800"/>
                      </a:xfrm>
                      <a:prstGeom prst="rect">
                        <a:avLst/>
                      </a:prstGeom>
                      <a:solidFill>
                        <a:srgbClr val="FFFFFF"/>
                      </a:solidFill>
                      <a:ln w="9525">
                        <a:solidFill>
                          <a:srgbClr val="000000"/>
                        </a:solidFill>
                        <a:miter lim="800000"/>
                        <a:headEnd/>
                        <a:tailEnd/>
                      </a:ln>
                    </wps:spPr>
                    <wps:txbx>
                      <w:txbxContent>
                        <w:p w:rsidR="00511D25" w:rsidRPr="00F479AF" w:rsidRDefault="00511D25" w:rsidP="00F479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8.1pt;margin-top:98.25pt;width:538.6pt;height:684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">
              <v:textbox>
                <w:txbxContent>
                  <w:p w:rsidR="00511D25" w:rsidRPr="00F479AF" w:rsidRDefault="00511D25" w:rsidP="00F479AF"/>
                </w:txbxContent>
              </v:textbox>
              <w10:wrap anchorx="margin" anchory="page"/>
            </v:shape>
          </w:pict>
        </mc:Fallback>
      </mc:AlternateContent>
    </w:r>
  </w:p>
  <w:p w:rsidR="00511D25" w:rsidRDefault="00511D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3" w:type="dxa"/>
      <w:jc w:val="center"/>
      <w:tblLayout w:type="fixed"/>
      <w:tblCellMar>
        <w:left w:w="70" w:type="dxa"/>
        <w:right w:w="70" w:type="dxa"/>
      </w:tblCellMar>
      <w:tblLook w:val="0000" w:firstRow="0" w:lastRow="0" w:firstColumn="0" w:lastColumn="0" w:noHBand="0" w:noVBand="0"/>
    </w:tblPr>
    <w:tblGrid>
      <w:gridCol w:w="1305"/>
      <w:gridCol w:w="3417"/>
      <w:gridCol w:w="2299"/>
      <w:gridCol w:w="3772"/>
    </w:tblGrid>
    <w:tr w:rsidR="00511D25" w:rsidTr="006A226E">
      <w:trPr>
        <w:cantSplit/>
        <w:jc w:val="center"/>
      </w:trPr>
      <w:tc>
        <w:tcPr>
          <w:tcW w:w="1305" w:type="dxa"/>
          <w:vMerge w:val="restart"/>
        </w:tcPr>
        <w:p w:rsidR="00511D25" w:rsidRDefault="00511D25" w:rsidP="008D4E3C">
          <w:pPr>
            <w:pStyle w:val="Header"/>
            <w:tabs>
              <w:tab w:val="clear" w:pos="4252"/>
              <w:tab w:val="clear" w:pos="8504"/>
            </w:tabs>
            <w:ind w:left="-41" w:right="1318"/>
          </w:pPr>
          <w: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25pt;height:60pt" o:ole="" fillcolor="window">
                <v:imagedata r:id="rId1" o:title=""/>
              </v:shape>
              <o:OLEObject Type="Embed" ProgID="Word.Picture.8" ShapeID="_x0000_i1028" DrawAspect="Content" ObjectID="_1655488975" r:id="rId2"/>
            </w:object>
          </w:r>
        </w:p>
      </w:tc>
      <w:tc>
        <w:tcPr>
          <w:tcW w:w="3417" w:type="dxa"/>
          <w:vMerge w:val="restart"/>
        </w:tcPr>
        <w:p w:rsidR="00511D25" w:rsidRPr="00CD7D7E" w:rsidRDefault="00511D25" w:rsidP="008D4E3C">
          <w:pPr>
            <w:pStyle w:val="Header"/>
            <w:tabs>
              <w:tab w:val="clear" w:pos="4252"/>
              <w:tab w:val="left" w:pos="-819"/>
              <w:tab w:val="left" w:pos="6521"/>
            </w:tabs>
            <w:ind w:right="-7"/>
            <w:rPr>
              <w:rFonts w:ascii="Arial" w:hAnsi="Arial" w:cs="Arial"/>
              <w:sz w:val="16"/>
              <w:szCs w:val="16"/>
            </w:rPr>
          </w:pPr>
        </w:p>
        <w:p w:rsidR="00511D25" w:rsidRDefault="00511D25" w:rsidP="00371764">
          <w:pPr>
            <w:pStyle w:val="Header"/>
            <w:tabs>
              <w:tab w:val="clear" w:pos="4252"/>
              <w:tab w:val="left" w:pos="-819"/>
              <w:tab w:val="left" w:pos="6521"/>
            </w:tabs>
            <w:ind w:right="-7"/>
            <w:rPr>
              <w:rFonts w:ascii="Gill Sans MT" w:hAnsi="Gill Sans MT"/>
              <w:sz w:val="16"/>
            </w:rPr>
          </w:pPr>
        </w:p>
        <w:p w:rsidR="00511D25" w:rsidRDefault="00511D25" w:rsidP="00371764">
          <w:pPr>
            <w:pStyle w:val="Header"/>
            <w:tabs>
              <w:tab w:val="clear" w:pos="4252"/>
              <w:tab w:val="left" w:pos="-819"/>
              <w:tab w:val="left" w:pos="6521"/>
            </w:tabs>
            <w:ind w:right="-7"/>
          </w:pPr>
          <w:r>
            <w:t>MINISTRY OF PUBLIC WORKS</w:t>
          </w:r>
        </w:p>
        <w:p w:rsidR="00511D25" w:rsidRDefault="00511D25" w:rsidP="00371764">
          <w:pPr>
            <w:pStyle w:val="Header"/>
            <w:tabs>
              <w:tab w:val="clear" w:pos="4252"/>
              <w:tab w:val="left" w:pos="-819"/>
              <w:tab w:val="left" w:pos="6521"/>
            </w:tabs>
            <w:ind w:right="-7"/>
          </w:pPr>
        </w:p>
        <w:p w:rsidR="00511D25" w:rsidRPr="00353378" w:rsidRDefault="00511D25" w:rsidP="00371764">
          <w:pPr>
            <w:pStyle w:val="Header"/>
            <w:tabs>
              <w:tab w:val="clear" w:pos="4252"/>
              <w:tab w:val="left" w:pos="-819"/>
              <w:tab w:val="left" w:pos="6521"/>
            </w:tabs>
            <w:ind w:right="-7"/>
          </w:pPr>
        </w:p>
      </w:tc>
      <w:tc>
        <w:tcPr>
          <w:tcW w:w="2299" w:type="dxa"/>
          <w:vMerge w:val="restart"/>
        </w:tcPr>
        <w:p w:rsidR="00511D25" w:rsidRDefault="00511D25" w:rsidP="008D4E3C">
          <w:pPr>
            <w:pStyle w:val="Header"/>
            <w:tabs>
              <w:tab w:val="clear" w:pos="4252"/>
              <w:tab w:val="left" w:pos="-819"/>
              <w:tab w:val="left" w:pos="6521"/>
            </w:tabs>
            <w:rPr>
              <w:rFonts w:ascii="Gill Sans MT" w:hAnsi="Gill Sans MT"/>
              <w:sz w:val="16"/>
            </w:rPr>
          </w:pPr>
        </w:p>
      </w:tc>
      <w:tc>
        <w:tcPr>
          <w:tcW w:w="3772" w:type="dxa"/>
        </w:tcPr>
        <w:p w:rsidR="00511D25" w:rsidRDefault="00511D25" w:rsidP="008D4E3C">
          <w:pPr>
            <w:pStyle w:val="Header"/>
            <w:tabs>
              <w:tab w:val="clear" w:pos="4252"/>
              <w:tab w:val="left" w:pos="6521"/>
            </w:tabs>
            <w:spacing w:before="100"/>
          </w:pPr>
        </w:p>
        <w:p w:rsidR="00511D25" w:rsidRDefault="00511D25" w:rsidP="008D4E3C">
          <w:pPr>
            <w:pStyle w:val="Header"/>
            <w:tabs>
              <w:tab w:val="clear" w:pos="4252"/>
              <w:tab w:val="left" w:pos="6521"/>
            </w:tabs>
            <w:spacing w:before="100"/>
          </w:pPr>
        </w:p>
      </w:tc>
    </w:tr>
    <w:tr w:rsidR="00511D25" w:rsidTr="006A226E">
      <w:trPr>
        <w:cantSplit/>
        <w:jc w:val="center"/>
      </w:trPr>
      <w:tc>
        <w:tcPr>
          <w:tcW w:w="1305" w:type="dxa"/>
          <w:vMerge/>
        </w:tcPr>
        <w:p w:rsidR="00511D25" w:rsidRDefault="00511D25" w:rsidP="008D4E3C">
          <w:pPr>
            <w:pStyle w:val="Header"/>
            <w:tabs>
              <w:tab w:val="clear" w:pos="4252"/>
              <w:tab w:val="clear" w:pos="8504"/>
            </w:tabs>
            <w:ind w:left="-41" w:right="1176"/>
          </w:pPr>
        </w:p>
      </w:tc>
      <w:tc>
        <w:tcPr>
          <w:tcW w:w="3417" w:type="dxa"/>
          <w:vMerge/>
        </w:tcPr>
        <w:p w:rsidR="00511D25" w:rsidRDefault="00511D25" w:rsidP="008D4E3C">
          <w:pPr>
            <w:pStyle w:val="Header"/>
            <w:tabs>
              <w:tab w:val="clear" w:pos="4252"/>
              <w:tab w:val="left" w:pos="-819"/>
              <w:tab w:val="left" w:pos="6521"/>
            </w:tabs>
            <w:rPr>
              <w:rFonts w:ascii="Gill Sans MT" w:hAnsi="Gill Sans MT"/>
              <w:sz w:val="16"/>
            </w:rPr>
          </w:pPr>
        </w:p>
      </w:tc>
      <w:tc>
        <w:tcPr>
          <w:tcW w:w="2299" w:type="dxa"/>
          <w:vMerge/>
        </w:tcPr>
        <w:p w:rsidR="00511D25" w:rsidRDefault="00511D25" w:rsidP="008D4E3C">
          <w:pPr>
            <w:pStyle w:val="Header"/>
            <w:tabs>
              <w:tab w:val="clear" w:pos="4252"/>
              <w:tab w:val="left" w:pos="-819"/>
              <w:tab w:val="left" w:pos="6521"/>
            </w:tabs>
            <w:rPr>
              <w:rFonts w:ascii="Gill Sans MT" w:hAnsi="Gill Sans MT"/>
              <w:sz w:val="16"/>
            </w:rPr>
          </w:pPr>
        </w:p>
      </w:tc>
      <w:tc>
        <w:tcPr>
          <w:tcW w:w="3772" w:type="dxa"/>
        </w:tcPr>
        <w:p w:rsidR="00511D25" w:rsidRDefault="00511D25" w:rsidP="008D4E3C">
          <w:pPr>
            <w:pStyle w:val="Header"/>
            <w:tabs>
              <w:tab w:val="clear" w:pos="4252"/>
              <w:tab w:val="left" w:pos="6521"/>
            </w:tabs>
            <w:ind w:right="782"/>
            <w:rPr>
              <w:rFonts w:ascii="Gill Sans MT" w:hAnsi="Gill Sans MT"/>
              <w:sz w:val="14"/>
            </w:rPr>
          </w:pPr>
        </w:p>
      </w:tc>
    </w:tr>
    <w:tr w:rsidR="00511D25" w:rsidTr="006A226E">
      <w:trPr>
        <w:cantSplit/>
        <w:jc w:val="center"/>
      </w:trPr>
      <w:tc>
        <w:tcPr>
          <w:tcW w:w="1305" w:type="dxa"/>
          <w:vMerge/>
        </w:tcPr>
        <w:p w:rsidR="00511D25" w:rsidRDefault="00511D25" w:rsidP="008D4E3C">
          <w:pPr>
            <w:pStyle w:val="Header"/>
            <w:tabs>
              <w:tab w:val="clear" w:pos="4252"/>
              <w:tab w:val="clear" w:pos="8504"/>
            </w:tabs>
            <w:ind w:left="-41" w:right="1176"/>
          </w:pPr>
        </w:p>
      </w:tc>
      <w:tc>
        <w:tcPr>
          <w:tcW w:w="3417" w:type="dxa"/>
          <w:vMerge/>
        </w:tcPr>
        <w:p w:rsidR="00511D25" w:rsidRDefault="00511D25" w:rsidP="008D4E3C">
          <w:pPr>
            <w:pStyle w:val="Header"/>
            <w:tabs>
              <w:tab w:val="clear" w:pos="4252"/>
              <w:tab w:val="left" w:pos="-819"/>
              <w:tab w:val="left" w:pos="6521"/>
            </w:tabs>
            <w:rPr>
              <w:rFonts w:ascii="Gill Sans MT" w:hAnsi="Gill Sans MT"/>
              <w:sz w:val="16"/>
            </w:rPr>
          </w:pPr>
        </w:p>
      </w:tc>
      <w:tc>
        <w:tcPr>
          <w:tcW w:w="2299" w:type="dxa"/>
          <w:vMerge/>
        </w:tcPr>
        <w:p w:rsidR="00511D25" w:rsidRDefault="00511D25" w:rsidP="008D4E3C">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rsidR="00511D25" w:rsidRDefault="00511D25" w:rsidP="008D4E3C">
          <w:pPr>
            <w:pStyle w:val="Header"/>
            <w:tabs>
              <w:tab w:val="clear" w:pos="4252"/>
              <w:tab w:val="left" w:pos="6521"/>
            </w:tabs>
            <w:spacing w:before="100"/>
            <w:ind w:right="782"/>
          </w:pPr>
          <w:r>
            <w:rPr>
              <w:rFonts w:ascii="Gill Sans MT" w:hAnsi="Gill Sans MT"/>
              <w:sz w:val="14"/>
            </w:rPr>
            <w:t>REF.:</w:t>
          </w:r>
        </w:p>
      </w:tc>
    </w:tr>
    <w:tr w:rsidR="00511D25" w:rsidTr="006A226E">
      <w:trPr>
        <w:cantSplit/>
        <w:jc w:val="center"/>
      </w:trPr>
      <w:tc>
        <w:tcPr>
          <w:tcW w:w="1305" w:type="dxa"/>
          <w:vMerge/>
        </w:tcPr>
        <w:p w:rsidR="00511D25" w:rsidRDefault="00511D25" w:rsidP="008D4E3C">
          <w:pPr>
            <w:pStyle w:val="Header"/>
            <w:tabs>
              <w:tab w:val="clear" w:pos="4252"/>
              <w:tab w:val="clear" w:pos="8504"/>
            </w:tabs>
            <w:ind w:left="-41" w:right="1176"/>
          </w:pPr>
        </w:p>
      </w:tc>
      <w:tc>
        <w:tcPr>
          <w:tcW w:w="3417" w:type="dxa"/>
          <w:vMerge/>
        </w:tcPr>
        <w:p w:rsidR="00511D25" w:rsidRDefault="00511D25" w:rsidP="008D4E3C">
          <w:pPr>
            <w:pStyle w:val="Header"/>
            <w:tabs>
              <w:tab w:val="clear" w:pos="4252"/>
              <w:tab w:val="left" w:pos="-819"/>
              <w:tab w:val="left" w:pos="6521"/>
            </w:tabs>
            <w:rPr>
              <w:rFonts w:ascii="Gill Sans MT" w:hAnsi="Gill Sans MT"/>
              <w:sz w:val="16"/>
            </w:rPr>
          </w:pPr>
        </w:p>
      </w:tc>
      <w:tc>
        <w:tcPr>
          <w:tcW w:w="2299" w:type="dxa"/>
          <w:vMerge/>
        </w:tcPr>
        <w:p w:rsidR="00511D25" w:rsidRDefault="00511D25" w:rsidP="008D4E3C">
          <w:pPr>
            <w:pStyle w:val="Header"/>
            <w:tabs>
              <w:tab w:val="clear" w:pos="4252"/>
              <w:tab w:val="left" w:pos="-819"/>
              <w:tab w:val="left" w:pos="6521"/>
            </w:tabs>
            <w:rPr>
              <w:rFonts w:ascii="Gill Sans MT" w:hAnsi="Gill Sans MT"/>
              <w:sz w:val="16"/>
            </w:rPr>
          </w:pPr>
        </w:p>
      </w:tc>
      <w:tc>
        <w:tcPr>
          <w:tcW w:w="3772" w:type="dxa"/>
          <w:tcBorders>
            <w:top w:val="single" w:sz="4" w:space="0" w:color="auto"/>
            <w:left w:val="single" w:sz="4" w:space="0" w:color="auto"/>
            <w:bottom w:val="single" w:sz="4" w:space="0" w:color="auto"/>
            <w:right w:val="single" w:sz="4" w:space="0" w:color="auto"/>
          </w:tcBorders>
        </w:tcPr>
        <w:p w:rsidR="00511D25" w:rsidRDefault="00511D25" w:rsidP="008D4E3C">
          <w:pPr>
            <w:pStyle w:val="Header"/>
            <w:tabs>
              <w:tab w:val="clear" w:pos="4252"/>
              <w:tab w:val="left" w:pos="6521"/>
            </w:tabs>
            <w:spacing w:before="100"/>
            <w:ind w:right="782"/>
          </w:pPr>
          <w:r>
            <w:rPr>
              <w:rFonts w:ascii="Gill Sans MT" w:hAnsi="Gill Sans MT"/>
              <w:sz w:val="14"/>
            </w:rPr>
            <w:t>REF.C.M.:</w:t>
          </w:r>
        </w:p>
      </w:tc>
    </w:tr>
  </w:tbl>
  <w:p w:rsidR="00511D25" w:rsidRDefault="00511D25">
    <w:pPr>
      <w:pStyle w:val="Header"/>
    </w:pPr>
    <w:r>
      <w:rPr>
        <w:noProof/>
        <w:sz w:val="20"/>
        <w:lang w:val="en-US" w:eastAsia="en-US"/>
      </w:rPr>
      <mc:AlternateContent>
        <mc:Choice Requires="wps">
          <w:drawing>
            <wp:anchor distT="0" distB="0" distL="114300" distR="114300" simplePos="0" relativeHeight="251656704" behindDoc="0" locked="0" layoutInCell="1" allowOverlap="1">
              <wp:simplePos x="0" y="0"/>
              <wp:positionH relativeFrom="margin">
                <wp:posOffset>-114300</wp:posOffset>
              </wp:positionH>
              <wp:positionV relativeFrom="page">
                <wp:posOffset>4966335</wp:posOffset>
              </wp:positionV>
              <wp:extent cx="6858000" cy="5486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486400"/>
                      </a:xfrm>
                      <a:prstGeom prst="rect">
                        <a:avLst/>
                      </a:prstGeom>
                      <a:solidFill>
                        <a:srgbClr val="FFFFFF"/>
                      </a:solidFill>
                      <a:ln w="9525">
                        <a:solidFill>
                          <a:srgbClr val="000000"/>
                        </a:solidFill>
                        <a:miter lim="800000"/>
                        <a:headEnd/>
                        <a:tailEnd/>
                      </a:ln>
                    </wps:spPr>
                    <wps:txbx>
                      <w:txbxContent>
                        <w:p w:rsidR="00511D25" w:rsidRDefault="00511D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9pt;margin-top:391.05pt;width:540pt;height:6in;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">
              <v:textbox>
                <w:txbxContent>
                  <w:p w:rsidR="00511D25" w:rsidRDefault="00511D25"/>
                </w:txbxContent>
              </v:textbox>
              <w10:wrap anchorx="margin"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346"/>
      <w:gridCol w:w="7130"/>
      <w:gridCol w:w="1620"/>
    </w:tblGrid>
    <w:tr w:rsidR="00511D25">
      <w:trPr>
        <w:cantSplit/>
        <w:trHeight w:val="991"/>
        <w:jc w:val="center"/>
      </w:trPr>
      <w:tc>
        <w:tcPr>
          <w:tcW w:w="1346" w:type="dxa"/>
        </w:tcPr>
        <w:p w:rsidR="00511D25" w:rsidRDefault="00511D25" w:rsidP="00AE77A1">
          <w:pPr>
            <w:pStyle w:val="Header"/>
            <w:tabs>
              <w:tab w:val="clear" w:pos="4252"/>
              <w:tab w:val="clear" w:pos="8504"/>
            </w:tabs>
          </w:pPr>
        </w:p>
      </w:tc>
      <w:tc>
        <w:tcPr>
          <w:tcW w:w="7130" w:type="dxa"/>
        </w:tcPr>
        <w:p w:rsidR="00511D25" w:rsidRDefault="00511D25" w:rsidP="00AE77A1">
          <w:pPr>
            <w:pStyle w:val="Header"/>
            <w:tabs>
              <w:tab w:val="clear" w:pos="4252"/>
              <w:tab w:val="left" w:pos="2127"/>
              <w:tab w:val="left" w:pos="6521"/>
            </w:tabs>
          </w:pPr>
        </w:p>
      </w:tc>
      <w:tc>
        <w:tcPr>
          <w:tcW w:w="1620" w:type="dxa"/>
        </w:tcPr>
        <w:p w:rsidR="00511D25" w:rsidRDefault="00511D25" w:rsidP="00AE77A1">
          <w:pPr>
            <w:pStyle w:val="Header"/>
            <w:tabs>
              <w:tab w:val="clear" w:pos="4252"/>
              <w:tab w:val="left" w:pos="6521"/>
            </w:tabs>
            <w:spacing w:before="120" w:after="120"/>
            <w:jc w:val="right"/>
            <w:rPr>
              <w:rFonts w:ascii="Gill Sans MT" w:hAnsi="Gill Sans MT"/>
              <w:sz w:val="10"/>
            </w:rPr>
          </w:pPr>
          <w:r>
            <w:object w:dxaOrig="1081" w:dyaOrig="1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75pt;height:42.75pt" o:ole="" fillcolor="window">
                <v:imagedata r:id="rId1" o:title=""/>
              </v:shape>
              <o:OLEObject Type="Embed" ProgID="Word.Picture.8" ShapeID="_x0000_i1029" DrawAspect="Content" ObjectID="_1655488976" r:id="rId2"/>
            </w:object>
          </w:r>
        </w:p>
      </w:tc>
    </w:tr>
  </w:tbl>
  <w:p w:rsidR="00511D25" w:rsidRDefault="00511D25">
    <w:pPr>
      <w:pStyle w:val="Header"/>
    </w:pPr>
    <w:r>
      <w:rPr>
        <w:noProof/>
        <w:sz w:val="20"/>
        <w:lang w:val="en-US" w:eastAsia="en-US"/>
      </w:rPr>
      <mc:AlternateContent>
        <mc:Choice Requires="wps">
          <w:drawing>
            <wp:anchor distT="0" distB="0" distL="114300" distR="114300" simplePos="0" relativeHeight="251658752" behindDoc="0" locked="0" layoutInCell="1" allowOverlap="1">
              <wp:simplePos x="0" y="0"/>
              <wp:positionH relativeFrom="margin">
                <wp:posOffset>-152400</wp:posOffset>
              </wp:positionH>
              <wp:positionV relativeFrom="page">
                <wp:posOffset>1190625</wp:posOffset>
              </wp:positionV>
              <wp:extent cx="6924675" cy="86868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4675" cy="8686800"/>
                      </a:xfrm>
                      <a:prstGeom prst="rect">
                        <a:avLst/>
                      </a:prstGeom>
                      <a:solidFill>
                        <a:srgbClr val="FFFFFF"/>
                      </a:solidFill>
                      <a:ln w="9525">
                        <a:solidFill>
                          <a:srgbClr val="000000"/>
                        </a:solidFill>
                        <a:miter lim="800000"/>
                        <a:headEnd/>
                        <a:tailEnd/>
                      </a:ln>
                    </wps:spPr>
                    <wps:txbx>
                      <w:txbxContent>
                        <w:p w:rsidR="00511D25" w:rsidRDefault="00511D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9" type="#_x0000_t202" style="position:absolute;margin-left:-12pt;margin-top:93.75pt;width:545.25pt;height:68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">
              <v:textbox>
                <w:txbxContent>
                  <w:p w:rsidR="00511D25" w:rsidRDefault="00511D25"/>
                </w:txbxContent>
              </v:textbox>
              <w10:wrap anchorx="margin" anchory="page"/>
            </v:shape>
          </w:pict>
        </mc:Fallback>
      </mc:AlternateContent>
    </w:r>
  </w:p>
  <w:p w:rsidR="00511D25" w:rsidRDefault="00511D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034286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B76D4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A6DE4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04CF5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CED1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5C94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FCF9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A278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0C1D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06656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7E37B5"/>
    <w:multiLevelType w:val="hybridMultilevel"/>
    <w:tmpl w:val="1890C434"/>
    <w:lvl w:ilvl="0" w:tplc="74124CE0">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40564EF"/>
    <w:multiLevelType w:val="multilevel"/>
    <w:tmpl w:val="CF6632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734807"/>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060B7C66"/>
    <w:multiLevelType w:val="hybridMultilevel"/>
    <w:tmpl w:val="21EA8FD0"/>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0656415D"/>
    <w:multiLevelType w:val="hybridMultilevel"/>
    <w:tmpl w:val="0A8045E2"/>
    <w:lvl w:ilvl="0" w:tplc="81C85F9E">
      <w:start w:val="1"/>
      <w:numFmt w:val="decimal"/>
      <w:lvlText w:val="%1"/>
      <w:lvlJc w:val="left"/>
      <w:pPr>
        <w:tabs>
          <w:tab w:val="num" w:pos="567"/>
        </w:tabs>
        <w:ind w:left="567" w:hanging="567"/>
      </w:pPr>
      <w:rPr>
        <w:rFonts w:hint="default"/>
        <w:b w:val="0"/>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0CB47899"/>
    <w:multiLevelType w:val="hybridMultilevel"/>
    <w:tmpl w:val="8E68C1D0"/>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0F5271A4"/>
    <w:multiLevelType w:val="multilevel"/>
    <w:tmpl w:val="DAA0E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0106A9D"/>
    <w:multiLevelType w:val="hybridMultilevel"/>
    <w:tmpl w:val="60C833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27253EF"/>
    <w:multiLevelType w:val="multilevel"/>
    <w:tmpl w:val="666816CA"/>
    <w:lvl w:ilvl="0">
      <w:start w:val="1"/>
      <w:numFmt w:val="bullet"/>
      <w:lvlText w:val=""/>
      <w:lvlJc w:val="left"/>
      <w:pPr>
        <w:ind w:left="1069" w:hanging="360"/>
      </w:pPr>
      <w:rPr>
        <w:rFonts w:ascii="Symbol" w:hAnsi="Symbol" w:cs="Symbo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abstractNum w:abstractNumId="19" w15:restartNumberingAfterBreak="0">
    <w:nsid w:val="12917469"/>
    <w:multiLevelType w:val="hybridMultilevel"/>
    <w:tmpl w:val="082AB2C6"/>
    <w:lvl w:ilvl="0" w:tplc="EC307B82">
      <w:start w:val="1"/>
      <w:numFmt w:val="lowerLetter"/>
      <w:lvlText w:val="%1)"/>
      <w:lvlJc w:val="left"/>
      <w:pPr>
        <w:ind w:left="720" w:hanging="360"/>
      </w:pPr>
      <w:rPr>
        <w:rFonts w:ascii="Arial" w:hAnsi="Arial" w:cs="Arial" w:hint="default"/>
      </w:rPr>
    </w:lvl>
    <w:lvl w:ilvl="1" w:tplc="6838B648">
      <w:start w:val="1"/>
      <w:numFmt w:val="bullet"/>
      <w:lvlText w:val="-"/>
      <w:lvlJc w:val="left"/>
      <w:pPr>
        <w:ind w:left="1440" w:hanging="360"/>
      </w:pPr>
      <w:rPr>
        <w:rFonts w:ascii="Calibri" w:eastAsia="Times New Roman" w:hAnsi="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1417590B"/>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160035FA"/>
    <w:multiLevelType w:val="hybridMultilevel"/>
    <w:tmpl w:val="F6EA1B5E"/>
    <w:lvl w:ilvl="0" w:tplc="03CC1072">
      <w:start w:val="1"/>
      <w:numFmt w:val="lowerRoman"/>
      <w:lvlText w:val="%1)"/>
      <w:lvlJc w:val="right"/>
      <w:pPr>
        <w:ind w:left="720" w:hanging="360"/>
      </w:pPr>
      <w:rPr>
        <w:rFonts w:hint="default"/>
      </w:rPr>
    </w:lvl>
    <w:lvl w:ilvl="1" w:tplc="6838B648">
      <w:start w:val="1"/>
      <w:numFmt w:val="bullet"/>
      <w:lvlText w:val="-"/>
      <w:lvlJc w:val="left"/>
      <w:pPr>
        <w:ind w:left="1440" w:hanging="360"/>
      </w:pPr>
      <w:rPr>
        <w:rFonts w:ascii="Calibri" w:eastAsia="Times New Roman" w:hAnsi="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16957D2D"/>
    <w:multiLevelType w:val="hybridMultilevel"/>
    <w:tmpl w:val="B6D45072"/>
    <w:lvl w:ilvl="0" w:tplc="126895C4">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17832176"/>
    <w:multiLevelType w:val="hybridMultilevel"/>
    <w:tmpl w:val="347A883A"/>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187D18BC"/>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1E17091E"/>
    <w:multiLevelType w:val="hybridMultilevel"/>
    <w:tmpl w:val="67C08636"/>
    <w:lvl w:ilvl="0" w:tplc="1C4039D8">
      <w:start w:val="1"/>
      <w:numFmt w:val="decimal"/>
      <w:lvlText w:val="%1"/>
      <w:lvlJc w:val="left"/>
      <w:pPr>
        <w:tabs>
          <w:tab w:val="num" w:pos="993"/>
        </w:tabs>
        <w:ind w:left="993" w:hanging="567"/>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6" w15:restartNumberingAfterBreak="0">
    <w:nsid w:val="220D7736"/>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23F2211B"/>
    <w:multiLevelType w:val="multilevel"/>
    <w:tmpl w:val="614C401A"/>
    <w:styleLink w:val="WWNum3"/>
    <w:lvl w:ilvl="0">
      <w:start w:val="1"/>
      <w:numFmt w:val="decimal"/>
      <w:lvlText w:val="%1."/>
      <w:lvlJc w:val="left"/>
      <w:pPr>
        <w:ind w:left="36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8" w15:restartNumberingAfterBreak="0">
    <w:nsid w:val="25E508BE"/>
    <w:multiLevelType w:val="hybridMultilevel"/>
    <w:tmpl w:val="60C4B804"/>
    <w:lvl w:ilvl="0" w:tplc="E196C1FC">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15:restartNumberingAfterBreak="0">
    <w:nsid w:val="26DC7A0B"/>
    <w:multiLevelType w:val="multilevel"/>
    <w:tmpl w:val="932C92C2"/>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0" w15:restartNumberingAfterBreak="0">
    <w:nsid w:val="286E4625"/>
    <w:multiLevelType w:val="hybridMultilevel"/>
    <w:tmpl w:val="EDF69DE0"/>
    <w:lvl w:ilvl="0" w:tplc="0C0A0017">
      <w:start w:val="1"/>
      <w:numFmt w:val="lowerLetter"/>
      <w:lvlText w:val="%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29D05ACA"/>
    <w:multiLevelType w:val="multilevel"/>
    <w:tmpl w:val="6CF44776"/>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2" w15:restartNumberingAfterBreak="0">
    <w:nsid w:val="2CBC556F"/>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2D635A0E"/>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2E6921C8"/>
    <w:multiLevelType w:val="hybridMultilevel"/>
    <w:tmpl w:val="02BC4A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8D1EB4"/>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2F69007D"/>
    <w:multiLevelType w:val="hybridMultilevel"/>
    <w:tmpl w:val="72C2E288"/>
    <w:lvl w:ilvl="0" w:tplc="54801A9E">
      <w:start w:val="1"/>
      <w:numFmt w:val="decimal"/>
      <w:lvlText w:val="%1"/>
      <w:lvlJc w:val="left"/>
      <w:pPr>
        <w:tabs>
          <w:tab w:val="num" w:pos="567"/>
        </w:tabs>
        <w:ind w:left="567" w:hanging="567"/>
      </w:pPr>
      <w:rPr>
        <w:rFonts w:hint="default"/>
      </w:rPr>
    </w:lvl>
    <w:lvl w:ilvl="1" w:tplc="0C0A0017">
      <w:start w:val="1"/>
      <w:numFmt w:val="lowerLetter"/>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31BF1ECA"/>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31D73A04"/>
    <w:multiLevelType w:val="hybridMultilevel"/>
    <w:tmpl w:val="9632A636"/>
    <w:lvl w:ilvl="0" w:tplc="4EC2D008">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3383690D"/>
    <w:multiLevelType w:val="hybridMultilevel"/>
    <w:tmpl w:val="E8E40C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363845A0"/>
    <w:multiLevelType w:val="hybridMultilevel"/>
    <w:tmpl w:val="A240D8D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36EF2C34"/>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39E8333D"/>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3BA435EE"/>
    <w:multiLevelType w:val="hybridMultilevel"/>
    <w:tmpl w:val="F230AB1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7">
      <w:start w:val="1"/>
      <w:numFmt w:val="lowerLetter"/>
      <w:lvlText w:val="%8)"/>
      <w:lvlJc w:val="left"/>
      <w:pPr>
        <w:ind w:left="3338" w:hanging="360"/>
      </w:pPr>
    </w:lvl>
    <w:lvl w:ilvl="8" w:tplc="0C0A001B" w:tentative="1">
      <w:start w:val="1"/>
      <w:numFmt w:val="lowerRoman"/>
      <w:lvlText w:val="%9."/>
      <w:lvlJc w:val="right"/>
      <w:pPr>
        <w:ind w:left="6480" w:hanging="180"/>
      </w:pPr>
    </w:lvl>
  </w:abstractNum>
  <w:abstractNum w:abstractNumId="44" w15:restartNumberingAfterBreak="0">
    <w:nsid w:val="3EC7289B"/>
    <w:multiLevelType w:val="multilevel"/>
    <w:tmpl w:val="DAA0E2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3EE9240D"/>
    <w:multiLevelType w:val="hybridMultilevel"/>
    <w:tmpl w:val="A712E782"/>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407D4FB5"/>
    <w:multiLevelType w:val="hybridMultilevel"/>
    <w:tmpl w:val="906646B4"/>
    <w:lvl w:ilvl="0" w:tplc="126895C4">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42B4429C"/>
    <w:multiLevelType w:val="multilevel"/>
    <w:tmpl w:val="569AE1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decimal"/>
      <w:suff w:val="nothing"/>
      <w:lvlText w:val="...  %5"/>
      <w:lvlJc w:val="left"/>
      <w:pPr>
        <w:ind w:left="0" w:firstLine="0"/>
      </w:pPr>
    </w:lvl>
    <w:lvl w:ilvl="5">
      <w:start w:val="1"/>
      <w:numFmt w:val="decimal"/>
      <w:lvlText w:val="%6"/>
      <w:lvlJc w:val="left"/>
      <w:pPr>
        <w:ind w:left="357" w:hanging="357"/>
      </w:pPr>
      <w:rPr>
        <w:strike w:val="0"/>
        <w:dstrike w:val="0"/>
      </w:rPr>
    </w:lvl>
    <w:lvl w:ilvl="6">
      <w:start w:val="1"/>
      <w:numFmt w:val="lowerLetter"/>
      <w:lvlText w:val=")%7"/>
      <w:lvlJc w:val="left"/>
      <w:pPr>
        <w:ind w:left="723" w:hanging="363"/>
      </w:pPr>
    </w:lvl>
    <w:lvl w:ilvl="7">
      <w:start w:val="1"/>
      <w:numFmt w:val="lowerRoman"/>
      <w:lvlText w:val=")%8"/>
      <w:lvlJc w:val="center"/>
      <w:pPr>
        <w:ind w:left="1077" w:hanging="357"/>
      </w:pPr>
    </w:lvl>
    <w:lvl w:ilvl="8">
      <w:start w:val="1"/>
      <w:numFmt w:val="bullet"/>
      <w:lvlText w:val=""/>
      <w:lvlJc w:val="left"/>
      <w:pPr>
        <w:ind w:left="1440" w:hanging="363"/>
      </w:pPr>
      <w:rPr>
        <w:rFonts w:ascii="Symbol" w:hAnsi="Symbol" w:cs="Symbol" w:hint="default"/>
      </w:rPr>
    </w:lvl>
  </w:abstractNum>
  <w:abstractNum w:abstractNumId="48" w15:restartNumberingAfterBreak="0">
    <w:nsid w:val="454777D0"/>
    <w:multiLevelType w:val="hybridMultilevel"/>
    <w:tmpl w:val="4F1EB078"/>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A0684FFC">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17">
      <w:start w:val="1"/>
      <w:numFmt w:val="lowerLetter"/>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15:restartNumberingAfterBreak="0">
    <w:nsid w:val="52610B3C"/>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0" w15:restartNumberingAfterBreak="0">
    <w:nsid w:val="54A511C1"/>
    <w:multiLevelType w:val="hybridMultilevel"/>
    <w:tmpl w:val="8C1800C4"/>
    <w:lvl w:ilvl="0" w:tplc="03CC1072">
      <w:start w:val="1"/>
      <w:numFmt w:val="lowerRoman"/>
      <w:lvlText w:val="%1)"/>
      <w:lvlJc w:val="righ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1" w15:restartNumberingAfterBreak="0">
    <w:nsid w:val="57801723"/>
    <w:multiLevelType w:val="hybridMultilevel"/>
    <w:tmpl w:val="4A309A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2" w15:restartNumberingAfterBreak="0">
    <w:nsid w:val="580048FF"/>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3" w15:restartNumberingAfterBreak="0">
    <w:nsid w:val="595B3A4D"/>
    <w:multiLevelType w:val="hybridMultilevel"/>
    <w:tmpl w:val="A240D8D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59E610AA"/>
    <w:multiLevelType w:val="hybridMultilevel"/>
    <w:tmpl w:val="048CE6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5" w15:restartNumberingAfterBreak="0">
    <w:nsid w:val="5A907CAD"/>
    <w:multiLevelType w:val="multilevel"/>
    <w:tmpl w:val="8BD60FF6"/>
    <w:lvl w:ilvl="0">
      <w:start w:val="1"/>
      <w:numFmt w:val="bullet"/>
      <w:lvlText w:val=""/>
      <w:lvlJc w:val="left"/>
      <w:pPr>
        <w:ind w:left="1785" w:hanging="360"/>
      </w:pPr>
      <w:rPr>
        <w:rFonts w:ascii="Symbol" w:hAnsi="Symbol" w:cs="Symbol" w:hint="default"/>
      </w:rPr>
    </w:lvl>
    <w:lvl w:ilvl="1">
      <w:start w:val="1"/>
      <w:numFmt w:val="bullet"/>
      <w:lvlText w:val="o"/>
      <w:lvlJc w:val="left"/>
      <w:pPr>
        <w:ind w:left="2505" w:hanging="360"/>
      </w:pPr>
      <w:rPr>
        <w:rFonts w:ascii="Courier New" w:hAnsi="Courier New" w:cs="Courier New" w:hint="default"/>
      </w:rPr>
    </w:lvl>
    <w:lvl w:ilvl="2">
      <w:start w:val="1"/>
      <w:numFmt w:val="bullet"/>
      <w:lvlText w:val=""/>
      <w:lvlJc w:val="left"/>
      <w:pPr>
        <w:ind w:left="3225" w:hanging="360"/>
      </w:pPr>
      <w:rPr>
        <w:rFonts w:ascii="Wingdings" w:hAnsi="Wingdings" w:cs="Wingdings" w:hint="default"/>
      </w:rPr>
    </w:lvl>
    <w:lvl w:ilvl="3">
      <w:start w:val="1"/>
      <w:numFmt w:val="bullet"/>
      <w:lvlText w:val=""/>
      <w:lvlJc w:val="left"/>
      <w:pPr>
        <w:ind w:left="3945" w:hanging="360"/>
      </w:pPr>
      <w:rPr>
        <w:rFonts w:ascii="Symbol" w:hAnsi="Symbol" w:cs="Symbol" w:hint="default"/>
      </w:rPr>
    </w:lvl>
    <w:lvl w:ilvl="4">
      <w:start w:val="1"/>
      <w:numFmt w:val="bullet"/>
      <w:lvlText w:val="o"/>
      <w:lvlJc w:val="left"/>
      <w:pPr>
        <w:ind w:left="4665" w:hanging="360"/>
      </w:pPr>
      <w:rPr>
        <w:rFonts w:ascii="Courier New" w:hAnsi="Courier New" w:cs="Courier New" w:hint="default"/>
      </w:rPr>
    </w:lvl>
    <w:lvl w:ilvl="5">
      <w:start w:val="1"/>
      <w:numFmt w:val="bullet"/>
      <w:lvlText w:val=""/>
      <w:lvlJc w:val="left"/>
      <w:pPr>
        <w:ind w:left="5385" w:hanging="360"/>
      </w:pPr>
      <w:rPr>
        <w:rFonts w:ascii="Wingdings" w:hAnsi="Wingdings" w:cs="Wingdings" w:hint="default"/>
      </w:rPr>
    </w:lvl>
    <w:lvl w:ilvl="6">
      <w:start w:val="1"/>
      <w:numFmt w:val="bullet"/>
      <w:lvlText w:val=""/>
      <w:lvlJc w:val="left"/>
      <w:pPr>
        <w:ind w:left="6105" w:hanging="360"/>
      </w:pPr>
      <w:rPr>
        <w:rFonts w:ascii="Symbol" w:hAnsi="Symbol" w:cs="Symbol" w:hint="default"/>
      </w:rPr>
    </w:lvl>
    <w:lvl w:ilvl="7">
      <w:start w:val="1"/>
      <w:numFmt w:val="bullet"/>
      <w:lvlText w:val="o"/>
      <w:lvlJc w:val="left"/>
      <w:pPr>
        <w:ind w:left="6825" w:hanging="360"/>
      </w:pPr>
      <w:rPr>
        <w:rFonts w:ascii="Courier New" w:hAnsi="Courier New" w:cs="Courier New" w:hint="default"/>
      </w:rPr>
    </w:lvl>
    <w:lvl w:ilvl="8">
      <w:start w:val="1"/>
      <w:numFmt w:val="bullet"/>
      <w:lvlText w:val=""/>
      <w:lvlJc w:val="left"/>
      <w:pPr>
        <w:ind w:left="7545" w:hanging="360"/>
      </w:pPr>
      <w:rPr>
        <w:rFonts w:ascii="Wingdings" w:hAnsi="Wingdings" w:cs="Wingdings" w:hint="default"/>
      </w:rPr>
    </w:lvl>
  </w:abstractNum>
  <w:abstractNum w:abstractNumId="56" w15:restartNumberingAfterBreak="0">
    <w:nsid w:val="5B50459C"/>
    <w:multiLevelType w:val="hybridMultilevel"/>
    <w:tmpl w:val="81A2A7B4"/>
    <w:lvl w:ilvl="0" w:tplc="68BA0428">
      <w:start w:val="4"/>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7" w15:restartNumberingAfterBreak="0">
    <w:nsid w:val="5D721913"/>
    <w:multiLevelType w:val="hybridMultilevel"/>
    <w:tmpl w:val="A796C3DA"/>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15:restartNumberingAfterBreak="0">
    <w:nsid w:val="5E261BFB"/>
    <w:multiLevelType w:val="hybridMultilevel"/>
    <w:tmpl w:val="4F1EB078"/>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A0684FFC">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17">
      <w:start w:val="1"/>
      <w:numFmt w:val="lowerLetter"/>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9" w15:restartNumberingAfterBreak="0">
    <w:nsid w:val="621753E7"/>
    <w:multiLevelType w:val="hybridMultilevel"/>
    <w:tmpl w:val="B7CA73D8"/>
    <w:lvl w:ilvl="0" w:tplc="E536DAD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0" w15:restartNumberingAfterBreak="0">
    <w:nsid w:val="688E4AFE"/>
    <w:multiLevelType w:val="multilevel"/>
    <w:tmpl w:val="70CA524A"/>
    <w:lvl w:ilvl="0">
      <w:start w:val="1"/>
      <w:numFmt w:val="bullet"/>
      <w:lvlText w:val=""/>
      <w:lvlJc w:val="left"/>
      <w:pPr>
        <w:ind w:left="1428" w:hanging="360"/>
      </w:pPr>
      <w:rPr>
        <w:rFonts w:ascii="Symbol" w:hAnsi="Symbol" w:cs="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rPr>
    </w:lvl>
    <w:lvl w:ilvl="3">
      <w:start w:val="1"/>
      <w:numFmt w:val="bullet"/>
      <w:lvlText w:val=""/>
      <w:lvlJc w:val="left"/>
      <w:pPr>
        <w:ind w:left="3588" w:hanging="360"/>
      </w:pPr>
      <w:rPr>
        <w:rFonts w:ascii="Symbol" w:hAnsi="Symbol" w:cs="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rPr>
    </w:lvl>
    <w:lvl w:ilvl="6">
      <w:start w:val="1"/>
      <w:numFmt w:val="bullet"/>
      <w:lvlText w:val=""/>
      <w:lvlJc w:val="left"/>
      <w:pPr>
        <w:ind w:left="5748" w:hanging="360"/>
      </w:pPr>
      <w:rPr>
        <w:rFonts w:ascii="Symbol" w:hAnsi="Symbol" w:cs="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rPr>
    </w:lvl>
  </w:abstractNum>
  <w:abstractNum w:abstractNumId="61" w15:restartNumberingAfterBreak="0">
    <w:nsid w:val="68B93F93"/>
    <w:multiLevelType w:val="multilevel"/>
    <w:tmpl w:val="55B6AD18"/>
    <w:lvl w:ilvl="0">
      <w:start w:val="1"/>
      <w:numFmt w:val="none"/>
      <w:suff w:val="nothing"/>
      <w:lvlText w:val="%1"/>
      <w:lvlJc w:val="left"/>
      <w:pPr>
        <w:ind w:left="0" w:firstLine="0"/>
      </w:pPr>
      <w:rPr>
        <w:rFonts w:ascii="Arial" w:hAnsi="Arial" w:hint="default"/>
        <w:b/>
        <w:i w:val="0"/>
        <w:sz w:val="28"/>
      </w:rPr>
    </w:lvl>
    <w:lvl w:ilvl="1">
      <w:start w:val="1"/>
      <w:numFmt w:val="none"/>
      <w:suff w:val="nothing"/>
      <w:lvlText w:val="%2"/>
      <w:lvlJc w:val="left"/>
      <w:pPr>
        <w:ind w:left="0" w:firstLine="0"/>
      </w:pPr>
      <w:rPr>
        <w:rFonts w:ascii="Arial" w:hAnsi="Arial" w:hint="default"/>
        <w:b/>
        <w:i w:val="0"/>
        <w:sz w:val="28"/>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Restart w:val="4"/>
      <w:lvlText w:val="%6"/>
      <w:lvlJc w:val="left"/>
      <w:pPr>
        <w:tabs>
          <w:tab w:val="num" w:pos="360"/>
        </w:tabs>
        <w:ind w:left="357" w:hanging="357"/>
      </w:pPr>
      <w:rPr>
        <w:rFonts w:hint="default"/>
      </w:rPr>
    </w:lvl>
    <w:lvl w:ilvl="6">
      <w:start w:val="1"/>
      <w:numFmt w:val="lowerLetter"/>
      <w:lvlText w:val="%7)"/>
      <w:lvlJc w:val="left"/>
      <w:pPr>
        <w:tabs>
          <w:tab w:val="num" w:pos="720"/>
        </w:tabs>
        <w:ind w:left="720" w:hanging="363"/>
      </w:pPr>
      <w:rPr>
        <w:rFonts w:hint="default"/>
      </w:rPr>
    </w:lvl>
    <w:lvl w:ilvl="7">
      <w:start w:val="1"/>
      <w:numFmt w:val="lowerRoman"/>
      <w:lvlText w:val="%8)"/>
      <w:lvlJc w:val="center"/>
      <w:pPr>
        <w:tabs>
          <w:tab w:val="num" w:pos="1080"/>
        </w:tabs>
        <w:ind w:left="1077" w:hanging="357"/>
      </w:pPr>
      <w:rPr>
        <w:rFonts w:hint="default"/>
      </w:rPr>
    </w:lvl>
    <w:lvl w:ilvl="8">
      <w:start w:val="1"/>
      <w:numFmt w:val="bullet"/>
      <w:lvlText w:val=""/>
      <w:lvlJc w:val="left"/>
      <w:pPr>
        <w:tabs>
          <w:tab w:val="num" w:pos="1440"/>
        </w:tabs>
        <w:ind w:left="1440" w:hanging="363"/>
      </w:pPr>
      <w:rPr>
        <w:rFonts w:ascii="Symbol" w:hAnsi="Symbol" w:hint="default"/>
        <w:color w:val="auto"/>
      </w:rPr>
    </w:lvl>
  </w:abstractNum>
  <w:abstractNum w:abstractNumId="62" w15:restartNumberingAfterBreak="0">
    <w:nsid w:val="69535BD8"/>
    <w:multiLevelType w:val="hybridMultilevel"/>
    <w:tmpl w:val="D2161AC2"/>
    <w:lvl w:ilvl="0" w:tplc="0C0A0017">
      <w:start w:val="1"/>
      <w:numFmt w:val="lowerLetter"/>
      <w:lvlText w:val="%1)"/>
      <w:lvlJc w:val="left"/>
      <w:pPr>
        <w:ind w:left="786" w:hanging="360"/>
      </w:pPr>
    </w:lvl>
    <w:lvl w:ilvl="1" w:tplc="03CC1072">
      <w:start w:val="1"/>
      <w:numFmt w:val="lowerRoman"/>
      <w:lvlText w:val="%2)"/>
      <w:lvlJc w:val="right"/>
      <w:pPr>
        <w:ind w:left="1506" w:hanging="360"/>
      </w:pPr>
      <w:rPr>
        <w:rFonts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3" w15:restartNumberingAfterBreak="0">
    <w:nsid w:val="6BFC7DB1"/>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15:restartNumberingAfterBreak="0">
    <w:nsid w:val="6DC30ED0"/>
    <w:multiLevelType w:val="multilevel"/>
    <w:tmpl w:val="D62CD28E"/>
    <w:lvl w:ilvl="0">
      <w:start w:val="1"/>
      <w:numFmt w:val="decimal"/>
      <w:lvlText w:val="%1."/>
      <w:lvlJc w:val="left"/>
      <w:pPr>
        <w:ind w:left="36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5" w15:restartNumberingAfterBreak="0">
    <w:nsid w:val="6FA14B54"/>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15:restartNumberingAfterBreak="0">
    <w:nsid w:val="72305FE1"/>
    <w:multiLevelType w:val="multilevel"/>
    <w:tmpl w:val="F08A93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75C712A2"/>
    <w:multiLevelType w:val="multilevel"/>
    <w:tmpl w:val="3E42DDBA"/>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decimal"/>
      <w:suff w:val="nothing"/>
      <w:lvlText w:val="%1.%2.%3.%4.%5  "/>
      <w:lvlJc w:val="left"/>
      <w:pPr>
        <w:ind w:left="0" w:firstLine="0"/>
      </w:pPr>
      <w:rPr>
        <w:rFonts w:hint="default"/>
      </w:rPr>
    </w:lvl>
    <w:lvl w:ilvl="5">
      <w:start w:val="1"/>
      <w:numFmt w:val="decimal"/>
      <w:lvlText w:val="%6"/>
      <w:lvlJc w:val="left"/>
      <w:pPr>
        <w:tabs>
          <w:tab w:val="num" w:pos="360"/>
        </w:tabs>
        <w:ind w:left="357" w:hanging="357"/>
      </w:pPr>
      <w:rPr>
        <w:rFonts w:hint="default"/>
        <w:strike w:val="0"/>
      </w:rPr>
    </w:lvl>
    <w:lvl w:ilvl="6">
      <w:start w:val="1"/>
      <w:numFmt w:val="lowerLetter"/>
      <w:lvlText w:val="%7)"/>
      <w:lvlJc w:val="left"/>
      <w:pPr>
        <w:tabs>
          <w:tab w:val="num" w:pos="723"/>
        </w:tabs>
        <w:ind w:left="723" w:hanging="363"/>
      </w:pPr>
      <w:rPr>
        <w:rFonts w:hint="default"/>
      </w:rPr>
    </w:lvl>
    <w:lvl w:ilvl="7">
      <w:start w:val="1"/>
      <w:numFmt w:val="lowerRoman"/>
      <w:lvlText w:val="%8)"/>
      <w:lvlJc w:val="center"/>
      <w:pPr>
        <w:tabs>
          <w:tab w:val="num" w:pos="1080"/>
        </w:tabs>
        <w:ind w:left="1077" w:hanging="357"/>
      </w:pPr>
      <w:rPr>
        <w:rFonts w:hint="default"/>
      </w:rPr>
    </w:lvl>
    <w:lvl w:ilvl="8">
      <w:start w:val="1"/>
      <w:numFmt w:val="bullet"/>
      <w:lvlText w:val=""/>
      <w:lvlJc w:val="left"/>
      <w:pPr>
        <w:tabs>
          <w:tab w:val="num" w:pos="1440"/>
        </w:tabs>
        <w:ind w:left="1440" w:hanging="363"/>
      </w:pPr>
      <w:rPr>
        <w:rFonts w:ascii="Symbol" w:hAnsi="Symbol" w:hint="default"/>
      </w:rPr>
    </w:lvl>
  </w:abstractNum>
  <w:abstractNum w:abstractNumId="68" w15:restartNumberingAfterBreak="0">
    <w:nsid w:val="7C481F08"/>
    <w:multiLevelType w:val="hybridMultilevel"/>
    <w:tmpl w:val="67C08636"/>
    <w:lvl w:ilvl="0" w:tplc="1C4039D8">
      <w:start w:val="1"/>
      <w:numFmt w:val="decimal"/>
      <w:lvlText w:val="%1"/>
      <w:lvlJc w:val="left"/>
      <w:pPr>
        <w:tabs>
          <w:tab w:val="num" w:pos="993"/>
        </w:tabs>
        <w:ind w:left="993" w:hanging="567"/>
      </w:pPr>
      <w:rPr>
        <w:rFonts w:hint="default"/>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9" w15:restartNumberingAfterBreak="0">
    <w:nsid w:val="7F970DBC"/>
    <w:multiLevelType w:val="hybridMultilevel"/>
    <w:tmpl w:val="A0461B76"/>
    <w:lvl w:ilvl="0" w:tplc="1C4039D8">
      <w:start w:val="1"/>
      <w:numFmt w:val="decimal"/>
      <w:lvlText w:val="%1"/>
      <w:lvlJc w:val="left"/>
      <w:pPr>
        <w:tabs>
          <w:tab w:val="num" w:pos="567"/>
        </w:tabs>
        <w:ind w:left="567" w:hanging="567"/>
      </w:pPr>
      <w:rPr>
        <w:rFonts w:hint="default"/>
      </w:rPr>
    </w:lvl>
    <w:lvl w:ilvl="1" w:tplc="DA92B9F6">
      <w:start w:val="1"/>
      <w:numFmt w:val="decimal"/>
      <w:lvlText w:val="%2"/>
      <w:lvlJc w:val="left"/>
      <w:pPr>
        <w:tabs>
          <w:tab w:val="num" w:pos="1134"/>
        </w:tabs>
        <w:ind w:left="1134" w:hanging="56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15:restartNumberingAfterBreak="0">
    <w:nsid w:val="7FDA3523"/>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10"/>
  </w:num>
  <w:num w:numId="3">
    <w:abstractNumId w:val="17"/>
  </w:num>
  <w:num w:numId="4">
    <w:abstractNumId w:val="64"/>
  </w:num>
  <w:num w:numId="5">
    <w:abstractNumId w:val="18"/>
  </w:num>
  <w:num w:numId="6">
    <w:abstractNumId w:val="47"/>
  </w:num>
  <w:num w:numId="7">
    <w:abstractNumId w:val="11"/>
  </w:num>
  <w:num w:numId="8">
    <w:abstractNumId w:val="29"/>
  </w:num>
  <w:num w:numId="9">
    <w:abstractNumId w:val="55"/>
  </w:num>
  <w:num w:numId="10">
    <w:abstractNumId w:val="60"/>
  </w:num>
  <w:num w:numId="11">
    <w:abstractNumId w:val="31"/>
  </w:num>
  <w:num w:numId="12">
    <w:abstractNumId w:val="66"/>
  </w:num>
  <w:num w:numId="13">
    <w:abstractNumId w:val="16"/>
  </w:num>
  <w:num w:numId="14">
    <w:abstractNumId w:val="39"/>
  </w:num>
  <w:num w:numId="15">
    <w:abstractNumId w:val="4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67"/>
  </w:num>
  <w:num w:numId="27">
    <w:abstractNumId w:val="46"/>
  </w:num>
  <w:num w:numId="28">
    <w:abstractNumId w:val="54"/>
  </w:num>
  <w:num w:numId="29">
    <w:abstractNumId w:val="61"/>
  </w:num>
  <w:num w:numId="30">
    <w:abstractNumId w:val="19"/>
  </w:num>
  <w:num w:numId="31">
    <w:abstractNumId w:val="51"/>
  </w:num>
  <w:num w:numId="32">
    <w:abstractNumId w:val="50"/>
  </w:num>
  <w:num w:numId="33">
    <w:abstractNumId w:val="38"/>
  </w:num>
  <w:num w:numId="34">
    <w:abstractNumId w:val="62"/>
  </w:num>
  <w:num w:numId="35">
    <w:abstractNumId w:val="43"/>
  </w:num>
  <w:num w:numId="36">
    <w:abstractNumId w:val="70"/>
  </w:num>
  <w:num w:numId="37">
    <w:abstractNumId w:val="21"/>
  </w:num>
  <w:num w:numId="38">
    <w:abstractNumId w:val="14"/>
  </w:num>
  <w:num w:numId="39">
    <w:abstractNumId w:val="36"/>
  </w:num>
  <w:num w:numId="40">
    <w:abstractNumId w:val="56"/>
  </w:num>
  <w:num w:numId="41">
    <w:abstractNumId w:val="57"/>
  </w:num>
  <w:num w:numId="42">
    <w:abstractNumId w:val="41"/>
  </w:num>
  <w:num w:numId="43">
    <w:abstractNumId w:val="35"/>
  </w:num>
  <w:num w:numId="44">
    <w:abstractNumId w:val="32"/>
  </w:num>
  <w:num w:numId="45">
    <w:abstractNumId w:val="12"/>
  </w:num>
  <w:num w:numId="46">
    <w:abstractNumId w:val="13"/>
  </w:num>
  <w:num w:numId="47">
    <w:abstractNumId w:val="53"/>
  </w:num>
  <w:num w:numId="48">
    <w:abstractNumId w:val="26"/>
  </w:num>
  <w:num w:numId="49">
    <w:abstractNumId w:val="33"/>
  </w:num>
  <w:num w:numId="50">
    <w:abstractNumId w:val="65"/>
  </w:num>
  <w:num w:numId="51">
    <w:abstractNumId w:val="49"/>
  </w:num>
  <w:num w:numId="52">
    <w:abstractNumId w:val="24"/>
  </w:num>
  <w:num w:numId="53">
    <w:abstractNumId w:val="63"/>
  </w:num>
  <w:num w:numId="54">
    <w:abstractNumId w:val="52"/>
  </w:num>
  <w:num w:numId="55">
    <w:abstractNumId w:val="37"/>
  </w:num>
  <w:num w:numId="56">
    <w:abstractNumId w:val="23"/>
  </w:num>
  <w:num w:numId="57">
    <w:abstractNumId w:val="69"/>
  </w:num>
  <w:num w:numId="58">
    <w:abstractNumId w:val="15"/>
  </w:num>
  <w:num w:numId="59">
    <w:abstractNumId w:val="45"/>
  </w:num>
  <w:num w:numId="60">
    <w:abstractNumId w:val="28"/>
  </w:num>
  <w:num w:numId="61">
    <w:abstractNumId w:val="40"/>
  </w:num>
  <w:num w:numId="62">
    <w:abstractNumId w:val="48"/>
  </w:num>
  <w:num w:numId="63">
    <w:abstractNumId w:val="25"/>
  </w:num>
  <w:num w:numId="64">
    <w:abstractNumId w:val="68"/>
  </w:num>
  <w:num w:numId="65">
    <w:abstractNumId w:val="30"/>
  </w:num>
  <w:num w:numId="66">
    <w:abstractNumId w:val="42"/>
  </w:num>
  <w:num w:numId="67">
    <w:abstractNumId w:val="59"/>
  </w:num>
  <w:num w:numId="68">
    <w:abstractNumId w:val="20"/>
  </w:num>
  <w:num w:numId="69">
    <w:abstractNumId w:val="58"/>
  </w:num>
  <w:num w:numId="70">
    <w:abstractNumId w:val="22"/>
  </w:num>
  <w:num w:numId="71">
    <w:abstractNumId w:val="3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GB" w:vendorID="64" w:dllVersion="131078" w:nlCheck="1" w:checkStyle="0"/>
  <w:activeWritingStyle w:appName="MSWord" w:lang="fr-FR"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9A5"/>
    <w:rsid w:val="000022EA"/>
    <w:rsid w:val="00012652"/>
    <w:rsid w:val="00021ECF"/>
    <w:rsid w:val="00024602"/>
    <w:rsid w:val="00025E15"/>
    <w:rsid w:val="00037CDA"/>
    <w:rsid w:val="00047620"/>
    <w:rsid w:val="00053136"/>
    <w:rsid w:val="000619FB"/>
    <w:rsid w:val="00061E57"/>
    <w:rsid w:val="00065C9A"/>
    <w:rsid w:val="0007408D"/>
    <w:rsid w:val="0009371D"/>
    <w:rsid w:val="00093F76"/>
    <w:rsid w:val="000A1240"/>
    <w:rsid w:val="000A1E18"/>
    <w:rsid w:val="000A29CD"/>
    <w:rsid w:val="000B0394"/>
    <w:rsid w:val="000B48C8"/>
    <w:rsid w:val="000B6541"/>
    <w:rsid w:val="000D0247"/>
    <w:rsid w:val="000F1D07"/>
    <w:rsid w:val="000F2780"/>
    <w:rsid w:val="000F6CD0"/>
    <w:rsid w:val="0012341B"/>
    <w:rsid w:val="0012797F"/>
    <w:rsid w:val="00134CA0"/>
    <w:rsid w:val="00143D35"/>
    <w:rsid w:val="00163FC7"/>
    <w:rsid w:val="00164483"/>
    <w:rsid w:val="00175E40"/>
    <w:rsid w:val="001847DA"/>
    <w:rsid w:val="0018790B"/>
    <w:rsid w:val="00195B7E"/>
    <w:rsid w:val="001964D3"/>
    <w:rsid w:val="001A109A"/>
    <w:rsid w:val="001A25FA"/>
    <w:rsid w:val="001A3BE4"/>
    <w:rsid w:val="001A53CE"/>
    <w:rsid w:val="001A7D16"/>
    <w:rsid w:val="001A7D2C"/>
    <w:rsid w:val="001B156F"/>
    <w:rsid w:val="001C3DAA"/>
    <w:rsid w:val="001D5E6F"/>
    <w:rsid w:val="001D694C"/>
    <w:rsid w:val="001E599A"/>
    <w:rsid w:val="001E7FC2"/>
    <w:rsid w:val="001F59F1"/>
    <w:rsid w:val="00203F15"/>
    <w:rsid w:val="00205EA2"/>
    <w:rsid w:val="00207F77"/>
    <w:rsid w:val="002134F5"/>
    <w:rsid w:val="0021451F"/>
    <w:rsid w:val="00217E7E"/>
    <w:rsid w:val="0022053B"/>
    <w:rsid w:val="00220936"/>
    <w:rsid w:val="002212AB"/>
    <w:rsid w:val="00230F35"/>
    <w:rsid w:val="002326A1"/>
    <w:rsid w:val="00244619"/>
    <w:rsid w:val="002446B4"/>
    <w:rsid w:val="002508B0"/>
    <w:rsid w:val="00254DFE"/>
    <w:rsid w:val="00255D36"/>
    <w:rsid w:val="00264A60"/>
    <w:rsid w:val="00266120"/>
    <w:rsid w:val="0027430F"/>
    <w:rsid w:val="0027747A"/>
    <w:rsid w:val="00284240"/>
    <w:rsid w:val="002A0015"/>
    <w:rsid w:val="002A07C9"/>
    <w:rsid w:val="002A4DDF"/>
    <w:rsid w:val="002B1FE5"/>
    <w:rsid w:val="002B2F7B"/>
    <w:rsid w:val="002B7BC5"/>
    <w:rsid w:val="002C018C"/>
    <w:rsid w:val="002D2C01"/>
    <w:rsid w:val="002D6828"/>
    <w:rsid w:val="002E597B"/>
    <w:rsid w:val="002F740E"/>
    <w:rsid w:val="00302563"/>
    <w:rsid w:val="003133A3"/>
    <w:rsid w:val="00313465"/>
    <w:rsid w:val="003140E6"/>
    <w:rsid w:val="00316D4B"/>
    <w:rsid w:val="00320B05"/>
    <w:rsid w:val="00337377"/>
    <w:rsid w:val="00351F7B"/>
    <w:rsid w:val="00353378"/>
    <w:rsid w:val="003622AA"/>
    <w:rsid w:val="00363EFE"/>
    <w:rsid w:val="003654E5"/>
    <w:rsid w:val="003661B4"/>
    <w:rsid w:val="00371764"/>
    <w:rsid w:val="0037696C"/>
    <w:rsid w:val="00376F0E"/>
    <w:rsid w:val="00391D53"/>
    <w:rsid w:val="00395A1E"/>
    <w:rsid w:val="003974EC"/>
    <w:rsid w:val="003A5CEB"/>
    <w:rsid w:val="003B0B59"/>
    <w:rsid w:val="003B489F"/>
    <w:rsid w:val="003B5E62"/>
    <w:rsid w:val="003E38D0"/>
    <w:rsid w:val="00411CE8"/>
    <w:rsid w:val="00413EA4"/>
    <w:rsid w:val="00416E9E"/>
    <w:rsid w:val="00420AB8"/>
    <w:rsid w:val="00422D0C"/>
    <w:rsid w:val="004241A5"/>
    <w:rsid w:val="00425ADA"/>
    <w:rsid w:val="00431690"/>
    <w:rsid w:val="004410BF"/>
    <w:rsid w:val="00446FEA"/>
    <w:rsid w:val="00447DB2"/>
    <w:rsid w:val="00451796"/>
    <w:rsid w:val="004520BF"/>
    <w:rsid w:val="004536B4"/>
    <w:rsid w:val="004627F1"/>
    <w:rsid w:val="00466613"/>
    <w:rsid w:val="004719D0"/>
    <w:rsid w:val="004836CD"/>
    <w:rsid w:val="0048512C"/>
    <w:rsid w:val="004871F0"/>
    <w:rsid w:val="0049699A"/>
    <w:rsid w:val="004A05DE"/>
    <w:rsid w:val="004A742D"/>
    <w:rsid w:val="004B4F4F"/>
    <w:rsid w:val="004B6EAB"/>
    <w:rsid w:val="004C1DEE"/>
    <w:rsid w:val="004C34CA"/>
    <w:rsid w:val="004D29F1"/>
    <w:rsid w:val="004D39F6"/>
    <w:rsid w:val="004D58CD"/>
    <w:rsid w:val="004E06DA"/>
    <w:rsid w:val="004F1C14"/>
    <w:rsid w:val="004F5D35"/>
    <w:rsid w:val="00501560"/>
    <w:rsid w:val="0050310D"/>
    <w:rsid w:val="00511D25"/>
    <w:rsid w:val="00514F21"/>
    <w:rsid w:val="0052074A"/>
    <w:rsid w:val="005207E6"/>
    <w:rsid w:val="005228B5"/>
    <w:rsid w:val="00534C89"/>
    <w:rsid w:val="00540CD1"/>
    <w:rsid w:val="00541C76"/>
    <w:rsid w:val="00556498"/>
    <w:rsid w:val="00565EDE"/>
    <w:rsid w:val="00566DD8"/>
    <w:rsid w:val="0058501F"/>
    <w:rsid w:val="0059129F"/>
    <w:rsid w:val="00592DE6"/>
    <w:rsid w:val="005A03B9"/>
    <w:rsid w:val="005A03D9"/>
    <w:rsid w:val="005A61F1"/>
    <w:rsid w:val="005A7163"/>
    <w:rsid w:val="005B39C2"/>
    <w:rsid w:val="005B47AF"/>
    <w:rsid w:val="005B7917"/>
    <w:rsid w:val="005C2EB3"/>
    <w:rsid w:val="005C426E"/>
    <w:rsid w:val="005D1668"/>
    <w:rsid w:val="005D2AE6"/>
    <w:rsid w:val="005D3388"/>
    <w:rsid w:val="005E4ABF"/>
    <w:rsid w:val="005E64E3"/>
    <w:rsid w:val="005E798E"/>
    <w:rsid w:val="005F2DC9"/>
    <w:rsid w:val="005F61FB"/>
    <w:rsid w:val="00604397"/>
    <w:rsid w:val="0061349E"/>
    <w:rsid w:val="00641F84"/>
    <w:rsid w:val="00646BFA"/>
    <w:rsid w:val="006547FE"/>
    <w:rsid w:val="00661193"/>
    <w:rsid w:val="00664BF8"/>
    <w:rsid w:val="00673BCB"/>
    <w:rsid w:val="00675F2C"/>
    <w:rsid w:val="00675FBE"/>
    <w:rsid w:val="006765C8"/>
    <w:rsid w:val="00684A09"/>
    <w:rsid w:val="006928D6"/>
    <w:rsid w:val="0069357C"/>
    <w:rsid w:val="00697E22"/>
    <w:rsid w:val="006A1A0A"/>
    <w:rsid w:val="006A226E"/>
    <w:rsid w:val="006B79A5"/>
    <w:rsid w:val="006C073B"/>
    <w:rsid w:val="006C0861"/>
    <w:rsid w:val="006C3DFE"/>
    <w:rsid w:val="006C4BA1"/>
    <w:rsid w:val="006C641F"/>
    <w:rsid w:val="006D4871"/>
    <w:rsid w:val="006D5698"/>
    <w:rsid w:val="006D67B4"/>
    <w:rsid w:val="006D68A4"/>
    <w:rsid w:val="006E5E5C"/>
    <w:rsid w:val="006F7D38"/>
    <w:rsid w:val="0071227C"/>
    <w:rsid w:val="007149B3"/>
    <w:rsid w:val="007155D2"/>
    <w:rsid w:val="00717BB3"/>
    <w:rsid w:val="007213B5"/>
    <w:rsid w:val="00724B78"/>
    <w:rsid w:val="00726BD2"/>
    <w:rsid w:val="0073699D"/>
    <w:rsid w:val="00737F0E"/>
    <w:rsid w:val="00740E98"/>
    <w:rsid w:val="0074184A"/>
    <w:rsid w:val="00747473"/>
    <w:rsid w:val="0075213E"/>
    <w:rsid w:val="007522A6"/>
    <w:rsid w:val="00771876"/>
    <w:rsid w:val="007822E4"/>
    <w:rsid w:val="007822EC"/>
    <w:rsid w:val="00786EBA"/>
    <w:rsid w:val="00796414"/>
    <w:rsid w:val="007A3974"/>
    <w:rsid w:val="007A4FDC"/>
    <w:rsid w:val="007A61FF"/>
    <w:rsid w:val="007B282B"/>
    <w:rsid w:val="007B7B00"/>
    <w:rsid w:val="007B7D42"/>
    <w:rsid w:val="007E3E41"/>
    <w:rsid w:val="00800741"/>
    <w:rsid w:val="0080096B"/>
    <w:rsid w:val="00804EB4"/>
    <w:rsid w:val="008242B3"/>
    <w:rsid w:val="00825D8E"/>
    <w:rsid w:val="008276E8"/>
    <w:rsid w:val="00831252"/>
    <w:rsid w:val="00831B50"/>
    <w:rsid w:val="00832203"/>
    <w:rsid w:val="00835E66"/>
    <w:rsid w:val="008449CB"/>
    <w:rsid w:val="0084739B"/>
    <w:rsid w:val="00852413"/>
    <w:rsid w:val="008525CD"/>
    <w:rsid w:val="008544EC"/>
    <w:rsid w:val="00856C69"/>
    <w:rsid w:val="008650D8"/>
    <w:rsid w:val="008657F4"/>
    <w:rsid w:val="00865B66"/>
    <w:rsid w:val="00870174"/>
    <w:rsid w:val="008702AC"/>
    <w:rsid w:val="00881B37"/>
    <w:rsid w:val="00884B41"/>
    <w:rsid w:val="0088649D"/>
    <w:rsid w:val="00891D55"/>
    <w:rsid w:val="008A6483"/>
    <w:rsid w:val="008B09F4"/>
    <w:rsid w:val="008B7FB5"/>
    <w:rsid w:val="008C5A28"/>
    <w:rsid w:val="008C5A72"/>
    <w:rsid w:val="008D479C"/>
    <w:rsid w:val="008D4E3C"/>
    <w:rsid w:val="008E26EF"/>
    <w:rsid w:val="009110ED"/>
    <w:rsid w:val="00922D2F"/>
    <w:rsid w:val="00923FE7"/>
    <w:rsid w:val="009346E1"/>
    <w:rsid w:val="00935676"/>
    <w:rsid w:val="0093712F"/>
    <w:rsid w:val="00937C8B"/>
    <w:rsid w:val="00942939"/>
    <w:rsid w:val="009467D5"/>
    <w:rsid w:val="00952002"/>
    <w:rsid w:val="00955046"/>
    <w:rsid w:val="00957C7F"/>
    <w:rsid w:val="00963993"/>
    <w:rsid w:val="00970C62"/>
    <w:rsid w:val="00992355"/>
    <w:rsid w:val="00993B5C"/>
    <w:rsid w:val="00997D87"/>
    <w:rsid w:val="009A00D3"/>
    <w:rsid w:val="009A0641"/>
    <w:rsid w:val="009A26F3"/>
    <w:rsid w:val="009A61BC"/>
    <w:rsid w:val="009B0005"/>
    <w:rsid w:val="009C6A56"/>
    <w:rsid w:val="009F6AAD"/>
    <w:rsid w:val="00A03C86"/>
    <w:rsid w:val="00A27EBD"/>
    <w:rsid w:val="00A32FE4"/>
    <w:rsid w:val="00A35ACB"/>
    <w:rsid w:val="00A73356"/>
    <w:rsid w:val="00A77C79"/>
    <w:rsid w:val="00A92566"/>
    <w:rsid w:val="00AA28BA"/>
    <w:rsid w:val="00AA59B0"/>
    <w:rsid w:val="00AA5B1B"/>
    <w:rsid w:val="00AA5D2F"/>
    <w:rsid w:val="00AB0E4B"/>
    <w:rsid w:val="00AB4B1D"/>
    <w:rsid w:val="00AC442C"/>
    <w:rsid w:val="00AC595F"/>
    <w:rsid w:val="00AE05F8"/>
    <w:rsid w:val="00AE2A37"/>
    <w:rsid w:val="00AE4879"/>
    <w:rsid w:val="00AE77A1"/>
    <w:rsid w:val="00AF174F"/>
    <w:rsid w:val="00AF23B2"/>
    <w:rsid w:val="00AF3131"/>
    <w:rsid w:val="00B012AB"/>
    <w:rsid w:val="00B03762"/>
    <w:rsid w:val="00B03CC6"/>
    <w:rsid w:val="00B120EB"/>
    <w:rsid w:val="00B128CB"/>
    <w:rsid w:val="00B3445A"/>
    <w:rsid w:val="00B44AA1"/>
    <w:rsid w:val="00B45228"/>
    <w:rsid w:val="00B517E8"/>
    <w:rsid w:val="00B60432"/>
    <w:rsid w:val="00B638E3"/>
    <w:rsid w:val="00B81144"/>
    <w:rsid w:val="00B817A7"/>
    <w:rsid w:val="00B832DB"/>
    <w:rsid w:val="00B87C1D"/>
    <w:rsid w:val="00BB4451"/>
    <w:rsid w:val="00BB6ADF"/>
    <w:rsid w:val="00BD20A7"/>
    <w:rsid w:val="00BD21F6"/>
    <w:rsid w:val="00BE0B9A"/>
    <w:rsid w:val="00BE563D"/>
    <w:rsid w:val="00C11F90"/>
    <w:rsid w:val="00C1495A"/>
    <w:rsid w:val="00C30CAF"/>
    <w:rsid w:val="00C31661"/>
    <w:rsid w:val="00C331B9"/>
    <w:rsid w:val="00C41858"/>
    <w:rsid w:val="00C544D3"/>
    <w:rsid w:val="00C55E02"/>
    <w:rsid w:val="00C56654"/>
    <w:rsid w:val="00C60104"/>
    <w:rsid w:val="00C66E43"/>
    <w:rsid w:val="00C74E7D"/>
    <w:rsid w:val="00C750DB"/>
    <w:rsid w:val="00C92F61"/>
    <w:rsid w:val="00C96A65"/>
    <w:rsid w:val="00CA4204"/>
    <w:rsid w:val="00CA4586"/>
    <w:rsid w:val="00CA73D7"/>
    <w:rsid w:val="00CB3AE8"/>
    <w:rsid w:val="00CB45C0"/>
    <w:rsid w:val="00CC12BF"/>
    <w:rsid w:val="00CC2C9A"/>
    <w:rsid w:val="00CC71AA"/>
    <w:rsid w:val="00CD2159"/>
    <w:rsid w:val="00CD4437"/>
    <w:rsid w:val="00CD6781"/>
    <w:rsid w:val="00CD7D7E"/>
    <w:rsid w:val="00CE4E86"/>
    <w:rsid w:val="00CE59B1"/>
    <w:rsid w:val="00CE6532"/>
    <w:rsid w:val="00CF3910"/>
    <w:rsid w:val="00CF3C51"/>
    <w:rsid w:val="00D02420"/>
    <w:rsid w:val="00D053E8"/>
    <w:rsid w:val="00D161C6"/>
    <w:rsid w:val="00D16BCE"/>
    <w:rsid w:val="00D22B32"/>
    <w:rsid w:val="00D22F32"/>
    <w:rsid w:val="00D27646"/>
    <w:rsid w:val="00D2783A"/>
    <w:rsid w:val="00D31953"/>
    <w:rsid w:val="00D352EA"/>
    <w:rsid w:val="00D358DC"/>
    <w:rsid w:val="00D43716"/>
    <w:rsid w:val="00D45333"/>
    <w:rsid w:val="00D53619"/>
    <w:rsid w:val="00D609C6"/>
    <w:rsid w:val="00D63B00"/>
    <w:rsid w:val="00D659C3"/>
    <w:rsid w:val="00D721CB"/>
    <w:rsid w:val="00D72368"/>
    <w:rsid w:val="00D739A5"/>
    <w:rsid w:val="00D76C58"/>
    <w:rsid w:val="00D80260"/>
    <w:rsid w:val="00D942D3"/>
    <w:rsid w:val="00D948FD"/>
    <w:rsid w:val="00DB45C3"/>
    <w:rsid w:val="00DC7732"/>
    <w:rsid w:val="00DD30E1"/>
    <w:rsid w:val="00DD60AA"/>
    <w:rsid w:val="00E053D3"/>
    <w:rsid w:val="00E12B87"/>
    <w:rsid w:val="00E27AD3"/>
    <w:rsid w:val="00E34788"/>
    <w:rsid w:val="00E42FD8"/>
    <w:rsid w:val="00E47AFE"/>
    <w:rsid w:val="00E57BE8"/>
    <w:rsid w:val="00E62E1F"/>
    <w:rsid w:val="00E70CF5"/>
    <w:rsid w:val="00E81AC2"/>
    <w:rsid w:val="00E81DEE"/>
    <w:rsid w:val="00E8421C"/>
    <w:rsid w:val="00E90192"/>
    <w:rsid w:val="00E923A0"/>
    <w:rsid w:val="00E95373"/>
    <w:rsid w:val="00E96B1A"/>
    <w:rsid w:val="00EA2806"/>
    <w:rsid w:val="00EB270B"/>
    <w:rsid w:val="00EB4607"/>
    <w:rsid w:val="00EC2EAC"/>
    <w:rsid w:val="00ED17FD"/>
    <w:rsid w:val="00EF650D"/>
    <w:rsid w:val="00F30009"/>
    <w:rsid w:val="00F479AF"/>
    <w:rsid w:val="00F50ACF"/>
    <w:rsid w:val="00F51D6D"/>
    <w:rsid w:val="00F53224"/>
    <w:rsid w:val="00F56350"/>
    <w:rsid w:val="00F60ADA"/>
    <w:rsid w:val="00F63F8C"/>
    <w:rsid w:val="00F654E5"/>
    <w:rsid w:val="00F65CB5"/>
    <w:rsid w:val="00F65D9A"/>
    <w:rsid w:val="00F66EDF"/>
    <w:rsid w:val="00F829E4"/>
    <w:rsid w:val="00F87988"/>
    <w:rsid w:val="00FB4F09"/>
    <w:rsid w:val="00FC09ED"/>
    <w:rsid w:val="00FD7385"/>
    <w:rsid w:val="00FE3553"/>
    <w:rsid w:val="00FE3B5A"/>
    <w:rsid w:val="00FF040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8"/>
    <o:shapelayout v:ext="edit">
      <o:idmap v:ext="edit" data="1"/>
    </o:shapelayout>
  </w:shapeDefaults>
  <w:decimalSymbol w:val="."/>
  <w:listSeparator w:val=","/>
  <w15:docId w15:val="{3FE0C8EB-37D4-420B-8644-B9A880D71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C442C"/>
    <w:pPr>
      <w:keepNext/>
      <w:spacing w:before="240" w:after="60" w:line="280" w:lineRule="exact"/>
      <w:jc w:val="both"/>
      <w:outlineLvl w:val="0"/>
    </w:pPr>
    <w:rPr>
      <w:rFonts w:ascii="Arial" w:hAnsi="Arial" w:cs="Arial"/>
      <w:b/>
      <w:bCs/>
      <w:kern w:val="32"/>
      <w:sz w:val="32"/>
      <w:szCs w:val="32"/>
    </w:rPr>
  </w:style>
  <w:style w:type="paragraph" w:styleId="Heading2">
    <w:name w:val="heading 2"/>
    <w:basedOn w:val="Normal"/>
    <w:next w:val="Normal"/>
    <w:qFormat/>
    <w:rsid w:val="00AC442C"/>
    <w:pPr>
      <w:keepNext/>
      <w:spacing w:before="240" w:after="60" w:line="280" w:lineRule="exact"/>
      <w:jc w:val="both"/>
      <w:outlineLvl w:val="1"/>
    </w:pPr>
    <w:rPr>
      <w:rFonts w:ascii="Arial" w:hAnsi="Arial" w:cs="Arial"/>
      <w:b/>
      <w:bCs/>
      <w:i/>
      <w:iCs/>
      <w:sz w:val="28"/>
      <w:szCs w:val="28"/>
    </w:rPr>
  </w:style>
  <w:style w:type="paragraph" w:styleId="Heading3">
    <w:name w:val="heading 3"/>
    <w:basedOn w:val="Normal"/>
    <w:next w:val="Normal"/>
    <w:qFormat/>
    <w:rsid w:val="00AC442C"/>
    <w:pPr>
      <w:keepNext/>
      <w:jc w:val="center"/>
      <w:outlineLvl w:val="2"/>
    </w:pPr>
    <w:rPr>
      <w:szCs w:val="20"/>
    </w:rPr>
  </w:style>
  <w:style w:type="paragraph" w:styleId="Heading4">
    <w:name w:val="heading 4"/>
    <w:basedOn w:val="Normal"/>
    <w:next w:val="Normal"/>
    <w:link w:val="Heading4Char"/>
    <w:qFormat/>
    <w:rsid w:val="00AC442C"/>
    <w:pPr>
      <w:keepNext/>
      <w:tabs>
        <w:tab w:val="left" w:pos="0"/>
        <w:tab w:val="left" w:pos="144"/>
        <w:tab w:val="left" w:pos="709"/>
      </w:tabs>
      <w:spacing w:line="360" w:lineRule="auto"/>
      <w:ind w:left="-432"/>
      <w:jc w:val="both"/>
      <w:outlineLvl w:val="3"/>
    </w:pPr>
    <w:rPr>
      <w:rFonts w:ascii="Univers Extended" w:hAnsi="Univers Extended"/>
      <w:b/>
      <w:sz w:val="20"/>
      <w:szCs w:val="20"/>
    </w:rPr>
  </w:style>
  <w:style w:type="paragraph" w:styleId="Heading5">
    <w:name w:val="heading 5"/>
    <w:basedOn w:val="Normal"/>
    <w:next w:val="Normal"/>
    <w:qFormat/>
    <w:rsid w:val="00AC442C"/>
    <w:pPr>
      <w:keepNext/>
      <w:tabs>
        <w:tab w:val="left" w:pos="5387"/>
      </w:tabs>
      <w:outlineLvl w:val="4"/>
    </w:pPr>
    <w:rPr>
      <w:szCs w:val="20"/>
    </w:rPr>
  </w:style>
  <w:style w:type="paragraph" w:styleId="Heading6">
    <w:name w:val="heading 6"/>
    <w:basedOn w:val="Normal"/>
    <w:next w:val="Normal"/>
    <w:qFormat/>
    <w:rsid w:val="00AC442C"/>
    <w:pPr>
      <w:keepNext/>
      <w:spacing w:line="312" w:lineRule="auto"/>
      <w:ind w:right="-568"/>
      <w:jc w:val="center"/>
      <w:outlineLvl w:val="5"/>
    </w:pPr>
    <w:rPr>
      <w:szCs w:val="20"/>
    </w:rPr>
  </w:style>
  <w:style w:type="paragraph" w:styleId="Heading7">
    <w:name w:val="heading 7"/>
    <w:basedOn w:val="Normal"/>
    <w:next w:val="Normal"/>
    <w:link w:val="Heading7Char"/>
    <w:qFormat/>
    <w:rsid w:val="00AC442C"/>
    <w:pPr>
      <w:keepNext/>
      <w:spacing w:before="120" w:after="120" w:line="312" w:lineRule="auto"/>
      <w:jc w:val="center"/>
      <w:outlineLvl w:val="6"/>
    </w:pPr>
    <w:rPr>
      <w:rFonts w:ascii="Arial" w:hAnsi="Arial"/>
      <w:b/>
      <w:color w:val="000000"/>
      <w:sz w:val="22"/>
      <w:szCs w:val="20"/>
    </w:rPr>
  </w:style>
  <w:style w:type="paragraph" w:styleId="Heading8">
    <w:name w:val="heading 8"/>
    <w:basedOn w:val="Normal"/>
    <w:next w:val="Normal"/>
    <w:link w:val="Heading8Char"/>
    <w:qFormat/>
    <w:rsid w:val="00AC442C"/>
    <w:pPr>
      <w:spacing w:before="240" w:after="60" w:line="280" w:lineRule="exact"/>
      <w:jc w:val="both"/>
      <w:outlineLvl w:val="7"/>
    </w:pPr>
    <w:rPr>
      <w:i/>
      <w:iCs/>
    </w:rPr>
  </w:style>
  <w:style w:type="paragraph" w:styleId="Heading9">
    <w:name w:val="heading 9"/>
    <w:basedOn w:val="Normal"/>
    <w:next w:val="Normal"/>
    <w:qFormat/>
    <w:rsid w:val="00AC442C"/>
    <w:pPr>
      <w:keepNext/>
      <w:tabs>
        <w:tab w:val="left" w:pos="1134"/>
        <w:tab w:val="right" w:pos="9072"/>
      </w:tabs>
      <w:spacing w:line="320" w:lineRule="exact"/>
      <w:ind w:left="1134" w:hanging="1134"/>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252"/>
        <w:tab w:val="right" w:pos="8504"/>
      </w:tabs>
    </w:pPr>
  </w:style>
  <w:style w:type="paragraph" w:styleId="Footer">
    <w:name w:val="footer"/>
    <w:basedOn w:val="Normal"/>
    <w:link w:val="FooterChar"/>
    <w:uiPriority w:val="99"/>
    <w:pPr>
      <w:tabs>
        <w:tab w:val="center" w:pos="4252"/>
        <w:tab w:val="right" w:pos="8504"/>
      </w:tabs>
    </w:pPr>
  </w:style>
  <w:style w:type="character" w:styleId="PageNumber">
    <w:name w:val="page number"/>
    <w:basedOn w:val="DefaultParagraphFont"/>
    <w:qFormat/>
  </w:style>
  <w:style w:type="paragraph" w:styleId="BlockText">
    <w:name w:val="Block Text"/>
    <w:basedOn w:val="Normal"/>
    <w:pPr>
      <w:ind w:left="540" w:right="892"/>
      <w:jc w:val="both"/>
    </w:pPr>
    <w:rPr>
      <w:rFonts w:ascii="Arial" w:hAnsi="Arial"/>
      <w:sz w:val="28"/>
    </w:rPr>
  </w:style>
  <w:style w:type="paragraph" w:styleId="BalloonText">
    <w:name w:val="Balloon Text"/>
    <w:basedOn w:val="Normal"/>
    <w:link w:val="BalloonTextChar"/>
    <w:qFormat/>
    <w:rsid w:val="00AC442C"/>
    <w:pPr>
      <w:spacing w:line="280" w:lineRule="exact"/>
      <w:jc w:val="both"/>
    </w:pPr>
    <w:rPr>
      <w:rFonts w:ascii="Tahoma" w:hAnsi="Tahoma" w:cs="Tahoma"/>
      <w:sz w:val="16"/>
      <w:szCs w:val="16"/>
    </w:rPr>
  </w:style>
  <w:style w:type="paragraph" w:customStyle="1" w:styleId="Puntotitulo">
    <w:name w:val="Punto titulo"/>
    <w:basedOn w:val="Normal"/>
    <w:rsid w:val="00AC442C"/>
    <w:pPr>
      <w:spacing w:line="280" w:lineRule="exact"/>
      <w:jc w:val="both"/>
    </w:pPr>
    <w:rPr>
      <w:rFonts w:ascii="Arial" w:hAnsi="Arial"/>
      <w:b/>
      <w:i/>
      <w:sz w:val="22"/>
      <w:szCs w:val="20"/>
    </w:rPr>
  </w:style>
  <w:style w:type="paragraph" w:customStyle="1" w:styleId="Apartadotitulo">
    <w:name w:val="Apartado titulo"/>
    <w:basedOn w:val="Normal"/>
    <w:rsid w:val="00AC442C"/>
    <w:pPr>
      <w:spacing w:line="280" w:lineRule="exact"/>
      <w:jc w:val="both"/>
    </w:pPr>
    <w:rPr>
      <w:rFonts w:ascii="Arial" w:hAnsi="Arial"/>
      <w:b/>
      <w:szCs w:val="20"/>
    </w:rPr>
  </w:style>
  <w:style w:type="paragraph" w:customStyle="1" w:styleId="Subpuntotitulo">
    <w:name w:val="Subpunto titulo"/>
    <w:basedOn w:val="Normal"/>
    <w:rsid w:val="00AC442C"/>
    <w:pPr>
      <w:spacing w:line="280" w:lineRule="exact"/>
      <w:jc w:val="both"/>
    </w:pPr>
    <w:rPr>
      <w:rFonts w:ascii="Helvetica-Narrow" w:hAnsi="Helvetica-Narrow"/>
      <w:b/>
      <w:sz w:val="22"/>
      <w:szCs w:val="22"/>
    </w:rPr>
  </w:style>
  <w:style w:type="paragraph" w:customStyle="1" w:styleId="Articulotitulo">
    <w:name w:val="Articulo titulo"/>
    <w:basedOn w:val="Heading1"/>
    <w:rsid w:val="00AC442C"/>
    <w:pPr>
      <w:spacing w:before="0" w:after="0"/>
    </w:pPr>
    <w:rPr>
      <w:rFonts w:cs="Times New Roman"/>
      <w:bCs w:val="0"/>
      <w:kern w:val="0"/>
      <w:sz w:val="28"/>
      <w:szCs w:val="20"/>
    </w:rPr>
  </w:style>
  <w:style w:type="paragraph" w:customStyle="1" w:styleId="Capitulonumero">
    <w:name w:val="Capitulo numero"/>
    <w:basedOn w:val="Normal"/>
    <w:autoRedefine/>
    <w:rsid w:val="004B6EAB"/>
    <w:rPr>
      <w:rFonts w:ascii="Arial Narrow" w:hAnsi="Arial Narrow"/>
      <w:b/>
      <w:sz w:val="48"/>
      <w:szCs w:val="20"/>
    </w:rPr>
  </w:style>
  <w:style w:type="paragraph" w:customStyle="1" w:styleId="Capitulotitulo">
    <w:name w:val="Capitulo titulo"/>
    <w:basedOn w:val="Capitulonumero"/>
    <w:rsid w:val="00AC442C"/>
    <w:pPr>
      <w:ind w:left="4253"/>
    </w:pPr>
    <w:rPr>
      <w:sz w:val="32"/>
    </w:rPr>
  </w:style>
  <w:style w:type="character" w:styleId="Hyperlink">
    <w:name w:val="Hyperlink"/>
    <w:uiPriority w:val="99"/>
    <w:rsid w:val="00AC442C"/>
    <w:rPr>
      <w:color w:val="0000FF"/>
      <w:u w:val="single"/>
    </w:rPr>
  </w:style>
  <w:style w:type="paragraph" w:styleId="FootnoteText">
    <w:name w:val="footnote text"/>
    <w:basedOn w:val="Normal"/>
    <w:link w:val="FootnoteTextChar"/>
    <w:uiPriority w:val="99"/>
    <w:rsid w:val="00AC442C"/>
    <w:pPr>
      <w:spacing w:line="280" w:lineRule="exact"/>
      <w:jc w:val="both"/>
    </w:pPr>
    <w:rPr>
      <w:rFonts w:ascii="Arial" w:hAnsi="Arial"/>
      <w:sz w:val="20"/>
      <w:szCs w:val="20"/>
    </w:rPr>
  </w:style>
  <w:style w:type="character" w:styleId="FootnoteReference">
    <w:name w:val="footnote reference"/>
    <w:semiHidden/>
    <w:rsid w:val="00AC442C"/>
    <w:rPr>
      <w:vertAlign w:val="superscript"/>
    </w:rPr>
  </w:style>
  <w:style w:type="paragraph" w:styleId="BodyTextIndent">
    <w:name w:val="Body Text Indent"/>
    <w:basedOn w:val="Normal"/>
    <w:link w:val="BodyTextIndentChar"/>
    <w:rsid w:val="00AC442C"/>
    <w:pPr>
      <w:tabs>
        <w:tab w:val="left" w:pos="284"/>
      </w:tabs>
      <w:spacing w:line="360" w:lineRule="auto"/>
      <w:ind w:firstLine="708"/>
      <w:jc w:val="both"/>
    </w:pPr>
    <w:rPr>
      <w:rFonts w:ascii="Arial" w:hAnsi="Arial"/>
      <w:sz w:val="22"/>
      <w:szCs w:val="20"/>
    </w:rPr>
  </w:style>
  <w:style w:type="paragraph" w:customStyle="1" w:styleId="Comentariostexto">
    <w:name w:val="Comentarios texto"/>
    <w:basedOn w:val="Normal"/>
    <w:rsid w:val="00AC442C"/>
    <w:pPr>
      <w:spacing w:line="280" w:lineRule="exact"/>
      <w:jc w:val="both"/>
    </w:pPr>
    <w:rPr>
      <w:rFonts w:ascii="Arial" w:hAnsi="Arial"/>
      <w:sz w:val="20"/>
      <w:szCs w:val="20"/>
    </w:rPr>
  </w:style>
  <w:style w:type="paragraph" w:customStyle="1" w:styleId="Tablagrande">
    <w:name w:val="Tabla grande"/>
    <w:basedOn w:val="Normal"/>
    <w:uiPriority w:val="99"/>
    <w:rsid w:val="00AC442C"/>
    <w:pPr>
      <w:spacing w:line="240" w:lineRule="exact"/>
      <w:jc w:val="center"/>
    </w:pPr>
    <w:rPr>
      <w:rFonts w:ascii="Arial" w:hAnsi="Arial"/>
      <w:sz w:val="14"/>
      <w:szCs w:val="20"/>
    </w:rPr>
  </w:style>
  <w:style w:type="table" w:styleId="TableGrid">
    <w:name w:val="Table Grid"/>
    <w:basedOn w:val="TableNormal"/>
    <w:uiPriority w:val="59"/>
    <w:rsid w:val="00AC4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C442C"/>
    <w:pPr>
      <w:spacing w:line="360" w:lineRule="auto"/>
      <w:jc w:val="both"/>
    </w:pPr>
    <w:rPr>
      <w:rFonts w:ascii="Univers Extended" w:hAnsi="Univers Extended"/>
      <w:sz w:val="20"/>
      <w:szCs w:val="20"/>
    </w:rPr>
  </w:style>
  <w:style w:type="paragraph" w:styleId="BodyText2">
    <w:name w:val="Body Text 2"/>
    <w:basedOn w:val="Normal"/>
    <w:rsid w:val="00AC442C"/>
    <w:pPr>
      <w:spacing w:line="360" w:lineRule="auto"/>
      <w:jc w:val="center"/>
    </w:pPr>
    <w:rPr>
      <w:rFonts w:ascii="Univers Extended" w:hAnsi="Univers Extended"/>
      <w:sz w:val="20"/>
      <w:szCs w:val="20"/>
    </w:rPr>
  </w:style>
  <w:style w:type="paragraph" w:styleId="BodyText3">
    <w:name w:val="Body Text 3"/>
    <w:basedOn w:val="Normal"/>
    <w:link w:val="BodyText3Char"/>
    <w:rsid w:val="00AC442C"/>
    <w:pPr>
      <w:jc w:val="both"/>
    </w:pPr>
    <w:rPr>
      <w:rFonts w:ascii="Univers Extended" w:hAnsi="Univers Extended"/>
      <w:sz w:val="20"/>
      <w:szCs w:val="20"/>
      <w:u w:val="single"/>
    </w:rPr>
  </w:style>
  <w:style w:type="paragraph" w:styleId="NormalWeb">
    <w:name w:val="Normal (Web)"/>
    <w:basedOn w:val="Normal"/>
    <w:uiPriority w:val="99"/>
    <w:qFormat/>
    <w:rsid w:val="00AC442C"/>
    <w:pPr>
      <w:spacing w:before="100" w:beforeAutospacing="1" w:after="100" w:afterAutospacing="1"/>
    </w:pPr>
  </w:style>
  <w:style w:type="character" w:styleId="CommentReference">
    <w:name w:val="annotation reference"/>
    <w:uiPriority w:val="99"/>
    <w:qFormat/>
    <w:rsid w:val="00AC442C"/>
    <w:rPr>
      <w:sz w:val="16"/>
      <w:szCs w:val="16"/>
    </w:rPr>
  </w:style>
  <w:style w:type="paragraph" w:styleId="CommentText">
    <w:name w:val="annotation text"/>
    <w:basedOn w:val="Normal"/>
    <w:link w:val="CommentTextChar"/>
    <w:uiPriority w:val="99"/>
    <w:qFormat/>
    <w:rsid w:val="00AC442C"/>
    <w:pPr>
      <w:spacing w:line="280" w:lineRule="exact"/>
      <w:jc w:val="both"/>
    </w:pPr>
    <w:rPr>
      <w:rFonts w:ascii="Arial" w:hAnsi="Arial"/>
      <w:sz w:val="20"/>
      <w:szCs w:val="20"/>
    </w:rPr>
  </w:style>
  <w:style w:type="paragraph" w:styleId="CommentSubject">
    <w:name w:val="annotation subject"/>
    <w:basedOn w:val="CommentText"/>
    <w:next w:val="CommentText"/>
    <w:link w:val="CommentSubjectChar"/>
    <w:qFormat/>
    <w:rsid w:val="00AC442C"/>
    <w:rPr>
      <w:b/>
      <w:bCs/>
    </w:rPr>
  </w:style>
  <w:style w:type="paragraph" w:styleId="Title">
    <w:name w:val="Title"/>
    <w:basedOn w:val="Normal"/>
    <w:qFormat/>
    <w:rsid w:val="00AC442C"/>
    <w:pPr>
      <w:jc w:val="center"/>
    </w:pPr>
    <w:rPr>
      <w:b/>
      <w:szCs w:val="20"/>
    </w:rPr>
  </w:style>
  <w:style w:type="character" w:styleId="FollowedHyperlink">
    <w:name w:val="FollowedHyperlink"/>
    <w:uiPriority w:val="99"/>
    <w:rsid w:val="00AC442C"/>
    <w:rPr>
      <w:color w:val="800080"/>
      <w:u w:val="single"/>
    </w:rPr>
  </w:style>
  <w:style w:type="paragraph" w:styleId="Subtitle">
    <w:name w:val="Subtitle"/>
    <w:basedOn w:val="Normal"/>
    <w:qFormat/>
    <w:rsid w:val="00AC442C"/>
    <w:pPr>
      <w:tabs>
        <w:tab w:val="left" w:pos="-720"/>
      </w:tabs>
      <w:suppressAutoHyphens/>
      <w:spacing w:before="90"/>
    </w:pPr>
    <w:rPr>
      <w:rFonts w:ascii="Arial" w:hAnsi="Arial"/>
      <w:b/>
      <w:bCs/>
      <w:sz w:val="22"/>
      <w:szCs w:val="20"/>
    </w:rPr>
  </w:style>
  <w:style w:type="paragraph" w:styleId="BodyTextIndent2">
    <w:name w:val="Body Text Indent 2"/>
    <w:basedOn w:val="Normal"/>
    <w:link w:val="BodyTextIndent2Char"/>
    <w:rsid w:val="00AC442C"/>
    <w:pPr>
      <w:tabs>
        <w:tab w:val="left" w:pos="1418"/>
      </w:tabs>
      <w:ind w:left="1418" w:hanging="1418"/>
    </w:pPr>
    <w:rPr>
      <w:rFonts w:ascii="CG Omega" w:hAnsi="CG Omega"/>
      <w:szCs w:val="20"/>
    </w:rPr>
  </w:style>
  <w:style w:type="paragraph" w:styleId="BodyTextIndent3">
    <w:name w:val="Body Text Indent 3"/>
    <w:basedOn w:val="Normal"/>
    <w:rsid w:val="00AC442C"/>
    <w:pPr>
      <w:ind w:left="993" w:hanging="993"/>
      <w:jc w:val="both"/>
    </w:pPr>
    <w:rPr>
      <w:rFonts w:ascii="Arial" w:hAnsi="Arial"/>
      <w:sz w:val="18"/>
      <w:szCs w:val="20"/>
    </w:rPr>
  </w:style>
  <w:style w:type="character" w:customStyle="1" w:styleId="HeaderChar">
    <w:name w:val="Header Char"/>
    <w:link w:val="Header"/>
    <w:rsid w:val="00CE4E86"/>
    <w:rPr>
      <w:sz w:val="24"/>
      <w:szCs w:val="24"/>
    </w:rPr>
  </w:style>
  <w:style w:type="character" w:customStyle="1" w:styleId="FooterChar">
    <w:name w:val="Footer Char"/>
    <w:link w:val="Footer"/>
    <w:uiPriority w:val="99"/>
    <w:qFormat/>
    <w:rsid w:val="00CE4E86"/>
    <w:rPr>
      <w:sz w:val="24"/>
      <w:szCs w:val="24"/>
    </w:rPr>
  </w:style>
  <w:style w:type="character" w:customStyle="1" w:styleId="Heading8Char">
    <w:name w:val="Heading 8 Char"/>
    <w:link w:val="Heading8"/>
    <w:rsid w:val="00061E57"/>
    <w:rPr>
      <w:i/>
      <w:iCs/>
      <w:sz w:val="24"/>
      <w:szCs w:val="24"/>
    </w:rPr>
  </w:style>
  <w:style w:type="character" w:customStyle="1" w:styleId="Heading4Char">
    <w:name w:val="Heading 4 Char"/>
    <w:link w:val="Heading4"/>
    <w:uiPriority w:val="9"/>
    <w:rsid w:val="004B6EAB"/>
    <w:rPr>
      <w:rFonts w:ascii="Univers Extended" w:hAnsi="Univers Extended"/>
      <w:b/>
      <w:lang w:val="en-GB"/>
    </w:rPr>
  </w:style>
  <w:style w:type="paragraph" w:customStyle="1" w:styleId="CENcover">
    <w:name w:val="CENcover"/>
    <w:rsid w:val="004B6EAB"/>
    <w:rPr>
      <w:rFonts w:ascii="Arial" w:hAnsi="Arial"/>
      <w:noProof/>
    </w:rPr>
  </w:style>
  <w:style w:type="character" w:customStyle="1" w:styleId="Heading7Char">
    <w:name w:val="Heading 7 Char"/>
    <w:link w:val="Heading7"/>
    <w:uiPriority w:val="99"/>
    <w:rsid w:val="00CB45C0"/>
    <w:rPr>
      <w:rFonts w:ascii="Arial" w:hAnsi="Arial"/>
      <w:b/>
      <w:color w:val="000000"/>
      <w:sz w:val="22"/>
    </w:rPr>
  </w:style>
  <w:style w:type="character" w:customStyle="1" w:styleId="BodyText3Char">
    <w:name w:val="Body Text 3 Char"/>
    <w:link w:val="BodyText3"/>
    <w:uiPriority w:val="99"/>
    <w:rsid w:val="00CB45C0"/>
    <w:rPr>
      <w:rFonts w:ascii="Univers Extended" w:hAnsi="Univers Extended"/>
      <w:u w:val="single"/>
    </w:rPr>
  </w:style>
  <w:style w:type="paragraph" w:styleId="ListParagraph">
    <w:name w:val="List Paragraph"/>
    <w:basedOn w:val="Normal"/>
    <w:uiPriority w:val="34"/>
    <w:qFormat/>
    <w:rsid w:val="004836CD"/>
    <w:pPr>
      <w:spacing w:after="160" w:line="259" w:lineRule="auto"/>
      <w:ind w:left="720"/>
      <w:contextualSpacing/>
    </w:pPr>
    <w:rPr>
      <w:rFonts w:ascii="Calibri" w:eastAsia="Calibri" w:hAnsi="Calibri"/>
      <w:sz w:val="22"/>
      <w:szCs w:val="22"/>
      <w:lang w:eastAsia="en-US"/>
    </w:rPr>
  </w:style>
  <w:style w:type="character" w:customStyle="1" w:styleId="CommentTextChar">
    <w:name w:val="Comment Text Char"/>
    <w:link w:val="CommentText"/>
    <w:uiPriority w:val="99"/>
    <w:qFormat/>
    <w:rsid w:val="004836CD"/>
    <w:rPr>
      <w:rFonts w:ascii="Arial" w:hAnsi="Arial"/>
    </w:rPr>
  </w:style>
  <w:style w:type="character" w:customStyle="1" w:styleId="BalloonTextChar">
    <w:name w:val="Balloon Text Char"/>
    <w:link w:val="BalloonText"/>
    <w:qFormat/>
    <w:rsid w:val="004836CD"/>
    <w:rPr>
      <w:rFonts w:ascii="Tahoma" w:hAnsi="Tahoma" w:cs="Tahoma"/>
      <w:sz w:val="16"/>
      <w:szCs w:val="16"/>
    </w:rPr>
  </w:style>
  <w:style w:type="character" w:customStyle="1" w:styleId="CommentSubjectChar">
    <w:name w:val="Comment Subject Char"/>
    <w:link w:val="CommentSubject"/>
    <w:qFormat/>
    <w:rsid w:val="004836CD"/>
    <w:rPr>
      <w:rFonts w:ascii="Arial" w:hAnsi="Arial"/>
      <w:b/>
      <w:bCs/>
    </w:rPr>
  </w:style>
  <w:style w:type="paragraph" w:customStyle="1" w:styleId="Default">
    <w:name w:val="Default"/>
    <w:rsid w:val="004836CD"/>
    <w:pPr>
      <w:autoSpaceDE w:val="0"/>
      <w:autoSpaceDN w:val="0"/>
      <w:adjustRightInd w:val="0"/>
    </w:pPr>
    <w:rPr>
      <w:rFonts w:ascii="Arial" w:eastAsia="Calibri" w:hAnsi="Arial" w:cs="Arial"/>
      <w:color w:val="000000"/>
      <w:sz w:val="24"/>
      <w:szCs w:val="24"/>
      <w:lang w:eastAsia="en-US"/>
    </w:rPr>
  </w:style>
  <w:style w:type="character" w:customStyle="1" w:styleId="st1">
    <w:name w:val="st1"/>
    <w:rsid w:val="004836CD"/>
  </w:style>
  <w:style w:type="paragraph" w:customStyle="1" w:styleId="CTENumeracion">
    <w:name w:val="CTE_Numeracion"/>
    <w:basedOn w:val="Normal"/>
    <w:qFormat/>
    <w:rsid w:val="004836CD"/>
    <w:pPr>
      <w:spacing w:before="60" w:after="60"/>
      <w:ind w:left="357" w:hanging="357"/>
      <w:jc w:val="both"/>
    </w:pPr>
    <w:rPr>
      <w:rFonts w:ascii="Arial" w:hAnsi="Arial"/>
      <w:sz w:val="20"/>
    </w:rPr>
  </w:style>
  <w:style w:type="character" w:customStyle="1" w:styleId="CTEModTachaprob">
    <w:name w:val="CTE_Mod_Tach_aprob"/>
    <w:qFormat/>
    <w:rsid w:val="004836CD"/>
    <w:rPr>
      <w:strike w:val="0"/>
      <w:dstrike w:val="0"/>
      <w:shd w:val="clear" w:color="auto" w:fill="FFFF00"/>
    </w:rPr>
  </w:style>
  <w:style w:type="character" w:customStyle="1" w:styleId="BodyTextIndent2Char">
    <w:name w:val="Body Text Indent 2 Char"/>
    <w:link w:val="BodyTextIndent2"/>
    <w:uiPriority w:val="99"/>
    <w:rsid w:val="004836CD"/>
    <w:rPr>
      <w:rFonts w:ascii="CG Omega" w:hAnsi="CG Omega"/>
      <w:sz w:val="24"/>
    </w:rPr>
  </w:style>
  <w:style w:type="paragraph" w:customStyle="1" w:styleId="CteTtulo3">
    <w:name w:val="CteTítulo3"/>
    <w:basedOn w:val="Normal"/>
    <w:next w:val="Normal"/>
    <w:autoRedefine/>
    <w:qFormat/>
    <w:rsid w:val="009467D5"/>
    <w:pPr>
      <w:keepNext/>
      <w:numPr>
        <w:ilvl w:val="2"/>
      </w:numPr>
      <w:spacing w:before="240" w:after="120"/>
      <w:ind w:left="284" w:hanging="283"/>
      <w:jc w:val="both"/>
      <w:outlineLvl w:val="3"/>
    </w:pPr>
    <w:rPr>
      <w:rFonts w:ascii="Arial" w:hAnsi="Arial"/>
      <w:bCs/>
      <w:lang w:eastAsia="zh-CN"/>
    </w:rPr>
  </w:style>
  <w:style w:type="paragraph" w:customStyle="1" w:styleId="CteAnejo-TituloSeccion">
    <w:name w:val="CteAnejo-TituloSeccion"/>
    <w:basedOn w:val="Normal"/>
    <w:rsid w:val="004836CD"/>
    <w:pPr>
      <w:keepNext/>
      <w:spacing w:before="480" w:after="160"/>
      <w:outlineLvl w:val="0"/>
    </w:pPr>
    <w:rPr>
      <w:rFonts w:ascii="Arial" w:hAnsi="Arial"/>
      <w:b/>
      <w:bCs/>
      <w:sz w:val="32"/>
    </w:rPr>
  </w:style>
  <w:style w:type="character" w:customStyle="1" w:styleId="EstiloCTEModTachaprob16ptNegritaSinTachado">
    <w:name w:val="Estilo CTE_Mod_Tach_aprob + 16 pt Negrita Sin Tachado"/>
    <w:rsid w:val="004836CD"/>
    <w:rPr>
      <w:rFonts w:ascii="Arial" w:hAnsi="Arial"/>
      <w:b/>
      <w:bCs/>
      <w:strike/>
      <w:dstrike w:val="0"/>
      <w:sz w:val="32"/>
      <w:bdr w:val="none" w:sz="0" w:space="0" w:color="auto"/>
      <w:shd w:val="clear" w:color="auto" w:fill="auto"/>
    </w:rPr>
  </w:style>
  <w:style w:type="character" w:customStyle="1" w:styleId="EstiloCTEModTachaprobSinTachado">
    <w:name w:val="Estilo CTE_Mod_Tach_aprob + Sin Tachado"/>
    <w:rsid w:val="004836CD"/>
    <w:rPr>
      <w:strike/>
      <w:dstrike w:val="0"/>
      <w:bdr w:val="none" w:sz="0" w:space="0" w:color="auto"/>
      <w:shd w:val="clear" w:color="auto" w:fill="auto"/>
    </w:rPr>
  </w:style>
  <w:style w:type="character" w:customStyle="1" w:styleId="BodyTextChar">
    <w:name w:val="Body Text Char"/>
    <w:link w:val="BodyText"/>
    <w:qFormat/>
    <w:rsid w:val="004836CD"/>
    <w:rPr>
      <w:rFonts w:ascii="Univers Extended" w:hAnsi="Univers Extended"/>
    </w:rPr>
  </w:style>
  <w:style w:type="paragraph" w:customStyle="1" w:styleId="nota">
    <w:name w:val="nota"/>
    <w:basedOn w:val="Normal"/>
    <w:qFormat/>
    <w:rsid w:val="004836CD"/>
    <w:pPr>
      <w:tabs>
        <w:tab w:val="left" w:pos="1122"/>
        <w:tab w:val="left" w:pos="1309"/>
      </w:tabs>
      <w:jc w:val="both"/>
    </w:pPr>
    <w:rPr>
      <w:rFonts w:ascii="Arial" w:hAnsi="Arial" w:cs="Arial"/>
      <w:bCs/>
      <w:sz w:val="20"/>
    </w:rPr>
  </w:style>
  <w:style w:type="paragraph" w:customStyle="1" w:styleId="Ttulo1CTE">
    <w:name w:val="Título1CTE"/>
    <w:basedOn w:val="Heading1"/>
    <w:next w:val="Normal"/>
    <w:autoRedefine/>
    <w:qFormat/>
    <w:rsid w:val="004836CD"/>
    <w:pPr>
      <w:spacing w:after="200" w:line="240" w:lineRule="auto"/>
    </w:pPr>
    <w:rPr>
      <w:sz w:val="28"/>
    </w:rPr>
  </w:style>
  <w:style w:type="character" w:customStyle="1" w:styleId="Heading1Char">
    <w:name w:val="Heading 1 Char"/>
    <w:link w:val="Heading1"/>
    <w:qFormat/>
    <w:rsid w:val="004836CD"/>
    <w:rPr>
      <w:rFonts w:ascii="Arial" w:hAnsi="Arial" w:cs="Arial"/>
      <w:b/>
      <w:bCs/>
      <w:kern w:val="32"/>
      <w:sz w:val="32"/>
      <w:szCs w:val="32"/>
    </w:rPr>
  </w:style>
  <w:style w:type="paragraph" w:customStyle="1" w:styleId="artculo-tex">
    <w:name w:val="artículo-tex"/>
    <w:basedOn w:val="Normal"/>
    <w:qFormat/>
    <w:rsid w:val="004836CD"/>
    <w:pPr>
      <w:pBdr>
        <w:top w:val="single" w:sz="4" w:space="1" w:color="00000A"/>
        <w:left w:val="single" w:sz="4" w:space="4" w:color="00000A"/>
        <w:bottom w:val="single" w:sz="4" w:space="1" w:color="00000A"/>
        <w:right w:val="single" w:sz="4" w:space="4" w:color="00000A"/>
      </w:pBdr>
      <w:suppressAutoHyphens/>
      <w:autoSpaceDN w:val="0"/>
      <w:spacing w:before="60" w:after="60"/>
      <w:textAlignment w:val="baseline"/>
    </w:pPr>
    <w:rPr>
      <w:rFonts w:ascii="Arial" w:eastAsia="Arial" w:hAnsi="Arial" w:cs="Arial"/>
      <w:kern w:val="3"/>
      <w:sz w:val="22"/>
      <w:lang w:bidi="hi-IN"/>
    </w:rPr>
  </w:style>
  <w:style w:type="numbering" w:customStyle="1" w:styleId="WWNum3">
    <w:name w:val="WWNum3"/>
    <w:basedOn w:val="NoList"/>
    <w:rsid w:val="004836CD"/>
    <w:pPr>
      <w:numPr>
        <w:numId w:val="1"/>
      </w:numPr>
    </w:pPr>
  </w:style>
  <w:style w:type="character" w:customStyle="1" w:styleId="CTEModAadaprob">
    <w:name w:val="CTE_Mod_Añad_aprob"/>
    <w:qFormat/>
    <w:rsid w:val="004836CD"/>
    <w:rPr>
      <w:u w:val="single"/>
      <w:bdr w:val="none" w:sz="0" w:space="0" w:color="auto"/>
      <w:shd w:val="clear" w:color="auto" w:fill="B8CCE4"/>
    </w:rPr>
  </w:style>
  <w:style w:type="paragraph" w:customStyle="1" w:styleId="CTEtabla-texto">
    <w:name w:val="CTE_tabla-texto"/>
    <w:qFormat/>
    <w:rsid w:val="004836CD"/>
    <w:pPr>
      <w:spacing w:before="60" w:after="60"/>
      <w:jc w:val="center"/>
    </w:pPr>
    <w:rPr>
      <w:rFonts w:ascii="Arial" w:hAnsi="Arial"/>
      <w:sz w:val="18"/>
      <w:szCs w:val="24"/>
    </w:rPr>
  </w:style>
  <w:style w:type="character" w:customStyle="1" w:styleId="ListLabel229">
    <w:name w:val="ListLabel 229"/>
    <w:qFormat/>
    <w:rsid w:val="006C641F"/>
    <w:rPr>
      <w:rFonts w:cs="Symbol"/>
    </w:rPr>
  </w:style>
  <w:style w:type="character" w:customStyle="1" w:styleId="ListLabel230">
    <w:name w:val="ListLabel 230"/>
    <w:qFormat/>
    <w:rsid w:val="006C641F"/>
    <w:rPr>
      <w:rFonts w:cs="Courier New"/>
    </w:rPr>
  </w:style>
  <w:style w:type="character" w:customStyle="1" w:styleId="ListLabel231">
    <w:name w:val="ListLabel 231"/>
    <w:qFormat/>
    <w:rsid w:val="006C641F"/>
    <w:rPr>
      <w:rFonts w:cs="Wingdings"/>
    </w:rPr>
  </w:style>
  <w:style w:type="character" w:customStyle="1" w:styleId="ListLabel232">
    <w:name w:val="ListLabel 232"/>
    <w:qFormat/>
    <w:rsid w:val="006C641F"/>
    <w:rPr>
      <w:rFonts w:cs="Symbol"/>
    </w:rPr>
  </w:style>
  <w:style w:type="character" w:customStyle="1" w:styleId="ListLabel233">
    <w:name w:val="ListLabel 233"/>
    <w:qFormat/>
    <w:rsid w:val="006C641F"/>
    <w:rPr>
      <w:rFonts w:cs="Courier New"/>
    </w:rPr>
  </w:style>
  <w:style w:type="character" w:customStyle="1" w:styleId="ListLabel234">
    <w:name w:val="ListLabel 234"/>
    <w:qFormat/>
    <w:rsid w:val="006C641F"/>
    <w:rPr>
      <w:rFonts w:cs="Wingdings"/>
    </w:rPr>
  </w:style>
  <w:style w:type="character" w:customStyle="1" w:styleId="ListLabel235">
    <w:name w:val="ListLabel 235"/>
    <w:qFormat/>
    <w:rsid w:val="006C641F"/>
    <w:rPr>
      <w:rFonts w:cs="Symbol"/>
    </w:rPr>
  </w:style>
  <w:style w:type="character" w:customStyle="1" w:styleId="ListLabel236">
    <w:name w:val="ListLabel 236"/>
    <w:qFormat/>
    <w:rsid w:val="006C641F"/>
    <w:rPr>
      <w:rFonts w:cs="Courier New"/>
    </w:rPr>
  </w:style>
  <w:style w:type="character" w:customStyle="1" w:styleId="ListLabel237">
    <w:name w:val="ListLabel 237"/>
    <w:qFormat/>
    <w:rsid w:val="006C641F"/>
    <w:rPr>
      <w:rFonts w:cs="Wingdings"/>
    </w:rPr>
  </w:style>
  <w:style w:type="character" w:customStyle="1" w:styleId="Correccionesv3">
    <w:name w:val="Correcciones v3"/>
    <w:qFormat/>
    <w:rsid w:val="006C641F"/>
    <w:rPr>
      <w:rFonts w:ascii="Arial" w:eastAsia="Arial" w:hAnsi="Arial" w:cs="Arial"/>
      <w:sz w:val="20"/>
      <w:shd w:val="clear" w:color="auto" w:fill="FFFFFF"/>
    </w:rPr>
  </w:style>
  <w:style w:type="character" w:customStyle="1" w:styleId="Enlacedelndice">
    <w:name w:val="Enlace del índice"/>
    <w:qFormat/>
    <w:rsid w:val="006C641F"/>
  </w:style>
  <w:style w:type="character" w:customStyle="1" w:styleId="Internetlink">
    <w:name w:val="Internet link"/>
    <w:qFormat/>
    <w:rsid w:val="006C641F"/>
    <w:rPr>
      <w:color w:val="000080"/>
      <w:u w:val="single"/>
    </w:rPr>
  </w:style>
  <w:style w:type="character" w:customStyle="1" w:styleId="ListLabel227">
    <w:name w:val="ListLabel 227"/>
    <w:qFormat/>
    <w:rsid w:val="006C641F"/>
    <w:rPr>
      <w:strike w:val="0"/>
      <w:dstrike w:val="0"/>
    </w:rPr>
  </w:style>
  <w:style w:type="character" w:customStyle="1" w:styleId="ListLabel228">
    <w:name w:val="ListLabel 228"/>
    <w:qFormat/>
    <w:rsid w:val="006C641F"/>
    <w:rPr>
      <w:rFonts w:cs="Symbol"/>
    </w:rPr>
  </w:style>
  <w:style w:type="character" w:customStyle="1" w:styleId="ListLabel241">
    <w:name w:val="ListLabel 241"/>
    <w:qFormat/>
    <w:rsid w:val="006C641F"/>
    <w:rPr>
      <w:sz w:val="20"/>
    </w:rPr>
  </w:style>
  <w:style w:type="character" w:customStyle="1" w:styleId="ListLabel242">
    <w:name w:val="ListLabel 242"/>
    <w:qFormat/>
    <w:rsid w:val="006C641F"/>
    <w:rPr>
      <w:rFonts w:cs="OpenSymbol"/>
    </w:rPr>
  </w:style>
  <w:style w:type="character" w:customStyle="1" w:styleId="ListLabel243">
    <w:name w:val="ListLabel 243"/>
    <w:qFormat/>
    <w:rsid w:val="006C641F"/>
    <w:rPr>
      <w:rFonts w:cs="Arial"/>
    </w:rPr>
  </w:style>
  <w:style w:type="character" w:customStyle="1" w:styleId="ListLabel238">
    <w:name w:val="ListLabel 238"/>
    <w:qFormat/>
    <w:rsid w:val="006C641F"/>
    <w:rPr>
      <w:sz w:val="20"/>
    </w:rPr>
  </w:style>
  <w:style w:type="character" w:customStyle="1" w:styleId="ListLabel239">
    <w:name w:val="ListLabel 239"/>
    <w:qFormat/>
    <w:rsid w:val="006C641F"/>
    <w:rPr>
      <w:rFonts w:cs="OpenSymbol"/>
    </w:rPr>
  </w:style>
  <w:style w:type="character" w:customStyle="1" w:styleId="ListLabel240">
    <w:name w:val="ListLabel 240"/>
    <w:qFormat/>
    <w:rsid w:val="006C641F"/>
    <w:rPr>
      <w:rFonts w:cs="Arial"/>
    </w:rPr>
  </w:style>
  <w:style w:type="character" w:customStyle="1" w:styleId="CteAnejo-DefinicionCar">
    <w:name w:val="CteAnejo-Definicion Car"/>
    <w:qFormat/>
    <w:rsid w:val="006C641F"/>
    <w:rPr>
      <w:rFonts w:ascii="Arial" w:eastAsia="Arial" w:hAnsi="Arial" w:cs="Arial"/>
      <w:b/>
      <w:bCs/>
      <w:i/>
      <w:iCs/>
      <w:szCs w:val="24"/>
      <w:lang w:eastAsia="ar-SA" w:bidi="ar-SA"/>
    </w:rPr>
  </w:style>
  <w:style w:type="character" w:customStyle="1" w:styleId="WW8Num5z0">
    <w:name w:val="WW8Num5z0"/>
    <w:qFormat/>
    <w:rsid w:val="006C641F"/>
    <w:rPr>
      <w:rFonts w:ascii="Symbol" w:eastAsia="Symbol" w:hAnsi="Symbol" w:cs="Symbol"/>
    </w:rPr>
  </w:style>
  <w:style w:type="character" w:customStyle="1" w:styleId="WW8Num6z0">
    <w:name w:val="WW8Num6z0"/>
    <w:qFormat/>
    <w:rsid w:val="006C641F"/>
    <w:rPr>
      <w:rFonts w:ascii="Symbol" w:eastAsia="Symbol" w:hAnsi="Symbol" w:cs="Symbol"/>
    </w:rPr>
  </w:style>
  <w:style w:type="character" w:customStyle="1" w:styleId="WW8Num7z0">
    <w:name w:val="WW8Num7z0"/>
    <w:qFormat/>
    <w:rsid w:val="006C641F"/>
    <w:rPr>
      <w:rFonts w:ascii="Symbol" w:eastAsia="Symbol" w:hAnsi="Symbol" w:cs="Symbol"/>
    </w:rPr>
  </w:style>
  <w:style w:type="character" w:customStyle="1" w:styleId="WW8Num8z0">
    <w:name w:val="WW8Num8z0"/>
    <w:qFormat/>
    <w:rsid w:val="006C641F"/>
    <w:rPr>
      <w:rFonts w:ascii="Symbol" w:eastAsia="Symbol" w:hAnsi="Symbol" w:cs="Symbol"/>
    </w:rPr>
  </w:style>
  <w:style w:type="character" w:customStyle="1" w:styleId="WW8Num10z0">
    <w:name w:val="WW8Num10z0"/>
    <w:qFormat/>
    <w:rsid w:val="006C641F"/>
    <w:rPr>
      <w:rFonts w:ascii="Symbol" w:eastAsia="Symbol" w:hAnsi="Symbol" w:cs="Symbol"/>
    </w:rPr>
  </w:style>
  <w:style w:type="character" w:customStyle="1" w:styleId="WW8Num11z5">
    <w:name w:val="WW8Num11z5"/>
    <w:qFormat/>
    <w:rsid w:val="006C641F"/>
    <w:rPr>
      <w:strike w:val="0"/>
      <w:dstrike w:val="0"/>
    </w:rPr>
  </w:style>
  <w:style w:type="character" w:customStyle="1" w:styleId="WW8Num11z8">
    <w:name w:val="WW8Num11z8"/>
    <w:qFormat/>
    <w:rsid w:val="006C641F"/>
    <w:rPr>
      <w:rFonts w:ascii="Symbol" w:eastAsia="Symbol" w:hAnsi="Symbol" w:cs="Symbol"/>
      <w:color w:val="00000A"/>
    </w:rPr>
  </w:style>
  <w:style w:type="character" w:customStyle="1" w:styleId="WW8Num16z0">
    <w:name w:val="WW8Num16z0"/>
    <w:qFormat/>
    <w:rsid w:val="006C641F"/>
    <w:rPr>
      <w:rFonts w:ascii="Symbol" w:eastAsia="Symbol" w:hAnsi="Symbol" w:cs="Symbol"/>
    </w:rPr>
  </w:style>
  <w:style w:type="character" w:customStyle="1" w:styleId="WW8Num17z0">
    <w:name w:val="WW8Num17z0"/>
    <w:qFormat/>
    <w:rsid w:val="006C641F"/>
    <w:rPr>
      <w:rFonts w:ascii="Symbol" w:eastAsia="Symbol" w:hAnsi="Symbol" w:cs="Symbol"/>
    </w:rPr>
  </w:style>
  <w:style w:type="character" w:customStyle="1" w:styleId="WW8Num18z0">
    <w:name w:val="WW8Num18z0"/>
    <w:qFormat/>
    <w:rsid w:val="006C641F"/>
    <w:rPr>
      <w:rFonts w:ascii="Symbol" w:eastAsia="Symbol" w:hAnsi="Symbol" w:cs="Symbol"/>
    </w:rPr>
  </w:style>
  <w:style w:type="character" w:customStyle="1" w:styleId="WW8Num19z0">
    <w:name w:val="WW8Num19z0"/>
    <w:qFormat/>
    <w:rsid w:val="006C641F"/>
    <w:rPr>
      <w:rFonts w:ascii="Symbol" w:eastAsia="Symbol" w:hAnsi="Symbol" w:cs="Symbol"/>
    </w:rPr>
  </w:style>
  <w:style w:type="character" w:customStyle="1" w:styleId="WW8Num21z0">
    <w:name w:val="WW8Num21z0"/>
    <w:qFormat/>
    <w:rsid w:val="006C641F"/>
    <w:rPr>
      <w:rFonts w:ascii="Symbol" w:eastAsia="Symbol" w:hAnsi="Symbol" w:cs="Symbol"/>
    </w:rPr>
  </w:style>
  <w:style w:type="character" w:customStyle="1" w:styleId="WW8Num22z5">
    <w:name w:val="WW8Num22z5"/>
    <w:qFormat/>
    <w:rsid w:val="006C641F"/>
    <w:rPr>
      <w:strike w:val="0"/>
      <w:dstrike w:val="0"/>
    </w:rPr>
  </w:style>
  <w:style w:type="character" w:customStyle="1" w:styleId="WW8Num22z8">
    <w:name w:val="WW8Num22z8"/>
    <w:qFormat/>
    <w:rsid w:val="006C641F"/>
    <w:rPr>
      <w:rFonts w:ascii="Symbol" w:eastAsia="Symbol" w:hAnsi="Symbol" w:cs="Symbol"/>
      <w:color w:val="00000A"/>
    </w:rPr>
  </w:style>
  <w:style w:type="character" w:customStyle="1" w:styleId="Fuentedeprrafopredeter8">
    <w:name w:val="Fuente de párrafo predeter.8"/>
    <w:qFormat/>
    <w:rsid w:val="006C641F"/>
  </w:style>
  <w:style w:type="character" w:customStyle="1" w:styleId="Fuentedeprrafopredeter7">
    <w:name w:val="Fuente de párrafo predeter.7"/>
    <w:qFormat/>
    <w:rsid w:val="006C641F"/>
  </w:style>
  <w:style w:type="character" w:customStyle="1" w:styleId="Ttulo2Car">
    <w:name w:val="Título 2 Car"/>
    <w:qFormat/>
    <w:rsid w:val="006C641F"/>
    <w:rPr>
      <w:rFonts w:ascii="Arial" w:eastAsia="Arial" w:hAnsi="Arial" w:cs="Arial"/>
      <w:b/>
      <w:bCs/>
      <w:szCs w:val="24"/>
      <w:lang w:eastAsia="ar-SA" w:bidi="ar-SA"/>
    </w:rPr>
  </w:style>
  <w:style w:type="character" w:customStyle="1" w:styleId="Smbolodenotaalpie">
    <w:name w:val="Símbolo de nota al pie"/>
    <w:qFormat/>
    <w:rsid w:val="006C641F"/>
    <w:rPr>
      <w:vertAlign w:val="superscript"/>
    </w:rPr>
  </w:style>
  <w:style w:type="character" w:customStyle="1" w:styleId="CTENormalCar">
    <w:name w:val="CTE_Normal Car"/>
    <w:qFormat/>
    <w:rsid w:val="006C641F"/>
    <w:rPr>
      <w:rFonts w:ascii="Arial" w:eastAsia="Arial" w:hAnsi="Arial" w:cs="Arial"/>
      <w:szCs w:val="24"/>
      <w:lang w:eastAsia="ar-SA" w:bidi="ar-SA"/>
    </w:rPr>
  </w:style>
  <w:style w:type="character" w:customStyle="1" w:styleId="CTEComentarioCarCar">
    <w:name w:val="CTE_Comentario Car Car"/>
    <w:qFormat/>
    <w:rsid w:val="006C641F"/>
    <w:rPr>
      <w:rFonts w:ascii="Arial" w:eastAsia="Arial" w:hAnsi="Arial" w:cs="Arial"/>
      <w:sz w:val="16"/>
      <w:szCs w:val="16"/>
      <w:lang w:eastAsia="ar-SA" w:bidi="ar-SA"/>
    </w:rPr>
  </w:style>
  <w:style w:type="character" w:customStyle="1" w:styleId="CTEComentarioTitulo">
    <w:name w:val="CTE_ComentarioTitulo"/>
    <w:qFormat/>
    <w:rsid w:val="006C641F"/>
    <w:rPr>
      <w:b/>
    </w:rPr>
  </w:style>
  <w:style w:type="character" w:customStyle="1" w:styleId="CTEComentarioNuevoCarCar">
    <w:name w:val="CTE_ComentarioNuevo Car Car"/>
    <w:qFormat/>
    <w:rsid w:val="006C641F"/>
  </w:style>
  <w:style w:type="character" w:customStyle="1" w:styleId="CTEModAadnoaprob">
    <w:name w:val="CTE_Mod_Añad_noaprob"/>
    <w:qFormat/>
    <w:rsid w:val="006C641F"/>
    <w:rPr>
      <w:shd w:val="clear" w:color="auto" w:fill="FF0000"/>
    </w:rPr>
  </w:style>
  <w:style w:type="character" w:customStyle="1" w:styleId="CTECOcultoCar">
    <w:name w:val="CTE_C_Oculto Car"/>
    <w:qFormat/>
    <w:rsid w:val="006C641F"/>
    <w:rPr>
      <w:rFonts w:ascii="Arial" w:eastAsia="Arial" w:hAnsi="Arial" w:cs="Arial"/>
      <w:vanish/>
      <w:color w:val="0000FF"/>
      <w:sz w:val="16"/>
      <w:szCs w:val="16"/>
      <w:lang w:eastAsia="ar-SA" w:bidi="ar-SA"/>
    </w:rPr>
  </w:style>
  <w:style w:type="character" w:customStyle="1" w:styleId="CTEModTachnoaprob">
    <w:name w:val="CTE_Mod_Tach_noaprob"/>
    <w:qFormat/>
    <w:rsid w:val="006C641F"/>
    <w:rPr>
      <w:rFonts w:ascii="Arial" w:eastAsia="Arial" w:hAnsi="Arial" w:cs="Arial"/>
      <w:szCs w:val="24"/>
      <w:shd w:val="clear" w:color="auto" w:fill="FF0000"/>
      <w:lang w:eastAsia="ar-SA" w:bidi="ar-SA"/>
    </w:rPr>
  </w:style>
  <w:style w:type="character" w:customStyle="1" w:styleId="CTEtabla-TituloCarCar">
    <w:name w:val="CTE_tabla-Titulo Car Car"/>
    <w:qFormat/>
    <w:rsid w:val="006C641F"/>
    <w:rPr>
      <w:rFonts w:ascii="Arial" w:eastAsia="Arial" w:hAnsi="Arial" w:cs="Arial"/>
      <w:b/>
      <w:sz w:val="18"/>
      <w:szCs w:val="24"/>
      <w:lang w:eastAsia="ar-SA" w:bidi="ar-SA"/>
    </w:rPr>
  </w:style>
  <w:style w:type="character" w:customStyle="1" w:styleId="Refdecomentario4">
    <w:name w:val="Ref. de comentario4"/>
    <w:qFormat/>
    <w:rsid w:val="006C641F"/>
    <w:rPr>
      <w:sz w:val="16"/>
    </w:rPr>
  </w:style>
  <w:style w:type="character" w:customStyle="1" w:styleId="ModAadaprob">
    <w:name w:val="Mod_Añad_aprob"/>
    <w:qFormat/>
    <w:rsid w:val="006C641F"/>
    <w:rPr>
      <w:shd w:val="clear" w:color="auto" w:fill="FFFF00"/>
    </w:rPr>
  </w:style>
  <w:style w:type="character" w:customStyle="1" w:styleId="ModAadnoaprob">
    <w:name w:val="Mod_Añad_noaprob"/>
    <w:qFormat/>
    <w:rsid w:val="006C641F"/>
    <w:rPr>
      <w:shd w:val="clear" w:color="auto" w:fill="FF0000"/>
    </w:rPr>
  </w:style>
  <w:style w:type="character" w:customStyle="1" w:styleId="ModTachaprob">
    <w:name w:val="Mod_Tach_aprob"/>
    <w:qFormat/>
    <w:rsid w:val="006C641F"/>
    <w:rPr>
      <w:shd w:val="clear" w:color="auto" w:fill="FFFF00"/>
    </w:rPr>
  </w:style>
  <w:style w:type="character" w:customStyle="1" w:styleId="ModTachnoaprob">
    <w:name w:val="Mod_Tach_noaprob"/>
    <w:qFormat/>
    <w:rsid w:val="006C641F"/>
    <w:rPr>
      <w:rFonts w:ascii="Arial" w:eastAsia="Arial" w:hAnsi="Arial" w:cs="Arial"/>
      <w:shd w:val="clear" w:color="auto" w:fill="FF0000"/>
    </w:rPr>
  </w:style>
  <w:style w:type="character" w:customStyle="1" w:styleId="tabla-TituloCTECarCar">
    <w:name w:val="tabla-TituloCTE Car Car"/>
    <w:qFormat/>
    <w:rsid w:val="006C641F"/>
    <w:rPr>
      <w:rFonts w:ascii="Arial" w:eastAsia="Arial" w:hAnsi="Arial" w:cs="Arial"/>
      <w:b/>
      <w:sz w:val="18"/>
      <w:szCs w:val="24"/>
    </w:rPr>
  </w:style>
  <w:style w:type="character" w:customStyle="1" w:styleId="EstiloCursiva">
    <w:name w:val="Estilo Cursiva"/>
    <w:qFormat/>
    <w:rsid w:val="006C641F"/>
    <w:rPr>
      <w:rFonts w:ascii="Arial" w:eastAsia="Arial" w:hAnsi="Arial" w:cs="Arial"/>
      <w:i/>
      <w:iCs/>
      <w:sz w:val="20"/>
    </w:rPr>
  </w:style>
  <w:style w:type="character" w:customStyle="1" w:styleId="Fuentedeprrafopredeter6">
    <w:name w:val="Fuente de párrafo predeter.6"/>
    <w:qFormat/>
    <w:rsid w:val="006C641F"/>
  </w:style>
  <w:style w:type="character" w:customStyle="1" w:styleId="Fuentedeprrafopredeter5">
    <w:name w:val="Fuente de párrafo predeter.5"/>
    <w:qFormat/>
    <w:rsid w:val="006C641F"/>
  </w:style>
  <w:style w:type="character" w:customStyle="1" w:styleId="Fuentedeprrafopredeter4">
    <w:name w:val="Fuente de párrafo predeter.4"/>
    <w:qFormat/>
    <w:rsid w:val="006C641F"/>
  </w:style>
  <w:style w:type="character" w:customStyle="1" w:styleId="Fuentedeprrafopredeter3">
    <w:name w:val="Fuente de párrafo predeter.3"/>
    <w:qFormat/>
    <w:rsid w:val="006C641F"/>
  </w:style>
  <w:style w:type="character" w:customStyle="1" w:styleId="Fuentedeprrafopredeter2">
    <w:name w:val="Fuente de párrafo predeter.2"/>
    <w:qFormat/>
    <w:rsid w:val="006C641F"/>
  </w:style>
  <w:style w:type="character" w:customStyle="1" w:styleId="Fuentedeprrafopredeter1">
    <w:name w:val="Fuente de párrafo predeter.1"/>
    <w:qFormat/>
    <w:rsid w:val="006C641F"/>
  </w:style>
  <w:style w:type="character" w:customStyle="1" w:styleId="Refdecomentario2">
    <w:name w:val="Ref. de comentario2"/>
    <w:qFormat/>
    <w:rsid w:val="006C641F"/>
    <w:rPr>
      <w:sz w:val="16"/>
      <w:szCs w:val="16"/>
    </w:rPr>
  </w:style>
  <w:style w:type="character" w:customStyle="1" w:styleId="Smbolosdenumeracin">
    <w:name w:val="Símbolos de numeración"/>
    <w:qFormat/>
    <w:rsid w:val="006C641F"/>
  </w:style>
  <w:style w:type="character" w:customStyle="1" w:styleId="Refdecomentario1">
    <w:name w:val="Ref. de comentario1"/>
    <w:qFormat/>
    <w:rsid w:val="006C641F"/>
    <w:rPr>
      <w:sz w:val="16"/>
      <w:szCs w:val="16"/>
    </w:rPr>
  </w:style>
  <w:style w:type="character" w:customStyle="1" w:styleId="Refdecomentario3">
    <w:name w:val="Ref. de comentario3"/>
    <w:qFormat/>
    <w:rsid w:val="006C641F"/>
    <w:rPr>
      <w:sz w:val="16"/>
      <w:szCs w:val="16"/>
    </w:rPr>
  </w:style>
  <w:style w:type="character" w:customStyle="1" w:styleId="CteTtulo1Car">
    <w:name w:val="CteTítulo1 Car"/>
    <w:qFormat/>
    <w:rsid w:val="006C641F"/>
    <w:rPr>
      <w:rFonts w:ascii="Arial" w:eastAsia="Arial" w:hAnsi="Arial" w:cs="Arial"/>
      <w:b/>
      <w:bCs/>
      <w:sz w:val="28"/>
      <w:szCs w:val="28"/>
      <w:lang w:eastAsia="ar-SA" w:bidi="ar-SA"/>
    </w:rPr>
  </w:style>
  <w:style w:type="character" w:customStyle="1" w:styleId="SangradetextonormalCar">
    <w:name w:val="Sangría de texto normal Car"/>
    <w:qFormat/>
    <w:rsid w:val="006C641F"/>
    <w:rPr>
      <w:rFonts w:ascii="Arial" w:eastAsia="Arial" w:hAnsi="Arial" w:cs="Arial"/>
      <w:szCs w:val="24"/>
    </w:rPr>
  </w:style>
  <w:style w:type="character" w:customStyle="1" w:styleId="Refdecomentario5">
    <w:name w:val="Ref. de comentario5"/>
    <w:qFormat/>
    <w:rsid w:val="006C641F"/>
    <w:rPr>
      <w:sz w:val="16"/>
      <w:szCs w:val="16"/>
    </w:rPr>
  </w:style>
  <w:style w:type="character" w:customStyle="1" w:styleId="CTENumeracionIzquierda063cmSangrafrancesa068Car">
    <w:name w:val="CTE_Numeracion + Izquierda:  063 cm Sangría francesa:  068... Car"/>
    <w:qFormat/>
    <w:rsid w:val="006C641F"/>
    <w:rPr>
      <w:rFonts w:ascii="Arial" w:eastAsia="Arial" w:hAnsi="Arial" w:cs="Arial"/>
    </w:rPr>
  </w:style>
  <w:style w:type="character" w:customStyle="1" w:styleId="Carcterdenumeracin">
    <w:name w:val="Carácter de numeración"/>
    <w:qFormat/>
    <w:rsid w:val="006C641F"/>
  </w:style>
  <w:style w:type="character" w:customStyle="1" w:styleId="TextocomentarioCar1">
    <w:name w:val="Texto comentario Car1"/>
    <w:qFormat/>
    <w:rsid w:val="006C641F"/>
    <w:rPr>
      <w:rFonts w:ascii="Arial" w:eastAsia="Arial" w:hAnsi="Arial" w:cs="Arial"/>
      <w:lang w:eastAsia="ar-SA"/>
    </w:rPr>
  </w:style>
  <w:style w:type="character" w:customStyle="1" w:styleId="TextoindependienteCar1">
    <w:name w:val="Texto independiente Car1"/>
    <w:qFormat/>
    <w:rsid w:val="006C641F"/>
    <w:rPr>
      <w:rFonts w:ascii="Arial" w:eastAsia="Arial" w:hAnsi="Arial" w:cs="Arial"/>
      <w:szCs w:val="24"/>
      <w:lang w:eastAsia="ar-SA"/>
    </w:rPr>
  </w:style>
  <w:style w:type="character" w:customStyle="1" w:styleId="SangradetextonormalCar1">
    <w:name w:val="Sangría de texto normal Car1"/>
    <w:qFormat/>
    <w:rsid w:val="006C641F"/>
    <w:rPr>
      <w:rFonts w:ascii="Arial" w:eastAsia="Arial" w:hAnsi="Arial" w:cs="Arial"/>
      <w:szCs w:val="24"/>
      <w:lang w:eastAsia="ar-SA"/>
    </w:rPr>
  </w:style>
  <w:style w:type="character" w:customStyle="1" w:styleId="WW8Num12z0">
    <w:name w:val="WW8Num12z0"/>
    <w:qFormat/>
    <w:rsid w:val="006C641F"/>
    <w:rPr>
      <w:rFonts w:cs="Times New Roman"/>
      <w:sz w:val="20"/>
    </w:rPr>
  </w:style>
  <w:style w:type="character" w:customStyle="1" w:styleId="WW8Num12z1">
    <w:name w:val="WW8Num12z1"/>
    <w:qFormat/>
    <w:rsid w:val="006C641F"/>
    <w:rPr>
      <w:rFonts w:cs="Times New Roman"/>
    </w:rPr>
  </w:style>
  <w:style w:type="character" w:customStyle="1" w:styleId="WW8Num13z0">
    <w:name w:val="WW8Num13z0"/>
    <w:qFormat/>
    <w:rsid w:val="006C641F"/>
    <w:rPr>
      <w:rFonts w:cs="Times New Roman"/>
    </w:rPr>
  </w:style>
  <w:style w:type="character" w:customStyle="1" w:styleId="WW8Num14z0">
    <w:name w:val="WW8Num14z0"/>
    <w:qFormat/>
    <w:rsid w:val="006C641F"/>
    <w:rPr>
      <w:rFonts w:ascii="Symbol" w:eastAsia="Times New Roman" w:hAnsi="Symbol" w:cs="Times New Roman"/>
    </w:rPr>
  </w:style>
  <w:style w:type="character" w:customStyle="1" w:styleId="WW8Num14z1">
    <w:name w:val="WW8Num14z1"/>
    <w:qFormat/>
    <w:rsid w:val="006C641F"/>
    <w:rPr>
      <w:rFonts w:ascii="Courier New" w:eastAsia="Courier New" w:hAnsi="Courier New" w:cs="Courier New"/>
    </w:rPr>
  </w:style>
  <w:style w:type="character" w:customStyle="1" w:styleId="WW8Num14z2">
    <w:name w:val="WW8Num14z2"/>
    <w:qFormat/>
    <w:rsid w:val="006C641F"/>
    <w:rPr>
      <w:rFonts w:ascii="Wingdings" w:eastAsia="Wingdings" w:hAnsi="Wingdings" w:cs="Wingdings"/>
    </w:rPr>
  </w:style>
  <w:style w:type="character" w:customStyle="1" w:styleId="WW8Num14z3">
    <w:name w:val="WW8Num14z3"/>
    <w:qFormat/>
    <w:rsid w:val="006C641F"/>
    <w:rPr>
      <w:rFonts w:ascii="Symbol" w:eastAsia="Symbol" w:hAnsi="Symbol" w:cs="Symbol"/>
    </w:rPr>
  </w:style>
  <w:style w:type="character" w:customStyle="1" w:styleId="WW8Num15z0">
    <w:name w:val="WW8Num15z0"/>
    <w:qFormat/>
    <w:rsid w:val="006C641F"/>
    <w:rPr>
      <w:rFonts w:ascii="Arial" w:eastAsia="Times New Roman" w:hAnsi="Arial" w:cs="Arial"/>
    </w:rPr>
  </w:style>
  <w:style w:type="character" w:customStyle="1" w:styleId="WW8Num15z1">
    <w:name w:val="WW8Num15z1"/>
    <w:qFormat/>
    <w:rsid w:val="006C641F"/>
    <w:rPr>
      <w:rFonts w:ascii="Courier New" w:eastAsia="Courier New" w:hAnsi="Courier New" w:cs="Courier New"/>
    </w:rPr>
  </w:style>
  <w:style w:type="character" w:customStyle="1" w:styleId="WW8Num15z2">
    <w:name w:val="WW8Num15z2"/>
    <w:qFormat/>
    <w:rsid w:val="006C641F"/>
    <w:rPr>
      <w:rFonts w:ascii="Wingdings" w:eastAsia="Wingdings" w:hAnsi="Wingdings" w:cs="Wingdings"/>
    </w:rPr>
  </w:style>
  <w:style w:type="character" w:customStyle="1" w:styleId="WW8Num15z3">
    <w:name w:val="WW8Num15z3"/>
    <w:qFormat/>
    <w:rsid w:val="006C641F"/>
    <w:rPr>
      <w:rFonts w:ascii="Symbol" w:eastAsia="Symbol" w:hAnsi="Symbol" w:cs="Symbol"/>
    </w:rPr>
  </w:style>
  <w:style w:type="character" w:customStyle="1" w:styleId="WW8Num17z1">
    <w:name w:val="WW8Num17z1"/>
    <w:qFormat/>
    <w:rsid w:val="006C641F"/>
    <w:rPr>
      <w:rFonts w:ascii="Courier New" w:eastAsia="Courier New" w:hAnsi="Courier New" w:cs="Courier New"/>
    </w:rPr>
  </w:style>
  <w:style w:type="character" w:customStyle="1" w:styleId="WW8Num17z2">
    <w:name w:val="WW8Num17z2"/>
    <w:qFormat/>
    <w:rsid w:val="006C641F"/>
    <w:rPr>
      <w:rFonts w:ascii="Wingdings" w:eastAsia="Wingdings" w:hAnsi="Wingdings" w:cs="Wingdings"/>
    </w:rPr>
  </w:style>
  <w:style w:type="character" w:customStyle="1" w:styleId="WW8Num17z3">
    <w:name w:val="WW8Num17z3"/>
    <w:qFormat/>
    <w:rsid w:val="006C641F"/>
    <w:rPr>
      <w:rFonts w:ascii="Symbol" w:eastAsia="Symbol" w:hAnsi="Symbol" w:cs="Symbol"/>
    </w:rPr>
  </w:style>
  <w:style w:type="character" w:customStyle="1" w:styleId="Textodelmarcadordeposicin1">
    <w:name w:val="Texto del marcador de posición1"/>
    <w:qFormat/>
    <w:rsid w:val="006C641F"/>
    <w:rPr>
      <w:rFonts w:cs="Times New Roman"/>
      <w:color w:val="808080"/>
    </w:rPr>
  </w:style>
  <w:style w:type="character" w:customStyle="1" w:styleId="CTENumeracion1linea0Car">
    <w:name w:val="CTE_Numeracion + 1ª linea 0 Car"/>
    <w:qFormat/>
    <w:rsid w:val="006C641F"/>
    <w:rPr>
      <w:rFonts w:ascii="Arial" w:eastAsia="Arial" w:hAnsi="Arial" w:cs="Arial"/>
      <w:szCs w:val="24"/>
      <w:lang w:eastAsia="ar-SA" w:bidi="ar-SA"/>
    </w:rPr>
  </w:style>
  <w:style w:type="character" w:customStyle="1" w:styleId="CTENumeracionCar">
    <w:name w:val="CTE_Numeracion Car"/>
    <w:qFormat/>
    <w:rsid w:val="006C641F"/>
    <w:rPr>
      <w:rFonts w:ascii="Arial" w:eastAsia="Times New Roman" w:hAnsi="Arial" w:cs="Arial"/>
      <w:szCs w:val="24"/>
    </w:rPr>
  </w:style>
  <w:style w:type="character" w:customStyle="1" w:styleId="TextosinformatoCar">
    <w:name w:val="Texto sin formato Car"/>
    <w:uiPriority w:val="99"/>
    <w:qFormat/>
    <w:rsid w:val="006C641F"/>
    <w:rPr>
      <w:rFonts w:ascii="Consolas" w:eastAsia="Consolas" w:hAnsi="Consolas" w:cs="Consolas"/>
    </w:rPr>
  </w:style>
  <w:style w:type="character" w:customStyle="1" w:styleId="TextosinformatoCar1">
    <w:name w:val="Texto sin formato Car1"/>
    <w:qFormat/>
    <w:rsid w:val="006C641F"/>
    <w:rPr>
      <w:rFonts w:ascii="Courier New" w:eastAsia="Courier New" w:hAnsi="Courier New" w:cs="Courier New"/>
      <w:lang w:eastAsia="ar-SA"/>
    </w:rPr>
  </w:style>
  <w:style w:type="character" w:customStyle="1" w:styleId="ListLabel1">
    <w:name w:val="ListLabel 1"/>
    <w:qFormat/>
    <w:rsid w:val="006C641F"/>
    <w:rPr>
      <w:strike w:val="0"/>
      <w:dstrike w:val="0"/>
    </w:rPr>
  </w:style>
  <w:style w:type="character" w:customStyle="1" w:styleId="ListLabel2">
    <w:name w:val="ListLabel 2"/>
    <w:qFormat/>
    <w:rsid w:val="006C641F"/>
    <w:rPr>
      <w:strike w:val="0"/>
      <w:dstrike w:val="0"/>
    </w:rPr>
  </w:style>
  <w:style w:type="character" w:customStyle="1" w:styleId="ListLabel3">
    <w:name w:val="ListLabel 3"/>
    <w:qFormat/>
    <w:rsid w:val="006C641F"/>
    <w:rPr>
      <w:strike w:val="0"/>
      <w:dstrike w:val="0"/>
    </w:rPr>
  </w:style>
  <w:style w:type="character" w:customStyle="1" w:styleId="ListLabel4">
    <w:name w:val="ListLabel 4"/>
    <w:qFormat/>
    <w:rsid w:val="006C641F"/>
    <w:rPr>
      <w:strike w:val="0"/>
      <w:dstrike w:val="0"/>
    </w:rPr>
  </w:style>
  <w:style w:type="character" w:customStyle="1" w:styleId="ListLabel5">
    <w:name w:val="ListLabel 5"/>
    <w:qFormat/>
    <w:rsid w:val="006C641F"/>
    <w:rPr>
      <w:strike w:val="0"/>
      <w:dstrike w:val="0"/>
    </w:rPr>
  </w:style>
  <w:style w:type="character" w:customStyle="1" w:styleId="ListLabel6">
    <w:name w:val="ListLabel 6"/>
    <w:qFormat/>
    <w:rsid w:val="006C641F"/>
    <w:rPr>
      <w:rFonts w:cs="Courier New"/>
    </w:rPr>
  </w:style>
  <w:style w:type="character" w:customStyle="1" w:styleId="ListLabel7">
    <w:name w:val="ListLabel 7"/>
    <w:qFormat/>
    <w:rsid w:val="006C641F"/>
    <w:rPr>
      <w:rFonts w:cs="Courier New"/>
    </w:rPr>
  </w:style>
  <w:style w:type="character" w:customStyle="1" w:styleId="ListLabel8">
    <w:name w:val="ListLabel 8"/>
    <w:qFormat/>
    <w:rsid w:val="006C641F"/>
    <w:rPr>
      <w:rFonts w:cs="Courier New"/>
    </w:rPr>
  </w:style>
  <w:style w:type="character" w:customStyle="1" w:styleId="ListLabel9">
    <w:name w:val="ListLabel 9"/>
    <w:qFormat/>
    <w:rsid w:val="006C641F"/>
    <w:rPr>
      <w:sz w:val="20"/>
    </w:rPr>
  </w:style>
  <w:style w:type="character" w:customStyle="1" w:styleId="ListLabel10">
    <w:name w:val="ListLabel 10"/>
    <w:qFormat/>
    <w:rsid w:val="006C641F"/>
    <w:rPr>
      <w:rFonts w:cs="Arial"/>
    </w:rPr>
  </w:style>
  <w:style w:type="character" w:customStyle="1" w:styleId="ListLabel11">
    <w:name w:val="ListLabel 11"/>
    <w:qFormat/>
    <w:rsid w:val="006C641F"/>
    <w:rPr>
      <w:sz w:val="20"/>
    </w:rPr>
  </w:style>
  <w:style w:type="character" w:customStyle="1" w:styleId="ListLabel12">
    <w:name w:val="ListLabel 12"/>
    <w:qFormat/>
    <w:rsid w:val="006C641F"/>
    <w:rPr>
      <w:rFonts w:cs="Arial"/>
    </w:rPr>
  </w:style>
  <w:style w:type="character" w:customStyle="1" w:styleId="ListLabel13">
    <w:name w:val="ListLabel 13"/>
    <w:qFormat/>
    <w:rsid w:val="006C641F"/>
    <w:rPr>
      <w:color w:val="1F497D"/>
    </w:rPr>
  </w:style>
  <w:style w:type="character" w:customStyle="1" w:styleId="ListLabel14">
    <w:name w:val="ListLabel 14"/>
    <w:qFormat/>
    <w:rsid w:val="006C641F"/>
    <w:rPr>
      <w:rFonts w:eastAsia="Times New Roman" w:cs="Arial"/>
    </w:rPr>
  </w:style>
  <w:style w:type="character" w:customStyle="1" w:styleId="ListLabel15">
    <w:name w:val="ListLabel 15"/>
    <w:qFormat/>
    <w:rsid w:val="006C641F"/>
    <w:rPr>
      <w:rFonts w:cs="Courier New"/>
    </w:rPr>
  </w:style>
  <w:style w:type="character" w:customStyle="1" w:styleId="ListLabel16">
    <w:name w:val="ListLabel 16"/>
    <w:qFormat/>
    <w:rsid w:val="006C641F"/>
    <w:rPr>
      <w:rFonts w:cs="Courier New"/>
    </w:rPr>
  </w:style>
  <w:style w:type="character" w:customStyle="1" w:styleId="ListLabel17">
    <w:name w:val="ListLabel 17"/>
    <w:qFormat/>
    <w:rsid w:val="006C641F"/>
    <w:rPr>
      <w:rFonts w:cs="Courier New"/>
    </w:rPr>
  </w:style>
  <w:style w:type="character" w:customStyle="1" w:styleId="ListLabel18">
    <w:name w:val="ListLabel 18"/>
    <w:qFormat/>
    <w:rsid w:val="006C641F"/>
    <w:rPr>
      <w:rFonts w:eastAsia="Times New Roman" w:cs="Arial"/>
    </w:rPr>
  </w:style>
  <w:style w:type="character" w:customStyle="1" w:styleId="ListLabel19">
    <w:name w:val="ListLabel 19"/>
    <w:qFormat/>
    <w:rsid w:val="006C641F"/>
    <w:rPr>
      <w:rFonts w:cs="Courier New"/>
    </w:rPr>
  </w:style>
  <w:style w:type="character" w:customStyle="1" w:styleId="ListLabel20">
    <w:name w:val="ListLabel 20"/>
    <w:qFormat/>
    <w:rsid w:val="006C641F"/>
    <w:rPr>
      <w:rFonts w:cs="Courier New"/>
    </w:rPr>
  </w:style>
  <w:style w:type="character" w:customStyle="1" w:styleId="ListLabel21">
    <w:name w:val="ListLabel 21"/>
    <w:qFormat/>
    <w:rsid w:val="006C641F"/>
    <w:rPr>
      <w:rFonts w:cs="Courier New"/>
    </w:rPr>
  </w:style>
  <w:style w:type="character" w:customStyle="1" w:styleId="ListLabel22">
    <w:name w:val="ListLabel 22"/>
    <w:qFormat/>
    <w:rsid w:val="006C641F"/>
    <w:rPr>
      <w:strike w:val="0"/>
      <w:dstrike w:val="0"/>
    </w:rPr>
  </w:style>
  <w:style w:type="character" w:customStyle="1" w:styleId="ListLabel23">
    <w:name w:val="ListLabel 23"/>
    <w:qFormat/>
    <w:rsid w:val="006C641F"/>
    <w:rPr>
      <w:rFonts w:cs="Symbol"/>
    </w:rPr>
  </w:style>
  <w:style w:type="character" w:customStyle="1" w:styleId="ListLabel24">
    <w:name w:val="ListLabel 24"/>
    <w:qFormat/>
    <w:rsid w:val="006C641F"/>
    <w:rPr>
      <w:rFonts w:cs="Courier New"/>
    </w:rPr>
  </w:style>
  <w:style w:type="character" w:customStyle="1" w:styleId="ListLabel25">
    <w:name w:val="ListLabel 25"/>
    <w:qFormat/>
    <w:rsid w:val="006C641F"/>
    <w:rPr>
      <w:rFonts w:cs="Wingdings"/>
    </w:rPr>
  </w:style>
  <w:style w:type="character" w:customStyle="1" w:styleId="ListLabel26">
    <w:name w:val="ListLabel 26"/>
    <w:qFormat/>
    <w:rsid w:val="006C641F"/>
    <w:rPr>
      <w:sz w:val="20"/>
    </w:rPr>
  </w:style>
  <w:style w:type="character" w:customStyle="1" w:styleId="ListLabel27">
    <w:name w:val="ListLabel 27"/>
    <w:qFormat/>
    <w:rsid w:val="006C641F"/>
    <w:rPr>
      <w:rFonts w:cs="OpenSymbol"/>
    </w:rPr>
  </w:style>
  <w:style w:type="character" w:customStyle="1" w:styleId="ListLabel28">
    <w:name w:val="ListLabel 28"/>
    <w:qFormat/>
    <w:rsid w:val="006C641F"/>
    <w:rPr>
      <w:rFonts w:cs="Arial"/>
    </w:rPr>
  </w:style>
  <w:style w:type="character" w:customStyle="1" w:styleId="InternetLink0">
    <w:name w:val="Internet Link"/>
    <w:qFormat/>
    <w:rsid w:val="006C641F"/>
    <w:rPr>
      <w:color w:val="000080"/>
      <w:u w:val="single"/>
    </w:rPr>
  </w:style>
  <w:style w:type="character" w:customStyle="1" w:styleId="ListLabel29">
    <w:name w:val="ListLabel 29"/>
    <w:qFormat/>
    <w:rsid w:val="006C641F"/>
    <w:rPr>
      <w:strike w:val="0"/>
      <w:dstrike w:val="0"/>
    </w:rPr>
  </w:style>
  <w:style w:type="character" w:customStyle="1" w:styleId="ListLabel30">
    <w:name w:val="ListLabel 30"/>
    <w:qFormat/>
    <w:rsid w:val="006C641F"/>
    <w:rPr>
      <w:rFonts w:cs="Symbol"/>
    </w:rPr>
  </w:style>
  <w:style w:type="character" w:customStyle="1" w:styleId="ListLabel31">
    <w:name w:val="ListLabel 31"/>
    <w:qFormat/>
    <w:rsid w:val="006C641F"/>
    <w:rPr>
      <w:rFonts w:cs="Symbol"/>
    </w:rPr>
  </w:style>
  <w:style w:type="character" w:customStyle="1" w:styleId="ListLabel32">
    <w:name w:val="ListLabel 32"/>
    <w:qFormat/>
    <w:rsid w:val="006C641F"/>
    <w:rPr>
      <w:rFonts w:cs="Courier New"/>
    </w:rPr>
  </w:style>
  <w:style w:type="character" w:customStyle="1" w:styleId="ListLabel33">
    <w:name w:val="ListLabel 33"/>
    <w:qFormat/>
    <w:rsid w:val="006C641F"/>
    <w:rPr>
      <w:rFonts w:cs="Wingdings"/>
    </w:rPr>
  </w:style>
  <w:style w:type="character" w:customStyle="1" w:styleId="ListLabel34">
    <w:name w:val="ListLabel 34"/>
    <w:qFormat/>
    <w:rsid w:val="006C641F"/>
    <w:rPr>
      <w:rFonts w:cs="Symbol"/>
    </w:rPr>
  </w:style>
  <w:style w:type="character" w:customStyle="1" w:styleId="ListLabel35">
    <w:name w:val="ListLabel 35"/>
    <w:qFormat/>
    <w:rsid w:val="006C641F"/>
    <w:rPr>
      <w:rFonts w:cs="Courier New"/>
    </w:rPr>
  </w:style>
  <w:style w:type="character" w:customStyle="1" w:styleId="ListLabel36">
    <w:name w:val="ListLabel 36"/>
    <w:qFormat/>
    <w:rsid w:val="006C641F"/>
    <w:rPr>
      <w:rFonts w:cs="Wingdings"/>
    </w:rPr>
  </w:style>
  <w:style w:type="character" w:customStyle="1" w:styleId="ListLabel37">
    <w:name w:val="ListLabel 37"/>
    <w:qFormat/>
    <w:rsid w:val="006C641F"/>
    <w:rPr>
      <w:rFonts w:cs="Symbol"/>
    </w:rPr>
  </w:style>
  <w:style w:type="character" w:customStyle="1" w:styleId="ListLabel38">
    <w:name w:val="ListLabel 38"/>
    <w:qFormat/>
    <w:rsid w:val="006C641F"/>
    <w:rPr>
      <w:rFonts w:cs="Courier New"/>
    </w:rPr>
  </w:style>
  <w:style w:type="character" w:customStyle="1" w:styleId="ListLabel39">
    <w:name w:val="ListLabel 39"/>
    <w:qFormat/>
    <w:rsid w:val="006C641F"/>
    <w:rPr>
      <w:rFonts w:cs="Wingdings"/>
    </w:rPr>
  </w:style>
  <w:style w:type="character" w:customStyle="1" w:styleId="ListLabel40">
    <w:name w:val="ListLabel 40"/>
    <w:qFormat/>
    <w:rsid w:val="006C641F"/>
    <w:rPr>
      <w:sz w:val="20"/>
    </w:rPr>
  </w:style>
  <w:style w:type="character" w:customStyle="1" w:styleId="ListLabel41">
    <w:name w:val="ListLabel 41"/>
    <w:qFormat/>
    <w:rsid w:val="006C641F"/>
    <w:rPr>
      <w:rFonts w:cs="OpenSymbol"/>
    </w:rPr>
  </w:style>
  <w:style w:type="character" w:customStyle="1" w:styleId="ListLabel42">
    <w:name w:val="ListLabel 42"/>
    <w:qFormat/>
    <w:rsid w:val="006C641F"/>
    <w:rPr>
      <w:rFonts w:cs="Arial"/>
    </w:rPr>
  </w:style>
  <w:style w:type="character" w:customStyle="1" w:styleId="ListLabel43">
    <w:name w:val="ListLabel 43"/>
    <w:qFormat/>
    <w:rsid w:val="006C641F"/>
    <w:rPr>
      <w:sz w:val="20"/>
    </w:rPr>
  </w:style>
  <w:style w:type="character" w:customStyle="1" w:styleId="ListLabel44">
    <w:name w:val="ListLabel 44"/>
    <w:qFormat/>
    <w:rsid w:val="006C641F"/>
    <w:rPr>
      <w:rFonts w:cs="OpenSymbol"/>
    </w:rPr>
  </w:style>
  <w:style w:type="character" w:customStyle="1" w:styleId="ListLabel45">
    <w:name w:val="ListLabel 45"/>
    <w:qFormat/>
    <w:rsid w:val="006C641F"/>
    <w:rPr>
      <w:rFonts w:cs="Arial"/>
    </w:rPr>
  </w:style>
  <w:style w:type="character" w:customStyle="1" w:styleId="ListLabel46">
    <w:name w:val="ListLabel 46"/>
    <w:qFormat/>
    <w:rsid w:val="006C641F"/>
    <w:rPr>
      <w:rFonts w:cs="Arial"/>
    </w:rPr>
  </w:style>
  <w:style w:type="character" w:customStyle="1" w:styleId="ListLabel47">
    <w:name w:val="ListLabel 47"/>
    <w:qFormat/>
    <w:rsid w:val="006C641F"/>
    <w:rPr>
      <w:rFonts w:cs="Courier New"/>
    </w:rPr>
  </w:style>
  <w:style w:type="character" w:customStyle="1" w:styleId="ListLabel48">
    <w:name w:val="ListLabel 48"/>
    <w:qFormat/>
    <w:rsid w:val="006C641F"/>
    <w:rPr>
      <w:rFonts w:cs="Wingdings"/>
    </w:rPr>
  </w:style>
  <w:style w:type="character" w:customStyle="1" w:styleId="ListLabel49">
    <w:name w:val="ListLabel 49"/>
    <w:qFormat/>
    <w:rsid w:val="006C641F"/>
    <w:rPr>
      <w:rFonts w:cs="Symbol"/>
    </w:rPr>
  </w:style>
  <w:style w:type="character" w:customStyle="1" w:styleId="ListLabel50">
    <w:name w:val="ListLabel 50"/>
    <w:qFormat/>
    <w:rsid w:val="006C641F"/>
    <w:rPr>
      <w:rFonts w:cs="Courier New"/>
    </w:rPr>
  </w:style>
  <w:style w:type="character" w:customStyle="1" w:styleId="ListLabel51">
    <w:name w:val="ListLabel 51"/>
    <w:qFormat/>
    <w:rsid w:val="006C641F"/>
    <w:rPr>
      <w:rFonts w:cs="Wingdings"/>
    </w:rPr>
  </w:style>
  <w:style w:type="character" w:customStyle="1" w:styleId="ListLabel52">
    <w:name w:val="ListLabel 52"/>
    <w:qFormat/>
    <w:rsid w:val="006C641F"/>
    <w:rPr>
      <w:rFonts w:cs="Symbol"/>
    </w:rPr>
  </w:style>
  <w:style w:type="character" w:customStyle="1" w:styleId="ListLabel53">
    <w:name w:val="ListLabel 53"/>
    <w:qFormat/>
    <w:rsid w:val="006C641F"/>
    <w:rPr>
      <w:rFonts w:cs="Courier New"/>
    </w:rPr>
  </w:style>
  <w:style w:type="character" w:customStyle="1" w:styleId="ListLabel54">
    <w:name w:val="ListLabel 54"/>
    <w:qFormat/>
    <w:rsid w:val="006C641F"/>
    <w:rPr>
      <w:rFonts w:cs="Wingdings"/>
    </w:rPr>
  </w:style>
  <w:style w:type="character" w:customStyle="1" w:styleId="ListLabel55">
    <w:name w:val="ListLabel 55"/>
    <w:qFormat/>
    <w:rsid w:val="006C641F"/>
    <w:rPr>
      <w:strike w:val="0"/>
      <w:dstrike w:val="0"/>
    </w:rPr>
  </w:style>
  <w:style w:type="character" w:customStyle="1" w:styleId="ListLabel56">
    <w:name w:val="ListLabel 56"/>
    <w:qFormat/>
    <w:rsid w:val="006C641F"/>
    <w:rPr>
      <w:rFonts w:cs="Symbol"/>
    </w:rPr>
  </w:style>
  <w:style w:type="character" w:customStyle="1" w:styleId="ListLabel57">
    <w:name w:val="ListLabel 57"/>
    <w:qFormat/>
    <w:rsid w:val="006C641F"/>
    <w:rPr>
      <w:rFonts w:cs="Symbol"/>
    </w:rPr>
  </w:style>
  <w:style w:type="character" w:customStyle="1" w:styleId="ListLabel58">
    <w:name w:val="ListLabel 58"/>
    <w:qFormat/>
    <w:rsid w:val="006C641F"/>
    <w:rPr>
      <w:rFonts w:cs="Courier New"/>
    </w:rPr>
  </w:style>
  <w:style w:type="character" w:customStyle="1" w:styleId="ListLabel59">
    <w:name w:val="ListLabel 59"/>
    <w:qFormat/>
    <w:rsid w:val="006C641F"/>
    <w:rPr>
      <w:rFonts w:cs="Wingdings"/>
    </w:rPr>
  </w:style>
  <w:style w:type="character" w:customStyle="1" w:styleId="ListLabel60">
    <w:name w:val="ListLabel 60"/>
    <w:qFormat/>
    <w:rsid w:val="006C641F"/>
    <w:rPr>
      <w:rFonts w:cs="Symbol"/>
    </w:rPr>
  </w:style>
  <w:style w:type="character" w:customStyle="1" w:styleId="ListLabel61">
    <w:name w:val="ListLabel 61"/>
    <w:qFormat/>
    <w:rsid w:val="006C641F"/>
    <w:rPr>
      <w:rFonts w:cs="Courier New"/>
    </w:rPr>
  </w:style>
  <w:style w:type="character" w:customStyle="1" w:styleId="ListLabel62">
    <w:name w:val="ListLabel 62"/>
    <w:qFormat/>
    <w:rsid w:val="006C641F"/>
    <w:rPr>
      <w:rFonts w:cs="Wingdings"/>
    </w:rPr>
  </w:style>
  <w:style w:type="character" w:customStyle="1" w:styleId="ListLabel63">
    <w:name w:val="ListLabel 63"/>
    <w:qFormat/>
    <w:rsid w:val="006C641F"/>
    <w:rPr>
      <w:rFonts w:cs="Symbol"/>
    </w:rPr>
  </w:style>
  <w:style w:type="character" w:customStyle="1" w:styleId="ListLabel64">
    <w:name w:val="ListLabel 64"/>
    <w:qFormat/>
    <w:rsid w:val="006C641F"/>
    <w:rPr>
      <w:rFonts w:cs="Courier New"/>
    </w:rPr>
  </w:style>
  <w:style w:type="character" w:customStyle="1" w:styleId="ListLabel65">
    <w:name w:val="ListLabel 65"/>
    <w:qFormat/>
    <w:rsid w:val="006C641F"/>
    <w:rPr>
      <w:rFonts w:cs="Wingdings"/>
    </w:rPr>
  </w:style>
  <w:style w:type="character" w:customStyle="1" w:styleId="ListLabel66">
    <w:name w:val="ListLabel 66"/>
    <w:qFormat/>
    <w:rsid w:val="006C641F"/>
    <w:rPr>
      <w:sz w:val="20"/>
    </w:rPr>
  </w:style>
  <w:style w:type="character" w:customStyle="1" w:styleId="ListLabel67">
    <w:name w:val="ListLabel 67"/>
    <w:qFormat/>
    <w:rsid w:val="006C641F"/>
    <w:rPr>
      <w:rFonts w:cs="OpenSymbol"/>
    </w:rPr>
  </w:style>
  <w:style w:type="character" w:customStyle="1" w:styleId="ListLabel68">
    <w:name w:val="ListLabel 68"/>
    <w:qFormat/>
    <w:rsid w:val="006C641F"/>
    <w:rPr>
      <w:rFonts w:cs="Arial"/>
    </w:rPr>
  </w:style>
  <w:style w:type="character" w:customStyle="1" w:styleId="ListLabel69">
    <w:name w:val="ListLabel 69"/>
    <w:qFormat/>
    <w:rsid w:val="006C641F"/>
    <w:rPr>
      <w:sz w:val="20"/>
    </w:rPr>
  </w:style>
  <w:style w:type="character" w:customStyle="1" w:styleId="ListLabel70">
    <w:name w:val="ListLabel 70"/>
    <w:qFormat/>
    <w:rsid w:val="006C641F"/>
    <w:rPr>
      <w:rFonts w:cs="OpenSymbol"/>
    </w:rPr>
  </w:style>
  <w:style w:type="character" w:customStyle="1" w:styleId="ListLabel71">
    <w:name w:val="ListLabel 71"/>
    <w:qFormat/>
    <w:rsid w:val="006C641F"/>
    <w:rPr>
      <w:rFonts w:cs="Arial"/>
    </w:rPr>
  </w:style>
  <w:style w:type="character" w:customStyle="1" w:styleId="ListLabel72">
    <w:name w:val="ListLabel 72"/>
    <w:qFormat/>
    <w:rsid w:val="006C641F"/>
    <w:rPr>
      <w:rFonts w:cs="Arial"/>
    </w:rPr>
  </w:style>
  <w:style w:type="character" w:customStyle="1" w:styleId="ListLabel73">
    <w:name w:val="ListLabel 73"/>
    <w:qFormat/>
    <w:rsid w:val="006C641F"/>
    <w:rPr>
      <w:rFonts w:cs="Courier New"/>
    </w:rPr>
  </w:style>
  <w:style w:type="character" w:customStyle="1" w:styleId="ListLabel74">
    <w:name w:val="ListLabel 74"/>
    <w:qFormat/>
    <w:rsid w:val="006C641F"/>
    <w:rPr>
      <w:rFonts w:cs="Wingdings"/>
    </w:rPr>
  </w:style>
  <w:style w:type="character" w:customStyle="1" w:styleId="ListLabel75">
    <w:name w:val="ListLabel 75"/>
    <w:qFormat/>
    <w:rsid w:val="006C641F"/>
    <w:rPr>
      <w:rFonts w:cs="Symbol"/>
    </w:rPr>
  </w:style>
  <w:style w:type="character" w:customStyle="1" w:styleId="ListLabel76">
    <w:name w:val="ListLabel 76"/>
    <w:qFormat/>
    <w:rsid w:val="006C641F"/>
    <w:rPr>
      <w:rFonts w:cs="Courier New"/>
    </w:rPr>
  </w:style>
  <w:style w:type="character" w:customStyle="1" w:styleId="ListLabel77">
    <w:name w:val="ListLabel 77"/>
    <w:qFormat/>
    <w:rsid w:val="006C641F"/>
    <w:rPr>
      <w:rFonts w:cs="Wingdings"/>
    </w:rPr>
  </w:style>
  <w:style w:type="character" w:customStyle="1" w:styleId="ListLabel78">
    <w:name w:val="ListLabel 78"/>
    <w:qFormat/>
    <w:rsid w:val="006C641F"/>
    <w:rPr>
      <w:rFonts w:cs="Symbol"/>
    </w:rPr>
  </w:style>
  <w:style w:type="character" w:customStyle="1" w:styleId="ListLabel79">
    <w:name w:val="ListLabel 79"/>
    <w:qFormat/>
    <w:rsid w:val="006C641F"/>
    <w:rPr>
      <w:rFonts w:cs="Courier New"/>
    </w:rPr>
  </w:style>
  <w:style w:type="character" w:customStyle="1" w:styleId="ListLabel80">
    <w:name w:val="ListLabel 80"/>
    <w:qFormat/>
    <w:rsid w:val="006C641F"/>
    <w:rPr>
      <w:rFonts w:cs="Wingdings"/>
    </w:rPr>
  </w:style>
  <w:style w:type="character" w:customStyle="1" w:styleId="ListLabel81">
    <w:name w:val="ListLabel 81"/>
    <w:qFormat/>
    <w:rsid w:val="006C641F"/>
    <w:rPr>
      <w:strike w:val="0"/>
      <w:dstrike w:val="0"/>
    </w:rPr>
  </w:style>
  <w:style w:type="character" w:customStyle="1" w:styleId="ListLabel82">
    <w:name w:val="ListLabel 82"/>
    <w:qFormat/>
    <w:rsid w:val="006C641F"/>
    <w:rPr>
      <w:rFonts w:cs="Symbol"/>
    </w:rPr>
  </w:style>
  <w:style w:type="character" w:customStyle="1" w:styleId="ListLabel83">
    <w:name w:val="ListLabel 83"/>
    <w:qFormat/>
    <w:rsid w:val="006C641F"/>
    <w:rPr>
      <w:rFonts w:cs="Symbol"/>
    </w:rPr>
  </w:style>
  <w:style w:type="character" w:customStyle="1" w:styleId="ListLabel84">
    <w:name w:val="ListLabel 84"/>
    <w:qFormat/>
    <w:rsid w:val="006C641F"/>
    <w:rPr>
      <w:rFonts w:cs="Courier New"/>
    </w:rPr>
  </w:style>
  <w:style w:type="character" w:customStyle="1" w:styleId="ListLabel85">
    <w:name w:val="ListLabel 85"/>
    <w:qFormat/>
    <w:rsid w:val="006C641F"/>
    <w:rPr>
      <w:rFonts w:cs="Wingdings"/>
    </w:rPr>
  </w:style>
  <w:style w:type="character" w:customStyle="1" w:styleId="ListLabel86">
    <w:name w:val="ListLabel 86"/>
    <w:qFormat/>
    <w:rsid w:val="006C641F"/>
    <w:rPr>
      <w:rFonts w:cs="Symbol"/>
    </w:rPr>
  </w:style>
  <w:style w:type="character" w:customStyle="1" w:styleId="ListLabel87">
    <w:name w:val="ListLabel 87"/>
    <w:qFormat/>
    <w:rsid w:val="006C641F"/>
    <w:rPr>
      <w:rFonts w:cs="Courier New"/>
    </w:rPr>
  </w:style>
  <w:style w:type="character" w:customStyle="1" w:styleId="ListLabel88">
    <w:name w:val="ListLabel 88"/>
    <w:qFormat/>
    <w:rsid w:val="006C641F"/>
    <w:rPr>
      <w:rFonts w:cs="Wingdings"/>
    </w:rPr>
  </w:style>
  <w:style w:type="character" w:customStyle="1" w:styleId="ListLabel89">
    <w:name w:val="ListLabel 89"/>
    <w:qFormat/>
    <w:rsid w:val="006C641F"/>
    <w:rPr>
      <w:rFonts w:cs="Symbol"/>
    </w:rPr>
  </w:style>
  <w:style w:type="character" w:customStyle="1" w:styleId="ListLabel90">
    <w:name w:val="ListLabel 90"/>
    <w:qFormat/>
    <w:rsid w:val="006C641F"/>
    <w:rPr>
      <w:rFonts w:cs="Courier New"/>
    </w:rPr>
  </w:style>
  <w:style w:type="character" w:customStyle="1" w:styleId="ListLabel91">
    <w:name w:val="ListLabel 91"/>
    <w:qFormat/>
    <w:rsid w:val="006C641F"/>
    <w:rPr>
      <w:rFonts w:cs="Wingdings"/>
    </w:rPr>
  </w:style>
  <w:style w:type="character" w:customStyle="1" w:styleId="ListLabel92">
    <w:name w:val="ListLabel 92"/>
    <w:qFormat/>
    <w:rsid w:val="006C641F"/>
    <w:rPr>
      <w:rFonts w:cs="Arial"/>
    </w:rPr>
  </w:style>
  <w:style w:type="character" w:customStyle="1" w:styleId="ListLabel93">
    <w:name w:val="ListLabel 93"/>
    <w:qFormat/>
    <w:rsid w:val="006C641F"/>
    <w:rPr>
      <w:rFonts w:cs="Courier New"/>
    </w:rPr>
  </w:style>
  <w:style w:type="character" w:customStyle="1" w:styleId="ListLabel94">
    <w:name w:val="ListLabel 94"/>
    <w:qFormat/>
    <w:rsid w:val="006C641F"/>
    <w:rPr>
      <w:rFonts w:cs="Wingdings"/>
    </w:rPr>
  </w:style>
  <w:style w:type="character" w:customStyle="1" w:styleId="ListLabel95">
    <w:name w:val="ListLabel 95"/>
    <w:qFormat/>
    <w:rsid w:val="006C641F"/>
    <w:rPr>
      <w:rFonts w:cs="Symbol"/>
    </w:rPr>
  </w:style>
  <w:style w:type="character" w:customStyle="1" w:styleId="ListLabel96">
    <w:name w:val="ListLabel 96"/>
    <w:qFormat/>
    <w:rsid w:val="006C641F"/>
    <w:rPr>
      <w:rFonts w:cs="Courier New"/>
    </w:rPr>
  </w:style>
  <w:style w:type="character" w:customStyle="1" w:styleId="ListLabel97">
    <w:name w:val="ListLabel 97"/>
    <w:qFormat/>
    <w:rsid w:val="006C641F"/>
    <w:rPr>
      <w:rFonts w:cs="Wingdings"/>
    </w:rPr>
  </w:style>
  <w:style w:type="character" w:customStyle="1" w:styleId="ListLabel98">
    <w:name w:val="ListLabel 98"/>
    <w:qFormat/>
    <w:rsid w:val="006C641F"/>
    <w:rPr>
      <w:rFonts w:cs="Symbol"/>
    </w:rPr>
  </w:style>
  <w:style w:type="character" w:customStyle="1" w:styleId="ListLabel99">
    <w:name w:val="ListLabel 99"/>
    <w:qFormat/>
    <w:rsid w:val="006C641F"/>
    <w:rPr>
      <w:rFonts w:cs="Courier New"/>
    </w:rPr>
  </w:style>
  <w:style w:type="character" w:customStyle="1" w:styleId="ListLabel100">
    <w:name w:val="ListLabel 100"/>
    <w:qFormat/>
    <w:rsid w:val="006C641F"/>
    <w:rPr>
      <w:rFonts w:cs="Wingdings"/>
    </w:rPr>
  </w:style>
  <w:style w:type="character" w:customStyle="1" w:styleId="ListLabel101">
    <w:name w:val="ListLabel 101"/>
    <w:qFormat/>
    <w:rsid w:val="006C641F"/>
    <w:rPr>
      <w:strike w:val="0"/>
      <w:dstrike w:val="0"/>
    </w:rPr>
  </w:style>
  <w:style w:type="character" w:customStyle="1" w:styleId="ListLabel102">
    <w:name w:val="ListLabel 102"/>
    <w:qFormat/>
    <w:rsid w:val="006C641F"/>
    <w:rPr>
      <w:rFonts w:cs="Symbol"/>
    </w:rPr>
  </w:style>
  <w:style w:type="character" w:customStyle="1" w:styleId="ListLabel103">
    <w:name w:val="ListLabel 103"/>
    <w:qFormat/>
    <w:rsid w:val="006C641F"/>
    <w:rPr>
      <w:rFonts w:cs="Symbol"/>
    </w:rPr>
  </w:style>
  <w:style w:type="character" w:customStyle="1" w:styleId="ListLabel104">
    <w:name w:val="ListLabel 104"/>
    <w:qFormat/>
    <w:rsid w:val="006C641F"/>
    <w:rPr>
      <w:rFonts w:cs="Courier New"/>
    </w:rPr>
  </w:style>
  <w:style w:type="character" w:customStyle="1" w:styleId="ListLabel105">
    <w:name w:val="ListLabel 105"/>
    <w:qFormat/>
    <w:rsid w:val="006C641F"/>
    <w:rPr>
      <w:rFonts w:cs="Wingdings"/>
    </w:rPr>
  </w:style>
  <w:style w:type="character" w:customStyle="1" w:styleId="ListLabel106">
    <w:name w:val="ListLabel 106"/>
    <w:qFormat/>
    <w:rsid w:val="006C641F"/>
    <w:rPr>
      <w:rFonts w:cs="Symbol"/>
    </w:rPr>
  </w:style>
  <w:style w:type="character" w:customStyle="1" w:styleId="ListLabel107">
    <w:name w:val="ListLabel 107"/>
    <w:qFormat/>
    <w:rsid w:val="006C641F"/>
    <w:rPr>
      <w:rFonts w:cs="Courier New"/>
    </w:rPr>
  </w:style>
  <w:style w:type="character" w:customStyle="1" w:styleId="ListLabel108">
    <w:name w:val="ListLabel 108"/>
    <w:qFormat/>
    <w:rsid w:val="006C641F"/>
    <w:rPr>
      <w:rFonts w:cs="Wingdings"/>
    </w:rPr>
  </w:style>
  <w:style w:type="character" w:customStyle="1" w:styleId="ListLabel109">
    <w:name w:val="ListLabel 109"/>
    <w:qFormat/>
    <w:rsid w:val="006C641F"/>
    <w:rPr>
      <w:rFonts w:cs="Symbol"/>
    </w:rPr>
  </w:style>
  <w:style w:type="character" w:customStyle="1" w:styleId="ListLabel110">
    <w:name w:val="ListLabel 110"/>
    <w:qFormat/>
    <w:rsid w:val="006C641F"/>
    <w:rPr>
      <w:rFonts w:cs="Courier New"/>
    </w:rPr>
  </w:style>
  <w:style w:type="character" w:customStyle="1" w:styleId="ListLabel111">
    <w:name w:val="ListLabel 111"/>
    <w:qFormat/>
    <w:rsid w:val="006C641F"/>
    <w:rPr>
      <w:rFonts w:cs="Wingdings"/>
    </w:rPr>
  </w:style>
  <w:style w:type="character" w:customStyle="1" w:styleId="ListLabel112">
    <w:name w:val="ListLabel 112"/>
    <w:qFormat/>
    <w:rsid w:val="006C641F"/>
    <w:rPr>
      <w:rFonts w:cs="Arial"/>
    </w:rPr>
  </w:style>
  <w:style w:type="character" w:customStyle="1" w:styleId="ListLabel113">
    <w:name w:val="ListLabel 113"/>
    <w:qFormat/>
    <w:rsid w:val="006C641F"/>
    <w:rPr>
      <w:rFonts w:cs="Courier New"/>
    </w:rPr>
  </w:style>
  <w:style w:type="character" w:customStyle="1" w:styleId="ListLabel114">
    <w:name w:val="ListLabel 114"/>
    <w:qFormat/>
    <w:rsid w:val="006C641F"/>
    <w:rPr>
      <w:rFonts w:cs="Wingdings"/>
    </w:rPr>
  </w:style>
  <w:style w:type="character" w:customStyle="1" w:styleId="ListLabel115">
    <w:name w:val="ListLabel 115"/>
    <w:qFormat/>
    <w:rsid w:val="006C641F"/>
    <w:rPr>
      <w:rFonts w:cs="Symbol"/>
    </w:rPr>
  </w:style>
  <w:style w:type="character" w:customStyle="1" w:styleId="ListLabel116">
    <w:name w:val="ListLabel 116"/>
    <w:qFormat/>
    <w:rsid w:val="006C641F"/>
    <w:rPr>
      <w:rFonts w:cs="Courier New"/>
    </w:rPr>
  </w:style>
  <w:style w:type="character" w:customStyle="1" w:styleId="ListLabel117">
    <w:name w:val="ListLabel 117"/>
    <w:qFormat/>
    <w:rsid w:val="006C641F"/>
    <w:rPr>
      <w:rFonts w:cs="Wingdings"/>
    </w:rPr>
  </w:style>
  <w:style w:type="character" w:customStyle="1" w:styleId="ListLabel118">
    <w:name w:val="ListLabel 118"/>
    <w:qFormat/>
    <w:rsid w:val="006C641F"/>
    <w:rPr>
      <w:rFonts w:cs="Symbol"/>
    </w:rPr>
  </w:style>
  <w:style w:type="character" w:customStyle="1" w:styleId="ListLabel119">
    <w:name w:val="ListLabel 119"/>
    <w:qFormat/>
    <w:rsid w:val="006C641F"/>
    <w:rPr>
      <w:rFonts w:cs="Courier New"/>
    </w:rPr>
  </w:style>
  <w:style w:type="character" w:customStyle="1" w:styleId="ListLabel120">
    <w:name w:val="ListLabel 120"/>
    <w:qFormat/>
    <w:rsid w:val="006C641F"/>
    <w:rPr>
      <w:rFonts w:cs="Wingdings"/>
    </w:rPr>
  </w:style>
  <w:style w:type="character" w:customStyle="1" w:styleId="ListLabel121">
    <w:name w:val="ListLabel 121"/>
    <w:qFormat/>
    <w:rsid w:val="006C641F"/>
    <w:rPr>
      <w:strike w:val="0"/>
      <w:dstrike w:val="0"/>
    </w:rPr>
  </w:style>
  <w:style w:type="character" w:customStyle="1" w:styleId="ListLabel122">
    <w:name w:val="ListLabel 122"/>
    <w:qFormat/>
    <w:rsid w:val="006C641F"/>
    <w:rPr>
      <w:rFonts w:cs="Symbol"/>
    </w:rPr>
  </w:style>
  <w:style w:type="character" w:customStyle="1" w:styleId="ListLabel123">
    <w:name w:val="ListLabel 123"/>
    <w:qFormat/>
    <w:rsid w:val="006C641F"/>
    <w:rPr>
      <w:rFonts w:cs="Symbol"/>
    </w:rPr>
  </w:style>
  <w:style w:type="character" w:customStyle="1" w:styleId="ListLabel124">
    <w:name w:val="ListLabel 124"/>
    <w:qFormat/>
    <w:rsid w:val="006C641F"/>
    <w:rPr>
      <w:rFonts w:cs="Courier New"/>
    </w:rPr>
  </w:style>
  <w:style w:type="character" w:customStyle="1" w:styleId="ListLabel125">
    <w:name w:val="ListLabel 125"/>
    <w:qFormat/>
    <w:rsid w:val="006C641F"/>
    <w:rPr>
      <w:rFonts w:cs="Wingdings"/>
    </w:rPr>
  </w:style>
  <w:style w:type="character" w:customStyle="1" w:styleId="ListLabel126">
    <w:name w:val="ListLabel 126"/>
    <w:qFormat/>
    <w:rsid w:val="006C641F"/>
    <w:rPr>
      <w:rFonts w:cs="Symbol"/>
    </w:rPr>
  </w:style>
  <w:style w:type="character" w:customStyle="1" w:styleId="ListLabel127">
    <w:name w:val="ListLabel 127"/>
    <w:qFormat/>
    <w:rsid w:val="006C641F"/>
    <w:rPr>
      <w:rFonts w:cs="Courier New"/>
    </w:rPr>
  </w:style>
  <w:style w:type="character" w:customStyle="1" w:styleId="ListLabel128">
    <w:name w:val="ListLabel 128"/>
    <w:qFormat/>
    <w:rsid w:val="006C641F"/>
    <w:rPr>
      <w:rFonts w:cs="Wingdings"/>
    </w:rPr>
  </w:style>
  <w:style w:type="character" w:customStyle="1" w:styleId="ListLabel129">
    <w:name w:val="ListLabel 129"/>
    <w:qFormat/>
    <w:rsid w:val="006C641F"/>
    <w:rPr>
      <w:rFonts w:cs="Symbol"/>
    </w:rPr>
  </w:style>
  <w:style w:type="character" w:customStyle="1" w:styleId="ListLabel130">
    <w:name w:val="ListLabel 130"/>
    <w:qFormat/>
    <w:rsid w:val="006C641F"/>
    <w:rPr>
      <w:rFonts w:cs="Courier New"/>
    </w:rPr>
  </w:style>
  <w:style w:type="character" w:customStyle="1" w:styleId="ListLabel131">
    <w:name w:val="ListLabel 131"/>
    <w:qFormat/>
    <w:rsid w:val="006C641F"/>
    <w:rPr>
      <w:rFonts w:cs="Wingdings"/>
    </w:rPr>
  </w:style>
  <w:style w:type="character" w:customStyle="1" w:styleId="ListLabel132">
    <w:name w:val="ListLabel 132"/>
    <w:qFormat/>
    <w:rsid w:val="006C641F"/>
    <w:rPr>
      <w:strike w:val="0"/>
      <w:dstrike w:val="0"/>
    </w:rPr>
  </w:style>
  <w:style w:type="character" w:customStyle="1" w:styleId="ListLabel133">
    <w:name w:val="ListLabel 133"/>
    <w:qFormat/>
    <w:rsid w:val="006C641F"/>
    <w:rPr>
      <w:rFonts w:cs="Symbol"/>
    </w:rPr>
  </w:style>
  <w:style w:type="character" w:customStyle="1" w:styleId="ListLabel134">
    <w:name w:val="ListLabel 134"/>
    <w:qFormat/>
    <w:rsid w:val="006C641F"/>
    <w:rPr>
      <w:rFonts w:cs="Symbol"/>
    </w:rPr>
  </w:style>
  <w:style w:type="character" w:customStyle="1" w:styleId="ListLabel135">
    <w:name w:val="ListLabel 135"/>
    <w:qFormat/>
    <w:rsid w:val="006C641F"/>
    <w:rPr>
      <w:rFonts w:cs="Courier New"/>
    </w:rPr>
  </w:style>
  <w:style w:type="character" w:customStyle="1" w:styleId="ListLabel136">
    <w:name w:val="ListLabel 136"/>
    <w:qFormat/>
    <w:rsid w:val="006C641F"/>
    <w:rPr>
      <w:rFonts w:cs="Wingdings"/>
    </w:rPr>
  </w:style>
  <w:style w:type="character" w:customStyle="1" w:styleId="ListLabel137">
    <w:name w:val="ListLabel 137"/>
    <w:qFormat/>
    <w:rsid w:val="006C641F"/>
    <w:rPr>
      <w:rFonts w:cs="Symbol"/>
    </w:rPr>
  </w:style>
  <w:style w:type="character" w:customStyle="1" w:styleId="ListLabel138">
    <w:name w:val="ListLabel 138"/>
    <w:qFormat/>
    <w:rsid w:val="006C641F"/>
    <w:rPr>
      <w:rFonts w:cs="Courier New"/>
    </w:rPr>
  </w:style>
  <w:style w:type="character" w:customStyle="1" w:styleId="ListLabel139">
    <w:name w:val="ListLabel 139"/>
    <w:qFormat/>
    <w:rsid w:val="006C641F"/>
    <w:rPr>
      <w:rFonts w:cs="Wingdings"/>
    </w:rPr>
  </w:style>
  <w:style w:type="character" w:customStyle="1" w:styleId="ListLabel140">
    <w:name w:val="ListLabel 140"/>
    <w:qFormat/>
    <w:rsid w:val="006C641F"/>
    <w:rPr>
      <w:rFonts w:cs="Symbol"/>
    </w:rPr>
  </w:style>
  <w:style w:type="character" w:customStyle="1" w:styleId="ListLabel141">
    <w:name w:val="ListLabel 141"/>
    <w:qFormat/>
    <w:rsid w:val="006C641F"/>
    <w:rPr>
      <w:rFonts w:cs="Courier New"/>
    </w:rPr>
  </w:style>
  <w:style w:type="character" w:customStyle="1" w:styleId="ListLabel142">
    <w:name w:val="ListLabel 142"/>
    <w:qFormat/>
    <w:rsid w:val="006C641F"/>
    <w:rPr>
      <w:rFonts w:cs="Wingdings"/>
    </w:rPr>
  </w:style>
  <w:style w:type="character" w:customStyle="1" w:styleId="ListLabel143">
    <w:name w:val="ListLabel 143"/>
    <w:qFormat/>
    <w:rsid w:val="006C641F"/>
    <w:rPr>
      <w:strike w:val="0"/>
      <w:dstrike w:val="0"/>
    </w:rPr>
  </w:style>
  <w:style w:type="character" w:customStyle="1" w:styleId="ListLabel144">
    <w:name w:val="ListLabel 144"/>
    <w:qFormat/>
    <w:rsid w:val="006C641F"/>
    <w:rPr>
      <w:rFonts w:cs="Symbol"/>
    </w:rPr>
  </w:style>
  <w:style w:type="character" w:customStyle="1" w:styleId="ListLabel145">
    <w:name w:val="ListLabel 145"/>
    <w:qFormat/>
    <w:rsid w:val="006C641F"/>
    <w:rPr>
      <w:rFonts w:cs="Symbol"/>
    </w:rPr>
  </w:style>
  <w:style w:type="character" w:customStyle="1" w:styleId="ListLabel146">
    <w:name w:val="ListLabel 146"/>
    <w:qFormat/>
    <w:rsid w:val="006C641F"/>
    <w:rPr>
      <w:rFonts w:cs="Courier New"/>
    </w:rPr>
  </w:style>
  <w:style w:type="character" w:customStyle="1" w:styleId="ListLabel147">
    <w:name w:val="ListLabel 147"/>
    <w:qFormat/>
    <w:rsid w:val="006C641F"/>
    <w:rPr>
      <w:rFonts w:cs="Wingdings"/>
    </w:rPr>
  </w:style>
  <w:style w:type="character" w:customStyle="1" w:styleId="ListLabel148">
    <w:name w:val="ListLabel 148"/>
    <w:qFormat/>
    <w:rsid w:val="006C641F"/>
    <w:rPr>
      <w:rFonts w:cs="Symbol"/>
    </w:rPr>
  </w:style>
  <w:style w:type="character" w:customStyle="1" w:styleId="ListLabel149">
    <w:name w:val="ListLabel 149"/>
    <w:qFormat/>
    <w:rsid w:val="006C641F"/>
    <w:rPr>
      <w:rFonts w:cs="Courier New"/>
    </w:rPr>
  </w:style>
  <w:style w:type="character" w:customStyle="1" w:styleId="ListLabel150">
    <w:name w:val="ListLabel 150"/>
    <w:qFormat/>
    <w:rsid w:val="006C641F"/>
    <w:rPr>
      <w:rFonts w:cs="Wingdings"/>
    </w:rPr>
  </w:style>
  <w:style w:type="character" w:customStyle="1" w:styleId="ListLabel151">
    <w:name w:val="ListLabel 151"/>
    <w:qFormat/>
    <w:rsid w:val="006C641F"/>
    <w:rPr>
      <w:rFonts w:cs="Symbol"/>
    </w:rPr>
  </w:style>
  <w:style w:type="character" w:customStyle="1" w:styleId="ListLabel152">
    <w:name w:val="ListLabel 152"/>
    <w:qFormat/>
    <w:rsid w:val="006C641F"/>
    <w:rPr>
      <w:rFonts w:cs="Courier New"/>
    </w:rPr>
  </w:style>
  <w:style w:type="character" w:customStyle="1" w:styleId="ListLabel153">
    <w:name w:val="ListLabel 153"/>
    <w:qFormat/>
    <w:rsid w:val="006C641F"/>
    <w:rPr>
      <w:rFonts w:cs="Wingdings"/>
    </w:rPr>
  </w:style>
  <w:style w:type="character" w:customStyle="1" w:styleId="ListLabel154">
    <w:name w:val="ListLabel 154"/>
    <w:qFormat/>
    <w:rsid w:val="006C641F"/>
    <w:rPr>
      <w:strike w:val="0"/>
      <w:dstrike w:val="0"/>
    </w:rPr>
  </w:style>
  <w:style w:type="character" w:customStyle="1" w:styleId="ListLabel155">
    <w:name w:val="ListLabel 155"/>
    <w:qFormat/>
    <w:rsid w:val="006C641F"/>
    <w:rPr>
      <w:rFonts w:cs="Symbol"/>
    </w:rPr>
  </w:style>
  <w:style w:type="character" w:customStyle="1" w:styleId="ListLabel156">
    <w:name w:val="ListLabel 156"/>
    <w:qFormat/>
    <w:rsid w:val="006C641F"/>
    <w:rPr>
      <w:rFonts w:cs="Symbol"/>
    </w:rPr>
  </w:style>
  <w:style w:type="character" w:customStyle="1" w:styleId="ListLabel157">
    <w:name w:val="ListLabel 157"/>
    <w:qFormat/>
    <w:rsid w:val="006C641F"/>
    <w:rPr>
      <w:rFonts w:cs="Courier New"/>
    </w:rPr>
  </w:style>
  <w:style w:type="character" w:customStyle="1" w:styleId="ListLabel158">
    <w:name w:val="ListLabel 158"/>
    <w:qFormat/>
    <w:rsid w:val="006C641F"/>
    <w:rPr>
      <w:rFonts w:cs="Wingdings"/>
    </w:rPr>
  </w:style>
  <w:style w:type="character" w:customStyle="1" w:styleId="ListLabel159">
    <w:name w:val="ListLabel 159"/>
    <w:qFormat/>
    <w:rsid w:val="006C641F"/>
    <w:rPr>
      <w:rFonts w:cs="Symbol"/>
    </w:rPr>
  </w:style>
  <w:style w:type="character" w:customStyle="1" w:styleId="ListLabel160">
    <w:name w:val="ListLabel 160"/>
    <w:qFormat/>
    <w:rsid w:val="006C641F"/>
    <w:rPr>
      <w:rFonts w:cs="Courier New"/>
    </w:rPr>
  </w:style>
  <w:style w:type="character" w:customStyle="1" w:styleId="ListLabel161">
    <w:name w:val="ListLabel 161"/>
    <w:qFormat/>
    <w:rsid w:val="006C641F"/>
    <w:rPr>
      <w:rFonts w:cs="Wingdings"/>
    </w:rPr>
  </w:style>
  <w:style w:type="character" w:customStyle="1" w:styleId="ListLabel162">
    <w:name w:val="ListLabel 162"/>
    <w:qFormat/>
    <w:rsid w:val="006C641F"/>
    <w:rPr>
      <w:rFonts w:cs="Symbol"/>
    </w:rPr>
  </w:style>
  <w:style w:type="character" w:customStyle="1" w:styleId="ListLabel163">
    <w:name w:val="ListLabel 163"/>
    <w:qFormat/>
    <w:rsid w:val="006C641F"/>
    <w:rPr>
      <w:rFonts w:cs="Courier New"/>
    </w:rPr>
  </w:style>
  <w:style w:type="character" w:customStyle="1" w:styleId="ListLabel164">
    <w:name w:val="ListLabel 164"/>
    <w:qFormat/>
    <w:rsid w:val="006C641F"/>
    <w:rPr>
      <w:rFonts w:cs="Wingdings"/>
    </w:rPr>
  </w:style>
  <w:style w:type="character" w:customStyle="1" w:styleId="ListLabel165">
    <w:name w:val="ListLabel 165"/>
    <w:qFormat/>
    <w:rsid w:val="006C641F"/>
    <w:rPr>
      <w:strike w:val="0"/>
      <w:dstrike w:val="0"/>
    </w:rPr>
  </w:style>
  <w:style w:type="character" w:customStyle="1" w:styleId="ListLabel166">
    <w:name w:val="ListLabel 166"/>
    <w:qFormat/>
    <w:rsid w:val="006C641F"/>
    <w:rPr>
      <w:rFonts w:cs="Symbol"/>
    </w:rPr>
  </w:style>
  <w:style w:type="character" w:customStyle="1" w:styleId="ListLabel167">
    <w:name w:val="ListLabel 167"/>
    <w:qFormat/>
    <w:rsid w:val="006C641F"/>
    <w:rPr>
      <w:rFonts w:cs="Symbol"/>
    </w:rPr>
  </w:style>
  <w:style w:type="character" w:customStyle="1" w:styleId="ListLabel168">
    <w:name w:val="ListLabel 168"/>
    <w:qFormat/>
    <w:rsid w:val="006C641F"/>
    <w:rPr>
      <w:rFonts w:cs="Courier New"/>
    </w:rPr>
  </w:style>
  <w:style w:type="character" w:customStyle="1" w:styleId="ListLabel169">
    <w:name w:val="ListLabel 169"/>
    <w:qFormat/>
    <w:rsid w:val="006C641F"/>
    <w:rPr>
      <w:rFonts w:cs="Wingdings"/>
    </w:rPr>
  </w:style>
  <w:style w:type="character" w:customStyle="1" w:styleId="ListLabel170">
    <w:name w:val="ListLabel 170"/>
    <w:qFormat/>
    <w:rsid w:val="006C641F"/>
    <w:rPr>
      <w:rFonts w:cs="Symbol"/>
    </w:rPr>
  </w:style>
  <w:style w:type="character" w:customStyle="1" w:styleId="ListLabel171">
    <w:name w:val="ListLabel 171"/>
    <w:qFormat/>
    <w:rsid w:val="006C641F"/>
    <w:rPr>
      <w:rFonts w:cs="Courier New"/>
    </w:rPr>
  </w:style>
  <w:style w:type="character" w:customStyle="1" w:styleId="ListLabel172">
    <w:name w:val="ListLabel 172"/>
    <w:qFormat/>
    <w:rsid w:val="006C641F"/>
    <w:rPr>
      <w:rFonts w:cs="Wingdings"/>
    </w:rPr>
  </w:style>
  <w:style w:type="character" w:customStyle="1" w:styleId="ListLabel173">
    <w:name w:val="ListLabel 173"/>
    <w:qFormat/>
    <w:rsid w:val="006C641F"/>
    <w:rPr>
      <w:rFonts w:cs="Symbol"/>
    </w:rPr>
  </w:style>
  <w:style w:type="character" w:customStyle="1" w:styleId="ListLabel174">
    <w:name w:val="ListLabel 174"/>
    <w:qFormat/>
    <w:rsid w:val="006C641F"/>
    <w:rPr>
      <w:rFonts w:cs="Courier New"/>
    </w:rPr>
  </w:style>
  <w:style w:type="character" w:customStyle="1" w:styleId="ListLabel175">
    <w:name w:val="ListLabel 175"/>
    <w:qFormat/>
    <w:rsid w:val="006C641F"/>
    <w:rPr>
      <w:rFonts w:cs="Wingdings"/>
    </w:rPr>
  </w:style>
  <w:style w:type="character" w:customStyle="1" w:styleId="ListLabel176">
    <w:name w:val="ListLabel 176"/>
    <w:qFormat/>
    <w:rsid w:val="006C641F"/>
    <w:rPr>
      <w:strike w:val="0"/>
      <w:dstrike w:val="0"/>
    </w:rPr>
  </w:style>
  <w:style w:type="character" w:customStyle="1" w:styleId="ListLabel177">
    <w:name w:val="ListLabel 177"/>
    <w:qFormat/>
    <w:rsid w:val="006C641F"/>
    <w:rPr>
      <w:rFonts w:cs="Symbol"/>
    </w:rPr>
  </w:style>
  <w:style w:type="character" w:customStyle="1" w:styleId="ListLabel178">
    <w:name w:val="ListLabel 178"/>
    <w:qFormat/>
    <w:rsid w:val="006C641F"/>
    <w:rPr>
      <w:rFonts w:cs="Symbol"/>
    </w:rPr>
  </w:style>
  <w:style w:type="character" w:customStyle="1" w:styleId="ListLabel179">
    <w:name w:val="ListLabel 179"/>
    <w:qFormat/>
    <w:rsid w:val="006C641F"/>
    <w:rPr>
      <w:rFonts w:cs="Courier New"/>
    </w:rPr>
  </w:style>
  <w:style w:type="character" w:customStyle="1" w:styleId="ListLabel180">
    <w:name w:val="ListLabel 180"/>
    <w:qFormat/>
    <w:rsid w:val="006C641F"/>
    <w:rPr>
      <w:rFonts w:cs="Wingdings"/>
    </w:rPr>
  </w:style>
  <w:style w:type="character" w:customStyle="1" w:styleId="ListLabel181">
    <w:name w:val="ListLabel 181"/>
    <w:qFormat/>
    <w:rsid w:val="006C641F"/>
    <w:rPr>
      <w:rFonts w:cs="Symbol"/>
    </w:rPr>
  </w:style>
  <w:style w:type="character" w:customStyle="1" w:styleId="ListLabel182">
    <w:name w:val="ListLabel 182"/>
    <w:qFormat/>
    <w:rsid w:val="006C641F"/>
    <w:rPr>
      <w:rFonts w:cs="Courier New"/>
    </w:rPr>
  </w:style>
  <w:style w:type="character" w:customStyle="1" w:styleId="ListLabel183">
    <w:name w:val="ListLabel 183"/>
    <w:qFormat/>
    <w:rsid w:val="006C641F"/>
    <w:rPr>
      <w:rFonts w:cs="Wingdings"/>
    </w:rPr>
  </w:style>
  <w:style w:type="character" w:customStyle="1" w:styleId="ListLabel184">
    <w:name w:val="ListLabel 184"/>
    <w:qFormat/>
    <w:rsid w:val="006C641F"/>
    <w:rPr>
      <w:rFonts w:cs="Symbol"/>
    </w:rPr>
  </w:style>
  <w:style w:type="character" w:customStyle="1" w:styleId="ListLabel185">
    <w:name w:val="ListLabel 185"/>
    <w:qFormat/>
    <w:rsid w:val="006C641F"/>
    <w:rPr>
      <w:rFonts w:cs="Courier New"/>
    </w:rPr>
  </w:style>
  <w:style w:type="character" w:customStyle="1" w:styleId="ListLabel186">
    <w:name w:val="ListLabel 186"/>
    <w:qFormat/>
    <w:rsid w:val="006C641F"/>
    <w:rPr>
      <w:rFonts w:cs="Wingdings"/>
    </w:rPr>
  </w:style>
  <w:style w:type="character" w:customStyle="1" w:styleId="ListLabel187">
    <w:name w:val="ListLabel 187"/>
    <w:qFormat/>
    <w:rsid w:val="006C641F"/>
    <w:rPr>
      <w:sz w:val="20"/>
    </w:rPr>
  </w:style>
  <w:style w:type="character" w:customStyle="1" w:styleId="ListLabel188">
    <w:name w:val="ListLabel 188"/>
    <w:qFormat/>
    <w:rsid w:val="006C641F"/>
    <w:rPr>
      <w:rFonts w:cs="OpenSymbol"/>
    </w:rPr>
  </w:style>
  <w:style w:type="character" w:customStyle="1" w:styleId="ListLabel189">
    <w:name w:val="ListLabel 189"/>
    <w:qFormat/>
    <w:rsid w:val="006C641F"/>
    <w:rPr>
      <w:rFonts w:cs="Arial"/>
    </w:rPr>
  </w:style>
  <w:style w:type="character" w:customStyle="1" w:styleId="ListLabel190">
    <w:name w:val="ListLabel 190"/>
    <w:qFormat/>
    <w:rsid w:val="006C641F"/>
    <w:rPr>
      <w:sz w:val="20"/>
    </w:rPr>
  </w:style>
  <w:style w:type="character" w:customStyle="1" w:styleId="ListLabel191">
    <w:name w:val="ListLabel 191"/>
    <w:qFormat/>
    <w:rsid w:val="006C641F"/>
    <w:rPr>
      <w:rFonts w:cs="OpenSymbol"/>
    </w:rPr>
  </w:style>
  <w:style w:type="character" w:customStyle="1" w:styleId="ListLabel192">
    <w:name w:val="ListLabel 192"/>
    <w:qFormat/>
    <w:rsid w:val="006C641F"/>
    <w:rPr>
      <w:rFonts w:cs="Arial"/>
    </w:rPr>
  </w:style>
  <w:style w:type="character" w:customStyle="1" w:styleId="ListLabel193">
    <w:name w:val="ListLabel 193"/>
    <w:qFormat/>
    <w:rsid w:val="006C641F"/>
    <w:rPr>
      <w:strike w:val="0"/>
      <w:dstrike w:val="0"/>
    </w:rPr>
  </w:style>
  <w:style w:type="character" w:customStyle="1" w:styleId="ListLabel194">
    <w:name w:val="ListLabel 194"/>
    <w:qFormat/>
    <w:rsid w:val="006C641F"/>
    <w:rPr>
      <w:rFonts w:cs="Symbol"/>
    </w:rPr>
  </w:style>
  <w:style w:type="character" w:customStyle="1" w:styleId="ListLabel195">
    <w:name w:val="ListLabel 195"/>
    <w:qFormat/>
    <w:rsid w:val="006C641F"/>
    <w:rPr>
      <w:rFonts w:cs="Symbol"/>
    </w:rPr>
  </w:style>
  <w:style w:type="character" w:customStyle="1" w:styleId="ListLabel196">
    <w:name w:val="ListLabel 196"/>
    <w:qFormat/>
    <w:rsid w:val="006C641F"/>
    <w:rPr>
      <w:rFonts w:cs="Courier New"/>
    </w:rPr>
  </w:style>
  <w:style w:type="character" w:customStyle="1" w:styleId="ListLabel197">
    <w:name w:val="ListLabel 197"/>
    <w:qFormat/>
    <w:rsid w:val="006C641F"/>
    <w:rPr>
      <w:rFonts w:cs="Wingdings"/>
    </w:rPr>
  </w:style>
  <w:style w:type="character" w:customStyle="1" w:styleId="ListLabel198">
    <w:name w:val="ListLabel 198"/>
    <w:qFormat/>
    <w:rsid w:val="006C641F"/>
    <w:rPr>
      <w:rFonts w:cs="Symbol"/>
    </w:rPr>
  </w:style>
  <w:style w:type="character" w:customStyle="1" w:styleId="ListLabel199">
    <w:name w:val="ListLabel 199"/>
    <w:qFormat/>
    <w:rsid w:val="006C641F"/>
    <w:rPr>
      <w:rFonts w:cs="Courier New"/>
    </w:rPr>
  </w:style>
  <w:style w:type="character" w:customStyle="1" w:styleId="ListLabel200">
    <w:name w:val="ListLabel 200"/>
    <w:qFormat/>
    <w:rsid w:val="006C641F"/>
    <w:rPr>
      <w:rFonts w:cs="Wingdings"/>
    </w:rPr>
  </w:style>
  <w:style w:type="character" w:customStyle="1" w:styleId="ListLabel201">
    <w:name w:val="ListLabel 201"/>
    <w:qFormat/>
    <w:rsid w:val="006C641F"/>
    <w:rPr>
      <w:rFonts w:cs="Symbol"/>
    </w:rPr>
  </w:style>
  <w:style w:type="character" w:customStyle="1" w:styleId="ListLabel202">
    <w:name w:val="ListLabel 202"/>
    <w:qFormat/>
    <w:rsid w:val="006C641F"/>
    <w:rPr>
      <w:rFonts w:cs="Courier New"/>
    </w:rPr>
  </w:style>
  <w:style w:type="character" w:customStyle="1" w:styleId="ListLabel203">
    <w:name w:val="ListLabel 203"/>
    <w:qFormat/>
    <w:rsid w:val="006C641F"/>
    <w:rPr>
      <w:rFonts w:cs="Wingdings"/>
    </w:rPr>
  </w:style>
  <w:style w:type="character" w:customStyle="1" w:styleId="ListLabel204">
    <w:name w:val="ListLabel 204"/>
    <w:qFormat/>
    <w:rsid w:val="006C641F"/>
    <w:rPr>
      <w:sz w:val="20"/>
    </w:rPr>
  </w:style>
  <w:style w:type="character" w:customStyle="1" w:styleId="ListLabel205">
    <w:name w:val="ListLabel 205"/>
    <w:qFormat/>
    <w:rsid w:val="006C641F"/>
    <w:rPr>
      <w:rFonts w:cs="OpenSymbol"/>
    </w:rPr>
  </w:style>
  <w:style w:type="character" w:customStyle="1" w:styleId="ListLabel206">
    <w:name w:val="ListLabel 206"/>
    <w:qFormat/>
    <w:rsid w:val="006C641F"/>
    <w:rPr>
      <w:rFonts w:cs="Arial"/>
    </w:rPr>
  </w:style>
  <w:style w:type="character" w:customStyle="1" w:styleId="ListLabel207">
    <w:name w:val="ListLabel 207"/>
    <w:qFormat/>
    <w:rsid w:val="006C641F"/>
    <w:rPr>
      <w:sz w:val="20"/>
    </w:rPr>
  </w:style>
  <w:style w:type="character" w:customStyle="1" w:styleId="ListLabel208">
    <w:name w:val="ListLabel 208"/>
    <w:qFormat/>
    <w:rsid w:val="006C641F"/>
    <w:rPr>
      <w:rFonts w:cs="OpenSymbol"/>
    </w:rPr>
  </w:style>
  <w:style w:type="character" w:customStyle="1" w:styleId="ListLabel209">
    <w:name w:val="ListLabel 209"/>
    <w:qFormat/>
    <w:rsid w:val="006C641F"/>
    <w:rPr>
      <w:rFonts w:cs="Arial"/>
    </w:rPr>
  </w:style>
  <w:style w:type="character" w:customStyle="1" w:styleId="ListLabel210">
    <w:name w:val="ListLabel 210"/>
    <w:qFormat/>
    <w:rsid w:val="006C641F"/>
    <w:rPr>
      <w:strike w:val="0"/>
      <w:dstrike w:val="0"/>
    </w:rPr>
  </w:style>
  <w:style w:type="character" w:customStyle="1" w:styleId="ListLabel211">
    <w:name w:val="ListLabel 211"/>
    <w:qFormat/>
    <w:rsid w:val="006C641F"/>
    <w:rPr>
      <w:rFonts w:cs="Symbol"/>
    </w:rPr>
  </w:style>
  <w:style w:type="character" w:customStyle="1" w:styleId="ListLabel212">
    <w:name w:val="ListLabel 212"/>
    <w:qFormat/>
    <w:rsid w:val="006C641F"/>
    <w:rPr>
      <w:rFonts w:cs="Symbol"/>
    </w:rPr>
  </w:style>
  <w:style w:type="character" w:customStyle="1" w:styleId="ListLabel213">
    <w:name w:val="ListLabel 213"/>
    <w:qFormat/>
    <w:rsid w:val="006C641F"/>
    <w:rPr>
      <w:rFonts w:cs="Courier New"/>
    </w:rPr>
  </w:style>
  <w:style w:type="character" w:customStyle="1" w:styleId="ListLabel214">
    <w:name w:val="ListLabel 214"/>
    <w:qFormat/>
    <w:rsid w:val="006C641F"/>
    <w:rPr>
      <w:rFonts w:cs="Wingdings"/>
    </w:rPr>
  </w:style>
  <w:style w:type="character" w:customStyle="1" w:styleId="ListLabel215">
    <w:name w:val="ListLabel 215"/>
    <w:qFormat/>
    <w:rsid w:val="006C641F"/>
    <w:rPr>
      <w:rFonts w:cs="Symbol"/>
    </w:rPr>
  </w:style>
  <w:style w:type="character" w:customStyle="1" w:styleId="ListLabel216">
    <w:name w:val="ListLabel 216"/>
    <w:qFormat/>
    <w:rsid w:val="006C641F"/>
    <w:rPr>
      <w:rFonts w:cs="Courier New"/>
    </w:rPr>
  </w:style>
  <w:style w:type="character" w:customStyle="1" w:styleId="ListLabel217">
    <w:name w:val="ListLabel 217"/>
    <w:qFormat/>
    <w:rsid w:val="006C641F"/>
    <w:rPr>
      <w:rFonts w:cs="Wingdings"/>
    </w:rPr>
  </w:style>
  <w:style w:type="character" w:customStyle="1" w:styleId="ListLabel218">
    <w:name w:val="ListLabel 218"/>
    <w:qFormat/>
    <w:rsid w:val="006C641F"/>
    <w:rPr>
      <w:rFonts w:cs="Symbol"/>
    </w:rPr>
  </w:style>
  <w:style w:type="character" w:customStyle="1" w:styleId="ListLabel219">
    <w:name w:val="ListLabel 219"/>
    <w:qFormat/>
    <w:rsid w:val="006C641F"/>
    <w:rPr>
      <w:rFonts w:cs="Courier New"/>
    </w:rPr>
  </w:style>
  <w:style w:type="character" w:customStyle="1" w:styleId="ListLabel220">
    <w:name w:val="ListLabel 220"/>
    <w:qFormat/>
    <w:rsid w:val="006C641F"/>
    <w:rPr>
      <w:rFonts w:cs="Wingdings"/>
    </w:rPr>
  </w:style>
  <w:style w:type="character" w:customStyle="1" w:styleId="ListLabel221">
    <w:name w:val="ListLabel 221"/>
    <w:qFormat/>
    <w:rsid w:val="006C641F"/>
    <w:rPr>
      <w:sz w:val="20"/>
    </w:rPr>
  </w:style>
  <w:style w:type="character" w:customStyle="1" w:styleId="ListLabel222">
    <w:name w:val="ListLabel 222"/>
    <w:qFormat/>
    <w:rsid w:val="006C641F"/>
    <w:rPr>
      <w:rFonts w:cs="OpenSymbol"/>
    </w:rPr>
  </w:style>
  <w:style w:type="character" w:customStyle="1" w:styleId="ListLabel223">
    <w:name w:val="ListLabel 223"/>
    <w:qFormat/>
    <w:rsid w:val="006C641F"/>
    <w:rPr>
      <w:rFonts w:cs="Arial"/>
    </w:rPr>
  </w:style>
  <w:style w:type="character" w:customStyle="1" w:styleId="ListLabel224">
    <w:name w:val="ListLabel 224"/>
    <w:qFormat/>
    <w:rsid w:val="006C641F"/>
    <w:rPr>
      <w:sz w:val="20"/>
    </w:rPr>
  </w:style>
  <w:style w:type="character" w:customStyle="1" w:styleId="ListLabel225">
    <w:name w:val="ListLabel 225"/>
    <w:qFormat/>
    <w:rsid w:val="006C641F"/>
    <w:rPr>
      <w:rFonts w:cs="OpenSymbol"/>
    </w:rPr>
  </w:style>
  <w:style w:type="character" w:customStyle="1" w:styleId="ListLabel226">
    <w:name w:val="ListLabel 226"/>
    <w:qFormat/>
    <w:rsid w:val="006C641F"/>
    <w:rPr>
      <w:rFonts w:cs="Arial"/>
    </w:rPr>
  </w:style>
  <w:style w:type="character" w:customStyle="1" w:styleId="Vietas">
    <w:name w:val="Viñetas"/>
    <w:qFormat/>
    <w:rsid w:val="006C641F"/>
    <w:rPr>
      <w:rFonts w:ascii="OpenSymbol" w:eastAsia="OpenSymbol" w:hAnsi="OpenSymbol" w:cs="OpenSymbol"/>
    </w:rPr>
  </w:style>
  <w:style w:type="character" w:customStyle="1" w:styleId="VisitedInternetLink">
    <w:name w:val="Visited Internet Link"/>
    <w:qFormat/>
    <w:rsid w:val="006C641F"/>
    <w:rPr>
      <w:color w:val="800000"/>
      <w:u w:val="single"/>
    </w:rPr>
  </w:style>
  <w:style w:type="character" w:customStyle="1" w:styleId="highlight">
    <w:name w:val="highlight"/>
    <w:qFormat/>
    <w:rsid w:val="006C641F"/>
  </w:style>
  <w:style w:type="character" w:customStyle="1" w:styleId="EnlacedeInternet">
    <w:name w:val="Enlace de Internet"/>
    <w:uiPriority w:val="99"/>
    <w:unhideWhenUsed/>
    <w:rsid w:val="006C641F"/>
    <w:rPr>
      <w:color w:val="0563C1"/>
      <w:u w:val="single"/>
    </w:rPr>
  </w:style>
  <w:style w:type="paragraph" w:customStyle="1" w:styleId="Standard">
    <w:name w:val="Standard"/>
    <w:qFormat/>
    <w:rsid w:val="006C641F"/>
    <w:rPr>
      <w:rFonts w:ascii="Arial" w:eastAsia="Arial" w:hAnsi="Arial" w:cs="Arial"/>
      <w:kern w:val="2"/>
      <w:sz w:val="22"/>
      <w:szCs w:val="24"/>
      <w:lang w:eastAsia="zh-CN" w:bidi="hi-IN"/>
    </w:rPr>
  </w:style>
  <w:style w:type="character" w:customStyle="1" w:styleId="ListLabel244">
    <w:name w:val="ListLabel 244"/>
    <w:qFormat/>
    <w:rsid w:val="006C641F"/>
    <w:rPr>
      <w:rFonts w:cs="Symbol"/>
    </w:rPr>
  </w:style>
  <w:style w:type="character" w:customStyle="1" w:styleId="ListLabel245">
    <w:name w:val="ListLabel 245"/>
    <w:qFormat/>
    <w:rsid w:val="006C641F"/>
    <w:rPr>
      <w:rFonts w:cs="Courier New"/>
    </w:rPr>
  </w:style>
  <w:style w:type="character" w:customStyle="1" w:styleId="ListLabel246">
    <w:name w:val="ListLabel 246"/>
    <w:qFormat/>
    <w:rsid w:val="006C641F"/>
    <w:rPr>
      <w:rFonts w:cs="Wingdings"/>
    </w:rPr>
  </w:style>
  <w:style w:type="character" w:customStyle="1" w:styleId="ListLabel247">
    <w:name w:val="ListLabel 247"/>
    <w:qFormat/>
    <w:rsid w:val="006C641F"/>
    <w:rPr>
      <w:rFonts w:cs="Symbol"/>
    </w:rPr>
  </w:style>
  <w:style w:type="character" w:customStyle="1" w:styleId="ListLabel248">
    <w:name w:val="ListLabel 248"/>
    <w:qFormat/>
    <w:rsid w:val="006C641F"/>
    <w:rPr>
      <w:rFonts w:cs="Courier New"/>
    </w:rPr>
  </w:style>
  <w:style w:type="character" w:customStyle="1" w:styleId="ListLabel249">
    <w:name w:val="ListLabel 249"/>
    <w:qFormat/>
    <w:rsid w:val="006C641F"/>
    <w:rPr>
      <w:rFonts w:cs="Wingdings"/>
    </w:rPr>
  </w:style>
  <w:style w:type="character" w:customStyle="1" w:styleId="ListLabel250">
    <w:name w:val="ListLabel 250"/>
    <w:qFormat/>
    <w:rsid w:val="006C641F"/>
    <w:rPr>
      <w:rFonts w:cs="Symbol"/>
    </w:rPr>
  </w:style>
  <w:style w:type="character" w:customStyle="1" w:styleId="ListLabel251">
    <w:name w:val="ListLabel 251"/>
    <w:qFormat/>
    <w:rsid w:val="006C641F"/>
    <w:rPr>
      <w:rFonts w:cs="Courier New"/>
    </w:rPr>
  </w:style>
  <w:style w:type="character" w:customStyle="1" w:styleId="ListLabel252">
    <w:name w:val="ListLabel 252"/>
    <w:qFormat/>
    <w:rsid w:val="006C641F"/>
    <w:rPr>
      <w:rFonts w:cs="Wingdings"/>
    </w:rPr>
  </w:style>
  <w:style w:type="character" w:customStyle="1" w:styleId="ListLabel253">
    <w:name w:val="ListLabel 253"/>
    <w:qFormat/>
    <w:rsid w:val="006C641F"/>
    <w:rPr>
      <w:rFonts w:eastAsia="OpenSymbol" w:cs="OpenSymbol"/>
    </w:rPr>
  </w:style>
  <w:style w:type="character" w:customStyle="1" w:styleId="ListLabel254">
    <w:name w:val="ListLabel 254"/>
    <w:qFormat/>
    <w:rsid w:val="006C641F"/>
    <w:rPr>
      <w:rFonts w:eastAsia="OpenSymbol" w:cs="OpenSymbol"/>
    </w:rPr>
  </w:style>
  <w:style w:type="character" w:customStyle="1" w:styleId="ListLabel255">
    <w:name w:val="ListLabel 255"/>
    <w:qFormat/>
    <w:rsid w:val="006C641F"/>
    <w:rPr>
      <w:rFonts w:eastAsia="OpenSymbol" w:cs="OpenSymbol"/>
    </w:rPr>
  </w:style>
  <w:style w:type="character" w:customStyle="1" w:styleId="ListLabel256">
    <w:name w:val="ListLabel 256"/>
    <w:qFormat/>
    <w:rsid w:val="006C641F"/>
    <w:rPr>
      <w:rFonts w:eastAsia="OpenSymbol" w:cs="OpenSymbol"/>
    </w:rPr>
  </w:style>
  <w:style w:type="character" w:customStyle="1" w:styleId="ListLabel257">
    <w:name w:val="ListLabel 257"/>
    <w:qFormat/>
    <w:rsid w:val="006C641F"/>
    <w:rPr>
      <w:rFonts w:eastAsia="OpenSymbol" w:cs="OpenSymbol"/>
    </w:rPr>
  </w:style>
  <w:style w:type="character" w:customStyle="1" w:styleId="ListLabel258">
    <w:name w:val="ListLabel 258"/>
    <w:qFormat/>
    <w:rsid w:val="006C641F"/>
    <w:rPr>
      <w:rFonts w:eastAsia="OpenSymbol" w:cs="OpenSymbol"/>
    </w:rPr>
  </w:style>
  <w:style w:type="character" w:customStyle="1" w:styleId="ListLabel259">
    <w:name w:val="ListLabel 259"/>
    <w:qFormat/>
    <w:rsid w:val="006C641F"/>
    <w:rPr>
      <w:rFonts w:eastAsia="OpenSymbol" w:cs="OpenSymbol"/>
    </w:rPr>
  </w:style>
  <w:style w:type="character" w:customStyle="1" w:styleId="ListLabel260">
    <w:name w:val="ListLabel 260"/>
    <w:qFormat/>
    <w:rsid w:val="006C641F"/>
    <w:rPr>
      <w:rFonts w:eastAsia="OpenSymbol" w:cs="OpenSymbol"/>
    </w:rPr>
  </w:style>
  <w:style w:type="character" w:customStyle="1" w:styleId="ListLabel261">
    <w:name w:val="ListLabel 261"/>
    <w:qFormat/>
    <w:rsid w:val="006C641F"/>
    <w:rPr>
      <w:rFonts w:eastAsia="OpenSymbol" w:cs="OpenSymbol"/>
    </w:rPr>
  </w:style>
  <w:style w:type="character" w:customStyle="1" w:styleId="ListLabel262">
    <w:name w:val="ListLabel 262"/>
    <w:qFormat/>
    <w:rsid w:val="006C641F"/>
    <w:rPr>
      <w:rFonts w:eastAsia="OpenSymbol" w:cs="OpenSymbol"/>
    </w:rPr>
  </w:style>
  <w:style w:type="character" w:customStyle="1" w:styleId="ListLabel263">
    <w:name w:val="ListLabel 263"/>
    <w:qFormat/>
    <w:rsid w:val="006C641F"/>
    <w:rPr>
      <w:rFonts w:eastAsia="OpenSymbol" w:cs="OpenSymbol"/>
    </w:rPr>
  </w:style>
  <w:style w:type="character" w:customStyle="1" w:styleId="ListLabel264">
    <w:name w:val="ListLabel 264"/>
    <w:qFormat/>
    <w:rsid w:val="006C641F"/>
    <w:rPr>
      <w:rFonts w:eastAsia="OpenSymbol" w:cs="OpenSymbol"/>
    </w:rPr>
  </w:style>
  <w:style w:type="character" w:customStyle="1" w:styleId="ListLabel265">
    <w:name w:val="ListLabel 265"/>
    <w:qFormat/>
    <w:rsid w:val="006C641F"/>
    <w:rPr>
      <w:rFonts w:eastAsia="OpenSymbol" w:cs="OpenSymbol"/>
    </w:rPr>
  </w:style>
  <w:style w:type="character" w:customStyle="1" w:styleId="ListLabel266">
    <w:name w:val="ListLabel 266"/>
    <w:qFormat/>
    <w:rsid w:val="006C641F"/>
    <w:rPr>
      <w:rFonts w:eastAsia="OpenSymbol" w:cs="OpenSymbol"/>
    </w:rPr>
  </w:style>
  <w:style w:type="character" w:customStyle="1" w:styleId="ListLabel267">
    <w:name w:val="ListLabel 267"/>
    <w:qFormat/>
    <w:rsid w:val="006C641F"/>
    <w:rPr>
      <w:rFonts w:eastAsia="OpenSymbol" w:cs="OpenSymbol"/>
    </w:rPr>
  </w:style>
  <w:style w:type="character" w:customStyle="1" w:styleId="ListLabel268">
    <w:name w:val="ListLabel 268"/>
    <w:qFormat/>
    <w:rsid w:val="006C641F"/>
    <w:rPr>
      <w:rFonts w:eastAsia="OpenSymbol" w:cs="OpenSymbol"/>
    </w:rPr>
  </w:style>
  <w:style w:type="character" w:customStyle="1" w:styleId="ListLabel269">
    <w:name w:val="ListLabel 269"/>
    <w:qFormat/>
    <w:rsid w:val="006C641F"/>
    <w:rPr>
      <w:rFonts w:eastAsia="OpenSymbol" w:cs="OpenSymbol"/>
    </w:rPr>
  </w:style>
  <w:style w:type="character" w:customStyle="1" w:styleId="ListLabel270">
    <w:name w:val="ListLabel 270"/>
    <w:qFormat/>
    <w:rsid w:val="006C641F"/>
    <w:rPr>
      <w:rFonts w:eastAsia="OpenSymbol" w:cs="OpenSymbol"/>
    </w:rPr>
  </w:style>
  <w:style w:type="character" w:customStyle="1" w:styleId="ListLabel271">
    <w:name w:val="ListLabel 271"/>
    <w:qFormat/>
    <w:rsid w:val="006C641F"/>
    <w:rPr>
      <w:rFonts w:eastAsia="OpenSymbol" w:cs="OpenSymbol"/>
    </w:rPr>
  </w:style>
  <w:style w:type="character" w:customStyle="1" w:styleId="ListLabel272">
    <w:name w:val="ListLabel 272"/>
    <w:qFormat/>
    <w:rsid w:val="006C641F"/>
    <w:rPr>
      <w:rFonts w:eastAsia="OpenSymbol" w:cs="OpenSymbol"/>
    </w:rPr>
  </w:style>
  <w:style w:type="character" w:customStyle="1" w:styleId="ListLabel273">
    <w:name w:val="ListLabel 273"/>
    <w:qFormat/>
    <w:rsid w:val="006C641F"/>
    <w:rPr>
      <w:rFonts w:eastAsia="OpenSymbol" w:cs="OpenSymbol"/>
    </w:rPr>
  </w:style>
  <w:style w:type="character" w:customStyle="1" w:styleId="ListLabel274">
    <w:name w:val="ListLabel 274"/>
    <w:qFormat/>
    <w:rsid w:val="006C641F"/>
    <w:rPr>
      <w:rFonts w:eastAsia="OpenSymbol" w:cs="OpenSymbol"/>
    </w:rPr>
  </w:style>
  <w:style w:type="character" w:customStyle="1" w:styleId="ListLabel275">
    <w:name w:val="ListLabel 275"/>
    <w:qFormat/>
    <w:rsid w:val="006C641F"/>
    <w:rPr>
      <w:rFonts w:eastAsia="OpenSymbol" w:cs="OpenSymbol"/>
    </w:rPr>
  </w:style>
  <w:style w:type="character" w:customStyle="1" w:styleId="ListLabel276">
    <w:name w:val="ListLabel 276"/>
    <w:qFormat/>
    <w:rsid w:val="006C641F"/>
    <w:rPr>
      <w:rFonts w:eastAsia="OpenSymbol" w:cs="OpenSymbol"/>
    </w:rPr>
  </w:style>
  <w:style w:type="character" w:customStyle="1" w:styleId="ListLabel277">
    <w:name w:val="ListLabel 277"/>
    <w:qFormat/>
    <w:rsid w:val="006C641F"/>
    <w:rPr>
      <w:rFonts w:eastAsia="OpenSymbol" w:cs="OpenSymbol"/>
    </w:rPr>
  </w:style>
  <w:style w:type="character" w:customStyle="1" w:styleId="ListLabel278">
    <w:name w:val="ListLabel 278"/>
    <w:qFormat/>
    <w:rsid w:val="006C641F"/>
    <w:rPr>
      <w:rFonts w:eastAsia="OpenSymbol" w:cs="OpenSymbol"/>
    </w:rPr>
  </w:style>
  <w:style w:type="character" w:customStyle="1" w:styleId="ListLabel279">
    <w:name w:val="ListLabel 279"/>
    <w:qFormat/>
    <w:rsid w:val="006C641F"/>
    <w:rPr>
      <w:rFonts w:eastAsia="OpenSymbol" w:cs="OpenSymbol"/>
    </w:rPr>
  </w:style>
  <w:style w:type="character" w:customStyle="1" w:styleId="ListLabel280">
    <w:name w:val="ListLabel 280"/>
    <w:qFormat/>
    <w:rsid w:val="006C641F"/>
    <w:rPr>
      <w:rFonts w:eastAsia="OpenSymbol" w:cs="OpenSymbol"/>
    </w:rPr>
  </w:style>
  <w:style w:type="character" w:customStyle="1" w:styleId="ListLabel281">
    <w:name w:val="ListLabel 281"/>
    <w:qFormat/>
    <w:rsid w:val="006C641F"/>
    <w:rPr>
      <w:rFonts w:eastAsia="OpenSymbol" w:cs="OpenSymbol"/>
    </w:rPr>
  </w:style>
  <w:style w:type="character" w:customStyle="1" w:styleId="ListLabel282">
    <w:name w:val="ListLabel 282"/>
    <w:qFormat/>
    <w:rsid w:val="006C641F"/>
    <w:rPr>
      <w:rFonts w:eastAsia="OpenSymbol" w:cs="OpenSymbol"/>
    </w:rPr>
  </w:style>
  <w:style w:type="character" w:customStyle="1" w:styleId="ListLabel283">
    <w:name w:val="ListLabel 283"/>
    <w:qFormat/>
    <w:rsid w:val="006C641F"/>
    <w:rPr>
      <w:rFonts w:eastAsia="OpenSymbol" w:cs="OpenSymbol"/>
    </w:rPr>
  </w:style>
  <w:style w:type="character" w:customStyle="1" w:styleId="ListLabel284">
    <w:name w:val="ListLabel 284"/>
    <w:qFormat/>
    <w:rsid w:val="006C641F"/>
    <w:rPr>
      <w:rFonts w:eastAsia="OpenSymbol" w:cs="OpenSymbol"/>
    </w:rPr>
  </w:style>
  <w:style w:type="character" w:customStyle="1" w:styleId="ListLabel285">
    <w:name w:val="ListLabel 285"/>
    <w:qFormat/>
    <w:rsid w:val="006C641F"/>
    <w:rPr>
      <w:strike w:val="0"/>
      <w:dstrike w:val="0"/>
    </w:rPr>
  </w:style>
  <w:style w:type="character" w:customStyle="1" w:styleId="ListLabel286">
    <w:name w:val="ListLabel 286"/>
    <w:qFormat/>
    <w:rsid w:val="006C641F"/>
    <w:rPr>
      <w:rFonts w:cs="Symbol"/>
    </w:rPr>
  </w:style>
  <w:style w:type="character" w:customStyle="1" w:styleId="ListLabel287">
    <w:name w:val="ListLabel 287"/>
    <w:qFormat/>
    <w:rsid w:val="006C641F"/>
    <w:rPr>
      <w:rFonts w:cs="Courier New"/>
    </w:rPr>
  </w:style>
  <w:style w:type="character" w:customStyle="1" w:styleId="ListLabel288">
    <w:name w:val="ListLabel 288"/>
    <w:qFormat/>
    <w:rsid w:val="006C641F"/>
    <w:rPr>
      <w:rFonts w:cs="Courier New"/>
    </w:rPr>
  </w:style>
  <w:style w:type="character" w:customStyle="1" w:styleId="ListLabel289">
    <w:name w:val="ListLabel 289"/>
    <w:qFormat/>
    <w:rsid w:val="006C641F"/>
    <w:rPr>
      <w:rFonts w:cs="Courier New"/>
    </w:rPr>
  </w:style>
  <w:style w:type="character" w:customStyle="1" w:styleId="ListLabel290">
    <w:name w:val="ListLabel 290"/>
    <w:qFormat/>
    <w:rsid w:val="006C641F"/>
    <w:rPr>
      <w:rFonts w:eastAsia="Arial" w:cs="Arial"/>
    </w:rPr>
  </w:style>
  <w:style w:type="character" w:customStyle="1" w:styleId="ListLabel291">
    <w:name w:val="ListLabel 291"/>
    <w:qFormat/>
    <w:rsid w:val="006C641F"/>
    <w:rPr>
      <w:rFonts w:cs="Courier New"/>
    </w:rPr>
  </w:style>
  <w:style w:type="character" w:customStyle="1" w:styleId="ListLabel292">
    <w:name w:val="ListLabel 292"/>
    <w:qFormat/>
    <w:rsid w:val="006C641F"/>
    <w:rPr>
      <w:rFonts w:cs="Courier New"/>
    </w:rPr>
  </w:style>
  <w:style w:type="character" w:customStyle="1" w:styleId="ListLabel293">
    <w:name w:val="ListLabel 293"/>
    <w:qFormat/>
    <w:rsid w:val="006C641F"/>
    <w:rPr>
      <w:rFonts w:cs="Courier New"/>
    </w:rPr>
  </w:style>
  <w:style w:type="character" w:customStyle="1" w:styleId="ListLabel294">
    <w:name w:val="ListLabel 294"/>
    <w:qFormat/>
    <w:rsid w:val="006C641F"/>
    <w:rPr>
      <w:strike w:val="0"/>
      <w:dstrike w:val="0"/>
    </w:rPr>
  </w:style>
  <w:style w:type="character" w:customStyle="1" w:styleId="ListLabel295">
    <w:name w:val="ListLabel 295"/>
    <w:qFormat/>
    <w:rsid w:val="006C641F"/>
    <w:rPr>
      <w:rFonts w:cs="Symbol"/>
    </w:rPr>
  </w:style>
  <w:style w:type="character" w:customStyle="1" w:styleId="ListLabel296">
    <w:name w:val="ListLabel 296"/>
    <w:qFormat/>
    <w:rsid w:val="006C641F"/>
    <w:rPr>
      <w:rFonts w:cs="Courier New"/>
    </w:rPr>
  </w:style>
  <w:style w:type="character" w:customStyle="1" w:styleId="ListLabel297">
    <w:name w:val="ListLabel 297"/>
    <w:qFormat/>
    <w:rsid w:val="006C641F"/>
    <w:rPr>
      <w:rFonts w:cs="Courier New"/>
    </w:rPr>
  </w:style>
  <w:style w:type="character" w:customStyle="1" w:styleId="ListLabel298">
    <w:name w:val="ListLabel 298"/>
    <w:qFormat/>
    <w:rsid w:val="006C641F"/>
    <w:rPr>
      <w:rFonts w:cs="Courier New"/>
    </w:rPr>
  </w:style>
  <w:style w:type="character" w:customStyle="1" w:styleId="ListLabel299">
    <w:name w:val="ListLabel 299"/>
    <w:qFormat/>
    <w:rsid w:val="006C641F"/>
    <w:rPr>
      <w:rFonts w:cs="Courier New"/>
    </w:rPr>
  </w:style>
  <w:style w:type="character" w:customStyle="1" w:styleId="ListLabel300">
    <w:name w:val="ListLabel 300"/>
    <w:qFormat/>
    <w:rsid w:val="006C641F"/>
    <w:rPr>
      <w:rFonts w:cs="Courier New"/>
    </w:rPr>
  </w:style>
  <w:style w:type="character" w:customStyle="1" w:styleId="ListLabel301">
    <w:name w:val="ListLabel 301"/>
    <w:qFormat/>
    <w:rsid w:val="006C641F"/>
    <w:rPr>
      <w:rFonts w:cs="Courier New"/>
    </w:rPr>
  </w:style>
  <w:style w:type="character" w:customStyle="1" w:styleId="ListLabel302">
    <w:name w:val="ListLabel 302"/>
    <w:qFormat/>
    <w:rsid w:val="006C641F"/>
    <w:rPr>
      <w:rFonts w:cs="Courier New"/>
    </w:rPr>
  </w:style>
  <w:style w:type="character" w:customStyle="1" w:styleId="ListLabel303">
    <w:name w:val="ListLabel 303"/>
    <w:qFormat/>
    <w:rsid w:val="006C641F"/>
    <w:rPr>
      <w:rFonts w:cs="Courier New"/>
    </w:rPr>
  </w:style>
  <w:style w:type="character" w:customStyle="1" w:styleId="ListLabel304">
    <w:name w:val="ListLabel 304"/>
    <w:qFormat/>
    <w:rsid w:val="006C641F"/>
    <w:rPr>
      <w:rFonts w:cs="Courier New"/>
    </w:rPr>
  </w:style>
  <w:style w:type="character" w:customStyle="1" w:styleId="ListLabel305">
    <w:name w:val="ListLabel 305"/>
    <w:qFormat/>
    <w:rsid w:val="006C641F"/>
    <w:rPr>
      <w:rFonts w:eastAsia="Arial" w:cs="Arial"/>
    </w:rPr>
  </w:style>
  <w:style w:type="character" w:customStyle="1" w:styleId="ListLabel306">
    <w:name w:val="ListLabel 306"/>
    <w:qFormat/>
    <w:rsid w:val="006C641F"/>
    <w:rPr>
      <w:rFonts w:cs="Courier New"/>
    </w:rPr>
  </w:style>
  <w:style w:type="character" w:customStyle="1" w:styleId="ListLabel307">
    <w:name w:val="ListLabel 307"/>
    <w:qFormat/>
    <w:rsid w:val="006C641F"/>
    <w:rPr>
      <w:rFonts w:cs="Courier New"/>
    </w:rPr>
  </w:style>
  <w:style w:type="character" w:customStyle="1" w:styleId="ListLabel308">
    <w:name w:val="ListLabel 308"/>
    <w:qFormat/>
    <w:rsid w:val="006C641F"/>
    <w:rPr>
      <w:rFonts w:cs="Courier New"/>
    </w:rPr>
  </w:style>
  <w:style w:type="character" w:customStyle="1" w:styleId="ListLabel309">
    <w:name w:val="ListLabel 309"/>
    <w:qFormat/>
    <w:rsid w:val="006C641F"/>
    <w:rPr>
      <w:rFonts w:cs="Courier New"/>
    </w:rPr>
  </w:style>
  <w:style w:type="character" w:customStyle="1" w:styleId="ListLabel310">
    <w:name w:val="ListLabel 310"/>
    <w:qFormat/>
    <w:rsid w:val="006C641F"/>
    <w:rPr>
      <w:rFonts w:cs="Courier New"/>
    </w:rPr>
  </w:style>
  <w:style w:type="character" w:customStyle="1" w:styleId="ListLabel311">
    <w:name w:val="ListLabel 311"/>
    <w:qFormat/>
    <w:rsid w:val="006C641F"/>
    <w:rPr>
      <w:rFonts w:cs="Courier New"/>
    </w:rPr>
  </w:style>
  <w:style w:type="character" w:customStyle="1" w:styleId="ListLabel312">
    <w:name w:val="ListLabel 312"/>
    <w:qFormat/>
    <w:rsid w:val="006C641F"/>
    <w:rPr>
      <w:rFonts w:cs="Courier New"/>
    </w:rPr>
  </w:style>
  <w:style w:type="character" w:customStyle="1" w:styleId="ListLabel313">
    <w:name w:val="ListLabel 313"/>
    <w:qFormat/>
    <w:rsid w:val="006C641F"/>
    <w:rPr>
      <w:rFonts w:cs="Courier New"/>
    </w:rPr>
  </w:style>
  <w:style w:type="character" w:customStyle="1" w:styleId="ListLabel314">
    <w:name w:val="ListLabel 314"/>
    <w:qFormat/>
    <w:rsid w:val="006C641F"/>
    <w:rPr>
      <w:rFonts w:cs="Courier New"/>
    </w:rPr>
  </w:style>
  <w:style w:type="character" w:customStyle="1" w:styleId="ListLabel315">
    <w:name w:val="ListLabel 315"/>
    <w:qFormat/>
    <w:rsid w:val="006C641F"/>
  </w:style>
  <w:style w:type="character" w:customStyle="1" w:styleId="ListLabel316">
    <w:name w:val="ListLabel 316"/>
    <w:qFormat/>
    <w:rsid w:val="006C641F"/>
    <w:rPr>
      <w:rFonts w:cs="Symbol"/>
    </w:rPr>
  </w:style>
  <w:style w:type="character" w:customStyle="1" w:styleId="ListLabel317">
    <w:name w:val="ListLabel 317"/>
    <w:qFormat/>
    <w:rsid w:val="006C641F"/>
    <w:rPr>
      <w:rFonts w:cs="Courier New"/>
    </w:rPr>
  </w:style>
  <w:style w:type="character" w:customStyle="1" w:styleId="ListLabel318">
    <w:name w:val="ListLabel 318"/>
    <w:qFormat/>
    <w:rsid w:val="006C641F"/>
    <w:rPr>
      <w:rFonts w:cs="Wingdings"/>
    </w:rPr>
  </w:style>
  <w:style w:type="character" w:customStyle="1" w:styleId="ListLabel319">
    <w:name w:val="ListLabel 319"/>
    <w:qFormat/>
    <w:rsid w:val="006C641F"/>
    <w:rPr>
      <w:rFonts w:cs="Symbol"/>
    </w:rPr>
  </w:style>
  <w:style w:type="character" w:customStyle="1" w:styleId="ListLabel320">
    <w:name w:val="ListLabel 320"/>
    <w:qFormat/>
    <w:rsid w:val="006C641F"/>
    <w:rPr>
      <w:rFonts w:cs="Courier New"/>
    </w:rPr>
  </w:style>
  <w:style w:type="character" w:customStyle="1" w:styleId="ListLabel321">
    <w:name w:val="ListLabel 321"/>
    <w:qFormat/>
    <w:rsid w:val="006C641F"/>
    <w:rPr>
      <w:rFonts w:cs="Wingdings"/>
    </w:rPr>
  </w:style>
  <w:style w:type="character" w:customStyle="1" w:styleId="ListLabel322">
    <w:name w:val="ListLabel 322"/>
    <w:qFormat/>
    <w:rsid w:val="006C641F"/>
    <w:rPr>
      <w:rFonts w:cs="Symbol"/>
    </w:rPr>
  </w:style>
  <w:style w:type="character" w:customStyle="1" w:styleId="ListLabel323">
    <w:name w:val="ListLabel 323"/>
    <w:qFormat/>
    <w:rsid w:val="006C641F"/>
    <w:rPr>
      <w:rFonts w:cs="Courier New"/>
    </w:rPr>
  </w:style>
  <w:style w:type="character" w:customStyle="1" w:styleId="ListLabel324">
    <w:name w:val="ListLabel 324"/>
    <w:qFormat/>
    <w:rsid w:val="006C641F"/>
    <w:rPr>
      <w:rFonts w:cs="Wingdings"/>
    </w:rPr>
  </w:style>
  <w:style w:type="character" w:customStyle="1" w:styleId="ListLabel325">
    <w:name w:val="ListLabel 325"/>
    <w:qFormat/>
    <w:rsid w:val="006C641F"/>
    <w:rPr>
      <w:strike w:val="0"/>
      <w:dstrike w:val="0"/>
    </w:rPr>
  </w:style>
  <w:style w:type="character" w:customStyle="1" w:styleId="ListLabel326">
    <w:name w:val="ListLabel 326"/>
    <w:qFormat/>
    <w:rsid w:val="006C641F"/>
    <w:rPr>
      <w:rFonts w:cs="Symbol"/>
    </w:rPr>
  </w:style>
  <w:style w:type="character" w:customStyle="1" w:styleId="ListLabel327">
    <w:name w:val="ListLabel 327"/>
    <w:qFormat/>
    <w:rsid w:val="006C641F"/>
    <w:rPr>
      <w:strike w:val="0"/>
      <w:dstrike w:val="0"/>
    </w:rPr>
  </w:style>
  <w:style w:type="character" w:customStyle="1" w:styleId="ListLabel328">
    <w:name w:val="ListLabel 328"/>
    <w:qFormat/>
    <w:rsid w:val="006C641F"/>
    <w:rPr>
      <w:rFonts w:cs="Symbol"/>
    </w:rPr>
  </w:style>
  <w:style w:type="character" w:customStyle="1" w:styleId="ListLabel329">
    <w:name w:val="ListLabel 329"/>
    <w:qFormat/>
    <w:rsid w:val="006C641F"/>
    <w:rPr>
      <w:rFonts w:cs="Symbol"/>
    </w:rPr>
  </w:style>
  <w:style w:type="character" w:customStyle="1" w:styleId="ListLabel330">
    <w:name w:val="ListLabel 330"/>
    <w:qFormat/>
    <w:rsid w:val="006C641F"/>
    <w:rPr>
      <w:rFonts w:cs="Courier New"/>
    </w:rPr>
  </w:style>
  <w:style w:type="character" w:customStyle="1" w:styleId="ListLabel331">
    <w:name w:val="ListLabel 331"/>
    <w:qFormat/>
    <w:rsid w:val="006C641F"/>
    <w:rPr>
      <w:rFonts w:cs="Wingdings"/>
    </w:rPr>
  </w:style>
  <w:style w:type="character" w:customStyle="1" w:styleId="ListLabel332">
    <w:name w:val="ListLabel 332"/>
    <w:qFormat/>
    <w:rsid w:val="006C641F"/>
    <w:rPr>
      <w:rFonts w:cs="Symbol"/>
    </w:rPr>
  </w:style>
  <w:style w:type="character" w:customStyle="1" w:styleId="ListLabel333">
    <w:name w:val="ListLabel 333"/>
    <w:qFormat/>
    <w:rsid w:val="006C641F"/>
    <w:rPr>
      <w:rFonts w:cs="Courier New"/>
    </w:rPr>
  </w:style>
  <w:style w:type="character" w:customStyle="1" w:styleId="ListLabel334">
    <w:name w:val="ListLabel 334"/>
    <w:qFormat/>
    <w:rsid w:val="006C641F"/>
    <w:rPr>
      <w:rFonts w:cs="Wingdings"/>
    </w:rPr>
  </w:style>
  <w:style w:type="character" w:customStyle="1" w:styleId="ListLabel335">
    <w:name w:val="ListLabel 335"/>
    <w:qFormat/>
    <w:rsid w:val="006C641F"/>
    <w:rPr>
      <w:rFonts w:cs="Symbol"/>
    </w:rPr>
  </w:style>
  <w:style w:type="character" w:customStyle="1" w:styleId="ListLabel336">
    <w:name w:val="ListLabel 336"/>
    <w:qFormat/>
    <w:rsid w:val="006C641F"/>
    <w:rPr>
      <w:rFonts w:cs="Courier New"/>
    </w:rPr>
  </w:style>
  <w:style w:type="character" w:customStyle="1" w:styleId="ListLabel337">
    <w:name w:val="ListLabel 337"/>
    <w:qFormat/>
    <w:rsid w:val="006C641F"/>
    <w:rPr>
      <w:rFonts w:cs="Wingdings"/>
    </w:rPr>
  </w:style>
  <w:style w:type="character" w:customStyle="1" w:styleId="ListLabel338">
    <w:name w:val="ListLabel 338"/>
    <w:qFormat/>
    <w:rsid w:val="006C641F"/>
    <w:rPr>
      <w:rFonts w:cs="Symbol"/>
    </w:rPr>
  </w:style>
  <w:style w:type="character" w:customStyle="1" w:styleId="ListLabel339">
    <w:name w:val="ListLabel 339"/>
    <w:qFormat/>
    <w:rsid w:val="006C641F"/>
    <w:rPr>
      <w:rFonts w:cs="Courier New"/>
    </w:rPr>
  </w:style>
  <w:style w:type="character" w:customStyle="1" w:styleId="ListLabel340">
    <w:name w:val="ListLabel 340"/>
    <w:qFormat/>
    <w:rsid w:val="006C641F"/>
    <w:rPr>
      <w:rFonts w:cs="Wingdings"/>
    </w:rPr>
  </w:style>
  <w:style w:type="character" w:customStyle="1" w:styleId="ListLabel341">
    <w:name w:val="ListLabel 341"/>
    <w:qFormat/>
    <w:rsid w:val="006C641F"/>
    <w:rPr>
      <w:rFonts w:cs="Symbol"/>
    </w:rPr>
  </w:style>
  <w:style w:type="character" w:customStyle="1" w:styleId="ListLabel342">
    <w:name w:val="ListLabel 342"/>
    <w:qFormat/>
    <w:rsid w:val="006C641F"/>
    <w:rPr>
      <w:rFonts w:cs="Courier New"/>
    </w:rPr>
  </w:style>
  <w:style w:type="character" w:customStyle="1" w:styleId="ListLabel343">
    <w:name w:val="ListLabel 343"/>
    <w:qFormat/>
    <w:rsid w:val="006C641F"/>
    <w:rPr>
      <w:rFonts w:cs="Wingdings"/>
    </w:rPr>
  </w:style>
  <w:style w:type="character" w:customStyle="1" w:styleId="ListLabel344">
    <w:name w:val="ListLabel 344"/>
    <w:qFormat/>
    <w:rsid w:val="006C641F"/>
    <w:rPr>
      <w:rFonts w:cs="Symbol"/>
    </w:rPr>
  </w:style>
  <w:style w:type="character" w:customStyle="1" w:styleId="ListLabel345">
    <w:name w:val="ListLabel 345"/>
    <w:qFormat/>
    <w:rsid w:val="006C641F"/>
    <w:rPr>
      <w:rFonts w:cs="Courier New"/>
    </w:rPr>
  </w:style>
  <w:style w:type="character" w:customStyle="1" w:styleId="ListLabel346">
    <w:name w:val="ListLabel 346"/>
    <w:qFormat/>
    <w:rsid w:val="006C641F"/>
    <w:rPr>
      <w:rFonts w:cs="Wingdings"/>
    </w:rPr>
  </w:style>
  <w:style w:type="character" w:customStyle="1" w:styleId="ListLabel347">
    <w:name w:val="ListLabel 347"/>
    <w:qFormat/>
    <w:rsid w:val="006C641F"/>
    <w:rPr>
      <w:rFonts w:cs="Symbol"/>
    </w:rPr>
  </w:style>
  <w:style w:type="character" w:customStyle="1" w:styleId="ListLabel348">
    <w:name w:val="ListLabel 348"/>
    <w:qFormat/>
    <w:rsid w:val="006C641F"/>
    <w:rPr>
      <w:rFonts w:cs="Courier New"/>
    </w:rPr>
  </w:style>
  <w:style w:type="character" w:customStyle="1" w:styleId="ListLabel349">
    <w:name w:val="ListLabel 349"/>
    <w:qFormat/>
    <w:rsid w:val="006C641F"/>
    <w:rPr>
      <w:rFonts w:cs="Wingdings"/>
    </w:rPr>
  </w:style>
  <w:style w:type="character" w:customStyle="1" w:styleId="ListLabel350">
    <w:name w:val="ListLabel 350"/>
    <w:qFormat/>
    <w:rsid w:val="006C641F"/>
    <w:rPr>
      <w:rFonts w:cs="Symbol"/>
    </w:rPr>
  </w:style>
  <w:style w:type="character" w:customStyle="1" w:styleId="ListLabel351">
    <w:name w:val="ListLabel 351"/>
    <w:qFormat/>
    <w:rsid w:val="006C641F"/>
    <w:rPr>
      <w:rFonts w:cs="Courier New"/>
    </w:rPr>
  </w:style>
  <w:style w:type="character" w:customStyle="1" w:styleId="ListLabel352">
    <w:name w:val="ListLabel 352"/>
    <w:qFormat/>
    <w:rsid w:val="006C641F"/>
    <w:rPr>
      <w:rFonts w:cs="Wingdings"/>
    </w:rPr>
  </w:style>
  <w:style w:type="character" w:customStyle="1" w:styleId="ListLabel353">
    <w:name w:val="ListLabel 353"/>
    <w:qFormat/>
    <w:rsid w:val="006C641F"/>
    <w:rPr>
      <w:rFonts w:cs="Symbol"/>
    </w:rPr>
  </w:style>
  <w:style w:type="character" w:customStyle="1" w:styleId="ListLabel354">
    <w:name w:val="ListLabel 354"/>
    <w:qFormat/>
    <w:rsid w:val="006C641F"/>
    <w:rPr>
      <w:rFonts w:cs="Courier New"/>
    </w:rPr>
  </w:style>
  <w:style w:type="character" w:customStyle="1" w:styleId="ListLabel355">
    <w:name w:val="ListLabel 355"/>
    <w:qFormat/>
    <w:rsid w:val="006C641F"/>
    <w:rPr>
      <w:rFonts w:cs="Wingdings"/>
    </w:rPr>
  </w:style>
  <w:style w:type="character" w:customStyle="1" w:styleId="ListLabel356">
    <w:name w:val="ListLabel 356"/>
    <w:qFormat/>
    <w:rsid w:val="006C641F"/>
  </w:style>
  <w:style w:type="character" w:customStyle="1" w:styleId="ListLabel357">
    <w:name w:val="ListLabel 357"/>
    <w:qFormat/>
    <w:rsid w:val="006C641F"/>
    <w:rPr>
      <w:rFonts w:cs="Symbol"/>
    </w:rPr>
  </w:style>
  <w:style w:type="character" w:customStyle="1" w:styleId="ListLabel358">
    <w:name w:val="ListLabel 358"/>
    <w:qFormat/>
    <w:rsid w:val="006C641F"/>
    <w:rPr>
      <w:rFonts w:cs="Courier New"/>
    </w:rPr>
  </w:style>
  <w:style w:type="character" w:customStyle="1" w:styleId="ListLabel359">
    <w:name w:val="ListLabel 359"/>
    <w:qFormat/>
    <w:rsid w:val="006C641F"/>
    <w:rPr>
      <w:rFonts w:cs="Wingdings"/>
    </w:rPr>
  </w:style>
  <w:style w:type="character" w:customStyle="1" w:styleId="ListLabel360">
    <w:name w:val="ListLabel 360"/>
    <w:qFormat/>
    <w:rsid w:val="006C641F"/>
    <w:rPr>
      <w:rFonts w:cs="Symbol"/>
    </w:rPr>
  </w:style>
  <w:style w:type="character" w:customStyle="1" w:styleId="ListLabel361">
    <w:name w:val="ListLabel 361"/>
    <w:qFormat/>
    <w:rsid w:val="006C641F"/>
    <w:rPr>
      <w:rFonts w:cs="Courier New"/>
    </w:rPr>
  </w:style>
  <w:style w:type="character" w:customStyle="1" w:styleId="ListLabel362">
    <w:name w:val="ListLabel 362"/>
    <w:qFormat/>
    <w:rsid w:val="006C641F"/>
    <w:rPr>
      <w:rFonts w:cs="Wingdings"/>
    </w:rPr>
  </w:style>
  <w:style w:type="character" w:customStyle="1" w:styleId="ListLabel363">
    <w:name w:val="ListLabel 363"/>
    <w:qFormat/>
    <w:rsid w:val="006C641F"/>
    <w:rPr>
      <w:rFonts w:cs="Symbol"/>
    </w:rPr>
  </w:style>
  <w:style w:type="character" w:customStyle="1" w:styleId="ListLabel364">
    <w:name w:val="ListLabel 364"/>
    <w:qFormat/>
    <w:rsid w:val="006C641F"/>
    <w:rPr>
      <w:rFonts w:cs="Courier New"/>
    </w:rPr>
  </w:style>
  <w:style w:type="character" w:customStyle="1" w:styleId="ListLabel365">
    <w:name w:val="ListLabel 365"/>
    <w:qFormat/>
    <w:rsid w:val="006C641F"/>
    <w:rPr>
      <w:rFonts w:cs="Wingdings"/>
    </w:rPr>
  </w:style>
  <w:style w:type="character" w:customStyle="1" w:styleId="ListLabel366">
    <w:name w:val="ListLabel 366"/>
    <w:qFormat/>
    <w:rsid w:val="006C641F"/>
    <w:rPr>
      <w:strike w:val="0"/>
      <w:dstrike w:val="0"/>
    </w:rPr>
  </w:style>
  <w:style w:type="character" w:customStyle="1" w:styleId="ListLabel367">
    <w:name w:val="ListLabel 367"/>
    <w:qFormat/>
    <w:rsid w:val="006C641F"/>
    <w:rPr>
      <w:rFonts w:cs="Symbol"/>
    </w:rPr>
  </w:style>
  <w:style w:type="character" w:customStyle="1" w:styleId="ListLabel368">
    <w:name w:val="ListLabel 368"/>
    <w:qFormat/>
    <w:rsid w:val="006C641F"/>
    <w:rPr>
      <w:strike w:val="0"/>
      <w:dstrike w:val="0"/>
    </w:rPr>
  </w:style>
  <w:style w:type="character" w:customStyle="1" w:styleId="ListLabel369">
    <w:name w:val="ListLabel 369"/>
    <w:qFormat/>
    <w:rsid w:val="006C641F"/>
    <w:rPr>
      <w:rFonts w:cs="Symbol"/>
    </w:rPr>
  </w:style>
  <w:style w:type="character" w:customStyle="1" w:styleId="ListLabel370">
    <w:name w:val="ListLabel 370"/>
    <w:qFormat/>
    <w:rsid w:val="006C641F"/>
    <w:rPr>
      <w:rFonts w:cs="Symbol"/>
    </w:rPr>
  </w:style>
  <w:style w:type="character" w:customStyle="1" w:styleId="ListLabel371">
    <w:name w:val="ListLabel 371"/>
    <w:qFormat/>
    <w:rsid w:val="006C641F"/>
    <w:rPr>
      <w:rFonts w:cs="Courier New"/>
    </w:rPr>
  </w:style>
  <w:style w:type="character" w:customStyle="1" w:styleId="ListLabel372">
    <w:name w:val="ListLabel 372"/>
    <w:qFormat/>
    <w:rsid w:val="006C641F"/>
    <w:rPr>
      <w:rFonts w:cs="Wingdings"/>
    </w:rPr>
  </w:style>
  <w:style w:type="character" w:customStyle="1" w:styleId="ListLabel373">
    <w:name w:val="ListLabel 373"/>
    <w:qFormat/>
    <w:rsid w:val="006C641F"/>
    <w:rPr>
      <w:rFonts w:cs="Symbol"/>
    </w:rPr>
  </w:style>
  <w:style w:type="character" w:customStyle="1" w:styleId="ListLabel374">
    <w:name w:val="ListLabel 374"/>
    <w:qFormat/>
    <w:rsid w:val="006C641F"/>
    <w:rPr>
      <w:rFonts w:cs="Courier New"/>
    </w:rPr>
  </w:style>
  <w:style w:type="character" w:customStyle="1" w:styleId="ListLabel375">
    <w:name w:val="ListLabel 375"/>
    <w:qFormat/>
    <w:rsid w:val="006C641F"/>
    <w:rPr>
      <w:rFonts w:cs="Wingdings"/>
    </w:rPr>
  </w:style>
  <w:style w:type="character" w:customStyle="1" w:styleId="ListLabel376">
    <w:name w:val="ListLabel 376"/>
    <w:qFormat/>
    <w:rsid w:val="006C641F"/>
    <w:rPr>
      <w:rFonts w:cs="Symbol"/>
    </w:rPr>
  </w:style>
  <w:style w:type="character" w:customStyle="1" w:styleId="ListLabel377">
    <w:name w:val="ListLabel 377"/>
    <w:qFormat/>
    <w:rsid w:val="006C641F"/>
    <w:rPr>
      <w:rFonts w:cs="Courier New"/>
    </w:rPr>
  </w:style>
  <w:style w:type="character" w:customStyle="1" w:styleId="ListLabel378">
    <w:name w:val="ListLabel 378"/>
    <w:qFormat/>
    <w:rsid w:val="006C641F"/>
    <w:rPr>
      <w:rFonts w:cs="Wingdings"/>
    </w:rPr>
  </w:style>
  <w:style w:type="character" w:customStyle="1" w:styleId="ListLabel379">
    <w:name w:val="ListLabel 379"/>
    <w:qFormat/>
    <w:rsid w:val="006C641F"/>
    <w:rPr>
      <w:rFonts w:cs="Symbol"/>
    </w:rPr>
  </w:style>
  <w:style w:type="character" w:customStyle="1" w:styleId="ListLabel380">
    <w:name w:val="ListLabel 380"/>
    <w:qFormat/>
    <w:rsid w:val="006C641F"/>
    <w:rPr>
      <w:rFonts w:cs="Courier New"/>
    </w:rPr>
  </w:style>
  <w:style w:type="character" w:customStyle="1" w:styleId="ListLabel381">
    <w:name w:val="ListLabel 381"/>
    <w:qFormat/>
    <w:rsid w:val="006C641F"/>
    <w:rPr>
      <w:rFonts w:cs="Wingdings"/>
    </w:rPr>
  </w:style>
  <w:style w:type="character" w:customStyle="1" w:styleId="ListLabel382">
    <w:name w:val="ListLabel 382"/>
    <w:qFormat/>
    <w:rsid w:val="006C641F"/>
    <w:rPr>
      <w:rFonts w:cs="Symbol"/>
    </w:rPr>
  </w:style>
  <w:style w:type="character" w:customStyle="1" w:styleId="ListLabel383">
    <w:name w:val="ListLabel 383"/>
    <w:qFormat/>
    <w:rsid w:val="006C641F"/>
    <w:rPr>
      <w:rFonts w:cs="Courier New"/>
    </w:rPr>
  </w:style>
  <w:style w:type="character" w:customStyle="1" w:styleId="ListLabel384">
    <w:name w:val="ListLabel 384"/>
    <w:qFormat/>
    <w:rsid w:val="006C641F"/>
    <w:rPr>
      <w:rFonts w:cs="Wingdings"/>
    </w:rPr>
  </w:style>
  <w:style w:type="character" w:customStyle="1" w:styleId="ListLabel385">
    <w:name w:val="ListLabel 385"/>
    <w:qFormat/>
    <w:rsid w:val="006C641F"/>
    <w:rPr>
      <w:rFonts w:cs="Symbol"/>
    </w:rPr>
  </w:style>
  <w:style w:type="character" w:customStyle="1" w:styleId="ListLabel386">
    <w:name w:val="ListLabel 386"/>
    <w:qFormat/>
    <w:rsid w:val="006C641F"/>
    <w:rPr>
      <w:rFonts w:cs="Courier New"/>
    </w:rPr>
  </w:style>
  <w:style w:type="character" w:customStyle="1" w:styleId="ListLabel387">
    <w:name w:val="ListLabel 387"/>
    <w:qFormat/>
    <w:rsid w:val="006C641F"/>
    <w:rPr>
      <w:rFonts w:cs="Wingdings"/>
    </w:rPr>
  </w:style>
  <w:style w:type="character" w:customStyle="1" w:styleId="ListLabel388">
    <w:name w:val="ListLabel 388"/>
    <w:qFormat/>
    <w:rsid w:val="006C641F"/>
    <w:rPr>
      <w:rFonts w:cs="Symbol"/>
    </w:rPr>
  </w:style>
  <w:style w:type="character" w:customStyle="1" w:styleId="ListLabel389">
    <w:name w:val="ListLabel 389"/>
    <w:qFormat/>
    <w:rsid w:val="006C641F"/>
    <w:rPr>
      <w:rFonts w:cs="Courier New"/>
    </w:rPr>
  </w:style>
  <w:style w:type="character" w:customStyle="1" w:styleId="ListLabel390">
    <w:name w:val="ListLabel 390"/>
    <w:qFormat/>
    <w:rsid w:val="006C641F"/>
    <w:rPr>
      <w:rFonts w:cs="Wingdings"/>
    </w:rPr>
  </w:style>
  <w:style w:type="character" w:customStyle="1" w:styleId="ListLabel391">
    <w:name w:val="ListLabel 391"/>
    <w:qFormat/>
    <w:rsid w:val="006C641F"/>
    <w:rPr>
      <w:rFonts w:cs="Symbol"/>
    </w:rPr>
  </w:style>
  <w:style w:type="character" w:customStyle="1" w:styleId="ListLabel392">
    <w:name w:val="ListLabel 392"/>
    <w:qFormat/>
    <w:rsid w:val="006C641F"/>
    <w:rPr>
      <w:rFonts w:cs="Courier New"/>
    </w:rPr>
  </w:style>
  <w:style w:type="character" w:customStyle="1" w:styleId="ListLabel393">
    <w:name w:val="ListLabel 393"/>
    <w:qFormat/>
    <w:rsid w:val="006C641F"/>
    <w:rPr>
      <w:rFonts w:cs="Wingdings"/>
    </w:rPr>
  </w:style>
  <w:style w:type="character" w:customStyle="1" w:styleId="ListLabel394">
    <w:name w:val="ListLabel 394"/>
    <w:qFormat/>
    <w:rsid w:val="006C641F"/>
    <w:rPr>
      <w:rFonts w:cs="Symbol"/>
    </w:rPr>
  </w:style>
  <w:style w:type="character" w:customStyle="1" w:styleId="ListLabel395">
    <w:name w:val="ListLabel 395"/>
    <w:qFormat/>
    <w:rsid w:val="006C641F"/>
    <w:rPr>
      <w:rFonts w:cs="Courier New"/>
    </w:rPr>
  </w:style>
  <w:style w:type="character" w:customStyle="1" w:styleId="ListLabel396">
    <w:name w:val="ListLabel 396"/>
    <w:qFormat/>
    <w:rsid w:val="006C641F"/>
    <w:rPr>
      <w:rFonts w:cs="Wingdings"/>
    </w:rPr>
  </w:style>
  <w:style w:type="character" w:customStyle="1" w:styleId="ListLabel397">
    <w:name w:val="ListLabel 397"/>
    <w:qFormat/>
    <w:rsid w:val="006C641F"/>
  </w:style>
  <w:style w:type="paragraph" w:customStyle="1" w:styleId="Ttulo1">
    <w:name w:val="Título1"/>
    <w:basedOn w:val="Normal"/>
    <w:next w:val="BodyText"/>
    <w:qFormat/>
    <w:rsid w:val="006C641F"/>
    <w:pPr>
      <w:keepNext/>
      <w:widowControl w:val="0"/>
      <w:suppressAutoHyphens/>
      <w:spacing w:before="240" w:after="120"/>
      <w:textAlignment w:val="baseline"/>
    </w:pPr>
    <w:rPr>
      <w:rFonts w:ascii="Liberation Sans" w:eastAsia="Noto Sans CJK SC Regular" w:hAnsi="Liberation Sans" w:cs="FreeSans"/>
      <w:kern w:val="2"/>
      <w:sz w:val="28"/>
      <w:szCs w:val="28"/>
      <w:lang w:eastAsia="zh-CN" w:bidi="hi-IN"/>
    </w:rPr>
  </w:style>
  <w:style w:type="paragraph" w:styleId="List">
    <w:name w:val="List"/>
    <w:basedOn w:val="Normal"/>
    <w:rsid w:val="006C641F"/>
    <w:pPr>
      <w:widowControl w:val="0"/>
      <w:suppressAutoHyphens/>
      <w:textAlignment w:val="baseline"/>
    </w:pPr>
    <w:rPr>
      <w:rFonts w:ascii="Liberation Sans" w:eastAsia="Noto Sans CJK SC Regular" w:hAnsi="Liberation Sans" w:cs="FreeSans"/>
      <w:kern w:val="2"/>
      <w:lang w:eastAsia="zh-CN" w:bidi="hi-IN"/>
    </w:rPr>
  </w:style>
  <w:style w:type="paragraph" w:customStyle="1" w:styleId="Descripcin1">
    <w:name w:val="Descripción1"/>
    <w:basedOn w:val="Standard"/>
    <w:uiPriority w:val="35"/>
    <w:qFormat/>
    <w:rsid w:val="006C641F"/>
    <w:pPr>
      <w:suppressLineNumbers/>
      <w:spacing w:before="120" w:after="120"/>
    </w:pPr>
    <w:rPr>
      <w:rFonts w:cs="FreeSans"/>
      <w:i/>
      <w:iCs/>
      <w:sz w:val="24"/>
    </w:rPr>
  </w:style>
  <w:style w:type="paragraph" w:customStyle="1" w:styleId="ndice">
    <w:name w:val="Índice"/>
    <w:basedOn w:val="Normal"/>
    <w:qFormat/>
    <w:rsid w:val="006C641F"/>
    <w:pPr>
      <w:widowControl w:val="0"/>
      <w:suppressLineNumbers/>
      <w:suppressAutoHyphens/>
      <w:textAlignment w:val="baseline"/>
    </w:pPr>
    <w:rPr>
      <w:rFonts w:ascii="Liberation Sans" w:eastAsia="Noto Sans CJK SC Regular" w:hAnsi="Liberation Sans" w:cs="FreeSans"/>
      <w:kern w:val="2"/>
      <w:lang w:eastAsia="zh-CN" w:bidi="hi-IN"/>
    </w:rPr>
  </w:style>
  <w:style w:type="paragraph" w:customStyle="1" w:styleId="Textbody">
    <w:name w:val="Text body"/>
    <w:basedOn w:val="Standard"/>
    <w:qFormat/>
    <w:rsid w:val="006C641F"/>
    <w:pPr>
      <w:spacing w:after="140" w:line="288" w:lineRule="auto"/>
    </w:pPr>
  </w:style>
  <w:style w:type="paragraph" w:customStyle="1" w:styleId="CTENormal">
    <w:name w:val="CTE_Normal"/>
    <w:basedOn w:val="Standard"/>
    <w:qFormat/>
    <w:rsid w:val="006C641F"/>
    <w:pPr>
      <w:spacing w:before="200" w:after="100"/>
    </w:pPr>
  </w:style>
  <w:style w:type="paragraph" w:customStyle="1" w:styleId="artculoCTE">
    <w:name w:val="artículoCTE"/>
    <w:basedOn w:val="Standard"/>
    <w:next w:val="Standard"/>
    <w:qFormat/>
    <w:rsid w:val="006C641F"/>
    <w:pPr>
      <w:keepNext/>
      <w:widowControl w:val="0"/>
      <w:spacing w:before="200" w:after="80"/>
    </w:pPr>
    <w:rPr>
      <w:rFonts w:eastAsia="DejaVu Sans" w:cs="Lohit Hindi"/>
      <w:b/>
      <w:lang w:eastAsia="hi-IN"/>
    </w:rPr>
  </w:style>
  <w:style w:type="paragraph" w:customStyle="1" w:styleId="NumeracinCTE">
    <w:name w:val="NumeraciónCTE"/>
    <w:basedOn w:val="Standard"/>
    <w:link w:val="NumeracinCTECar"/>
    <w:qFormat/>
    <w:rsid w:val="006C641F"/>
    <w:pPr>
      <w:tabs>
        <w:tab w:val="left" w:pos="0"/>
      </w:tabs>
      <w:spacing w:after="60"/>
    </w:pPr>
    <w:rPr>
      <w:szCs w:val="20"/>
    </w:rPr>
  </w:style>
  <w:style w:type="paragraph" w:customStyle="1" w:styleId="CTENumeracion1linea0">
    <w:name w:val="CTE_Numeracion + 1ª linea 0"/>
    <w:basedOn w:val="Standard"/>
    <w:qFormat/>
    <w:rsid w:val="006C641F"/>
    <w:pPr>
      <w:spacing w:before="60" w:after="60"/>
    </w:pPr>
    <w:rPr>
      <w:rFonts w:cs="Calibri"/>
    </w:rPr>
  </w:style>
  <w:style w:type="paragraph" w:customStyle="1" w:styleId="CTENumeracionIzquierda063cmSangrafrancesa068">
    <w:name w:val="CTE_Numeracion + Izquierda:  063 cm Sangría francesa:  068..."/>
    <w:basedOn w:val="CTENumeracion"/>
    <w:qFormat/>
    <w:rsid w:val="006C641F"/>
    <w:pPr>
      <w:ind w:left="964" w:hanging="397"/>
      <w:jc w:val="left"/>
    </w:pPr>
    <w:rPr>
      <w:rFonts w:eastAsia="Arial" w:cs="Arial"/>
      <w:kern w:val="2"/>
      <w:sz w:val="22"/>
      <w:szCs w:val="20"/>
      <w:lang w:eastAsia="zh-CN" w:bidi="hi-IN"/>
    </w:rPr>
  </w:style>
  <w:style w:type="paragraph" w:styleId="TOAHeading">
    <w:name w:val="toa heading"/>
    <w:basedOn w:val="Header"/>
    <w:qFormat/>
    <w:rsid w:val="006C641F"/>
    <w:rPr>
      <w:rFonts w:ascii="Arial" w:eastAsia="Arial" w:hAnsi="Arial" w:cs="Arial"/>
      <w:kern w:val="2"/>
      <w:sz w:val="22"/>
      <w:lang w:eastAsia="zh-CN" w:bidi="hi-IN"/>
    </w:rPr>
  </w:style>
  <w:style w:type="paragraph" w:customStyle="1" w:styleId="Contents1">
    <w:name w:val="Contents 1"/>
    <w:basedOn w:val="Standard"/>
    <w:next w:val="Standard"/>
    <w:qFormat/>
    <w:rsid w:val="006C641F"/>
    <w:pPr>
      <w:tabs>
        <w:tab w:val="left" w:pos="1800"/>
        <w:tab w:val="right" w:pos="9060"/>
      </w:tabs>
      <w:spacing w:before="360"/>
    </w:pPr>
    <w:rPr>
      <w:b/>
      <w:bCs/>
      <w:sz w:val="24"/>
    </w:rPr>
  </w:style>
  <w:style w:type="paragraph" w:customStyle="1" w:styleId="Contents2">
    <w:name w:val="Contents 2"/>
    <w:basedOn w:val="Standard"/>
    <w:next w:val="Standard"/>
    <w:qFormat/>
    <w:rsid w:val="006C641F"/>
    <w:pPr>
      <w:spacing w:before="240"/>
    </w:pPr>
    <w:rPr>
      <w:b/>
      <w:bCs/>
      <w:szCs w:val="20"/>
    </w:rPr>
  </w:style>
  <w:style w:type="paragraph" w:customStyle="1" w:styleId="Contents3">
    <w:name w:val="Contents 3"/>
    <w:basedOn w:val="Standard"/>
    <w:next w:val="Standard"/>
    <w:qFormat/>
    <w:rsid w:val="006C641F"/>
    <w:pPr>
      <w:tabs>
        <w:tab w:val="left" w:pos="1234"/>
        <w:tab w:val="right" w:pos="9494"/>
      </w:tabs>
      <w:ind w:left="434"/>
    </w:pPr>
    <w:rPr>
      <w:szCs w:val="20"/>
    </w:rPr>
  </w:style>
  <w:style w:type="paragraph" w:customStyle="1" w:styleId="CteTtuloSeccion">
    <w:name w:val="CteTítuloSeccion"/>
    <w:qFormat/>
    <w:rsid w:val="006C641F"/>
    <w:pPr>
      <w:keepNext/>
      <w:outlineLvl w:val="0"/>
    </w:pPr>
    <w:rPr>
      <w:rFonts w:ascii="Arial" w:eastAsia="Arial" w:hAnsi="Arial"/>
      <w:b/>
      <w:bCs/>
      <w:color w:val="00000A"/>
      <w:kern w:val="2"/>
      <w:sz w:val="32"/>
      <w:szCs w:val="24"/>
      <w:lang w:eastAsia="ar-SA"/>
    </w:rPr>
  </w:style>
  <w:style w:type="paragraph" w:customStyle="1" w:styleId="CteTtulo1">
    <w:name w:val="CteTítulo1"/>
    <w:basedOn w:val="Heading1"/>
    <w:next w:val="Standard"/>
    <w:qFormat/>
    <w:rsid w:val="006C641F"/>
    <w:pPr>
      <w:widowControl w:val="0"/>
      <w:suppressAutoHyphens/>
      <w:spacing w:before="500" w:after="100" w:line="240" w:lineRule="auto"/>
      <w:jc w:val="left"/>
      <w:textAlignment w:val="baseline"/>
    </w:pPr>
    <w:rPr>
      <w:rFonts w:ascii="Liberation Sans" w:eastAsia="Noto Sans CJK SC Regular" w:hAnsi="Liberation Sans" w:cs="FreeSans"/>
      <w:kern w:val="2"/>
      <w:sz w:val="28"/>
      <w:szCs w:val="28"/>
      <w:lang w:eastAsia="zh-CN" w:bidi="hi-IN"/>
    </w:rPr>
  </w:style>
  <w:style w:type="paragraph" w:customStyle="1" w:styleId="CTEComentario">
    <w:name w:val="CTE_Comentario"/>
    <w:basedOn w:val="Standard"/>
    <w:qFormat/>
    <w:rsid w:val="006C641F"/>
    <w:pPr>
      <w:pBdr>
        <w:left w:val="single" w:sz="4" w:space="4" w:color="000001"/>
      </w:pBdr>
      <w:spacing w:before="62" w:after="62"/>
      <w:ind w:left="1531"/>
    </w:pPr>
    <w:rPr>
      <w:sz w:val="16"/>
      <w:szCs w:val="16"/>
    </w:rPr>
  </w:style>
  <w:style w:type="paragraph" w:customStyle="1" w:styleId="CteTtulo2">
    <w:name w:val="CteTítulo2"/>
    <w:basedOn w:val="Heading2"/>
    <w:qFormat/>
    <w:rsid w:val="006C641F"/>
    <w:pPr>
      <w:widowControl w:val="0"/>
      <w:suppressAutoHyphens/>
      <w:spacing w:before="300" w:after="100" w:line="240" w:lineRule="auto"/>
      <w:jc w:val="left"/>
      <w:textAlignment w:val="baseline"/>
    </w:pPr>
    <w:rPr>
      <w:rFonts w:eastAsia="Noto Sans CJK SC Regular" w:cs="FreeSans"/>
      <w:i w:val="0"/>
      <w:iCs w:val="0"/>
      <w:kern w:val="2"/>
      <w:sz w:val="24"/>
      <w:lang w:eastAsia="zh-CN" w:bidi="hi-IN"/>
    </w:rPr>
  </w:style>
  <w:style w:type="paragraph" w:customStyle="1" w:styleId="CTEtabla-Titulo">
    <w:name w:val="CTE_tabla-Titulo"/>
    <w:basedOn w:val="Standard"/>
    <w:next w:val="Standard"/>
    <w:qFormat/>
    <w:rsid w:val="006C641F"/>
    <w:pPr>
      <w:keepNext/>
      <w:spacing w:before="200" w:after="60"/>
      <w:jc w:val="center"/>
    </w:pPr>
    <w:rPr>
      <w:b/>
      <w:sz w:val="18"/>
    </w:rPr>
  </w:style>
  <w:style w:type="paragraph" w:customStyle="1" w:styleId="CTETabla-nota">
    <w:name w:val="CTE_Tabla-nota"/>
    <w:basedOn w:val="Standard"/>
    <w:qFormat/>
    <w:rsid w:val="006C641F"/>
    <w:pPr>
      <w:spacing w:before="60"/>
      <w:ind w:left="601" w:right="6" w:hanging="233"/>
    </w:pPr>
    <w:rPr>
      <w:sz w:val="16"/>
    </w:rPr>
  </w:style>
  <w:style w:type="paragraph" w:customStyle="1" w:styleId="CTECespacio">
    <w:name w:val="CTE_C_espacio"/>
    <w:basedOn w:val="CTEComentario"/>
    <w:qFormat/>
    <w:rsid w:val="006C641F"/>
    <w:pPr>
      <w:spacing w:before="0" w:after="0"/>
    </w:pPr>
    <w:rPr>
      <w:sz w:val="12"/>
    </w:rPr>
  </w:style>
  <w:style w:type="paragraph" w:customStyle="1" w:styleId="ttulofiguratablafrmulaCTE">
    <w:name w:val="título figura/tabla/fórmulaCTE"/>
    <w:basedOn w:val="Standard"/>
    <w:qFormat/>
    <w:rsid w:val="006C641F"/>
    <w:pPr>
      <w:tabs>
        <w:tab w:val="left" w:pos="1122"/>
        <w:tab w:val="left" w:pos="1309"/>
      </w:tabs>
      <w:jc w:val="center"/>
    </w:pPr>
    <w:rPr>
      <w:b/>
      <w:bCs/>
      <w:sz w:val="18"/>
    </w:rPr>
  </w:style>
  <w:style w:type="paragraph" w:customStyle="1" w:styleId="notapietablafigura">
    <w:name w:val="nota pie tabla/figura"/>
    <w:basedOn w:val="Standard"/>
    <w:qFormat/>
    <w:rsid w:val="006C641F"/>
    <w:pPr>
      <w:tabs>
        <w:tab w:val="left" w:pos="1122"/>
        <w:tab w:val="left" w:pos="1309"/>
      </w:tabs>
    </w:pPr>
    <w:rPr>
      <w:bCs/>
      <w:sz w:val="16"/>
    </w:rPr>
  </w:style>
  <w:style w:type="paragraph" w:customStyle="1" w:styleId="CTEfigura-pie">
    <w:name w:val="CTE_figura-pie"/>
    <w:basedOn w:val="Standard"/>
    <w:qFormat/>
    <w:rsid w:val="006C641F"/>
    <w:pPr>
      <w:tabs>
        <w:tab w:val="left" w:pos="1122"/>
        <w:tab w:val="left" w:pos="1309"/>
      </w:tabs>
      <w:spacing w:before="100" w:after="200"/>
      <w:jc w:val="center"/>
    </w:pPr>
    <w:rPr>
      <w:b/>
      <w:bCs/>
      <w:sz w:val="18"/>
    </w:rPr>
  </w:style>
  <w:style w:type="paragraph" w:customStyle="1" w:styleId="TextBody0">
    <w:name w:val="Text Body"/>
    <w:basedOn w:val="Standard"/>
    <w:qFormat/>
    <w:rsid w:val="006C641F"/>
    <w:pPr>
      <w:spacing w:after="120" w:line="288" w:lineRule="auto"/>
    </w:pPr>
  </w:style>
  <w:style w:type="paragraph" w:customStyle="1" w:styleId="Encabezado8">
    <w:name w:val="Encabezado8"/>
    <w:basedOn w:val="Standard"/>
    <w:qFormat/>
    <w:rsid w:val="006C641F"/>
    <w:pPr>
      <w:keepNext/>
      <w:spacing w:before="240" w:after="120"/>
    </w:pPr>
    <w:rPr>
      <w:rFonts w:ascii="Liberation Sans" w:eastAsia="DejaVu Sans" w:hAnsi="Liberation Sans" w:cs="Lohit Hindi"/>
      <w:sz w:val="28"/>
      <w:szCs w:val="28"/>
    </w:rPr>
  </w:style>
  <w:style w:type="paragraph" w:customStyle="1" w:styleId="Etiqueta">
    <w:name w:val="Etiqueta"/>
    <w:basedOn w:val="Standard"/>
    <w:qFormat/>
    <w:rsid w:val="006C641F"/>
    <w:pPr>
      <w:widowControl w:val="0"/>
      <w:suppressLineNumbers/>
      <w:spacing w:before="120" w:after="120"/>
    </w:pPr>
    <w:rPr>
      <w:rFonts w:eastAsia="DejaVu Sans" w:cs="Lohit Hindi"/>
      <w:i/>
      <w:iCs/>
      <w:sz w:val="24"/>
      <w:lang w:eastAsia="hi-IN"/>
    </w:rPr>
  </w:style>
  <w:style w:type="paragraph" w:customStyle="1" w:styleId="Encabezado7">
    <w:name w:val="Encabezado7"/>
    <w:basedOn w:val="Standard"/>
    <w:qFormat/>
    <w:rsid w:val="006C641F"/>
    <w:pPr>
      <w:keepNext/>
      <w:spacing w:before="240" w:after="120"/>
    </w:pPr>
    <w:rPr>
      <w:rFonts w:ascii="Liberation Sans" w:eastAsia="DejaVu Sans" w:hAnsi="Liberation Sans" w:cs="Lohit Hindi"/>
      <w:sz w:val="28"/>
      <w:szCs w:val="28"/>
    </w:rPr>
  </w:style>
  <w:style w:type="paragraph" w:customStyle="1" w:styleId="CTEComentarioNuevo">
    <w:name w:val="CTE_ComentarioNuevo"/>
    <w:basedOn w:val="CTEComentario"/>
    <w:qFormat/>
    <w:rsid w:val="006C641F"/>
    <w:pPr>
      <w:pBdr>
        <w:left w:val="double" w:sz="2" w:space="4" w:color="000001"/>
      </w:pBdr>
    </w:pPr>
  </w:style>
  <w:style w:type="paragraph" w:customStyle="1" w:styleId="CTECOculto">
    <w:name w:val="CTE_C_Oculto"/>
    <w:basedOn w:val="Standard"/>
    <w:qFormat/>
    <w:rsid w:val="006C641F"/>
    <w:pPr>
      <w:spacing w:before="60" w:after="60"/>
      <w:ind w:left="1531"/>
    </w:pPr>
    <w:rPr>
      <w:vanish/>
      <w:color w:val="0000FF"/>
      <w:sz w:val="16"/>
      <w:szCs w:val="16"/>
    </w:rPr>
  </w:style>
  <w:style w:type="paragraph" w:customStyle="1" w:styleId="CteAnejo-Ttulo4">
    <w:name w:val="CteAnejo-Título4"/>
    <w:basedOn w:val="Standard"/>
    <w:next w:val="Standard"/>
    <w:qFormat/>
    <w:rsid w:val="006C641F"/>
    <w:pPr>
      <w:keepNext/>
      <w:tabs>
        <w:tab w:val="left" w:pos="907"/>
      </w:tabs>
      <w:spacing w:before="200" w:after="100"/>
    </w:pPr>
    <w:rPr>
      <w:b/>
    </w:rPr>
  </w:style>
  <w:style w:type="paragraph" w:customStyle="1" w:styleId="Sangra2detindependiente1">
    <w:name w:val="Sangría 2 de t. independiente1"/>
    <w:basedOn w:val="Standard"/>
    <w:qFormat/>
    <w:rsid w:val="006C641F"/>
    <w:pPr>
      <w:ind w:left="708"/>
    </w:pPr>
    <w:rPr>
      <w:sz w:val="18"/>
    </w:rPr>
  </w:style>
  <w:style w:type="paragraph" w:customStyle="1" w:styleId="CteAnejo-Definicion">
    <w:name w:val="CteAnejo-Definicion"/>
    <w:basedOn w:val="Heading2"/>
    <w:qFormat/>
    <w:rsid w:val="006C641F"/>
    <w:pPr>
      <w:widowControl w:val="0"/>
      <w:suppressAutoHyphens/>
      <w:spacing w:before="300" w:after="100" w:line="240" w:lineRule="auto"/>
      <w:jc w:val="left"/>
      <w:textAlignment w:val="baseline"/>
    </w:pPr>
    <w:rPr>
      <w:rFonts w:ascii="Liberation Sans" w:eastAsia="Noto Sans CJK SC Regular" w:hAnsi="Liberation Sans" w:cs="FreeSans"/>
      <w:kern w:val="2"/>
      <w:lang w:eastAsia="zh-CN" w:bidi="hi-IN"/>
    </w:rPr>
  </w:style>
  <w:style w:type="paragraph" w:customStyle="1" w:styleId="CteInt-TituloSeccion">
    <w:name w:val="CteInt-TituloSeccion"/>
    <w:next w:val="Standard"/>
    <w:qFormat/>
    <w:rsid w:val="006C641F"/>
    <w:pPr>
      <w:keepNext/>
    </w:pPr>
    <w:rPr>
      <w:rFonts w:ascii="Arial" w:eastAsia="Arial" w:hAnsi="Arial"/>
      <w:b/>
      <w:bCs/>
      <w:color w:val="00000A"/>
      <w:kern w:val="2"/>
      <w:sz w:val="36"/>
      <w:szCs w:val="24"/>
      <w:lang w:eastAsia="ar-SA"/>
    </w:rPr>
  </w:style>
  <w:style w:type="paragraph" w:customStyle="1" w:styleId="CteInt-Titulo1">
    <w:name w:val="CteInt-Titulo1"/>
    <w:basedOn w:val="CteTtulo1"/>
    <w:next w:val="Standard"/>
    <w:qFormat/>
    <w:rsid w:val="006C641F"/>
    <w:rPr>
      <w:bCs w:val="0"/>
    </w:rPr>
  </w:style>
  <w:style w:type="paragraph" w:customStyle="1" w:styleId="CTEfigura">
    <w:name w:val="CTE_figura"/>
    <w:basedOn w:val="Standard"/>
    <w:qFormat/>
    <w:rsid w:val="006C641F"/>
    <w:pPr>
      <w:keepNext/>
      <w:spacing w:before="200"/>
      <w:jc w:val="center"/>
    </w:pPr>
  </w:style>
  <w:style w:type="paragraph" w:customStyle="1" w:styleId="CteAnejo-Titulo3">
    <w:name w:val="CteAnejo-Titulo3"/>
    <w:basedOn w:val="CteTtulo3"/>
    <w:qFormat/>
    <w:rsid w:val="006C641F"/>
    <w:pPr>
      <w:numPr>
        <w:ilvl w:val="0"/>
      </w:numPr>
      <w:spacing w:before="200" w:after="100"/>
      <w:ind w:left="284" w:hanging="283"/>
      <w:jc w:val="left"/>
      <w:outlineLvl w:val="2"/>
    </w:pPr>
    <w:rPr>
      <w:rFonts w:eastAsia="Arial" w:cs="Arial"/>
      <w:color w:val="000000"/>
      <w:kern w:val="2"/>
      <w:lang w:bidi="hi-IN"/>
    </w:rPr>
  </w:style>
  <w:style w:type="paragraph" w:customStyle="1" w:styleId="CteAnejo-Titulo1">
    <w:name w:val="CteAnejo-Titulo1"/>
    <w:basedOn w:val="CteTtulo1"/>
    <w:qFormat/>
    <w:rsid w:val="006C641F"/>
    <w:rPr>
      <w:rFonts w:ascii="Arial" w:hAnsi="Arial"/>
    </w:rPr>
  </w:style>
  <w:style w:type="paragraph" w:customStyle="1" w:styleId="CteAnejo-Titulo2">
    <w:name w:val="CteAnejo-Titulo2"/>
    <w:basedOn w:val="CteTtulo2"/>
    <w:qFormat/>
    <w:rsid w:val="006C641F"/>
  </w:style>
  <w:style w:type="paragraph" w:customStyle="1" w:styleId="Contents4">
    <w:name w:val="Contents 4"/>
    <w:basedOn w:val="Standard"/>
    <w:next w:val="Standard"/>
    <w:qFormat/>
    <w:rsid w:val="006C641F"/>
    <w:pPr>
      <w:ind w:left="400"/>
    </w:pPr>
    <w:rPr>
      <w:rFonts w:ascii="Times New Roman" w:eastAsia="Times New Roman" w:hAnsi="Times New Roman" w:cs="Times New Roman"/>
      <w:szCs w:val="20"/>
    </w:rPr>
  </w:style>
  <w:style w:type="paragraph" w:customStyle="1" w:styleId="Contents5">
    <w:name w:val="Contents 5"/>
    <w:basedOn w:val="Standard"/>
    <w:next w:val="Standard"/>
    <w:qFormat/>
    <w:rsid w:val="006C641F"/>
    <w:pPr>
      <w:ind w:left="600"/>
    </w:pPr>
    <w:rPr>
      <w:rFonts w:ascii="Times New Roman" w:eastAsia="Times New Roman" w:hAnsi="Times New Roman" w:cs="Times New Roman"/>
      <w:szCs w:val="20"/>
    </w:rPr>
  </w:style>
  <w:style w:type="paragraph" w:customStyle="1" w:styleId="Contents6">
    <w:name w:val="Contents 6"/>
    <w:basedOn w:val="Standard"/>
    <w:next w:val="Standard"/>
    <w:qFormat/>
    <w:rsid w:val="006C641F"/>
    <w:pPr>
      <w:ind w:left="800"/>
    </w:pPr>
    <w:rPr>
      <w:rFonts w:ascii="Times New Roman" w:eastAsia="Times New Roman" w:hAnsi="Times New Roman" w:cs="Times New Roman"/>
      <w:szCs w:val="20"/>
    </w:rPr>
  </w:style>
  <w:style w:type="paragraph" w:customStyle="1" w:styleId="Contents7">
    <w:name w:val="Contents 7"/>
    <w:basedOn w:val="Standard"/>
    <w:next w:val="Standard"/>
    <w:qFormat/>
    <w:rsid w:val="006C641F"/>
    <w:pPr>
      <w:ind w:left="1000"/>
    </w:pPr>
    <w:rPr>
      <w:rFonts w:ascii="Times New Roman" w:eastAsia="Times New Roman" w:hAnsi="Times New Roman" w:cs="Times New Roman"/>
      <w:szCs w:val="20"/>
    </w:rPr>
  </w:style>
  <w:style w:type="paragraph" w:customStyle="1" w:styleId="Contents8">
    <w:name w:val="Contents 8"/>
    <w:basedOn w:val="Standard"/>
    <w:next w:val="Standard"/>
    <w:qFormat/>
    <w:rsid w:val="006C641F"/>
    <w:pPr>
      <w:ind w:left="1200"/>
    </w:pPr>
    <w:rPr>
      <w:rFonts w:ascii="Times New Roman" w:eastAsia="Times New Roman" w:hAnsi="Times New Roman" w:cs="Times New Roman"/>
      <w:szCs w:val="20"/>
    </w:rPr>
  </w:style>
  <w:style w:type="paragraph" w:customStyle="1" w:styleId="Contents9">
    <w:name w:val="Contents 9"/>
    <w:basedOn w:val="Standard"/>
    <w:next w:val="Standard"/>
    <w:qFormat/>
    <w:rsid w:val="006C641F"/>
    <w:pPr>
      <w:ind w:left="1400"/>
    </w:pPr>
    <w:rPr>
      <w:rFonts w:ascii="Times New Roman" w:eastAsia="Times New Roman" w:hAnsi="Times New Roman" w:cs="Times New Roman"/>
      <w:szCs w:val="20"/>
    </w:rPr>
  </w:style>
  <w:style w:type="paragraph" w:customStyle="1" w:styleId="Mapadeldocumento1">
    <w:name w:val="Mapa del documento1"/>
    <w:basedOn w:val="Standard"/>
    <w:qFormat/>
    <w:rsid w:val="006C641F"/>
    <w:pPr>
      <w:shd w:val="clear" w:color="auto" w:fill="000080"/>
    </w:pPr>
    <w:rPr>
      <w:rFonts w:ascii="Tahoma" w:eastAsia="Tahoma" w:hAnsi="Tahoma" w:cs="Tahoma"/>
      <w:szCs w:val="20"/>
    </w:rPr>
  </w:style>
  <w:style w:type="paragraph" w:customStyle="1" w:styleId="CTETtulo4">
    <w:name w:val="CTETítulo4"/>
    <w:basedOn w:val="Standard"/>
    <w:next w:val="Standard"/>
    <w:qFormat/>
    <w:rsid w:val="006C641F"/>
    <w:pPr>
      <w:keepNext/>
      <w:tabs>
        <w:tab w:val="left" w:pos="907"/>
      </w:tabs>
      <w:spacing w:before="200" w:after="100"/>
      <w:outlineLvl w:val="3"/>
    </w:pPr>
    <w:rPr>
      <w:b/>
    </w:rPr>
  </w:style>
  <w:style w:type="paragraph" w:customStyle="1" w:styleId="CTETtulo5">
    <w:name w:val="CTETítulo5"/>
    <w:basedOn w:val="CTETtulo4"/>
    <w:next w:val="Standard"/>
    <w:qFormat/>
    <w:rsid w:val="006C641F"/>
    <w:pPr>
      <w:outlineLvl w:val="4"/>
    </w:pPr>
  </w:style>
  <w:style w:type="paragraph" w:customStyle="1" w:styleId="Textocomentario3">
    <w:name w:val="Texto comentario3"/>
    <w:basedOn w:val="Standard"/>
    <w:qFormat/>
    <w:rsid w:val="006C641F"/>
    <w:rPr>
      <w:rFonts w:ascii="Times New Roman" w:eastAsia="Times New Roman" w:hAnsi="Times New Roman" w:cs="Times New Roman"/>
    </w:rPr>
  </w:style>
  <w:style w:type="paragraph" w:customStyle="1" w:styleId="Tabladeilustraciones1">
    <w:name w:val="Tabla de ilustraciones1"/>
    <w:basedOn w:val="Standard"/>
    <w:next w:val="Standard"/>
    <w:qFormat/>
    <w:rsid w:val="006C641F"/>
    <w:pPr>
      <w:tabs>
        <w:tab w:val="right" w:leader="dot" w:pos="9758"/>
      </w:tabs>
      <w:ind w:left="403" w:hanging="403"/>
    </w:pPr>
    <w:rPr>
      <w:rFonts w:ascii="Times New Roman" w:eastAsia="Times New Roman" w:hAnsi="Times New Roman" w:cs="Times New Roman"/>
    </w:rPr>
  </w:style>
  <w:style w:type="paragraph" w:styleId="Index1">
    <w:name w:val="index 1"/>
    <w:basedOn w:val="Standard"/>
    <w:next w:val="Standard"/>
    <w:qFormat/>
    <w:rsid w:val="006C641F"/>
    <w:pPr>
      <w:ind w:left="200" w:hanging="200"/>
    </w:pPr>
  </w:style>
  <w:style w:type="paragraph" w:styleId="Index2">
    <w:name w:val="index 2"/>
    <w:basedOn w:val="Standard"/>
    <w:next w:val="Standard"/>
    <w:qFormat/>
    <w:rsid w:val="006C641F"/>
    <w:pPr>
      <w:ind w:left="400" w:hanging="200"/>
    </w:pPr>
  </w:style>
  <w:style w:type="paragraph" w:styleId="Index3">
    <w:name w:val="index 3"/>
    <w:basedOn w:val="Standard"/>
    <w:next w:val="Standard"/>
    <w:qFormat/>
    <w:rsid w:val="006C641F"/>
    <w:pPr>
      <w:ind w:left="600" w:hanging="200"/>
    </w:pPr>
  </w:style>
  <w:style w:type="paragraph" w:styleId="IndexHeading">
    <w:name w:val="index heading"/>
    <w:basedOn w:val="Standard"/>
    <w:qFormat/>
    <w:rsid w:val="006C641F"/>
  </w:style>
  <w:style w:type="paragraph" w:styleId="EndnoteText">
    <w:name w:val="endnote text"/>
    <w:basedOn w:val="Standard"/>
    <w:link w:val="EndnoteTextChar"/>
    <w:rsid w:val="006C641F"/>
    <w:rPr>
      <w:rFonts w:ascii="Times New Roman" w:eastAsia="Times New Roman" w:hAnsi="Times New Roman" w:cs="Times New Roman"/>
    </w:rPr>
  </w:style>
  <w:style w:type="character" w:customStyle="1" w:styleId="EndnoteTextChar">
    <w:name w:val="Endnote Text Char"/>
    <w:link w:val="EndnoteText"/>
    <w:rsid w:val="006C641F"/>
    <w:rPr>
      <w:kern w:val="2"/>
      <w:sz w:val="22"/>
      <w:szCs w:val="24"/>
      <w:lang w:eastAsia="zh-CN" w:bidi="hi-IN"/>
    </w:rPr>
  </w:style>
  <w:style w:type="paragraph" w:customStyle="1" w:styleId="Encabezadodelista1">
    <w:name w:val="Encabezado de lista1"/>
    <w:basedOn w:val="Standard"/>
    <w:next w:val="Standard"/>
    <w:qFormat/>
    <w:rsid w:val="006C641F"/>
    <w:pPr>
      <w:spacing w:before="120"/>
    </w:pPr>
    <w:rPr>
      <w:b/>
      <w:bCs/>
      <w:sz w:val="24"/>
    </w:rPr>
  </w:style>
  <w:style w:type="paragraph" w:customStyle="1" w:styleId="Sangra3detindependiente1">
    <w:name w:val="Sangría 3 de t. independiente1"/>
    <w:basedOn w:val="Standard"/>
    <w:qFormat/>
    <w:rsid w:val="006C641F"/>
    <w:pPr>
      <w:spacing w:after="120"/>
      <w:ind w:left="283"/>
    </w:pPr>
    <w:rPr>
      <w:sz w:val="16"/>
      <w:szCs w:val="16"/>
    </w:rPr>
  </w:style>
  <w:style w:type="paragraph" w:customStyle="1" w:styleId="TextBodyIndent">
    <w:name w:val="Text Body Indent"/>
    <w:basedOn w:val="Standard"/>
    <w:qFormat/>
    <w:rsid w:val="006C641F"/>
    <w:pPr>
      <w:spacing w:after="120"/>
      <w:ind w:left="283"/>
    </w:pPr>
  </w:style>
  <w:style w:type="paragraph" w:customStyle="1" w:styleId="Sangranormal1">
    <w:name w:val="Sangría normal1"/>
    <w:basedOn w:val="Standard"/>
    <w:qFormat/>
    <w:rsid w:val="006C641F"/>
    <w:pPr>
      <w:ind w:left="708"/>
    </w:pPr>
  </w:style>
  <w:style w:type="paragraph" w:customStyle="1" w:styleId="Textoconsangra1">
    <w:name w:val="Texto con sangría1"/>
    <w:basedOn w:val="Standard"/>
    <w:next w:val="Standard"/>
    <w:qFormat/>
    <w:rsid w:val="006C641F"/>
    <w:pPr>
      <w:ind w:left="200" w:hanging="200"/>
    </w:pPr>
  </w:style>
  <w:style w:type="paragraph" w:customStyle="1" w:styleId="Textodebloque1">
    <w:name w:val="Texto de bloque1"/>
    <w:basedOn w:val="Standard"/>
    <w:qFormat/>
    <w:rsid w:val="006C641F"/>
    <w:pPr>
      <w:spacing w:after="120"/>
      <w:ind w:left="1440" w:right="1440"/>
    </w:pPr>
  </w:style>
  <w:style w:type="paragraph" w:customStyle="1" w:styleId="Textoindependiente21">
    <w:name w:val="Texto independiente 21"/>
    <w:basedOn w:val="Standard"/>
    <w:qFormat/>
    <w:rsid w:val="006C641F"/>
    <w:pPr>
      <w:spacing w:after="120" w:line="480" w:lineRule="auto"/>
    </w:pPr>
  </w:style>
  <w:style w:type="paragraph" w:customStyle="1" w:styleId="Textoindependiente31">
    <w:name w:val="Texto independiente 31"/>
    <w:basedOn w:val="Standard"/>
    <w:qFormat/>
    <w:rsid w:val="006C641F"/>
    <w:pPr>
      <w:spacing w:after="120"/>
    </w:pPr>
    <w:rPr>
      <w:sz w:val="16"/>
      <w:szCs w:val="16"/>
    </w:rPr>
  </w:style>
  <w:style w:type="paragraph" w:customStyle="1" w:styleId="Textoindependienteprimerasangra1">
    <w:name w:val="Texto independiente primera sangría1"/>
    <w:basedOn w:val="TextBody0"/>
    <w:qFormat/>
    <w:rsid w:val="006C641F"/>
    <w:pPr>
      <w:ind w:firstLine="210"/>
    </w:pPr>
  </w:style>
  <w:style w:type="paragraph" w:customStyle="1" w:styleId="Textoindependienteprimerasangra21">
    <w:name w:val="Texto independiente primera sangría 21"/>
    <w:basedOn w:val="TextBodyIndent"/>
    <w:qFormat/>
    <w:rsid w:val="006C641F"/>
    <w:pPr>
      <w:ind w:firstLine="210"/>
    </w:pPr>
  </w:style>
  <w:style w:type="paragraph" w:customStyle="1" w:styleId="Textomacro1">
    <w:name w:val="Texto macro1"/>
    <w:qFormat/>
    <w:rsid w:val="006C641F"/>
    <w:pPr>
      <w:tabs>
        <w:tab w:val="left" w:pos="480"/>
        <w:tab w:val="left" w:pos="960"/>
        <w:tab w:val="left" w:pos="1440"/>
        <w:tab w:val="left" w:pos="1920"/>
        <w:tab w:val="left" w:pos="2400"/>
        <w:tab w:val="left" w:pos="2880"/>
        <w:tab w:val="left" w:pos="3360"/>
        <w:tab w:val="left" w:pos="3840"/>
        <w:tab w:val="left" w:pos="4320"/>
      </w:tabs>
      <w:jc w:val="both"/>
    </w:pPr>
    <w:rPr>
      <w:rFonts w:ascii="Courier New" w:eastAsia="Arial" w:hAnsi="Courier New" w:cs="Courier New"/>
      <w:color w:val="00000A"/>
      <w:kern w:val="2"/>
      <w:lang w:eastAsia="ar-SA"/>
    </w:rPr>
  </w:style>
  <w:style w:type="paragraph" w:customStyle="1" w:styleId="Textosinformato1">
    <w:name w:val="Texto sin formato1"/>
    <w:basedOn w:val="Standard"/>
    <w:qFormat/>
    <w:rsid w:val="006C641F"/>
    <w:rPr>
      <w:rFonts w:ascii="Courier New" w:eastAsia="Courier New" w:hAnsi="Courier New" w:cs="Courier New"/>
      <w:szCs w:val="20"/>
    </w:rPr>
  </w:style>
  <w:style w:type="paragraph" w:customStyle="1" w:styleId="CTEComarchivar">
    <w:name w:val="CTE_Com_archivar"/>
    <w:basedOn w:val="CTEComentario"/>
    <w:link w:val="CTEComarchivarCar"/>
    <w:qFormat/>
    <w:rsid w:val="006C641F"/>
    <w:pPr>
      <w:pBdr>
        <w:left w:val="single" w:sz="2" w:space="4" w:color="000001"/>
      </w:pBdr>
      <w:shd w:val="clear" w:color="auto" w:fill="C0C0C0"/>
    </w:pPr>
  </w:style>
  <w:style w:type="paragraph" w:customStyle="1" w:styleId="CTEComNarchivar">
    <w:name w:val="CTE_Com_N_archivar"/>
    <w:basedOn w:val="CTEComarchivar"/>
    <w:qFormat/>
    <w:rsid w:val="006C641F"/>
    <w:pPr>
      <w:pBdr>
        <w:left w:val="double" w:sz="2" w:space="4" w:color="000001"/>
      </w:pBdr>
    </w:pPr>
  </w:style>
  <w:style w:type="paragraph" w:customStyle="1" w:styleId="Cierre1">
    <w:name w:val="Cierre1"/>
    <w:basedOn w:val="Standard"/>
    <w:qFormat/>
    <w:rsid w:val="006C641F"/>
    <w:pPr>
      <w:ind w:left="4252"/>
    </w:pPr>
  </w:style>
  <w:style w:type="paragraph" w:customStyle="1" w:styleId="Continuarlista1">
    <w:name w:val="Continuar lista1"/>
    <w:basedOn w:val="Standard"/>
    <w:qFormat/>
    <w:rsid w:val="006C641F"/>
    <w:pPr>
      <w:spacing w:after="120"/>
      <w:ind w:left="283"/>
    </w:pPr>
  </w:style>
  <w:style w:type="paragraph" w:customStyle="1" w:styleId="Continuarlista21">
    <w:name w:val="Continuar lista 21"/>
    <w:basedOn w:val="Standard"/>
    <w:qFormat/>
    <w:rsid w:val="006C641F"/>
    <w:pPr>
      <w:spacing w:after="120"/>
      <w:ind w:left="566"/>
    </w:pPr>
  </w:style>
  <w:style w:type="paragraph" w:customStyle="1" w:styleId="Continuarlista31">
    <w:name w:val="Continuar lista 31"/>
    <w:basedOn w:val="Standard"/>
    <w:qFormat/>
    <w:rsid w:val="006C641F"/>
    <w:pPr>
      <w:spacing w:after="120"/>
      <w:ind w:left="849"/>
    </w:pPr>
  </w:style>
  <w:style w:type="paragraph" w:customStyle="1" w:styleId="Continuarlista41">
    <w:name w:val="Continuar lista 41"/>
    <w:basedOn w:val="Standard"/>
    <w:qFormat/>
    <w:rsid w:val="006C641F"/>
    <w:pPr>
      <w:spacing w:after="120"/>
      <w:ind w:left="1132"/>
    </w:pPr>
  </w:style>
  <w:style w:type="paragraph" w:customStyle="1" w:styleId="Continuarlista51">
    <w:name w:val="Continuar lista 51"/>
    <w:basedOn w:val="Standard"/>
    <w:qFormat/>
    <w:rsid w:val="006C641F"/>
    <w:pPr>
      <w:spacing w:after="120"/>
      <w:ind w:left="1415"/>
    </w:pPr>
  </w:style>
  <w:style w:type="paragraph" w:styleId="HTMLAddress">
    <w:name w:val="HTML Address"/>
    <w:basedOn w:val="Standard"/>
    <w:link w:val="HTMLAddressChar"/>
    <w:qFormat/>
    <w:rsid w:val="006C641F"/>
    <w:rPr>
      <w:i/>
      <w:iCs/>
    </w:rPr>
  </w:style>
  <w:style w:type="character" w:customStyle="1" w:styleId="HTMLAddressChar">
    <w:name w:val="HTML Address Char"/>
    <w:link w:val="HTMLAddress"/>
    <w:rsid w:val="006C641F"/>
    <w:rPr>
      <w:rFonts w:ascii="Arial" w:eastAsia="Arial" w:hAnsi="Arial" w:cs="Arial"/>
      <w:i/>
      <w:iCs/>
      <w:kern w:val="2"/>
      <w:sz w:val="22"/>
      <w:szCs w:val="24"/>
      <w:lang w:eastAsia="zh-CN" w:bidi="hi-IN"/>
    </w:rPr>
  </w:style>
  <w:style w:type="paragraph" w:styleId="EnvelopeAddress">
    <w:name w:val="envelope address"/>
    <w:basedOn w:val="Standard"/>
    <w:qFormat/>
    <w:rsid w:val="006C641F"/>
    <w:pPr>
      <w:ind w:left="2880"/>
    </w:pPr>
    <w:rPr>
      <w:sz w:val="24"/>
    </w:rPr>
  </w:style>
  <w:style w:type="paragraph" w:customStyle="1" w:styleId="Encabezadodemensaje1">
    <w:name w:val="Encabezado de mensaje1"/>
    <w:basedOn w:val="Standard"/>
    <w:qFormat/>
    <w:rsid w:val="006C641F"/>
    <w:pPr>
      <w:pBdr>
        <w:top w:val="single" w:sz="4" w:space="1" w:color="000001"/>
        <w:left w:val="single" w:sz="4" w:space="1" w:color="000001"/>
        <w:bottom w:val="single" w:sz="4" w:space="1" w:color="000001"/>
        <w:right w:val="single" w:sz="4" w:space="1" w:color="000001"/>
      </w:pBdr>
      <w:shd w:val="clear" w:color="auto" w:fill="CCCCCC"/>
      <w:ind w:left="1134" w:hanging="1134"/>
    </w:pPr>
    <w:rPr>
      <w:sz w:val="24"/>
    </w:rPr>
  </w:style>
  <w:style w:type="paragraph" w:customStyle="1" w:styleId="Encabezadodenota1">
    <w:name w:val="Encabezado de nota1"/>
    <w:basedOn w:val="Standard"/>
    <w:next w:val="Standard"/>
    <w:qFormat/>
    <w:rsid w:val="006C641F"/>
  </w:style>
  <w:style w:type="paragraph" w:customStyle="1" w:styleId="Epgrafe1">
    <w:name w:val="Epígrafe1"/>
    <w:basedOn w:val="Standard"/>
    <w:next w:val="Standard"/>
    <w:qFormat/>
    <w:rsid w:val="006C641F"/>
    <w:rPr>
      <w:b/>
      <w:bCs/>
      <w:szCs w:val="20"/>
    </w:rPr>
  </w:style>
  <w:style w:type="paragraph" w:customStyle="1" w:styleId="Fecha1">
    <w:name w:val="Fecha1"/>
    <w:basedOn w:val="Standard"/>
    <w:next w:val="Standard"/>
    <w:qFormat/>
    <w:rsid w:val="006C641F"/>
  </w:style>
  <w:style w:type="paragraph" w:styleId="Signature">
    <w:name w:val="Signature"/>
    <w:basedOn w:val="Standard"/>
    <w:link w:val="SignatureChar"/>
    <w:rsid w:val="006C641F"/>
    <w:pPr>
      <w:ind w:left="4252"/>
    </w:pPr>
  </w:style>
  <w:style w:type="character" w:customStyle="1" w:styleId="SignatureChar">
    <w:name w:val="Signature Char"/>
    <w:link w:val="Signature"/>
    <w:rsid w:val="006C641F"/>
    <w:rPr>
      <w:rFonts w:ascii="Arial" w:eastAsia="Arial" w:hAnsi="Arial" w:cs="Arial"/>
      <w:kern w:val="2"/>
      <w:sz w:val="22"/>
      <w:szCs w:val="24"/>
      <w:lang w:eastAsia="zh-CN" w:bidi="hi-IN"/>
    </w:rPr>
  </w:style>
  <w:style w:type="paragraph" w:styleId="E-mailSignature">
    <w:name w:val="E-mail Signature"/>
    <w:basedOn w:val="Standard"/>
    <w:link w:val="E-mailSignatureChar"/>
    <w:qFormat/>
    <w:rsid w:val="006C641F"/>
  </w:style>
  <w:style w:type="character" w:customStyle="1" w:styleId="E-mailSignatureChar">
    <w:name w:val="E-mail Signature Char"/>
    <w:link w:val="E-mailSignature"/>
    <w:rsid w:val="006C641F"/>
    <w:rPr>
      <w:rFonts w:ascii="Arial" w:eastAsia="Arial" w:hAnsi="Arial" w:cs="Arial"/>
      <w:kern w:val="2"/>
      <w:sz w:val="22"/>
      <w:szCs w:val="24"/>
      <w:lang w:eastAsia="zh-CN" w:bidi="hi-IN"/>
    </w:rPr>
  </w:style>
  <w:style w:type="paragraph" w:styleId="HTMLPreformatted">
    <w:name w:val="HTML Preformatted"/>
    <w:basedOn w:val="Standard"/>
    <w:link w:val="HTMLPreformattedChar"/>
    <w:qFormat/>
    <w:rsid w:val="006C641F"/>
    <w:rPr>
      <w:rFonts w:ascii="Courier New" w:eastAsia="Courier New" w:hAnsi="Courier New" w:cs="Courier New"/>
      <w:szCs w:val="20"/>
    </w:rPr>
  </w:style>
  <w:style w:type="character" w:customStyle="1" w:styleId="HTMLPreformattedChar">
    <w:name w:val="HTML Preformatted Char"/>
    <w:link w:val="HTMLPreformatted"/>
    <w:rsid w:val="006C641F"/>
    <w:rPr>
      <w:rFonts w:ascii="Courier New" w:eastAsia="Courier New" w:hAnsi="Courier New" w:cs="Courier New"/>
      <w:kern w:val="2"/>
      <w:sz w:val="22"/>
      <w:lang w:eastAsia="zh-CN" w:bidi="hi-IN"/>
    </w:rPr>
  </w:style>
  <w:style w:type="paragraph" w:customStyle="1" w:styleId="Lista21">
    <w:name w:val="Lista 21"/>
    <w:basedOn w:val="Standard"/>
    <w:qFormat/>
    <w:rsid w:val="006C641F"/>
    <w:pPr>
      <w:ind w:left="566" w:hanging="283"/>
    </w:pPr>
  </w:style>
  <w:style w:type="paragraph" w:customStyle="1" w:styleId="Lista31">
    <w:name w:val="Lista 31"/>
    <w:basedOn w:val="Standard"/>
    <w:qFormat/>
    <w:rsid w:val="006C641F"/>
    <w:pPr>
      <w:ind w:left="849" w:hanging="283"/>
    </w:pPr>
  </w:style>
  <w:style w:type="paragraph" w:customStyle="1" w:styleId="Lista41">
    <w:name w:val="Lista 41"/>
    <w:basedOn w:val="Standard"/>
    <w:qFormat/>
    <w:rsid w:val="006C641F"/>
    <w:pPr>
      <w:ind w:left="1132" w:hanging="283"/>
    </w:pPr>
  </w:style>
  <w:style w:type="paragraph" w:customStyle="1" w:styleId="Lista51">
    <w:name w:val="Lista 51"/>
    <w:basedOn w:val="Standard"/>
    <w:qFormat/>
    <w:rsid w:val="006C641F"/>
    <w:pPr>
      <w:ind w:left="1415" w:hanging="283"/>
    </w:pPr>
  </w:style>
  <w:style w:type="paragraph" w:customStyle="1" w:styleId="Listaconnmeros1">
    <w:name w:val="Lista con números1"/>
    <w:basedOn w:val="Standard"/>
    <w:qFormat/>
    <w:rsid w:val="006C641F"/>
    <w:pPr>
      <w:tabs>
        <w:tab w:val="left" w:pos="720"/>
      </w:tabs>
      <w:ind w:left="360" w:hanging="360"/>
    </w:pPr>
  </w:style>
  <w:style w:type="paragraph" w:customStyle="1" w:styleId="Listaconnmeros21">
    <w:name w:val="Lista con números 21"/>
    <w:basedOn w:val="Standard"/>
    <w:qFormat/>
    <w:rsid w:val="006C641F"/>
    <w:pPr>
      <w:tabs>
        <w:tab w:val="left" w:pos="1286"/>
      </w:tabs>
      <w:ind w:left="643" w:hanging="360"/>
    </w:pPr>
  </w:style>
  <w:style w:type="paragraph" w:customStyle="1" w:styleId="Listaconnmeros31">
    <w:name w:val="Lista con números 31"/>
    <w:basedOn w:val="Standard"/>
    <w:qFormat/>
    <w:rsid w:val="006C641F"/>
    <w:pPr>
      <w:tabs>
        <w:tab w:val="left" w:pos="1852"/>
      </w:tabs>
      <w:ind w:left="926" w:hanging="360"/>
    </w:pPr>
  </w:style>
  <w:style w:type="paragraph" w:customStyle="1" w:styleId="Listaconnmeros41">
    <w:name w:val="Lista con números 41"/>
    <w:basedOn w:val="Standard"/>
    <w:qFormat/>
    <w:rsid w:val="006C641F"/>
    <w:pPr>
      <w:tabs>
        <w:tab w:val="left" w:pos="2418"/>
      </w:tabs>
      <w:ind w:left="1209" w:hanging="360"/>
    </w:pPr>
  </w:style>
  <w:style w:type="paragraph" w:customStyle="1" w:styleId="Listaconnmeros51">
    <w:name w:val="Lista con números 51"/>
    <w:basedOn w:val="Standard"/>
    <w:qFormat/>
    <w:rsid w:val="006C641F"/>
    <w:pPr>
      <w:tabs>
        <w:tab w:val="left" w:pos="2984"/>
      </w:tabs>
      <w:ind w:left="1492" w:hanging="360"/>
    </w:pPr>
  </w:style>
  <w:style w:type="paragraph" w:customStyle="1" w:styleId="Listaconvietas1">
    <w:name w:val="Lista con viñetas1"/>
    <w:basedOn w:val="Standard"/>
    <w:qFormat/>
    <w:rsid w:val="006C641F"/>
    <w:pPr>
      <w:tabs>
        <w:tab w:val="left" w:pos="720"/>
      </w:tabs>
      <w:ind w:left="360" w:hanging="360"/>
    </w:pPr>
  </w:style>
  <w:style w:type="paragraph" w:customStyle="1" w:styleId="Listaconvietas21">
    <w:name w:val="Lista con viñetas 21"/>
    <w:basedOn w:val="Standard"/>
    <w:qFormat/>
    <w:rsid w:val="006C641F"/>
    <w:pPr>
      <w:tabs>
        <w:tab w:val="left" w:pos="1286"/>
      </w:tabs>
      <w:ind w:left="643" w:hanging="360"/>
    </w:pPr>
  </w:style>
  <w:style w:type="paragraph" w:customStyle="1" w:styleId="Listaconvietas31">
    <w:name w:val="Lista con viñetas 31"/>
    <w:basedOn w:val="Standard"/>
    <w:qFormat/>
    <w:rsid w:val="006C641F"/>
    <w:pPr>
      <w:tabs>
        <w:tab w:val="left" w:pos="1852"/>
      </w:tabs>
      <w:ind w:left="926" w:hanging="360"/>
    </w:pPr>
  </w:style>
  <w:style w:type="paragraph" w:customStyle="1" w:styleId="Listaconvietas41">
    <w:name w:val="Lista con viñetas 41"/>
    <w:basedOn w:val="Standard"/>
    <w:qFormat/>
    <w:rsid w:val="006C641F"/>
    <w:pPr>
      <w:tabs>
        <w:tab w:val="left" w:pos="2418"/>
      </w:tabs>
      <w:ind w:left="1209" w:hanging="360"/>
    </w:pPr>
  </w:style>
  <w:style w:type="paragraph" w:customStyle="1" w:styleId="Listaconvietas51">
    <w:name w:val="Lista con viñetas 51"/>
    <w:basedOn w:val="Standard"/>
    <w:qFormat/>
    <w:rsid w:val="006C641F"/>
    <w:pPr>
      <w:tabs>
        <w:tab w:val="left" w:pos="2984"/>
      </w:tabs>
      <w:ind w:left="1492" w:hanging="360"/>
    </w:pPr>
  </w:style>
  <w:style w:type="paragraph" w:styleId="EnvelopeReturn">
    <w:name w:val="envelope return"/>
    <w:basedOn w:val="Standard"/>
    <w:qFormat/>
    <w:rsid w:val="006C641F"/>
    <w:rPr>
      <w:szCs w:val="20"/>
    </w:rPr>
  </w:style>
  <w:style w:type="paragraph" w:customStyle="1" w:styleId="Saludo1">
    <w:name w:val="Saludo1"/>
    <w:basedOn w:val="Standard"/>
    <w:next w:val="Standard"/>
    <w:qFormat/>
    <w:rsid w:val="006C641F"/>
  </w:style>
  <w:style w:type="paragraph" w:customStyle="1" w:styleId="Int-ExigenciaCTE">
    <w:name w:val="Int-ExigenciaCTE"/>
    <w:qFormat/>
    <w:rsid w:val="006C641F"/>
    <w:pPr>
      <w:keepNext/>
      <w:spacing w:before="200" w:after="100"/>
    </w:pPr>
    <w:rPr>
      <w:rFonts w:ascii="Arial" w:eastAsia="Arial" w:hAnsi="Arial"/>
      <w:b/>
      <w:color w:val="00000A"/>
      <w:kern w:val="2"/>
      <w:szCs w:val="24"/>
      <w:lang w:eastAsia="ar-SA"/>
    </w:rPr>
  </w:style>
  <w:style w:type="paragraph" w:customStyle="1" w:styleId="Int-textoCTE">
    <w:name w:val="Int-textoCTE"/>
    <w:basedOn w:val="Standard"/>
    <w:qFormat/>
    <w:rsid w:val="006C641F"/>
    <w:pPr>
      <w:spacing w:before="200" w:after="100"/>
    </w:pPr>
  </w:style>
  <w:style w:type="paragraph" w:customStyle="1" w:styleId="Oculto">
    <w:name w:val="Oculto"/>
    <w:basedOn w:val="Standard"/>
    <w:qFormat/>
    <w:rsid w:val="006C641F"/>
    <w:pPr>
      <w:spacing w:before="60" w:after="60"/>
      <w:ind w:left="1531"/>
    </w:pPr>
    <w:rPr>
      <w:vanish/>
      <w:color w:val="0000FF"/>
      <w:sz w:val="16"/>
      <w:szCs w:val="16"/>
    </w:rPr>
  </w:style>
  <w:style w:type="paragraph" w:customStyle="1" w:styleId="NumeracionCTE">
    <w:name w:val="NumeracionCTE"/>
    <w:basedOn w:val="Standard"/>
    <w:qFormat/>
    <w:rsid w:val="006C641F"/>
    <w:pPr>
      <w:spacing w:before="60" w:after="60"/>
      <w:ind w:left="357" w:hanging="357"/>
    </w:pPr>
  </w:style>
  <w:style w:type="paragraph" w:customStyle="1" w:styleId="Ttulo2CTE">
    <w:name w:val="Título2CTE"/>
    <w:basedOn w:val="Heading2"/>
    <w:qFormat/>
    <w:rsid w:val="006C641F"/>
    <w:pPr>
      <w:widowControl w:val="0"/>
      <w:suppressAutoHyphens/>
      <w:spacing w:before="300" w:after="100" w:line="240" w:lineRule="auto"/>
      <w:jc w:val="left"/>
      <w:textAlignment w:val="baseline"/>
    </w:pPr>
    <w:rPr>
      <w:rFonts w:ascii="Liberation Sans" w:eastAsia="Noto Sans CJK SC Regular" w:hAnsi="Liberation Sans" w:cs="FreeSans"/>
      <w:i w:val="0"/>
      <w:iCs w:val="0"/>
      <w:kern w:val="2"/>
      <w:sz w:val="24"/>
      <w:lang w:eastAsia="zh-CN" w:bidi="hi-IN"/>
    </w:rPr>
  </w:style>
  <w:style w:type="paragraph" w:customStyle="1" w:styleId="Anejo-Ttulo4CTE">
    <w:name w:val="Anejo-Título4CTE"/>
    <w:basedOn w:val="Standard"/>
    <w:next w:val="Standard"/>
    <w:qFormat/>
    <w:rsid w:val="006C641F"/>
    <w:pPr>
      <w:keepNext/>
      <w:tabs>
        <w:tab w:val="left" w:pos="907"/>
      </w:tabs>
      <w:spacing w:before="200" w:after="100"/>
    </w:pPr>
    <w:rPr>
      <w:b/>
    </w:rPr>
  </w:style>
  <w:style w:type="paragraph" w:customStyle="1" w:styleId="Anejo-DefinicionCTE">
    <w:name w:val="Anejo-DefinicionCTE"/>
    <w:basedOn w:val="Heading2"/>
    <w:qFormat/>
    <w:rsid w:val="006C641F"/>
    <w:pPr>
      <w:widowControl w:val="0"/>
      <w:suppressAutoHyphens/>
      <w:spacing w:before="300" w:after="100" w:line="240" w:lineRule="auto"/>
      <w:jc w:val="left"/>
      <w:textAlignment w:val="baseline"/>
    </w:pPr>
    <w:rPr>
      <w:rFonts w:ascii="Liberation Sans" w:eastAsia="Noto Sans CJK SC Regular" w:hAnsi="Liberation Sans" w:cs="FreeSans"/>
      <w:kern w:val="2"/>
      <w:lang w:eastAsia="zh-CN" w:bidi="hi-IN"/>
    </w:rPr>
  </w:style>
  <w:style w:type="paragraph" w:customStyle="1" w:styleId="tabla-TituloCTE">
    <w:name w:val="tabla-TituloCTE"/>
    <w:basedOn w:val="Standard"/>
    <w:next w:val="Standard"/>
    <w:qFormat/>
    <w:rsid w:val="006C641F"/>
    <w:pPr>
      <w:keepNext/>
      <w:spacing w:before="200" w:after="60"/>
      <w:jc w:val="center"/>
    </w:pPr>
    <w:rPr>
      <w:b/>
      <w:sz w:val="18"/>
    </w:rPr>
  </w:style>
  <w:style w:type="paragraph" w:customStyle="1" w:styleId="figura-pieCTE">
    <w:name w:val="figura-pieCTE"/>
    <w:basedOn w:val="Standard"/>
    <w:qFormat/>
    <w:rsid w:val="006C641F"/>
    <w:pPr>
      <w:tabs>
        <w:tab w:val="left" w:pos="1122"/>
        <w:tab w:val="left" w:pos="1309"/>
      </w:tabs>
      <w:spacing w:before="100" w:after="200"/>
      <w:jc w:val="center"/>
    </w:pPr>
    <w:rPr>
      <w:b/>
      <w:bCs/>
      <w:sz w:val="18"/>
    </w:rPr>
  </w:style>
  <w:style w:type="paragraph" w:customStyle="1" w:styleId="Int-TituloCTE">
    <w:name w:val="Int-TituloCTE"/>
    <w:qFormat/>
    <w:rsid w:val="006C641F"/>
    <w:pPr>
      <w:keepNext/>
    </w:pPr>
    <w:rPr>
      <w:rFonts w:ascii="Arial" w:eastAsia="Arial" w:hAnsi="Arial"/>
      <w:b/>
      <w:bCs/>
      <w:color w:val="00000A"/>
      <w:kern w:val="2"/>
      <w:sz w:val="36"/>
      <w:szCs w:val="24"/>
      <w:lang w:eastAsia="ar-SA"/>
    </w:rPr>
  </w:style>
  <w:style w:type="paragraph" w:customStyle="1" w:styleId="Int-Titulo1CTE">
    <w:name w:val="Int-Titulo1CTE"/>
    <w:basedOn w:val="Ttulo1CTE"/>
    <w:qFormat/>
    <w:rsid w:val="006C641F"/>
    <w:pPr>
      <w:widowControl w:val="0"/>
      <w:tabs>
        <w:tab w:val="left" w:pos="0"/>
      </w:tabs>
      <w:suppressAutoHyphens/>
      <w:spacing w:before="500" w:after="100"/>
      <w:jc w:val="left"/>
      <w:textAlignment w:val="baseline"/>
      <w:outlineLvl w:val="1"/>
    </w:pPr>
    <w:rPr>
      <w:rFonts w:ascii="Liberation Sans" w:eastAsia="Noto Sans CJK SC Regular" w:hAnsi="Liberation Sans" w:cs="FreeSans"/>
      <w:bCs w:val="0"/>
      <w:kern w:val="2"/>
      <w:szCs w:val="28"/>
      <w:lang w:eastAsia="zh-CN" w:bidi="hi-IN"/>
    </w:rPr>
  </w:style>
  <w:style w:type="paragraph" w:customStyle="1" w:styleId="tabla-textoCTE">
    <w:name w:val="tabla-textoCTE"/>
    <w:qFormat/>
    <w:rsid w:val="006C641F"/>
    <w:pPr>
      <w:spacing w:before="60" w:after="60"/>
      <w:jc w:val="center"/>
    </w:pPr>
    <w:rPr>
      <w:rFonts w:ascii="Arial" w:eastAsia="Arial" w:hAnsi="Arial"/>
      <w:color w:val="00000A"/>
      <w:kern w:val="2"/>
      <w:sz w:val="18"/>
      <w:szCs w:val="24"/>
      <w:lang w:eastAsia="ar-SA"/>
    </w:rPr>
  </w:style>
  <w:style w:type="paragraph" w:customStyle="1" w:styleId="figuraCTE">
    <w:name w:val="figuraCTE"/>
    <w:basedOn w:val="Standard"/>
    <w:qFormat/>
    <w:rsid w:val="006C641F"/>
    <w:pPr>
      <w:keepNext/>
      <w:jc w:val="center"/>
    </w:pPr>
  </w:style>
  <w:style w:type="paragraph" w:customStyle="1" w:styleId="Anejo-Titulo3CTE">
    <w:name w:val="Anejo-Titulo3CTE"/>
    <w:basedOn w:val="Standard"/>
    <w:qFormat/>
    <w:rsid w:val="006C641F"/>
    <w:pPr>
      <w:keepNext/>
      <w:tabs>
        <w:tab w:val="left" w:pos="0"/>
      </w:tabs>
      <w:spacing w:before="200" w:after="100"/>
    </w:pPr>
    <w:rPr>
      <w:b/>
      <w:bCs/>
      <w:color w:val="000000"/>
    </w:rPr>
  </w:style>
  <w:style w:type="paragraph" w:customStyle="1" w:styleId="Anejo-Titulo1CTE">
    <w:name w:val="Anejo-Titulo1CTE"/>
    <w:basedOn w:val="Ttulo1CTE"/>
    <w:qFormat/>
    <w:rsid w:val="006C641F"/>
    <w:pPr>
      <w:widowControl w:val="0"/>
      <w:tabs>
        <w:tab w:val="left" w:pos="0"/>
      </w:tabs>
      <w:suppressAutoHyphens/>
      <w:spacing w:before="500" w:after="100"/>
      <w:jc w:val="left"/>
      <w:textAlignment w:val="baseline"/>
      <w:outlineLvl w:val="1"/>
    </w:pPr>
    <w:rPr>
      <w:rFonts w:ascii="Liberation Sans" w:eastAsia="Noto Sans CJK SC Regular" w:hAnsi="Liberation Sans" w:cs="FreeSans"/>
      <w:kern w:val="2"/>
      <w:szCs w:val="28"/>
      <w:lang w:eastAsia="zh-CN" w:bidi="hi-IN"/>
    </w:rPr>
  </w:style>
  <w:style w:type="paragraph" w:customStyle="1" w:styleId="Anejo-Titulo2CTE">
    <w:name w:val="Anejo-Titulo2CTE"/>
    <w:basedOn w:val="Ttulo2CTE"/>
    <w:qFormat/>
    <w:rsid w:val="006C641F"/>
  </w:style>
  <w:style w:type="paragraph" w:customStyle="1" w:styleId="Tabla-notaCTE">
    <w:name w:val="Tabla-notaCTE"/>
    <w:basedOn w:val="Standard"/>
    <w:qFormat/>
    <w:rsid w:val="006C641F"/>
    <w:pPr>
      <w:spacing w:before="60"/>
      <w:ind w:left="601" w:right="6" w:hanging="233"/>
    </w:pPr>
    <w:rPr>
      <w:sz w:val="16"/>
    </w:rPr>
  </w:style>
  <w:style w:type="paragraph" w:customStyle="1" w:styleId="EstiloNumeracinCTEIzquierda125cmPrimeralnea0cmCu">
    <w:name w:val="Estilo NumeraciónCTE + Izquierda:  125 cm Primera línea:  0 cm Cu..."/>
    <w:basedOn w:val="NumeracinCTE"/>
    <w:qFormat/>
    <w:rsid w:val="006C641F"/>
    <w:pPr>
      <w:pBdr>
        <w:top w:val="single" w:sz="4" w:space="1" w:color="000001"/>
        <w:left w:val="single" w:sz="4" w:space="4" w:color="000001"/>
        <w:bottom w:val="single" w:sz="4" w:space="1" w:color="000001"/>
        <w:right w:val="single" w:sz="4" w:space="4" w:color="000001"/>
      </w:pBdr>
      <w:tabs>
        <w:tab w:val="left" w:pos="908"/>
      </w:tabs>
      <w:ind w:left="454" w:hanging="454"/>
    </w:pPr>
    <w:rPr>
      <w:rFonts w:cs="Times New Roman"/>
      <w:color w:val="808080"/>
    </w:rPr>
  </w:style>
  <w:style w:type="paragraph" w:customStyle="1" w:styleId="pieformula">
    <w:name w:val="pie formula"/>
    <w:basedOn w:val="Standard"/>
    <w:qFormat/>
    <w:rsid w:val="006C641F"/>
    <w:pPr>
      <w:widowControl w:val="0"/>
      <w:jc w:val="center"/>
    </w:pPr>
    <w:rPr>
      <w:rFonts w:eastAsia="Droid Sans Fallback"/>
      <w:sz w:val="18"/>
      <w:lang w:eastAsia="hi-IN"/>
    </w:rPr>
  </w:style>
  <w:style w:type="paragraph" w:customStyle="1" w:styleId="Encabezado3">
    <w:name w:val="Encabezado3"/>
    <w:basedOn w:val="Standard"/>
    <w:qFormat/>
    <w:rsid w:val="006C641F"/>
    <w:pPr>
      <w:keepNext/>
      <w:widowControl w:val="0"/>
      <w:spacing w:before="240" w:after="120"/>
    </w:pPr>
    <w:rPr>
      <w:rFonts w:ascii="Liberation Sans" w:eastAsia="DejaVu Sans" w:hAnsi="Liberation Sans" w:cs="Lohit Hindi"/>
      <w:sz w:val="28"/>
      <w:szCs w:val="28"/>
      <w:lang w:eastAsia="hi-IN"/>
    </w:rPr>
  </w:style>
  <w:style w:type="paragraph" w:customStyle="1" w:styleId="piefiguratablafrmula">
    <w:name w:val="pie figura/tabla/fórmula"/>
    <w:basedOn w:val="Standard"/>
    <w:qFormat/>
    <w:rsid w:val="006C641F"/>
    <w:pPr>
      <w:tabs>
        <w:tab w:val="left" w:pos="1122"/>
        <w:tab w:val="left" w:pos="1309"/>
      </w:tabs>
      <w:jc w:val="center"/>
    </w:pPr>
    <w:rPr>
      <w:b/>
      <w:bCs/>
      <w:sz w:val="18"/>
    </w:rPr>
  </w:style>
  <w:style w:type="paragraph" w:customStyle="1" w:styleId="Encabezado6">
    <w:name w:val="Encabezado6"/>
    <w:basedOn w:val="Standard"/>
    <w:qFormat/>
    <w:rsid w:val="006C641F"/>
    <w:pPr>
      <w:keepNext/>
      <w:widowControl w:val="0"/>
      <w:spacing w:before="240" w:after="120"/>
    </w:pPr>
    <w:rPr>
      <w:rFonts w:ascii="Liberation Sans" w:eastAsia="DejaVu Sans" w:hAnsi="Liberation Sans" w:cs="Lohit Hindi"/>
      <w:sz w:val="28"/>
      <w:szCs w:val="28"/>
      <w:lang w:eastAsia="hi-IN"/>
    </w:rPr>
  </w:style>
  <w:style w:type="paragraph" w:customStyle="1" w:styleId="Encabezado5">
    <w:name w:val="Encabezado5"/>
    <w:basedOn w:val="Standard"/>
    <w:qFormat/>
    <w:rsid w:val="006C641F"/>
    <w:pPr>
      <w:keepNext/>
      <w:widowControl w:val="0"/>
      <w:spacing w:before="240" w:after="120"/>
    </w:pPr>
    <w:rPr>
      <w:rFonts w:ascii="Liberation Sans" w:eastAsia="DejaVu Sans" w:hAnsi="Liberation Sans" w:cs="Lohit Hindi"/>
      <w:sz w:val="28"/>
      <w:szCs w:val="28"/>
      <w:lang w:eastAsia="hi-IN"/>
    </w:rPr>
  </w:style>
  <w:style w:type="paragraph" w:customStyle="1" w:styleId="Encabezado4">
    <w:name w:val="Encabezado4"/>
    <w:basedOn w:val="Standard"/>
    <w:qFormat/>
    <w:rsid w:val="006C641F"/>
    <w:pPr>
      <w:keepNext/>
      <w:widowControl w:val="0"/>
      <w:spacing w:before="240" w:after="120"/>
    </w:pPr>
    <w:rPr>
      <w:rFonts w:eastAsia="AR PL UMing HK" w:cs="Lohit Hindi"/>
      <w:sz w:val="28"/>
      <w:szCs w:val="28"/>
      <w:lang w:eastAsia="hi-IN"/>
    </w:rPr>
  </w:style>
  <w:style w:type="paragraph" w:customStyle="1" w:styleId="Encabezado2">
    <w:name w:val="Encabezado2"/>
    <w:basedOn w:val="Standard"/>
    <w:qFormat/>
    <w:rsid w:val="006C641F"/>
    <w:pPr>
      <w:keepNext/>
      <w:widowControl w:val="0"/>
      <w:spacing w:before="240" w:after="120"/>
    </w:pPr>
    <w:rPr>
      <w:rFonts w:eastAsia="AR PL UMing HK" w:cs="Lohit Hindi"/>
      <w:sz w:val="28"/>
      <w:szCs w:val="28"/>
      <w:lang w:eastAsia="hi-IN"/>
    </w:rPr>
  </w:style>
  <w:style w:type="paragraph" w:customStyle="1" w:styleId="Encabezado1">
    <w:name w:val="Encabezado1"/>
    <w:basedOn w:val="Standard"/>
    <w:qFormat/>
    <w:rsid w:val="006C641F"/>
    <w:pPr>
      <w:keepNext/>
      <w:widowControl w:val="0"/>
      <w:spacing w:before="240" w:after="120"/>
    </w:pPr>
    <w:rPr>
      <w:rFonts w:ascii="Liberation Sans" w:eastAsia="DejaVu Sans" w:hAnsi="Liberation Sans" w:cs="Lohit Hindi"/>
      <w:sz w:val="28"/>
      <w:szCs w:val="28"/>
      <w:lang w:eastAsia="hi-IN"/>
    </w:rPr>
  </w:style>
  <w:style w:type="paragraph" w:customStyle="1" w:styleId="Contenidodelmarco">
    <w:name w:val="Contenido del marco"/>
    <w:basedOn w:val="TextBody0"/>
    <w:qFormat/>
    <w:rsid w:val="006C641F"/>
    <w:pPr>
      <w:widowControl w:val="0"/>
    </w:pPr>
    <w:rPr>
      <w:rFonts w:eastAsia="DejaVu Sans" w:cs="Lohit Hindi"/>
      <w:lang w:eastAsia="hi-IN"/>
    </w:rPr>
  </w:style>
  <w:style w:type="paragraph" w:customStyle="1" w:styleId="Contenidodelatabla">
    <w:name w:val="Contenido de la tabla"/>
    <w:basedOn w:val="Normal"/>
    <w:qFormat/>
    <w:rsid w:val="006C641F"/>
    <w:pPr>
      <w:widowControl w:val="0"/>
      <w:suppressLineNumbers/>
      <w:suppressAutoHyphens/>
      <w:spacing w:line="259" w:lineRule="auto"/>
      <w:contextualSpacing/>
    </w:pPr>
    <w:rPr>
      <w:rFonts w:ascii="Arial" w:eastAsia="DejaVu Sans" w:hAnsi="Arial" w:cs="Lohit Hindi"/>
      <w:sz w:val="22"/>
      <w:lang w:eastAsia="hi-IN" w:bidi="hi-IN"/>
    </w:rPr>
  </w:style>
  <w:style w:type="paragraph" w:customStyle="1" w:styleId="Ttulodelatabla">
    <w:name w:val="Título de la tabla"/>
    <w:basedOn w:val="Contenidodelatabla"/>
    <w:qFormat/>
    <w:rsid w:val="006C641F"/>
    <w:pPr>
      <w:jc w:val="center"/>
    </w:pPr>
    <w:rPr>
      <w:b/>
      <w:bCs/>
    </w:rPr>
  </w:style>
  <w:style w:type="paragraph" w:customStyle="1" w:styleId="Textocomentario1">
    <w:name w:val="Texto comentario1"/>
    <w:basedOn w:val="Standard"/>
    <w:qFormat/>
    <w:rsid w:val="006C641F"/>
    <w:rPr>
      <w:rFonts w:ascii="Times New Roman" w:eastAsia="Times New Roman" w:hAnsi="Times New Roman" w:cs="Times New Roman"/>
      <w:szCs w:val="20"/>
    </w:rPr>
  </w:style>
  <w:style w:type="paragraph" w:customStyle="1" w:styleId="Textocomentario2">
    <w:name w:val="Texto comentario2"/>
    <w:basedOn w:val="Standard"/>
    <w:qFormat/>
    <w:rsid w:val="006C641F"/>
    <w:pPr>
      <w:widowControl w:val="0"/>
    </w:pPr>
    <w:rPr>
      <w:rFonts w:eastAsia="DejaVu Sans" w:cs="Lohit Hindi"/>
      <w:szCs w:val="20"/>
      <w:lang w:eastAsia="hi-IN"/>
    </w:rPr>
  </w:style>
  <w:style w:type="paragraph" w:customStyle="1" w:styleId="ndicel10">
    <w:name w:val="Índicel 10"/>
    <w:basedOn w:val="ndice"/>
    <w:qFormat/>
    <w:rsid w:val="006C641F"/>
    <w:pPr>
      <w:tabs>
        <w:tab w:val="right" w:leader="dot" w:pos="9638"/>
      </w:tabs>
      <w:ind w:left="2547"/>
    </w:pPr>
  </w:style>
  <w:style w:type="paragraph" w:customStyle="1" w:styleId="Textocomentario4">
    <w:name w:val="Texto comentario4"/>
    <w:basedOn w:val="Standard"/>
    <w:qFormat/>
    <w:rsid w:val="006C641F"/>
    <w:rPr>
      <w:szCs w:val="20"/>
    </w:rPr>
  </w:style>
  <w:style w:type="paragraph" w:styleId="Revision">
    <w:name w:val="Revision"/>
    <w:uiPriority w:val="99"/>
    <w:qFormat/>
    <w:rsid w:val="006C641F"/>
    <w:rPr>
      <w:rFonts w:ascii="Arial" w:hAnsi="Arial"/>
      <w:color w:val="00000A"/>
      <w:kern w:val="2"/>
      <w:szCs w:val="24"/>
      <w:lang w:eastAsia="ar-SA"/>
    </w:rPr>
  </w:style>
  <w:style w:type="paragraph" w:customStyle="1" w:styleId="EstiloCTETabla-notaIzquierdaIzquierda0cm">
    <w:name w:val="Estilo CTE_Tabla-nota + Izquierda Izquierda:  0 cm"/>
    <w:basedOn w:val="CTETabla-nota"/>
    <w:qFormat/>
    <w:rsid w:val="006C641F"/>
    <w:pPr>
      <w:spacing w:before="120"/>
      <w:ind w:left="0" w:firstLine="0"/>
    </w:pPr>
    <w:rPr>
      <w:szCs w:val="20"/>
    </w:rPr>
  </w:style>
  <w:style w:type="paragraph" w:customStyle="1" w:styleId="Prrafodelista1">
    <w:name w:val="Párrafo de lista1"/>
    <w:basedOn w:val="Standard"/>
    <w:qFormat/>
    <w:rsid w:val="006C641F"/>
    <w:pPr>
      <w:ind w:left="720"/>
    </w:pPr>
    <w:rPr>
      <w:rFonts w:ascii="Times New Roman" w:eastAsia="Calibri" w:hAnsi="Times New Roman" w:cs="Calibri"/>
      <w:sz w:val="24"/>
    </w:rPr>
  </w:style>
  <w:style w:type="paragraph" w:styleId="PlainText">
    <w:name w:val="Plain Text"/>
    <w:basedOn w:val="Standard"/>
    <w:link w:val="PlainTextChar"/>
    <w:uiPriority w:val="99"/>
    <w:qFormat/>
    <w:rsid w:val="006C641F"/>
    <w:rPr>
      <w:rFonts w:ascii="Consolas" w:eastAsia="Consolas" w:hAnsi="Consolas" w:cs="Consolas"/>
      <w:szCs w:val="20"/>
      <w:lang w:eastAsia="es-ES"/>
    </w:rPr>
  </w:style>
  <w:style w:type="character" w:customStyle="1" w:styleId="PlainTextChar">
    <w:name w:val="Plain Text Char"/>
    <w:link w:val="PlainText"/>
    <w:uiPriority w:val="99"/>
    <w:rsid w:val="006C641F"/>
    <w:rPr>
      <w:rFonts w:ascii="Consolas" w:eastAsia="Consolas" w:hAnsi="Consolas" w:cs="Consolas"/>
      <w:kern w:val="2"/>
      <w:sz w:val="22"/>
      <w:lang w:bidi="hi-IN"/>
    </w:rPr>
  </w:style>
  <w:style w:type="paragraph" w:customStyle="1" w:styleId="FrameContents">
    <w:name w:val="Frame Contents"/>
    <w:basedOn w:val="Standard"/>
    <w:qFormat/>
    <w:rsid w:val="006C641F"/>
  </w:style>
  <w:style w:type="paragraph" w:customStyle="1" w:styleId="Ttulo4CTE">
    <w:name w:val="Título4CTE"/>
    <w:basedOn w:val="Standard"/>
    <w:next w:val="Standard"/>
    <w:qFormat/>
    <w:rsid w:val="006C641F"/>
    <w:pPr>
      <w:keepNext/>
      <w:spacing w:before="200" w:after="80"/>
    </w:pPr>
    <w:rPr>
      <w:b/>
    </w:rPr>
  </w:style>
  <w:style w:type="paragraph" w:customStyle="1" w:styleId="subartculoCTE">
    <w:name w:val="subartículoCTE"/>
    <w:basedOn w:val="Ttulo4CTE"/>
    <w:next w:val="Standard"/>
    <w:qFormat/>
    <w:rsid w:val="006C641F"/>
    <w:pPr>
      <w:spacing w:before="160"/>
    </w:pPr>
  </w:style>
  <w:style w:type="paragraph" w:customStyle="1" w:styleId="ContentsHeading">
    <w:name w:val="Contents Heading"/>
    <w:basedOn w:val="Ttulo1"/>
    <w:qFormat/>
    <w:rsid w:val="006C641F"/>
  </w:style>
  <w:style w:type="paragraph" w:customStyle="1" w:styleId="Textopreformateado">
    <w:name w:val="Texto preformateado"/>
    <w:basedOn w:val="Standard"/>
    <w:qFormat/>
    <w:rsid w:val="006C641F"/>
  </w:style>
  <w:style w:type="paragraph" w:customStyle="1" w:styleId="Lneahorizontal">
    <w:name w:val="Línea horizontal"/>
    <w:basedOn w:val="Standard"/>
    <w:qFormat/>
    <w:rsid w:val="006C641F"/>
  </w:style>
  <w:style w:type="paragraph" w:customStyle="1" w:styleId="western1">
    <w:name w:val="western1"/>
    <w:basedOn w:val="Normal"/>
    <w:qFormat/>
    <w:rsid w:val="006C641F"/>
    <w:pPr>
      <w:spacing w:beforeAutospacing="1" w:line="288" w:lineRule="auto"/>
    </w:pPr>
    <w:rPr>
      <w:rFonts w:ascii="Arial" w:hAnsi="Arial" w:cs="Arial"/>
    </w:rPr>
  </w:style>
  <w:style w:type="paragraph" w:styleId="TOC1">
    <w:name w:val="toc 1"/>
    <w:basedOn w:val="Normal"/>
    <w:next w:val="Normal"/>
    <w:autoRedefine/>
    <w:uiPriority w:val="39"/>
    <w:unhideWhenUsed/>
    <w:rsid w:val="006C641F"/>
    <w:pPr>
      <w:suppressAutoHyphens/>
      <w:spacing w:before="240" w:after="60"/>
      <w:textAlignment w:val="baseline"/>
    </w:pPr>
    <w:rPr>
      <w:rFonts w:ascii="Arial" w:eastAsia="Noto Sans CJK SC Regular" w:hAnsi="Arial" w:cs="Mangal"/>
      <w:b/>
      <w:kern w:val="2"/>
      <w:lang w:eastAsia="zh-CN" w:bidi="hi-IN"/>
    </w:rPr>
  </w:style>
  <w:style w:type="paragraph" w:styleId="TOC2">
    <w:name w:val="toc 2"/>
    <w:basedOn w:val="Normal"/>
    <w:next w:val="Normal"/>
    <w:autoRedefine/>
    <w:uiPriority w:val="39"/>
    <w:unhideWhenUsed/>
    <w:rsid w:val="006C641F"/>
    <w:pPr>
      <w:suppressAutoHyphens/>
      <w:spacing w:after="60"/>
      <w:textAlignment w:val="baseline"/>
    </w:pPr>
    <w:rPr>
      <w:rFonts w:ascii="Arial" w:eastAsia="Noto Sans CJK SC Regular" w:hAnsi="Arial" w:cs="Mangal"/>
      <w:b/>
      <w:kern w:val="2"/>
      <w:sz w:val="22"/>
      <w:lang w:eastAsia="zh-CN" w:bidi="hi-IN"/>
    </w:rPr>
  </w:style>
  <w:style w:type="paragraph" w:styleId="TOC3">
    <w:name w:val="toc 3"/>
    <w:basedOn w:val="Normal"/>
    <w:next w:val="Normal"/>
    <w:autoRedefine/>
    <w:uiPriority w:val="39"/>
    <w:unhideWhenUsed/>
    <w:rsid w:val="006C641F"/>
    <w:pPr>
      <w:suppressAutoHyphens/>
      <w:spacing w:after="60"/>
      <w:ind w:left="680"/>
      <w:textAlignment w:val="baseline"/>
    </w:pPr>
    <w:rPr>
      <w:rFonts w:ascii="Arial" w:eastAsia="Noto Sans CJK SC Regular" w:hAnsi="Arial" w:cs="Mangal"/>
      <w:kern w:val="2"/>
      <w:sz w:val="22"/>
      <w:lang w:eastAsia="zh-CN" w:bidi="hi-IN"/>
    </w:rPr>
  </w:style>
  <w:style w:type="paragraph" w:styleId="TOC4">
    <w:name w:val="toc 4"/>
    <w:basedOn w:val="Normal"/>
    <w:next w:val="Normal"/>
    <w:autoRedefine/>
    <w:uiPriority w:val="39"/>
    <w:unhideWhenUsed/>
    <w:rsid w:val="006C641F"/>
    <w:pPr>
      <w:spacing w:after="100" w:line="259" w:lineRule="auto"/>
      <w:ind w:left="660"/>
    </w:pPr>
    <w:rPr>
      <w:rFonts w:ascii="Calibri" w:eastAsia="Calibri" w:hAnsi="Calibri" w:cs="Calibri"/>
      <w:sz w:val="22"/>
      <w:szCs w:val="22"/>
    </w:rPr>
  </w:style>
  <w:style w:type="paragraph" w:styleId="TOC5">
    <w:name w:val="toc 5"/>
    <w:basedOn w:val="Normal"/>
    <w:next w:val="Normal"/>
    <w:autoRedefine/>
    <w:uiPriority w:val="39"/>
    <w:unhideWhenUsed/>
    <w:rsid w:val="006C641F"/>
    <w:pPr>
      <w:spacing w:after="100" w:line="259" w:lineRule="auto"/>
      <w:ind w:left="880"/>
    </w:pPr>
    <w:rPr>
      <w:rFonts w:ascii="Calibri" w:eastAsia="Calibri" w:hAnsi="Calibri" w:cs="Calibri"/>
      <w:sz w:val="22"/>
      <w:szCs w:val="22"/>
    </w:rPr>
  </w:style>
  <w:style w:type="paragraph" w:styleId="TOC6">
    <w:name w:val="toc 6"/>
    <w:basedOn w:val="Normal"/>
    <w:next w:val="Normal"/>
    <w:autoRedefine/>
    <w:uiPriority w:val="39"/>
    <w:unhideWhenUsed/>
    <w:rsid w:val="006C641F"/>
    <w:pPr>
      <w:spacing w:after="100" w:line="259" w:lineRule="auto"/>
      <w:ind w:left="1100"/>
    </w:pPr>
    <w:rPr>
      <w:rFonts w:ascii="Calibri" w:eastAsia="Calibri" w:hAnsi="Calibri" w:cs="Calibri"/>
      <w:sz w:val="22"/>
      <w:szCs w:val="22"/>
    </w:rPr>
  </w:style>
  <w:style w:type="paragraph" w:styleId="TOC7">
    <w:name w:val="toc 7"/>
    <w:basedOn w:val="Normal"/>
    <w:next w:val="Normal"/>
    <w:autoRedefine/>
    <w:uiPriority w:val="39"/>
    <w:unhideWhenUsed/>
    <w:rsid w:val="006C641F"/>
    <w:pPr>
      <w:spacing w:after="100" w:line="259" w:lineRule="auto"/>
      <w:ind w:left="1320"/>
    </w:pPr>
    <w:rPr>
      <w:rFonts w:ascii="Calibri" w:eastAsia="Calibri" w:hAnsi="Calibri" w:cs="Calibri"/>
      <w:sz w:val="22"/>
      <w:szCs w:val="22"/>
    </w:rPr>
  </w:style>
  <w:style w:type="paragraph" w:styleId="TOC8">
    <w:name w:val="toc 8"/>
    <w:basedOn w:val="Normal"/>
    <w:next w:val="Normal"/>
    <w:autoRedefine/>
    <w:uiPriority w:val="39"/>
    <w:unhideWhenUsed/>
    <w:rsid w:val="006C641F"/>
    <w:pPr>
      <w:spacing w:after="100" w:line="259" w:lineRule="auto"/>
      <w:ind w:left="1540"/>
    </w:pPr>
    <w:rPr>
      <w:rFonts w:ascii="Calibri" w:eastAsia="Calibri" w:hAnsi="Calibri" w:cs="Calibri"/>
      <w:sz w:val="22"/>
      <w:szCs w:val="22"/>
    </w:rPr>
  </w:style>
  <w:style w:type="paragraph" w:styleId="TOC9">
    <w:name w:val="toc 9"/>
    <w:basedOn w:val="Normal"/>
    <w:next w:val="Normal"/>
    <w:autoRedefine/>
    <w:uiPriority w:val="39"/>
    <w:unhideWhenUsed/>
    <w:rsid w:val="006C641F"/>
    <w:pPr>
      <w:spacing w:after="100" w:line="259" w:lineRule="auto"/>
      <w:ind w:left="1760"/>
    </w:pPr>
    <w:rPr>
      <w:rFonts w:ascii="Calibri" w:eastAsia="Calibri" w:hAnsi="Calibri" w:cs="Calibri"/>
      <w:sz w:val="22"/>
      <w:szCs w:val="22"/>
    </w:rPr>
  </w:style>
  <w:style w:type="paragraph" w:styleId="DocumentMap">
    <w:name w:val="Document Map"/>
    <w:basedOn w:val="Normal"/>
    <w:link w:val="DocumentMapChar"/>
    <w:rsid w:val="00431690"/>
    <w:pPr>
      <w:shd w:val="clear" w:color="auto" w:fill="000080"/>
      <w:jc w:val="both"/>
    </w:pPr>
    <w:rPr>
      <w:rFonts w:ascii="Tahoma" w:hAnsi="Tahoma" w:cs="Tahoma"/>
      <w:sz w:val="20"/>
      <w:szCs w:val="20"/>
    </w:rPr>
  </w:style>
  <w:style w:type="character" w:customStyle="1" w:styleId="DocumentMapChar">
    <w:name w:val="Document Map Char"/>
    <w:link w:val="DocumentMap"/>
    <w:rsid w:val="00431690"/>
    <w:rPr>
      <w:rFonts w:ascii="Tahoma" w:hAnsi="Tahoma" w:cs="Tahoma"/>
      <w:shd w:val="clear" w:color="auto" w:fill="000080"/>
    </w:rPr>
  </w:style>
  <w:style w:type="paragraph" w:styleId="TableofFigures">
    <w:name w:val="table of figures"/>
    <w:basedOn w:val="Normal"/>
    <w:next w:val="Normal"/>
    <w:rsid w:val="00431690"/>
    <w:pPr>
      <w:tabs>
        <w:tab w:val="right" w:leader="dot" w:pos="9355"/>
      </w:tabs>
      <w:ind w:left="403" w:hanging="403"/>
    </w:pPr>
    <w:rPr>
      <w:sz w:val="20"/>
    </w:rPr>
  </w:style>
  <w:style w:type="paragraph" w:styleId="Index4">
    <w:name w:val="index 4"/>
    <w:basedOn w:val="Normal"/>
    <w:next w:val="Normal"/>
    <w:autoRedefine/>
    <w:rsid w:val="00431690"/>
    <w:pPr>
      <w:ind w:left="800" w:hanging="200"/>
      <w:jc w:val="both"/>
    </w:pPr>
    <w:rPr>
      <w:rFonts w:ascii="Arial" w:hAnsi="Arial"/>
      <w:sz w:val="20"/>
    </w:rPr>
  </w:style>
  <w:style w:type="paragraph" w:styleId="Index5">
    <w:name w:val="index 5"/>
    <w:basedOn w:val="Normal"/>
    <w:next w:val="Normal"/>
    <w:autoRedefine/>
    <w:rsid w:val="00431690"/>
    <w:pPr>
      <w:ind w:left="1000" w:hanging="200"/>
      <w:jc w:val="both"/>
    </w:pPr>
    <w:rPr>
      <w:rFonts w:ascii="Arial" w:hAnsi="Arial"/>
      <w:sz w:val="20"/>
    </w:rPr>
  </w:style>
  <w:style w:type="paragraph" w:styleId="Index6">
    <w:name w:val="index 6"/>
    <w:basedOn w:val="Normal"/>
    <w:next w:val="Normal"/>
    <w:autoRedefine/>
    <w:rsid w:val="00431690"/>
    <w:pPr>
      <w:ind w:left="1200" w:hanging="200"/>
      <w:jc w:val="both"/>
    </w:pPr>
    <w:rPr>
      <w:rFonts w:ascii="Arial" w:hAnsi="Arial"/>
      <w:sz w:val="20"/>
    </w:rPr>
  </w:style>
  <w:style w:type="paragraph" w:styleId="Index7">
    <w:name w:val="index 7"/>
    <w:basedOn w:val="Normal"/>
    <w:next w:val="Normal"/>
    <w:autoRedefine/>
    <w:rsid w:val="00431690"/>
    <w:pPr>
      <w:ind w:left="1400" w:hanging="200"/>
      <w:jc w:val="both"/>
    </w:pPr>
    <w:rPr>
      <w:rFonts w:ascii="Arial" w:hAnsi="Arial"/>
      <w:sz w:val="20"/>
    </w:rPr>
  </w:style>
  <w:style w:type="paragraph" w:styleId="Index8">
    <w:name w:val="index 8"/>
    <w:basedOn w:val="Normal"/>
    <w:next w:val="Normal"/>
    <w:autoRedefine/>
    <w:rsid w:val="00431690"/>
    <w:pPr>
      <w:ind w:left="1600" w:hanging="200"/>
      <w:jc w:val="both"/>
    </w:pPr>
    <w:rPr>
      <w:rFonts w:ascii="Arial" w:hAnsi="Arial"/>
      <w:sz w:val="20"/>
    </w:rPr>
  </w:style>
  <w:style w:type="paragraph" w:styleId="Index9">
    <w:name w:val="index 9"/>
    <w:basedOn w:val="Normal"/>
    <w:next w:val="Normal"/>
    <w:autoRedefine/>
    <w:rsid w:val="00431690"/>
    <w:pPr>
      <w:ind w:left="1800" w:hanging="200"/>
      <w:jc w:val="both"/>
    </w:pPr>
    <w:rPr>
      <w:rFonts w:ascii="Arial" w:hAnsi="Arial"/>
      <w:sz w:val="20"/>
    </w:rPr>
  </w:style>
  <w:style w:type="paragraph" w:styleId="NormalIndent">
    <w:name w:val="Normal Indent"/>
    <w:basedOn w:val="Normal"/>
    <w:rsid w:val="00431690"/>
    <w:pPr>
      <w:ind w:left="708"/>
      <w:jc w:val="both"/>
    </w:pPr>
    <w:rPr>
      <w:rFonts w:ascii="Arial" w:hAnsi="Arial"/>
      <w:sz w:val="20"/>
    </w:rPr>
  </w:style>
  <w:style w:type="paragraph" w:styleId="TableofAuthorities">
    <w:name w:val="table of authorities"/>
    <w:basedOn w:val="Normal"/>
    <w:next w:val="Normal"/>
    <w:rsid w:val="00431690"/>
    <w:pPr>
      <w:ind w:left="200" w:hanging="200"/>
      <w:jc w:val="both"/>
    </w:pPr>
    <w:rPr>
      <w:rFonts w:ascii="Arial" w:hAnsi="Arial"/>
      <w:sz w:val="20"/>
    </w:rPr>
  </w:style>
  <w:style w:type="paragraph" w:styleId="BodyTextFirstIndent">
    <w:name w:val="Body Text First Indent"/>
    <w:basedOn w:val="BodyText"/>
    <w:link w:val="BodyTextFirstIndentChar"/>
    <w:rsid w:val="00431690"/>
    <w:pPr>
      <w:spacing w:after="120" w:line="240" w:lineRule="auto"/>
      <w:ind w:firstLine="210"/>
    </w:pPr>
    <w:rPr>
      <w:rFonts w:ascii="Arial" w:hAnsi="Arial"/>
      <w:szCs w:val="24"/>
    </w:rPr>
  </w:style>
  <w:style w:type="character" w:customStyle="1" w:styleId="BodyTextFirstIndentChar">
    <w:name w:val="Body Text First Indent Char"/>
    <w:link w:val="BodyTextFirstIndent"/>
    <w:rsid w:val="00431690"/>
    <w:rPr>
      <w:rFonts w:ascii="Arial" w:hAnsi="Arial"/>
      <w:szCs w:val="24"/>
    </w:rPr>
  </w:style>
  <w:style w:type="paragraph" w:styleId="BodyTextFirstIndent2">
    <w:name w:val="Body Text First Indent 2"/>
    <w:basedOn w:val="BodyTextIndent"/>
    <w:link w:val="BodyTextFirstIndent2Char"/>
    <w:rsid w:val="00431690"/>
    <w:pPr>
      <w:tabs>
        <w:tab w:val="clear" w:pos="284"/>
      </w:tabs>
      <w:spacing w:after="120" w:line="240" w:lineRule="auto"/>
      <w:ind w:left="283" w:firstLine="210"/>
    </w:pPr>
    <w:rPr>
      <w:sz w:val="20"/>
      <w:szCs w:val="24"/>
    </w:rPr>
  </w:style>
  <w:style w:type="character" w:customStyle="1" w:styleId="BodyTextIndentChar">
    <w:name w:val="Body Text Indent Char"/>
    <w:link w:val="BodyTextIndent"/>
    <w:rsid w:val="00431690"/>
    <w:rPr>
      <w:rFonts w:ascii="Arial" w:hAnsi="Arial"/>
      <w:sz w:val="22"/>
    </w:rPr>
  </w:style>
  <w:style w:type="character" w:customStyle="1" w:styleId="BodyTextFirstIndent2Char">
    <w:name w:val="Body Text First Indent 2 Char"/>
    <w:link w:val="BodyTextFirstIndent2"/>
    <w:rsid w:val="00431690"/>
    <w:rPr>
      <w:rFonts w:ascii="Arial" w:hAnsi="Arial"/>
      <w:sz w:val="22"/>
      <w:szCs w:val="24"/>
    </w:rPr>
  </w:style>
  <w:style w:type="paragraph" w:styleId="MacroText">
    <w:name w:val="macro"/>
    <w:link w:val="MacroTextChar"/>
    <w:rsid w:val="00431690"/>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rPr>
  </w:style>
  <w:style w:type="character" w:customStyle="1" w:styleId="MacroTextChar">
    <w:name w:val="Macro Text Char"/>
    <w:link w:val="MacroText"/>
    <w:rsid w:val="00431690"/>
    <w:rPr>
      <w:rFonts w:ascii="Courier New" w:hAnsi="Courier New" w:cs="Courier New"/>
    </w:rPr>
  </w:style>
  <w:style w:type="paragraph" w:styleId="Closing">
    <w:name w:val="Closing"/>
    <w:basedOn w:val="Normal"/>
    <w:link w:val="ClosingChar"/>
    <w:rsid w:val="00431690"/>
    <w:pPr>
      <w:ind w:left="4252"/>
      <w:jc w:val="both"/>
    </w:pPr>
    <w:rPr>
      <w:rFonts w:ascii="Arial" w:hAnsi="Arial"/>
      <w:sz w:val="20"/>
    </w:rPr>
  </w:style>
  <w:style w:type="character" w:customStyle="1" w:styleId="ClosingChar">
    <w:name w:val="Closing Char"/>
    <w:link w:val="Closing"/>
    <w:rsid w:val="00431690"/>
    <w:rPr>
      <w:rFonts w:ascii="Arial" w:hAnsi="Arial"/>
      <w:szCs w:val="24"/>
    </w:rPr>
  </w:style>
  <w:style w:type="paragraph" w:styleId="ListContinue">
    <w:name w:val="List Continue"/>
    <w:basedOn w:val="Normal"/>
    <w:rsid w:val="00431690"/>
    <w:pPr>
      <w:spacing w:after="120"/>
      <w:ind w:left="283"/>
      <w:jc w:val="both"/>
    </w:pPr>
    <w:rPr>
      <w:rFonts w:ascii="Arial" w:hAnsi="Arial"/>
      <w:sz w:val="20"/>
    </w:rPr>
  </w:style>
  <w:style w:type="paragraph" w:styleId="ListContinue2">
    <w:name w:val="List Continue 2"/>
    <w:basedOn w:val="Normal"/>
    <w:rsid w:val="00431690"/>
    <w:pPr>
      <w:spacing w:after="120"/>
      <w:ind w:left="566"/>
      <w:jc w:val="both"/>
    </w:pPr>
    <w:rPr>
      <w:rFonts w:ascii="Arial" w:hAnsi="Arial"/>
      <w:sz w:val="20"/>
    </w:rPr>
  </w:style>
  <w:style w:type="paragraph" w:styleId="ListContinue3">
    <w:name w:val="List Continue 3"/>
    <w:basedOn w:val="Normal"/>
    <w:rsid w:val="00431690"/>
    <w:pPr>
      <w:spacing w:after="120"/>
      <w:ind w:left="849"/>
      <w:jc w:val="both"/>
    </w:pPr>
    <w:rPr>
      <w:rFonts w:ascii="Arial" w:hAnsi="Arial"/>
      <w:sz w:val="20"/>
    </w:rPr>
  </w:style>
  <w:style w:type="paragraph" w:styleId="ListContinue4">
    <w:name w:val="List Continue 4"/>
    <w:basedOn w:val="Normal"/>
    <w:rsid w:val="00431690"/>
    <w:pPr>
      <w:spacing w:after="120"/>
      <w:ind w:left="1132"/>
      <w:jc w:val="both"/>
    </w:pPr>
    <w:rPr>
      <w:rFonts w:ascii="Arial" w:hAnsi="Arial"/>
      <w:sz w:val="20"/>
    </w:rPr>
  </w:style>
  <w:style w:type="paragraph" w:styleId="ListContinue5">
    <w:name w:val="List Continue 5"/>
    <w:basedOn w:val="Normal"/>
    <w:rsid w:val="00431690"/>
    <w:pPr>
      <w:spacing w:after="120"/>
      <w:ind w:left="1415"/>
      <w:jc w:val="both"/>
    </w:pPr>
    <w:rPr>
      <w:rFonts w:ascii="Arial" w:hAnsi="Arial"/>
      <w:sz w:val="20"/>
    </w:rPr>
  </w:style>
  <w:style w:type="paragraph" w:styleId="MessageHeader">
    <w:name w:val="Message Header"/>
    <w:basedOn w:val="Normal"/>
    <w:link w:val="MessageHeaderChar"/>
    <w:rsid w:val="00431690"/>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rPr>
  </w:style>
  <w:style w:type="character" w:customStyle="1" w:styleId="MessageHeaderChar">
    <w:name w:val="Message Header Char"/>
    <w:link w:val="MessageHeader"/>
    <w:rsid w:val="00431690"/>
    <w:rPr>
      <w:rFonts w:ascii="Arial" w:hAnsi="Arial" w:cs="Arial"/>
      <w:sz w:val="24"/>
      <w:szCs w:val="24"/>
      <w:shd w:val="pct20" w:color="auto" w:fill="auto"/>
    </w:rPr>
  </w:style>
  <w:style w:type="paragraph" w:styleId="NoteHeading">
    <w:name w:val="Note Heading"/>
    <w:basedOn w:val="Normal"/>
    <w:next w:val="Normal"/>
    <w:link w:val="NoteHeadingChar"/>
    <w:rsid w:val="00431690"/>
    <w:pPr>
      <w:jc w:val="both"/>
    </w:pPr>
    <w:rPr>
      <w:rFonts w:ascii="Arial" w:hAnsi="Arial"/>
      <w:sz w:val="20"/>
    </w:rPr>
  </w:style>
  <w:style w:type="character" w:customStyle="1" w:styleId="NoteHeadingChar">
    <w:name w:val="Note Heading Char"/>
    <w:link w:val="NoteHeading"/>
    <w:rsid w:val="00431690"/>
    <w:rPr>
      <w:rFonts w:ascii="Arial" w:hAnsi="Arial"/>
      <w:szCs w:val="24"/>
    </w:rPr>
  </w:style>
  <w:style w:type="paragraph" w:styleId="Date">
    <w:name w:val="Date"/>
    <w:basedOn w:val="Normal"/>
    <w:next w:val="Normal"/>
    <w:link w:val="DateChar"/>
    <w:rsid w:val="00431690"/>
    <w:pPr>
      <w:jc w:val="both"/>
    </w:pPr>
    <w:rPr>
      <w:rFonts w:ascii="Arial" w:hAnsi="Arial"/>
      <w:sz w:val="20"/>
    </w:rPr>
  </w:style>
  <w:style w:type="character" w:customStyle="1" w:styleId="DateChar">
    <w:name w:val="Date Char"/>
    <w:link w:val="Date"/>
    <w:rsid w:val="00431690"/>
    <w:rPr>
      <w:rFonts w:ascii="Arial" w:hAnsi="Arial"/>
      <w:szCs w:val="24"/>
    </w:rPr>
  </w:style>
  <w:style w:type="paragraph" w:styleId="List2">
    <w:name w:val="List 2"/>
    <w:basedOn w:val="Normal"/>
    <w:rsid w:val="00431690"/>
    <w:pPr>
      <w:ind w:left="566" w:hanging="283"/>
      <w:jc w:val="both"/>
    </w:pPr>
    <w:rPr>
      <w:rFonts w:ascii="Arial" w:hAnsi="Arial"/>
      <w:sz w:val="20"/>
    </w:rPr>
  </w:style>
  <w:style w:type="paragraph" w:styleId="List3">
    <w:name w:val="List 3"/>
    <w:basedOn w:val="Normal"/>
    <w:rsid w:val="00431690"/>
    <w:pPr>
      <w:ind w:left="849" w:hanging="283"/>
      <w:jc w:val="both"/>
    </w:pPr>
    <w:rPr>
      <w:rFonts w:ascii="Arial" w:hAnsi="Arial"/>
      <w:sz w:val="20"/>
    </w:rPr>
  </w:style>
  <w:style w:type="paragraph" w:styleId="List4">
    <w:name w:val="List 4"/>
    <w:basedOn w:val="Normal"/>
    <w:rsid w:val="00431690"/>
    <w:pPr>
      <w:ind w:left="1132" w:hanging="283"/>
      <w:jc w:val="both"/>
    </w:pPr>
    <w:rPr>
      <w:rFonts w:ascii="Arial" w:hAnsi="Arial"/>
      <w:sz w:val="20"/>
    </w:rPr>
  </w:style>
  <w:style w:type="paragraph" w:styleId="List5">
    <w:name w:val="List 5"/>
    <w:basedOn w:val="Normal"/>
    <w:rsid w:val="00431690"/>
    <w:pPr>
      <w:ind w:left="1415" w:hanging="283"/>
      <w:jc w:val="both"/>
    </w:pPr>
    <w:rPr>
      <w:rFonts w:ascii="Arial" w:hAnsi="Arial"/>
      <w:sz w:val="20"/>
    </w:rPr>
  </w:style>
  <w:style w:type="paragraph" w:styleId="ListNumber">
    <w:name w:val="List Number"/>
    <w:basedOn w:val="Normal"/>
    <w:rsid w:val="00431690"/>
    <w:pPr>
      <w:numPr>
        <w:numId w:val="16"/>
      </w:numPr>
      <w:jc w:val="both"/>
    </w:pPr>
    <w:rPr>
      <w:rFonts w:ascii="Arial" w:hAnsi="Arial"/>
      <w:sz w:val="20"/>
    </w:rPr>
  </w:style>
  <w:style w:type="paragraph" w:styleId="ListNumber2">
    <w:name w:val="List Number 2"/>
    <w:basedOn w:val="Normal"/>
    <w:rsid w:val="00431690"/>
    <w:pPr>
      <w:numPr>
        <w:numId w:val="17"/>
      </w:numPr>
      <w:jc w:val="both"/>
    </w:pPr>
    <w:rPr>
      <w:rFonts w:ascii="Arial" w:hAnsi="Arial"/>
      <w:sz w:val="20"/>
    </w:rPr>
  </w:style>
  <w:style w:type="paragraph" w:styleId="ListNumber3">
    <w:name w:val="List Number 3"/>
    <w:basedOn w:val="Normal"/>
    <w:rsid w:val="00431690"/>
    <w:pPr>
      <w:numPr>
        <w:numId w:val="18"/>
      </w:numPr>
      <w:jc w:val="both"/>
    </w:pPr>
    <w:rPr>
      <w:rFonts w:ascii="Arial" w:hAnsi="Arial"/>
      <w:sz w:val="20"/>
    </w:rPr>
  </w:style>
  <w:style w:type="paragraph" w:styleId="ListNumber4">
    <w:name w:val="List Number 4"/>
    <w:basedOn w:val="Normal"/>
    <w:rsid w:val="00431690"/>
    <w:pPr>
      <w:numPr>
        <w:numId w:val="19"/>
      </w:numPr>
      <w:jc w:val="both"/>
    </w:pPr>
    <w:rPr>
      <w:rFonts w:ascii="Arial" w:hAnsi="Arial"/>
      <w:sz w:val="20"/>
    </w:rPr>
  </w:style>
  <w:style w:type="paragraph" w:styleId="ListNumber5">
    <w:name w:val="List Number 5"/>
    <w:basedOn w:val="Normal"/>
    <w:rsid w:val="00431690"/>
    <w:pPr>
      <w:numPr>
        <w:numId w:val="20"/>
      </w:numPr>
      <w:jc w:val="both"/>
    </w:pPr>
    <w:rPr>
      <w:rFonts w:ascii="Arial" w:hAnsi="Arial"/>
      <w:sz w:val="20"/>
    </w:rPr>
  </w:style>
  <w:style w:type="paragraph" w:styleId="ListBullet">
    <w:name w:val="List Bullet"/>
    <w:basedOn w:val="Normal"/>
    <w:rsid w:val="00431690"/>
    <w:pPr>
      <w:numPr>
        <w:numId w:val="21"/>
      </w:numPr>
      <w:jc w:val="both"/>
    </w:pPr>
    <w:rPr>
      <w:rFonts w:ascii="Arial" w:hAnsi="Arial"/>
      <w:sz w:val="20"/>
    </w:rPr>
  </w:style>
  <w:style w:type="paragraph" w:styleId="ListBullet2">
    <w:name w:val="List Bullet 2"/>
    <w:basedOn w:val="Normal"/>
    <w:rsid w:val="00431690"/>
    <w:pPr>
      <w:numPr>
        <w:numId w:val="22"/>
      </w:numPr>
      <w:jc w:val="both"/>
    </w:pPr>
    <w:rPr>
      <w:rFonts w:ascii="Arial" w:hAnsi="Arial"/>
      <w:sz w:val="20"/>
    </w:rPr>
  </w:style>
  <w:style w:type="paragraph" w:styleId="ListBullet3">
    <w:name w:val="List Bullet 3"/>
    <w:basedOn w:val="Normal"/>
    <w:rsid w:val="00431690"/>
    <w:pPr>
      <w:numPr>
        <w:numId w:val="23"/>
      </w:numPr>
      <w:jc w:val="both"/>
    </w:pPr>
    <w:rPr>
      <w:rFonts w:ascii="Arial" w:hAnsi="Arial"/>
      <w:sz w:val="20"/>
    </w:rPr>
  </w:style>
  <w:style w:type="paragraph" w:styleId="ListBullet4">
    <w:name w:val="List Bullet 4"/>
    <w:basedOn w:val="Normal"/>
    <w:rsid w:val="00431690"/>
    <w:pPr>
      <w:numPr>
        <w:numId w:val="24"/>
      </w:numPr>
      <w:jc w:val="both"/>
    </w:pPr>
    <w:rPr>
      <w:rFonts w:ascii="Arial" w:hAnsi="Arial"/>
      <w:sz w:val="20"/>
    </w:rPr>
  </w:style>
  <w:style w:type="paragraph" w:styleId="ListBullet5">
    <w:name w:val="List Bullet 5"/>
    <w:basedOn w:val="Normal"/>
    <w:rsid w:val="00431690"/>
    <w:pPr>
      <w:numPr>
        <w:numId w:val="25"/>
      </w:numPr>
      <w:jc w:val="both"/>
    </w:pPr>
    <w:rPr>
      <w:rFonts w:ascii="Arial" w:hAnsi="Arial"/>
      <w:sz w:val="20"/>
    </w:rPr>
  </w:style>
  <w:style w:type="paragraph" w:styleId="Salutation">
    <w:name w:val="Salutation"/>
    <w:basedOn w:val="Normal"/>
    <w:next w:val="Normal"/>
    <w:link w:val="SalutationChar"/>
    <w:rsid w:val="00431690"/>
    <w:pPr>
      <w:jc w:val="both"/>
    </w:pPr>
    <w:rPr>
      <w:rFonts w:ascii="Arial" w:hAnsi="Arial"/>
      <w:sz w:val="20"/>
    </w:rPr>
  </w:style>
  <w:style w:type="character" w:customStyle="1" w:styleId="SalutationChar">
    <w:name w:val="Salutation Char"/>
    <w:link w:val="Salutation"/>
    <w:rsid w:val="00431690"/>
    <w:rPr>
      <w:rFonts w:ascii="Arial" w:hAnsi="Arial"/>
      <w:szCs w:val="24"/>
    </w:rPr>
  </w:style>
  <w:style w:type="paragraph" w:customStyle="1" w:styleId="Ttulo3CTE">
    <w:name w:val="Título3CTE"/>
    <w:basedOn w:val="Normal"/>
    <w:next w:val="Normal"/>
    <w:autoRedefine/>
    <w:rsid w:val="00431690"/>
    <w:pPr>
      <w:keepNext/>
      <w:suppressAutoHyphens/>
      <w:spacing w:before="200" w:after="100"/>
      <w:jc w:val="both"/>
      <w:outlineLvl w:val="3"/>
    </w:pPr>
    <w:rPr>
      <w:rFonts w:ascii="Arial" w:hAnsi="Arial"/>
      <w:b/>
      <w:bCs/>
      <w:color w:val="000000"/>
      <w:sz w:val="20"/>
      <w:szCs w:val="20"/>
    </w:rPr>
  </w:style>
  <w:style w:type="paragraph" w:customStyle="1" w:styleId="TtuloSeccionCTE">
    <w:name w:val="TítuloSeccionCTE"/>
    <w:rsid w:val="00431690"/>
    <w:pPr>
      <w:keepNext/>
      <w:outlineLvl w:val="0"/>
    </w:pPr>
    <w:rPr>
      <w:rFonts w:ascii="Arial" w:hAnsi="Arial"/>
      <w:b/>
      <w:bCs/>
      <w:sz w:val="32"/>
      <w:szCs w:val="24"/>
    </w:rPr>
  </w:style>
  <w:style w:type="paragraph" w:customStyle="1" w:styleId="Comentario">
    <w:name w:val="Comentario"/>
    <w:basedOn w:val="Normal"/>
    <w:link w:val="ComentarioCar"/>
    <w:rsid w:val="00431690"/>
    <w:pPr>
      <w:pBdr>
        <w:left w:val="single" w:sz="4" w:space="4" w:color="auto"/>
      </w:pBdr>
      <w:autoSpaceDE w:val="0"/>
      <w:autoSpaceDN w:val="0"/>
      <w:adjustRightInd w:val="0"/>
      <w:spacing w:before="60" w:after="60"/>
      <w:ind w:left="1531"/>
      <w:jc w:val="both"/>
    </w:pPr>
    <w:rPr>
      <w:rFonts w:ascii="Arial" w:hAnsi="Arial" w:cs="Arial"/>
      <w:sz w:val="16"/>
      <w:szCs w:val="16"/>
    </w:rPr>
  </w:style>
  <w:style w:type="character" w:customStyle="1" w:styleId="ComentarioCar">
    <w:name w:val="Comentario Car"/>
    <w:link w:val="Comentario"/>
    <w:rsid w:val="00431690"/>
    <w:rPr>
      <w:rFonts w:ascii="Arial" w:hAnsi="Arial" w:cs="Arial"/>
      <w:sz w:val="16"/>
      <w:szCs w:val="16"/>
    </w:rPr>
  </w:style>
  <w:style w:type="character" w:customStyle="1" w:styleId="CTEComarchivarCar">
    <w:name w:val="CTE_Com_archivar Car"/>
    <w:link w:val="CTEComarchivar"/>
    <w:rsid w:val="00431690"/>
    <w:rPr>
      <w:rFonts w:ascii="Arial" w:eastAsia="Arial" w:hAnsi="Arial" w:cs="Arial"/>
      <w:kern w:val="2"/>
      <w:sz w:val="16"/>
      <w:szCs w:val="16"/>
      <w:shd w:val="clear" w:color="auto" w:fill="C0C0C0"/>
      <w:lang w:eastAsia="zh-CN" w:bidi="hi-IN"/>
    </w:rPr>
  </w:style>
  <w:style w:type="paragraph" w:customStyle="1" w:styleId="ComentarioNuevo">
    <w:name w:val="ComentarioNuevo"/>
    <w:basedOn w:val="Comentario"/>
    <w:link w:val="ComentarioNuevoCar"/>
    <w:rsid w:val="00431690"/>
    <w:pPr>
      <w:pBdr>
        <w:left w:val="double" w:sz="4" w:space="4" w:color="auto"/>
      </w:pBdr>
    </w:pPr>
  </w:style>
  <w:style w:type="character" w:customStyle="1" w:styleId="ComentarioNuevoCar">
    <w:name w:val="ComentarioNuevo Car"/>
    <w:link w:val="ComentarioNuevo"/>
    <w:rsid w:val="00431690"/>
    <w:rPr>
      <w:rFonts w:ascii="Arial" w:hAnsi="Arial" w:cs="Arial"/>
      <w:sz w:val="16"/>
      <w:szCs w:val="16"/>
    </w:rPr>
  </w:style>
  <w:style w:type="paragraph" w:customStyle="1" w:styleId="Comentarioespacio">
    <w:name w:val="Comentario_espacio"/>
    <w:basedOn w:val="Comentario"/>
    <w:rsid w:val="00431690"/>
    <w:pPr>
      <w:pBdr>
        <w:left w:val="none" w:sz="0" w:space="0" w:color="auto"/>
      </w:pBdr>
      <w:spacing w:before="0" w:after="0"/>
    </w:pPr>
    <w:rPr>
      <w:sz w:val="12"/>
    </w:rPr>
  </w:style>
  <w:style w:type="paragraph" w:customStyle="1" w:styleId="Tablas8">
    <w:name w:val="Tablas8"/>
    <w:basedOn w:val="Normal"/>
    <w:rsid w:val="00431690"/>
    <w:pPr>
      <w:keepNext/>
      <w:jc w:val="center"/>
      <w:outlineLvl w:val="5"/>
    </w:pPr>
    <w:rPr>
      <w:rFonts w:ascii="Arial" w:hAnsi="Arial"/>
      <w:sz w:val="16"/>
    </w:rPr>
  </w:style>
  <w:style w:type="character" w:customStyle="1" w:styleId="FootnoteTextChar">
    <w:name w:val="Footnote Text Char"/>
    <w:link w:val="FootnoteText"/>
    <w:uiPriority w:val="99"/>
    <w:rsid w:val="00431690"/>
    <w:rPr>
      <w:rFonts w:ascii="Arial" w:hAnsi="Arial"/>
    </w:rPr>
  </w:style>
  <w:style w:type="paragraph" w:customStyle="1" w:styleId="Figuras">
    <w:name w:val="Figuras"/>
    <w:aliases w:val="tablas,imágenes"/>
    <w:basedOn w:val="Normal"/>
    <w:qFormat/>
    <w:rsid w:val="00431690"/>
    <w:pPr>
      <w:spacing w:before="100" w:beforeAutospacing="1" w:after="100" w:afterAutospacing="1" w:line="360" w:lineRule="auto"/>
      <w:jc w:val="center"/>
    </w:pPr>
    <w:rPr>
      <w:rFonts w:ascii="Century Gothic" w:hAnsi="Century Gothic"/>
      <w:sz w:val="16"/>
    </w:rPr>
  </w:style>
  <w:style w:type="paragraph" w:customStyle="1" w:styleId="Ttulo5CTE">
    <w:name w:val="Título5CTE"/>
    <w:basedOn w:val="Normal"/>
    <w:next w:val="Normal"/>
    <w:autoRedefine/>
    <w:rsid w:val="00431690"/>
    <w:pPr>
      <w:jc w:val="both"/>
    </w:pPr>
    <w:rPr>
      <w:rFonts w:ascii="Arial" w:hAnsi="Arial" w:cs="Arial"/>
      <w:sz w:val="20"/>
    </w:rPr>
  </w:style>
  <w:style w:type="character" w:customStyle="1" w:styleId="NumeracinCTECar">
    <w:name w:val="NumeraciónCTE Car"/>
    <w:link w:val="NumeracinCTE"/>
    <w:rsid w:val="00431690"/>
    <w:rPr>
      <w:rFonts w:ascii="Arial" w:eastAsia="Arial" w:hAnsi="Arial" w:cs="Arial"/>
      <w:kern w:val="2"/>
      <w:sz w:val="22"/>
      <w:lang w:eastAsia="zh-CN" w:bidi="hi-IN"/>
    </w:rPr>
  </w:style>
  <w:style w:type="character" w:styleId="EndnoteReference">
    <w:name w:val="endnote reference"/>
    <w:rsid w:val="00431690"/>
    <w:rPr>
      <w:vertAlign w:val="superscript"/>
    </w:rPr>
  </w:style>
  <w:style w:type="character" w:styleId="PlaceholderText">
    <w:name w:val="Placeholder Text"/>
    <w:uiPriority w:val="99"/>
    <w:semiHidden/>
    <w:rsid w:val="00431690"/>
    <w:rPr>
      <w:color w:val="808080"/>
    </w:rPr>
  </w:style>
  <w:style w:type="table" w:styleId="TableSimple3">
    <w:name w:val="Table Simple 3"/>
    <w:basedOn w:val="TableNormal"/>
    <w:rsid w:val="00431690"/>
    <w:rPr>
      <w:rFonts w:eastAsia="SimSu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aconcuadrcula1">
    <w:name w:val="Tabla con cuadrícula1"/>
    <w:basedOn w:val="TableNormal"/>
    <w:next w:val="TableGrid"/>
    <w:uiPriority w:val="59"/>
    <w:rsid w:val="004316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1CTEAntes24ptoDespus8pto">
    <w:name w:val="Estilo Título1CTE + Antes:  24 pto Después:  8 pto"/>
    <w:basedOn w:val="Ttulo1CTE"/>
    <w:autoRedefine/>
    <w:rsid w:val="0084739B"/>
    <w:pPr>
      <w:pageBreakBefore/>
      <w:spacing w:before="480" w:after="160"/>
    </w:pPr>
    <w:rPr>
      <w:rFonts w:cs="Times New Roman"/>
      <w:kern w:val="0"/>
      <w:szCs w:val="20"/>
    </w:rPr>
  </w:style>
  <w:style w:type="paragraph" w:customStyle="1" w:styleId="xl63">
    <w:name w:val="xl63"/>
    <w:basedOn w:val="Normal"/>
    <w:rsid w:val="00431690"/>
    <w:pPr>
      <w:shd w:val="clear" w:color="FFFFFF" w:fill="C0C0C0"/>
      <w:spacing w:before="100" w:beforeAutospacing="1" w:after="100" w:afterAutospacing="1"/>
      <w:jc w:val="center"/>
    </w:pPr>
    <w:rPr>
      <w:rFonts w:ascii="Arial" w:hAnsi="Arial" w:cs="Arial"/>
      <w:b/>
      <w:bCs/>
      <w:sz w:val="20"/>
      <w:szCs w:val="20"/>
    </w:rPr>
  </w:style>
  <w:style w:type="paragraph" w:customStyle="1" w:styleId="xl64">
    <w:name w:val="xl64"/>
    <w:basedOn w:val="Normal"/>
    <w:rsid w:val="00431690"/>
    <w:pPr>
      <w:spacing w:before="100" w:beforeAutospacing="1" w:after="100" w:afterAutospacing="1"/>
      <w:jc w:val="center"/>
    </w:pPr>
    <w:rPr>
      <w:rFonts w:ascii="Arial" w:hAnsi="Arial" w:cs="Arial"/>
      <w:sz w:val="20"/>
      <w:szCs w:val="20"/>
    </w:rPr>
  </w:style>
  <w:style w:type="paragraph" w:customStyle="1" w:styleId="xl65">
    <w:name w:val="xl65"/>
    <w:basedOn w:val="Normal"/>
    <w:rsid w:val="00431690"/>
    <w:pPr>
      <w:spacing w:before="100" w:beforeAutospacing="1" w:after="100" w:afterAutospacing="1"/>
    </w:pPr>
    <w:rPr>
      <w:rFonts w:ascii="Arial" w:hAnsi="Arial" w:cs="Arial"/>
      <w:sz w:val="20"/>
      <w:szCs w:val="20"/>
    </w:rPr>
  </w:style>
  <w:style w:type="paragraph" w:customStyle="1" w:styleId="xl66">
    <w:name w:val="xl66"/>
    <w:basedOn w:val="Normal"/>
    <w:rsid w:val="00431690"/>
    <w:pPr>
      <w:spacing w:before="100" w:beforeAutospacing="1" w:after="100" w:afterAutospacing="1"/>
    </w:pPr>
    <w:rPr>
      <w:rFonts w:ascii="Arial" w:hAnsi="Arial" w:cs="Arial"/>
      <w:sz w:val="20"/>
      <w:szCs w:val="20"/>
    </w:rPr>
  </w:style>
  <w:style w:type="paragraph" w:customStyle="1" w:styleId="xl67">
    <w:name w:val="xl67"/>
    <w:basedOn w:val="Normal"/>
    <w:rsid w:val="00431690"/>
    <w:pPr>
      <w:shd w:val="clear" w:color="FFFFFF" w:fill="C0C0C0"/>
      <w:spacing w:before="100" w:beforeAutospacing="1" w:after="100" w:afterAutospacing="1"/>
    </w:pPr>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71658">
      <w:bodyDiv w:val="1"/>
      <w:marLeft w:val="0"/>
      <w:marRight w:val="0"/>
      <w:marTop w:val="0"/>
      <w:marBottom w:val="0"/>
      <w:divBdr>
        <w:top w:val="none" w:sz="0" w:space="0" w:color="auto"/>
        <w:left w:val="none" w:sz="0" w:space="0" w:color="auto"/>
        <w:bottom w:val="none" w:sz="0" w:space="0" w:color="auto"/>
        <w:right w:val="none" w:sz="0" w:space="0" w:color="auto"/>
      </w:divBdr>
    </w:div>
    <w:div w:id="85793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iewGu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35E425D3694C54FA04BB28B0E86A0B5" ma:contentTypeVersion="1" ma:contentTypeDescription="Crear nuevo documento." ma:contentTypeScope="" ma:versionID="7549651b13b11446518be28548b62826">
  <xsd:schema xmlns:xsd="http://www.w3.org/2001/XMLSchema" xmlns:xs="http://www.w3.org/2001/XMLSchema" xmlns:p="http://schemas.microsoft.com/office/2006/metadata/properties" xmlns:ns1="http://schemas.microsoft.com/sharepoint/v3" targetNamespace="http://schemas.microsoft.com/office/2006/metadata/properties" ma:root="true" ma:fieldsID="70d4e0a4fc136c90bc7b75900902a2c3" ns1:_="">
    <xsd:import namespace="http://schemas.microsoft.com/sharepoint/v3"/>
    <xsd:element name="properties">
      <xsd:complexType>
        <xsd:sequence>
          <xsd:element name="documentManagement">
            <xsd:complexType>
              <xsd:all>
                <xsd:element ref="ns1:View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iewGuid" ma:index="8" nillable="true" ma:displayName="Ver GUID" ma:description="GUID de la vista" ma:internalName="View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E1556-9CCE-4C52-9876-209E4B3D119A}">
  <ds:schemaRefs>
    <ds:schemaRef ds:uri="http://schemas.microsoft.com/sharepoint/v3/contenttype/forms"/>
  </ds:schemaRefs>
</ds:datastoreItem>
</file>

<file path=customXml/itemProps2.xml><?xml version="1.0" encoding="utf-8"?>
<ds:datastoreItem xmlns:ds="http://schemas.openxmlformats.org/officeDocument/2006/customXml" ds:itemID="{2D25181C-F0A1-47BA-8A43-FB943A4EA1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F4DF72A-1249-4EE4-B292-DCB38A5DA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D9DDE9-9759-4737-AE7E-D1B6F385B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45922</Words>
  <Characters>261759</Characters>
  <Application>Microsoft Office Word</Application>
  <DocSecurity>0</DocSecurity>
  <Lines>2181</Lines>
  <Paragraphs>614</Paragraphs>
  <ScaleCrop>false</ScaleCrop>
  <HeadingPairs>
    <vt:vector size="2" baseType="variant">
      <vt:variant>
        <vt:lpstr>Título</vt:lpstr>
      </vt:variant>
      <vt:variant>
        <vt:i4>1</vt:i4>
      </vt:variant>
    </vt:vector>
  </HeadingPairs>
  <TitlesOfParts>
    <vt:vector size="1" baseType="lpstr">
      <vt:lpstr>Se propone al Consejo de Ministros la aprobación del siguiente proyecto de disposición:</vt:lpstr>
    </vt:vector>
  </TitlesOfParts>
  <Company>Ministerio de Fomento</Company>
  <LinksUpToDate>false</LinksUpToDate>
  <CharactersWithSpaces>307067</CharactersWithSpaces>
  <SharedDoc>false</SharedDoc>
  <HLinks>
    <vt:vector size="480" baseType="variant">
      <vt:variant>
        <vt:i4>5963883</vt:i4>
      </vt:variant>
      <vt:variant>
        <vt:i4>245</vt:i4>
      </vt:variant>
      <vt:variant>
        <vt:i4>0</vt:i4>
      </vt:variant>
      <vt:variant>
        <vt:i4>5</vt:i4>
      </vt:variant>
      <vt:variant>
        <vt:lpwstr/>
      </vt:variant>
      <vt:variant>
        <vt:lpwstr>Anejo_H</vt:lpwstr>
      </vt:variant>
      <vt:variant>
        <vt:i4>5963883</vt:i4>
      </vt:variant>
      <vt:variant>
        <vt:i4>242</vt:i4>
      </vt:variant>
      <vt:variant>
        <vt:i4>0</vt:i4>
      </vt:variant>
      <vt:variant>
        <vt:i4>5</vt:i4>
      </vt:variant>
      <vt:variant>
        <vt:lpwstr/>
      </vt:variant>
      <vt:variant>
        <vt:lpwstr>Anejo_G</vt:lpwstr>
      </vt:variant>
      <vt:variant>
        <vt:i4>5963883</vt:i4>
      </vt:variant>
      <vt:variant>
        <vt:i4>239</vt:i4>
      </vt:variant>
      <vt:variant>
        <vt:i4>0</vt:i4>
      </vt:variant>
      <vt:variant>
        <vt:i4>5</vt:i4>
      </vt:variant>
      <vt:variant>
        <vt:lpwstr/>
      </vt:variant>
      <vt:variant>
        <vt:lpwstr>Anejo_F</vt:lpwstr>
      </vt:variant>
      <vt:variant>
        <vt:i4>5963883</vt:i4>
      </vt:variant>
      <vt:variant>
        <vt:i4>236</vt:i4>
      </vt:variant>
      <vt:variant>
        <vt:i4>0</vt:i4>
      </vt:variant>
      <vt:variant>
        <vt:i4>5</vt:i4>
      </vt:variant>
      <vt:variant>
        <vt:lpwstr/>
      </vt:variant>
      <vt:variant>
        <vt:lpwstr>Anejo_E</vt:lpwstr>
      </vt:variant>
      <vt:variant>
        <vt:i4>5963883</vt:i4>
      </vt:variant>
      <vt:variant>
        <vt:i4>233</vt:i4>
      </vt:variant>
      <vt:variant>
        <vt:i4>0</vt:i4>
      </vt:variant>
      <vt:variant>
        <vt:i4>5</vt:i4>
      </vt:variant>
      <vt:variant>
        <vt:lpwstr/>
      </vt:variant>
      <vt:variant>
        <vt:lpwstr>Anejo_D</vt:lpwstr>
      </vt:variant>
      <vt:variant>
        <vt:i4>5963883</vt:i4>
      </vt:variant>
      <vt:variant>
        <vt:i4>230</vt:i4>
      </vt:variant>
      <vt:variant>
        <vt:i4>0</vt:i4>
      </vt:variant>
      <vt:variant>
        <vt:i4>5</vt:i4>
      </vt:variant>
      <vt:variant>
        <vt:lpwstr/>
      </vt:variant>
      <vt:variant>
        <vt:lpwstr>Anejo_C</vt:lpwstr>
      </vt:variant>
      <vt:variant>
        <vt:i4>5963883</vt:i4>
      </vt:variant>
      <vt:variant>
        <vt:i4>227</vt:i4>
      </vt:variant>
      <vt:variant>
        <vt:i4>0</vt:i4>
      </vt:variant>
      <vt:variant>
        <vt:i4>5</vt:i4>
      </vt:variant>
      <vt:variant>
        <vt:lpwstr/>
      </vt:variant>
      <vt:variant>
        <vt:lpwstr>Anejo_B</vt:lpwstr>
      </vt:variant>
      <vt:variant>
        <vt:i4>5963883</vt:i4>
      </vt:variant>
      <vt:variant>
        <vt:i4>224</vt:i4>
      </vt:variant>
      <vt:variant>
        <vt:i4>0</vt:i4>
      </vt:variant>
      <vt:variant>
        <vt:i4>5</vt:i4>
      </vt:variant>
      <vt:variant>
        <vt:lpwstr/>
      </vt:variant>
      <vt:variant>
        <vt:lpwstr>Anejo_A</vt:lpwstr>
      </vt:variant>
      <vt:variant>
        <vt:i4>1638461</vt:i4>
      </vt:variant>
      <vt:variant>
        <vt:i4>221</vt:i4>
      </vt:variant>
      <vt:variant>
        <vt:i4>0</vt:i4>
      </vt:variant>
      <vt:variant>
        <vt:i4>5</vt:i4>
      </vt:variant>
      <vt:variant>
        <vt:lpwstr/>
      </vt:variant>
      <vt:variant>
        <vt:lpwstr>_Toc530396182</vt:lpwstr>
      </vt:variant>
      <vt:variant>
        <vt:i4>16318523</vt:i4>
      </vt:variant>
      <vt:variant>
        <vt:i4>218</vt:i4>
      </vt:variant>
      <vt:variant>
        <vt:i4>0</vt:i4>
      </vt:variant>
      <vt:variant>
        <vt:i4>5</vt:i4>
      </vt:variant>
      <vt:variant>
        <vt:lpwstr/>
      </vt:variant>
      <vt:variant>
        <vt:lpwstr>Sección_HE5_ControlObra</vt:lpwstr>
      </vt:variant>
      <vt:variant>
        <vt:i4>1638461</vt:i4>
      </vt:variant>
      <vt:variant>
        <vt:i4>215</vt:i4>
      </vt:variant>
      <vt:variant>
        <vt:i4>0</vt:i4>
      </vt:variant>
      <vt:variant>
        <vt:i4>5</vt:i4>
      </vt:variant>
      <vt:variant>
        <vt:lpwstr/>
      </vt:variant>
      <vt:variant>
        <vt:lpwstr>_Toc530396180</vt:lpwstr>
      </vt:variant>
      <vt:variant>
        <vt:i4>9764950</vt:i4>
      </vt:variant>
      <vt:variant>
        <vt:i4>212</vt:i4>
      </vt:variant>
      <vt:variant>
        <vt:i4>0</vt:i4>
      </vt:variant>
      <vt:variant>
        <vt:i4>5</vt:i4>
      </vt:variant>
      <vt:variant>
        <vt:lpwstr/>
      </vt:variant>
      <vt:variant>
        <vt:lpwstr>Sección_HE5_Ejecucion</vt:lpwstr>
      </vt:variant>
      <vt:variant>
        <vt:i4>1441853</vt:i4>
      </vt:variant>
      <vt:variant>
        <vt:i4>209</vt:i4>
      </vt:variant>
      <vt:variant>
        <vt:i4>0</vt:i4>
      </vt:variant>
      <vt:variant>
        <vt:i4>5</vt:i4>
      </vt:variant>
      <vt:variant>
        <vt:lpwstr/>
      </vt:variant>
      <vt:variant>
        <vt:lpwstr>_Toc530396178</vt:lpwstr>
      </vt:variant>
      <vt:variant>
        <vt:i4>9961563</vt:i4>
      </vt:variant>
      <vt:variant>
        <vt:i4>206</vt:i4>
      </vt:variant>
      <vt:variant>
        <vt:i4>0</vt:i4>
      </vt:variant>
      <vt:variant>
        <vt:i4>5</vt:i4>
      </vt:variant>
      <vt:variant>
        <vt:lpwstr/>
      </vt:variant>
      <vt:variant>
        <vt:lpwstr>Sección_HE5_Justificacion</vt:lpwstr>
      </vt:variant>
      <vt:variant>
        <vt:i4>1441853</vt:i4>
      </vt:variant>
      <vt:variant>
        <vt:i4>203</vt:i4>
      </vt:variant>
      <vt:variant>
        <vt:i4>0</vt:i4>
      </vt:variant>
      <vt:variant>
        <vt:i4>5</vt:i4>
      </vt:variant>
      <vt:variant>
        <vt:lpwstr/>
      </vt:variant>
      <vt:variant>
        <vt:lpwstr>_Toc530396176</vt:lpwstr>
      </vt:variant>
      <vt:variant>
        <vt:i4>14680124</vt:i4>
      </vt:variant>
      <vt:variant>
        <vt:i4>200</vt:i4>
      </vt:variant>
      <vt:variant>
        <vt:i4>0</vt:i4>
      </vt:variant>
      <vt:variant>
        <vt:i4>5</vt:i4>
      </vt:variant>
      <vt:variant>
        <vt:lpwstr/>
      </vt:variant>
      <vt:variant>
        <vt:lpwstr>Sección_HE5_Caracterizacion</vt:lpwstr>
      </vt:variant>
      <vt:variant>
        <vt:i4>1441853</vt:i4>
      </vt:variant>
      <vt:variant>
        <vt:i4>197</vt:i4>
      </vt:variant>
      <vt:variant>
        <vt:i4>0</vt:i4>
      </vt:variant>
      <vt:variant>
        <vt:i4>5</vt:i4>
      </vt:variant>
      <vt:variant>
        <vt:lpwstr/>
      </vt:variant>
      <vt:variant>
        <vt:lpwstr>_Toc530396174</vt:lpwstr>
      </vt:variant>
      <vt:variant>
        <vt:i4>13566079</vt:i4>
      </vt:variant>
      <vt:variant>
        <vt:i4>194</vt:i4>
      </vt:variant>
      <vt:variant>
        <vt:i4>0</vt:i4>
      </vt:variant>
      <vt:variant>
        <vt:i4>5</vt:i4>
      </vt:variant>
      <vt:variant>
        <vt:lpwstr/>
      </vt:variant>
      <vt:variant>
        <vt:lpwstr>Sección_HE5</vt:lpwstr>
      </vt:variant>
      <vt:variant>
        <vt:i4>1441853</vt:i4>
      </vt:variant>
      <vt:variant>
        <vt:i4>191</vt:i4>
      </vt:variant>
      <vt:variant>
        <vt:i4>0</vt:i4>
      </vt:variant>
      <vt:variant>
        <vt:i4>5</vt:i4>
      </vt:variant>
      <vt:variant>
        <vt:lpwstr/>
      </vt:variant>
      <vt:variant>
        <vt:lpwstr>_Toc530396172</vt:lpwstr>
      </vt:variant>
      <vt:variant>
        <vt:i4>16318522</vt:i4>
      </vt:variant>
      <vt:variant>
        <vt:i4>188</vt:i4>
      </vt:variant>
      <vt:variant>
        <vt:i4>0</vt:i4>
      </vt:variant>
      <vt:variant>
        <vt:i4>5</vt:i4>
      </vt:variant>
      <vt:variant>
        <vt:lpwstr/>
      </vt:variant>
      <vt:variant>
        <vt:lpwstr>Sección_HE4_ControlObra</vt:lpwstr>
      </vt:variant>
      <vt:variant>
        <vt:i4>1441853</vt:i4>
      </vt:variant>
      <vt:variant>
        <vt:i4>185</vt:i4>
      </vt:variant>
      <vt:variant>
        <vt:i4>0</vt:i4>
      </vt:variant>
      <vt:variant>
        <vt:i4>5</vt:i4>
      </vt:variant>
      <vt:variant>
        <vt:lpwstr/>
      </vt:variant>
      <vt:variant>
        <vt:lpwstr>_Toc530396170</vt:lpwstr>
      </vt:variant>
      <vt:variant>
        <vt:i4>9764951</vt:i4>
      </vt:variant>
      <vt:variant>
        <vt:i4>182</vt:i4>
      </vt:variant>
      <vt:variant>
        <vt:i4>0</vt:i4>
      </vt:variant>
      <vt:variant>
        <vt:i4>5</vt:i4>
      </vt:variant>
      <vt:variant>
        <vt:lpwstr/>
      </vt:variant>
      <vt:variant>
        <vt:lpwstr>Sección_HE4_Ejecucion</vt:lpwstr>
      </vt:variant>
      <vt:variant>
        <vt:i4>1507389</vt:i4>
      </vt:variant>
      <vt:variant>
        <vt:i4>179</vt:i4>
      </vt:variant>
      <vt:variant>
        <vt:i4>0</vt:i4>
      </vt:variant>
      <vt:variant>
        <vt:i4>5</vt:i4>
      </vt:variant>
      <vt:variant>
        <vt:lpwstr/>
      </vt:variant>
      <vt:variant>
        <vt:lpwstr>_Toc530396168</vt:lpwstr>
      </vt:variant>
      <vt:variant>
        <vt:i4>9961562</vt:i4>
      </vt:variant>
      <vt:variant>
        <vt:i4>176</vt:i4>
      </vt:variant>
      <vt:variant>
        <vt:i4>0</vt:i4>
      </vt:variant>
      <vt:variant>
        <vt:i4>5</vt:i4>
      </vt:variant>
      <vt:variant>
        <vt:lpwstr/>
      </vt:variant>
      <vt:variant>
        <vt:lpwstr>Sección_HE4_Justificacion</vt:lpwstr>
      </vt:variant>
      <vt:variant>
        <vt:i4>1507389</vt:i4>
      </vt:variant>
      <vt:variant>
        <vt:i4>173</vt:i4>
      </vt:variant>
      <vt:variant>
        <vt:i4>0</vt:i4>
      </vt:variant>
      <vt:variant>
        <vt:i4>5</vt:i4>
      </vt:variant>
      <vt:variant>
        <vt:lpwstr/>
      </vt:variant>
      <vt:variant>
        <vt:lpwstr>_Toc530396166</vt:lpwstr>
      </vt:variant>
      <vt:variant>
        <vt:i4>15532084</vt:i4>
      </vt:variant>
      <vt:variant>
        <vt:i4>170</vt:i4>
      </vt:variant>
      <vt:variant>
        <vt:i4>0</vt:i4>
      </vt:variant>
      <vt:variant>
        <vt:i4>5</vt:i4>
      </vt:variant>
      <vt:variant>
        <vt:lpwstr/>
      </vt:variant>
      <vt:variant>
        <vt:lpwstr>Sección_HE4_Cuantificacion</vt:lpwstr>
      </vt:variant>
      <vt:variant>
        <vt:i4>1507389</vt:i4>
      </vt:variant>
      <vt:variant>
        <vt:i4>167</vt:i4>
      </vt:variant>
      <vt:variant>
        <vt:i4>0</vt:i4>
      </vt:variant>
      <vt:variant>
        <vt:i4>5</vt:i4>
      </vt:variant>
      <vt:variant>
        <vt:lpwstr/>
      </vt:variant>
      <vt:variant>
        <vt:lpwstr>_Toc530396164</vt:lpwstr>
      </vt:variant>
      <vt:variant>
        <vt:i4>14680125</vt:i4>
      </vt:variant>
      <vt:variant>
        <vt:i4>164</vt:i4>
      </vt:variant>
      <vt:variant>
        <vt:i4>0</vt:i4>
      </vt:variant>
      <vt:variant>
        <vt:i4>5</vt:i4>
      </vt:variant>
      <vt:variant>
        <vt:lpwstr/>
      </vt:variant>
      <vt:variant>
        <vt:lpwstr>Sección_HE4_Caracterizacion</vt:lpwstr>
      </vt:variant>
      <vt:variant>
        <vt:i4>1507389</vt:i4>
      </vt:variant>
      <vt:variant>
        <vt:i4>161</vt:i4>
      </vt:variant>
      <vt:variant>
        <vt:i4>0</vt:i4>
      </vt:variant>
      <vt:variant>
        <vt:i4>5</vt:i4>
      </vt:variant>
      <vt:variant>
        <vt:lpwstr/>
      </vt:variant>
      <vt:variant>
        <vt:lpwstr>_Toc530396162</vt:lpwstr>
      </vt:variant>
      <vt:variant>
        <vt:i4>13566079</vt:i4>
      </vt:variant>
      <vt:variant>
        <vt:i4>158</vt:i4>
      </vt:variant>
      <vt:variant>
        <vt:i4>0</vt:i4>
      </vt:variant>
      <vt:variant>
        <vt:i4>5</vt:i4>
      </vt:variant>
      <vt:variant>
        <vt:lpwstr/>
      </vt:variant>
      <vt:variant>
        <vt:lpwstr>Sección_HE4</vt:lpwstr>
      </vt:variant>
      <vt:variant>
        <vt:i4>1507389</vt:i4>
      </vt:variant>
      <vt:variant>
        <vt:i4>155</vt:i4>
      </vt:variant>
      <vt:variant>
        <vt:i4>0</vt:i4>
      </vt:variant>
      <vt:variant>
        <vt:i4>5</vt:i4>
      </vt:variant>
      <vt:variant>
        <vt:lpwstr/>
      </vt:variant>
      <vt:variant>
        <vt:lpwstr>_Toc530396160</vt:lpwstr>
      </vt:variant>
      <vt:variant>
        <vt:i4>16318525</vt:i4>
      </vt:variant>
      <vt:variant>
        <vt:i4>152</vt:i4>
      </vt:variant>
      <vt:variant>
        <vt:i4>0</vt:i4>
      </vt:variant>
      <vt:variant>
        <vt:i4>5</vt:i4>
      </vt:variant>
      <vt:variant>
        <vt:lpwstr/>
      </vt:variant>
      <vt:variant>
        <vt:lpwstr>Sección_HE3_ControlObra</vt:lpwstr>
      </vt:variant>
      <vt:variant>
        <vt:i4>1310781</vt:i4>
      </vt:variant>
      <vt:variant>
        <vt:i4>149</vt:i4>
      </vt:variant>
      <vt:variant>
        <vt:i4>0</vt:i4>
      </vt:variant>
      <vt:variant>
        <vt:i4>5</vt:i4>
      </vt:variant>
      <vt:variant>
        <vt:lpwstr/>
      </vt:variant>
      <vt:variant>
        <vt:lpwstr>_Toc530396158</vt:lpwstr>
      </vt:variant>
      <vt:variant>
        <vt:i4>9764944</vt:i4>
      </vt:variant>
      <vt:variant>
        <vt:i4>146</vt:i4>
      </vt:variant>
      <vt:variant>
        <vt:i4>0</vt:i4>
      </vt:variant>
      <vt:variant>
        <vt:i4>5</vt:i4>
      </vt:variant>
      <vt:variant>
        <vt:lpwstr/>
      </vt:variant>
      <vt:variant>
        <vt:lpwstr>Sección_HE3_Ejecucion</vt:lpwstr>
      </vt:variant>
      <vt:variant>
        <vt:i4>1310781</vt:i4>
      </vt:variant>
      <vt:variant>
        <vt:i4>143</vt:i4>
      </vt:variant>
      <vt:variant>
        <vt:i4>0</vt:i4>
      </vt:variant>
      <vt:variant>
        <vt:i4>5</vt:i4>
      </vt:variant>
      <vt:variant>
        <vt:lpwstr/>
      </vt:variant>
      <vt:variant>
        <vt:lpwstr>_Toc530396156</vt:lpwstr>
      </vt:variant>
      <vt:variant>
        <vt:i4>9961565</vt:i4>
      </vt:variant>
      <vt:variant>
        <vt:i4>140</vt:i4>
      </vt:variant>
      <vt:variant>
        <vt:i4>0</vt:i4>
      </vt:variant>
      <vt:variant>
        <vt:i4>5</vt:i4>
      </vt:variant>
      <vt:variant>
        <vt:lpwstr/>
      </vt:variant>
      <vt:variant>
        <vt:lpwstr>Sección_HE3_Justificacion</vt:lpwstr>
      </vt:variant>
      <vt:variant>
        <vt:i4>1310781</vt:i4>
      </vt:variant>
      <vt:variant>
        <vt:i4>137</vt:i4>
      </vt:variant>
      <vt:variant>
        <vt:i4>0</vt:i4>
      </vt:variant>
      <vt:variant>
        <vt:i4>5</vt:i4>
      </vt:variant>
      <vt:variant>
        <vt:lpwstr/>
      </vt:variant>
      <vt:variant>
        <vt:lpwstr>_Toc530396154</vt:lpwstr>
      </vt:variant>
      <vt:variant>
        <vt:i4>9830516</vt:i4>
      </vt:variant>
      <vt:variant>
        <vt:i4>134</vt:i4>
      </vt:variant>
      <vt:variant>
        <vt:i4>0</vt:i4>
      </vt:variant>
      <vt:variant>
        <vt:i4>5</vt:i4>
      </vt:variant>
      <vt:variant>
        <vt:lpwstr/>
      </vt:variant>
      <vt:variant>
        <vt:lpwstr>Sección_HE3_Cuantificacion_SistemasContr</vt:lpwstr>
      </vt:variant>
      <vt:variant>
        <vt:i4>1310781</vt:i4>
      </vt:variant>
      <vt:variant>
        <vt:i4>131</vt:i4>
      </vt:variant>
      <vt:variant>
        <vt:i4>0</vt:i4>
      </vt:variant>
      <vt:variant>
        <vt:i4>5</vt:i4>
      </vt:variant>
      <vt:variant>
        <vt:lpwstr/>
      </vt:variant>
      <vt:variant>
        <vt:lpwstr>_Toc530396152</vt:lpwstr>
      </vt:variant>
      <vt:variant>
        <vt:i4>15532083</vt:i4>
      </vt:variant>
      <vt:variant>
        <vt:i4>128</vt:i4>
      </vt:variant>
      <vt:variant>
        <vt:i4>0</vt:i4>
      </vt:variant>
      <vt:variant>
        <vt:i4>5</vt:i4>
      </vt:variant>
      <vt:variant>
        <vt:lpwstr/>
      </vt:variant>
      <vt:variant>
        <vt:lpwstr>Sección_HE3_Cuantificacion</vt:lpwstr>
      </vt:variant>
      <vt:variant>
        <vt:i4>1310781</vt:i4>
      </vt:variant>
      <vt:variant>
        <vt:i4>125</vt:i4>
      </vt:variant>
      <vt:variant>
        <vt:i4>0</vt:i4>
      </vt:variant>
      <vt:variant>
        <vt:i4>5</vt:i4>
      </vt:variant>
      <vt:variant>
        <vt:lpwstr/>
      </vt:variant>
      <vt:variant>
        <vt:lpwstr>_Toc530396150</vt:lpwstr>
      </vt:variant>
      <vt:variant>
        <vt:i4>14680122</vt:i4>
      </vt:variant>
      <vt:variant>
        <vt:i4>122</vt:i4>
      </vt:variant>
      <vt:variant>
        <vt:i4>0</vt:i4>
      </vt:variant>
      <vt:variant>
        <vt:i4>5</vt:i4>
      </vt:variant>
      <vt:variant>
        <vt:lpwstr/>
      </vt:variant>
      <vt:variant>
        <vt:lpwstr>Sección_HE3_Caracterizacion</vt:lpwstr>
      </vt:variant>
      <vt:variant>
        <vt:i4>1376317</vt:i4>
      </vt:variant>
      <vt:variant>
        <vt:i4>119</vt:i4>
      </vt:variant>
      <vt:variant>
        <vt:i4>0</vt:i4>
      </vt:variant>
      <vt:variant>
        <vt:i4>5</vt:i4>
      </vt:variant>
      <vt:variant>
        <vt:lpwstr/>
      </vt:variant>
      <vt:variant>
        <vt:lpwstr>_Toc530396148</vt:lpwstr>
      </vt:variant>
      <vt:variant>
        <vt:i4>13566079</vt:i4>
      </vt:variant>
      <vt:variant>
        <vt:i4>116</vt:i4>
      </vt:variant>
      <vt:variant>
        <vt:i4>0</vt:i4>
      </vt:variant>
      <vt:variant>
        <vt:i4>5</vt:i4>
      </vt:variant>
      <vt:variant>
        <vt:lpwstr/>
      </vt:variant>
      <vt:variant>
        <vt:lpwstr>Sección_HE3</vt:lpwstr>
      </vt:variant>
      <vt:variant>
        <vt:i4>13566079</vt:i4>
      </vt:variant>
      <vt:variant>
        <vt:i4>113</vt:i4>
      </vt:variant>
      <vt:variant>
        <vt:i4>0</vt:i4>
      </vt:variant>
      <vt:variant>
        <vt:i4>5</vt:i4>
      </vt:variant>
      <vt:variant>
        <vt:lpwstr/>
      </vt:variant>
      <vt:variant>
        <vt:lpwstr>Sección_HE2</vt:lpwstr>
      </vt:variant>
      <vt:variant>
        <vt:i4>9896006</vt:i4>
      </vt:variant>
      <vt:variant>
        <vt:i4>110</vt:i4>
      </vt:variant>
      <vt:variant>
        <vt:i4>0</vt:i4>
      </vt:variant>
      <vt:variant>
        <vt:i4>5</vt:i4>
      </vt:variant>
      <vt:variant>
        <vt:lpwstr/>
      </vt:variant>
      <vt:variant>
        <vt:lpwstr>Sección_HE1_Mantenimiento</vt:lpwstr>
      </vt:variant>
      <vt:variant>
        <vt:i4>1376317</vt:i4>
      </vt:variant>
      <vt:variant>
        <vt:i4>107</vt:i4>
      </vt:variant>
      <vt:variant>
        <vt:i4>0</vt:i4>
      </vt:variant>
      <vt:variant>
        <vt:i4>5</vt:i4>
      </vt:variant>
      <vt:variant>
        <vt:lpwstr/>
      </vt:variant>
      <vt:variant>
        <vt:lpwstr>_Toc530396144</vt:lpwstr>
      </vt:variant>
      <vt:variant>
        <vt:i4>9830488</vt:i4>
      </vt:variant>
      <vt:variant>
        <vt:i4>104</vt:i4>
      </vt:variant>
      <vt:variant>
        <vt:i4>0</vt:i4>
      </vt:variant>
      <vt:variant>
        <vt:i4>5</vt:i4>
      </vt:variant>
      <vt:variant>
        <vt:lpwstr/>
      </vt:variant>
      <vt:variant>
        <vt:lpwstr>Sección_HE1_ControlEjecucion</vt:lpwstr>
      </vt:variant>
      <vt:variant>
        <vt:i4>1376317</vt:i4>
      </vt:variant>
      <vt:variant>
        <vt:i4>101</vt:i4>
      </vt:variant>
      <vt:variant>
        <vt:i4>0</vt:i4>
      </vt:variant>
      <vt:variant>
        <vt:i4>5</vt:i4>
      </vt:variant>
      <vt:variant>
        <vt:lpwstr/>
      </vt:variant>
      <vt:variant>
        <vt:lpwstr>_Toc530396142</vt:lpwstr>
      </vt:variant>
      <vt:variant>
        <vt:i4>9764946</vt:i4>
      </vt:variant>
      <vt:variant>
        <vt:i4>98</vt:i4>
      </vt:variant>
      <vt:variant>
        <vt:i4>0</vt:i4>
      </vt:variant>
      <vt:variant>
        <vt:i4>5</vt:i4>
      </vt:variant>
      <vt:variant>
        <vt:lpwstr/>
      </vt:variant>
      <vt:variant>
        <vt:lpwstr>Sección_HE1_Ejecucion</vt:lpwstr>
      </vt:variant>
      <vt:variant>
        <vt:i4>1376317</vt:i4>
      </vt:variant>
      <vt:variant>
        <vt:i4>95</vt:i4>
      </vt:variant>
      <vt:variant>
        <vt:i4>0</vt:i4>
      </vt:variant>
      <vt:variant>
        <vt:i4>5</vt:i4>
      </vt:variant>
      <vt:variant>
        <vt:lpwstr/>
      </vt:variant>
      <vt:variant>
        <vt:lpwstr>_Toc530396140</vt:lpwstr>
      </vt:variant>
      <vt:variant>
        <vt:i4>8388686</vt:i4>
      </vt:variant>
      <vt:variant>
        <vt:i4>92</vt:i4>
      </vt:variant>
      <vt:variant>
        <vt:i4>0</vt:i4>
      </vt:variant>
      <vt:variant>
        <vt:i4>5</vt:i4>
      </vt:variant>
      <vt:variant>
        <vt:lpwstr/>
      </vt:variant>
      <vt:variant>
        <vt:lpwstr>Sección_HE1_CaracteristicasProductos</vt:lpwstr>
      </vt:variant>
      <vt:variant>
        <vt:i4>1179709</vt:i4>
      </vt:variant>
      <vt:variant>
        <vt:i4>89</vt:i4>
      </vt:variant>
      <vt:variant>
        <vt:i4>0</vt:i4>
      </vt:variant>
      <vt:variant>
        <vt:i4>5</vt:i4>
      </vt:variant>
      <vt:variant>
        <vt:lpwstr/>
      </vt:variant>
      <vt:variant>
        <vt:lpwstr>_Toc530396138</vt:lpwstr>
      </vt:variant>
      <vt:variant>
        <vt:i4>9961567</vt:i4>
      </vt:variant>
      <vt:variant>
        <vt:i4>86</vt:i4>
      </vt:variant>
      <vt:variant>
        <vt:i4>0</vt:i4>
      </vt:variant>
      <vt:variant>
        <vt:i4>5</vt:i4>
      </vt:variant>
      <vt:variant>
        <vt:lpwstr/>
      </vt:variant>
      <vt:variant>
        <vt:lpwstr>Sección_HE1_Justificacion</vt:lpwstr>
      </vt:variant>
      <vt:variant>
        <vt:i4>1179709</vt:i4>
      </vt:variant>
      <vt:variant>
        <vt:i4>83</vt:i4>
      </vt:variant>
      <vt:variant>
        <vt:i4>0</vt:i4>
      </vt:variant>
      <vt:variant>
        <vt:i4>5</vt:i4>
      </vt:variant>
      <vt:variant>
        <vt:lpwstr/>
      </vt:variant>
      <vt:variant>
        <vt:lpwstr>_Toc530396136</vt:lpwstr>
      </vt:variant>
      <vt:variant>
        <vt:i4>15007749</vt:i4>
      </vt:variant>
      <vt:variant>
        <vt:i4>80</vt:i4>
      </vt:variant>
      <vt:variant>
        <vt:i4>0</vt:i4>
      </vt:variant>
      <vt:variant>
        <vt:i4>5</vt:i4>
      </vt:variant>
      <vt:variant>
        <vt:lpwstr/>
      </vt:variant>
      <vt:variant>
        <vt:lpwstr>Sección_HE1_Cuantificacion_Descomp</vt:lpwstr>
      </vt:variant>
      <vt:variant>
        <vt:i4>1179709</vt:i4>
      </vt:variant>
      <vt:variant>
        <vt:i4>77</vt:i4>
      </vt:variant>
      <vt:variant>
        <vt:i4>0</vt:i4>
      </vt:variant>
      <vt:variant>
        <vt:i4>5</vt:i4>
      </vt:variant>
      <vt:variant>
        <vt:lpwstr/>
      </vt:variant>
      <vt:variant>
        <vt:lpwstr>_Toc530396131</vt:lpwstr>
      </vt:variant>
      <vt:variant>
        <vt:i4>15532081</vt:i4>
      </vt:variant>
      <vt:variant>
        <vt:i4>74</vt:i4>
      </vt:variant>
      <vt:variant>
        <vt:i4>0</vt:i4>
      </vt:variant>
      <vt:variant>
        <vt:i4>5</vt:i4>
      </vt:variant>
      <vt:variant>
        <vt:lpwstr/>
      </vt:variant>
      <vt:variant>
        <vt:lpwstr>Sección_HE1_Cuantificacion</vt:lpwstr>
      </vt:variant>
      <vt:variant>
        <vt:i4>1245245</vt:i4>
      </vt:variant>
      <vt:variant>
        <vt:i4>71</vt:i4>
      </vt:variant>
      <vt:variant>
        <vt:i4>0</vt:i4>
      </vt:variant>
      <vt:variant>
        <vt:i4>5</vt:i4>
      </vt:variant>
      <vt:variant>
        <vt:lpwstr/>
      </vt:variant>
      <vt:variant>
        <vt:lpwstr>_Toc530396129</vt:lpwstr>
      </vt:variant>
      <vt:variant>
        <vt:i4>16449593</vt:i4>
      </vt:variant>
      <vt:variant>
        <vt:i4>68</vt:i4>
      </vt:variant>
      <vt:variant>
        <vt:i4>0</vt:i4>
      </vt:variant>
      <vt:variant>
        <vt:i4>5</vt:i4>
      </vt:variant>
      <vt:variant>
        <vt:lpwstr/>
      </vt:variant>
      <vt:variant>
        <vt:lpwstr>Sección_HE1_Ambito</vt:lpwstr>
      </vt:variant>
      <vt:variant>
        <vt:i4>1245245</vt:i4>
      </vt:variant>
      <vt:variant>
        <vt:i4>65</vt:i4>
      </vt:variant>
      <vt:variant>
        <vt:i4>0</vt:i4>
      </vt:variant>
      <vt:variant>
        <vt:i4>5</vt:i4>
      </vt:variant>
      <vt:variant>
        <vt:lpwstr/>
      </vt:variant>
      <vt:variant>
        <vt:lpwstr>_Toc530396127</vt:lpwstr>
      </vt:variant>
      <vt:variant>
        <vt:i4>9896007</vt:i4>
      </vt:variant>
      <vt:variant>
        <vt:i4>62</vt:i4>
      </vt:variant>
      <vt:variant>
        <vt:i4>0</vt:i4>
      </vt:variant>
      <vt:variant>
        <vt:i4>5</vt:i4>
      </vt:variant>
      <vt:variant>
        <vt:lpwstr/>
      </vt:variant>
      <vt:variant>
        <vt:lpwstr>Sección_HE0_Mantenimiento</vt:lpwstr>
      </vt:variant>
      <vt:variant>
        <vt:i4>1245245</vt:i4>
      </vt:variant>
      <vt:variant>
        <vt:i4>59</vt:i4>
      </vt:variant>
      <vt:variant>
        <vt:i4>0</vt:i4>
      </vt:variant>
      <vt:variant>
        <vt:i4>5</vt:i4>
      </vt:variant>
      <vt:variant>
        <vt:lpwstr/>
      </vt:variant>
      <vt:variant>
        <vt:lpwstr>_Toc530396125</vt:lpwstr>
      </vt:variant>
      <vt:variant>
        <vt:i4>9830489</vt:i4>
      </vt:variant>
      <vt:variant>
        <vt:i4>56</vt:i4>
      </vt:variant>
      <vt:variant>
        <vt:i4>0</vt:i4>
      </vt:variant>
      <vt:variant>
        <vt:i4>5</vt:i4>
      </vt:variant>
      <vt:variant>
        <vt:lpwstr/>
      </vt:variant>
      <vt:variant>
        <vt:lpwstr>Sección_HE0_ControlEjecucion</vt:lpwstr>
      </vt:variant>
      <vt:variant>
        <vt:i4>1245245</vt:i4>
      </vt:variant>
      <vt:variant>
        <vt:i4>53</vt:i4>
      </vt:variant>
      <vt:variant>
        <vt:i4>0</vt:i4>
      </vt:variant>
      <vt:variant>
        <vt:i4>5</vt:i4>
      </vt:variant>
      <vt:variant>
        <vt:lpwstr/>
      </vt:variant>
      <vt:variant>
        <vt:lpwstr>_Toc530396123</vt:lpwstr>
      </vt:variant>
      <vt:variant>
        <vt:i4>9764947</vt:i4>
      </vt:variant>
      <vt:variant>
        <vt:i4>50</vt:i4>
      </vt:variant>
      <vt:variant>
        <vt:i4>0</vt:i4>
      </vt:variant>
      <vt:variant>
        <vt:i4>5</vt:i4>
      </vt:variant>
      <vt:variant>
        <vt:lpwstr/>
      </vt:variant>
      <vt:variant>
        <vt:lpwstr>Sección_HE0_Ejecucion</vt:lpwstr>
      </vt:variant>
      <vt:variant>
        <vt:i4>1245245</vt:i4>
      </vt:variant>
      <vt:variant>
        <vt:i4>47</vt:i4>
      </vt:variant>
      <vt:variant>
        <vt:i4>0</vt:i4>
      </vt:variant>
      <vt:variant>
        <vt:i4>5</vt:i4>
      </vt:variant>
      <vt:variant>
        <vt:lpwstr/>
      </vt:variant>
      <vt:variant>
        <vt:lpwstr>_Toc530396121</vt:lpwstr>
      </vt:variant>
      <vt:variant>
        <vt:i4>9306180</vt:i4>
      </vt:variant>
      <vt:variant>
        <vt:i4>44</vt:i4>
      </vt:variant>
      <vt:variant>
        <vt:i4>0</vt:i4>
      </vt:variant>
      <vt:variant>
        <vt:i4>5</vt:i4>
      </vt:variant>
      <vt:variant>
        <vt:lpwstr/>
      </vt:variant>
      <vt:variant>
        <vt:lpwstr>Sección_HE0_SuperficieCalculo</vt:lpwstr>
      </vt:variant>
      <vt:variant>
        <vt:i4>1048637</vt:i4>
      </vt:variant>
      <vt:variant>
        <vt:i4>41</vt:i4>
      </vt:variant>
      <vt:variant>
        <vt:i4>0</vt:i4>
      </vt:variant>
      <vt:variant>
        <vt:i4>5</vt:i4>
      </vt:variant>
      <vt:variant>
        <vt:lpwstr/>
      </vt:variant>
      <vt:variant>
        <vt:lpwstr>_Toc530396119</vt:lpwstr>
      </vt:variant>
      <vt:variant>
        <vt:i4>16056362</vt:i4>
      </vt:variant>
      <vt:variant>
        <vt:i4>38</vt:i4>
      </vt:variant>
      <vt:variant>
        <vt:i4>0</vt:i4>
      </vt:variant>
      <vt:variant>
        <vt:i4>5</vt:i4>
      </vt:variant>
      <vt:variant>
        <vt:lpwstr/>
      </vt:variant>
      <vt:variant>
        <vt:lpwstr>Sección_HE0_Modelo</vt:lpwstr>
      </vt:variant>
      <vt:variant>
        <vt:i4>1048637</vt:i4>
      </vt:variant>
      <vt:variant>
        <vt:i4>35</vt:i4>
      </vt:variant>
      <vt:variant>
        <vt:i4>0</vt:i4>
      </vt:variant>
      <vt:variant>
        <vt:i4>5</vt:i4>
      </vt:variant>
      <vt:variant>
        <vt:lpwstr/>
      </vt:variant>
      <vt:variant>
        <vt:lpwstr>_Toc530396117</vt:lpwstr>
      </vt:variant>
      <vt:variant>
        <vt:i4>10420295</vt:i4>
      </vt:variant>
      <vt:variant>
        <vt:i4>32</vt:i4>
      </vt:variant>
      <vt:variant>
        <vt:i4>0</vt:i4>
      </vt:variant>
      <vt:variant>
        <vt:i4>5</vt:i4>
      </vt:variant>
      <vt:variant>
        <vt:lpwstr/>
      </vt:variant>
      <vt:variant>
        <vt:lpwstr>Sección_HE0_SolicitacionesExteriores</vt:lpwstr>
      </vt:variant>
      <vt:variant>
        <vt:i4>1048637</vt:i4>
      </vt:variant>
      <vt:variant>
        <vt:i4>29</vt:i4>
      </vt:variant>
      <vt:variant>
        <vt:i4>0</vt:i4>
      </vt:variant>
      <vt:variant>
        <vt:i4>5</vt:i4>
      </vt:variant>
      <vt:variant>
        <vt:lpwstr/>
      </vt:variant>
      <vt:variant>
        <vt:lpwstr>_Toc530396115</vt:lpwstr>
      </vt:variant>
      <vt:variant>
        <vt:i4>10027099</vt:i4>
      </vt:variant>
      <vt:variant>
        <vt:i4>26</vt:i4>
      </vt:variant>
      <vt:variant>
        <vt:i4>0</vt:i4>
      </vt:variant>
      <vt:variant>
        <vt:i4>5</vt:i4>
      </vt:variant>
      <vt:variant>
        <vt:lpwstr/>
      </vt:variant>
      <vt:variant>
        <vt:lpwstr>Sección_HE0_Procedimiento</vt:lpwstr>
      </vt:variant>
      <vt:variant>
        <vt:i4>1048637</vt:i4>
      </vt:variant>
      <vt:variant>
        <vt:i4>23</vt:i4>
      </vt:variant>
      <vt:variant>
        <vt:i4>0</vt:i4>
      </vt:variant>
      <vt:variant>
        <vt:i4>5</vt:i4>
      </vt:variant>
      <vt:variant>
        <vt:lpwstr/>
      </vt:variant>
      <vt:variant>
        <vt:lpwstr>_Toc530396113</vt:lpwstr>
      </vt:variant>
      <vt:variant>
        <vt:i4>9175140</vt:i4>
      </vt:variant>
      <vt:variant>
        <vt:i4>20</vt:i4>
      </vt:variant>
      <vt:variant>
        <vt:i4>0</vt:i4>
      </vt:variant>
      <vt:variant>
        <vt:i4>5</vt:i4>
      </vt:variant>
      <vt:variant>
        <vt:lpwstr/>
      </vt:variant>
      <vt:variant>
        <vt:lpwstr>Sección_HE0_Cuantificacion_CEPnR</vt:lpwstr>
      </vt:variant>
      <vt:variant>
        <vt:i4>1048637</vt:i4>
      </vt:variant>
      <vt:variant>
        <vt:i4>17</vt:i4>
      </vt:variant>
      <vt:variant>
        <vt:i4>0</vt:i4>
      </vt:variant>
      <vt:variant>
        <vt:i4>5</vt:i4>
      </vt:variant>
      <vt:variant>
        <vt:lpwstr/>
      </vt:variant>
      <vt:variant>
        <vt:lpwstr>_Toc530396111</vt:lpwstr>
      </vt:variant>
      <vt:variant>
        <vt:i4>14680121</vt:i4>
      </vt:variant>
      <vt:variant>
        <vt:i4>14</vt:i4>
      </vt:variant>
      <vt:variant>
        <vt:i4>0</vt:i4>
      </vt:variant>
      <vt:variant>
        <vt:i4>5</vt:i4>
      </vt:variant>
      <vt:variant>
        <vt:lpwstr/>
      </vt:variant>
      <vt:variant>
        <vt:lpwstr>Sección_HE0_Caracterizacion</vt:lpwstr>
      </vt:variant>
      <vt:variant>
        <vt:i4>16449592</vt:i4>
      </vt:variant>
      <vt:variant>
        <vt:i4>11</vt:i4>
      </vt:variant>
      <vt:variant>
        <vt:i4>0</vt:i4>
      </vt:variant>
      <vt:variant>
        <vt:i4>5</vt:i4>
      </vt:variant>
      <vt:variant>
        <vt:lpwstr/>
      </vt:variant>
      <vt:variant>
        <vt:lpwstr>Sección_HE0_Ambito</vt:lpwstr>
      </vt:variant>
      <vt:variant>
        <vt:i4>13566079</vt:i4>
      </vt:variant>
      <vt:variant>
        <vt:i4>8</vt:i4>
      </vt:variant>
      <vt:variant>
        <vt:i4>0</vt:i4>
      </vt:variant>
      <vt:variant>
        <vt:i4>5</vt:i4>
      </vt:variant>
      <vt:variant>
        <vt:lpwstr/>
      </vt:variant>
      <vt:variant>
        <vt:lpwstr>Sección_HE0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propone al Consejo de Ministros la aprobación del siguiente proyecto de disposición:</dc:title>
  <dc:creator>jsalazar</dc:creator>
  <cp:lastModifiedBy>TEIXEIRA, Rita</cp:lastModifiedBy>
  <cp:revision>19</cp:revision>
  <cp:lastPrinted>2008-06-02T18:11:00Z</cp:lastPrinted>
  <dcterms:created xsi:type="dcterms:W3CDTF">2020-02-21T15:09:00Z</dcterms:created>
  <dcterms:modified xsi:type="dcterms:W3CDTF">2020-07-05T20:16:00Z</dcterms:modified>
</cp:coreProperties>
</file>