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F6D" w:rsidRPr="00C4281A" w:rsidRDefault="000A10E8" w:rsidP="00C4281A">
      <w:pPr>
        <w:rPr>
          <w:rFonts w:ascii="Arial" w:hAnsi="Arial" w:cs="Arial"/>
          <w:b/>
          <w:sz w:val="24"/>
          <w:szCs w:val="24"/>
        </w:rPr>
      </w:pPr>
      <w:r w:rsidRPr="00C4281A">
        <w:rPr>
          <w:rFonts w:ascii="Courier New" w:hAnsi="Courier New"/>
        </w:rPr>
        <w:t>1. ---</w:t>
      </w:r>
      <w:r w:rsidR="00C4281A" w:rsidRPr="00C4281A">
        <w:rPr>
          <w:rFonts w:ascii="Courier New" w:hAnsi="Courier New"/>
        </w:rPr>
        <w:t>-</w:t>
      </w:r>
      <w:r w:rsidRPr="00C4281A">
        <w:rPr>
          <w:rFonts w:ascii="Courier New" w:hAnsi="Courier New"/>
        </w:rPr>
        <w:t xml:space="preserve">--IND- 2019 0087 GR- DA- ------ </w:t>
      </w:r>
      <w:r w:rsidRPr="00C4281A">
        <w:rPr>
          <w:rFonts w:ascii="Segoe UI" w:hAnsi="Segoe UI"/>
          <w:color w:val="000000"/>
        </w:rPr>
        <w:t>20201130</w:t>
      </w:r>
      <w:r w:rsidRPr="00C4281A">
        <w:rPr>
          <w:rFonts w:ascii="Calibri" w:hAnsi="Calibri"/>
        </w:rPr>
        <w:t xml:space="preserve"> </w:t>
      </w:r>
      <w:r w:rsidRPr="00C4281A">
        <w:rPr>
          <w:rFonts w:ascii="Courier New" w:hAnsi="Courier New"/>
        </w:rPr>
        <w:t>--- --- FINAL</w:t>
      </w:r>
    </w:p>
    <w:tbl>
      <w:tblPr>
        <w:tblW w:w="10207" w:type="dxa"/>
        <w:tblInd w:w="-743" w:type="dxa"/>
        <w:tblLayout w:type="fixed"/>
        <w:tblLook w:val="0000" w:firstRow="0" w:lastRow="0" w:firstColumn="0" w:lastColumn="0" w:noHBand="0" w:noVBand="0"/>
      </w:tblPr>
      <w:tblGrid>
        <w:gridCol w:w="5671"/>
        <w:gridCol w:w="4536"/>
      </w:tblGrid>
      <w:tr w:rsidR="003A61F6" w:rsidRPr="00C4281A" w:rsidTr="00BB5948">
        <w:tc>
          <w:tcPr>
            <w:tcW w:w="5671" w:type="dxa"/>
          </w:tcPr>
          <w:p w:rsidR="00241516" w:rsidRPr="00C4281A" w:rsidRDefault="00151F87" w:rsidP="00C4281A">
            <w:pPr>
              <w:pStyle w:val="Heading3"/>
              <w:rPr>
                <w:rFonts w:ascii="Times New Roman" w:hAnsi="Times New Roman"/>
                <w:sz w:val="22"/>
                <w:szCs w:val="22"/>
              </w:rPr>
            </w:pPr>
            <w:r w:rsidRPr="00C4281A">
              <w:rPr>
                <w:noProof/>
                <w:lang w:val="en-US" w:eastAsia="en-US" w:bidi="hi-IN"/>
              </w:rPr>
              <w:drawing>
                <wp:inline distT="0" distB="0" distL="0" distR="0">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rsidR="00BB5948" w:rsidRPr="00C4281A" w:rsidRDefault="00BB5948" w:rsidP="00C4281A">
            <w:pPr>
              <w:jc w:val="center"/>
              <w:rPr>
                <w:rFonts w:ascii="Calibri" w:hAnsi="Calibri" w:cs="Calibri"/>
                <w:color w:val="002060"/>
                <w:sz w:val="24"/>
                <w:szCs w:val="18"/>
              </w:rPr>
            </w:pPr>
            <w:r w:rsidRPr="00C4281A">
              <w:rPr>
                <w:rFonts w:ascii="Calibri" w:hAnsi="Calibri"/>
                <w:color w:val="002060"/>
                <w:sz w:val="24"/>
                <w:szCs w:val="18"/>
              </w:rPr>
              <w:t>DEN HELLENSKE REPUBLIK</w:t>
            </w:r>
          </w:p>
          <w:p w:rsidR="00BB5948" w:rsidRPr="00C4281A" w:rsidRDefault="00BB5948" w:rsidP="00C4281A">
            <w:pPr>
              <w:jc w:val="center"/>
              <w:rPr>
                <w:rFonts w:ascii="Calibri" w:hAnsi="Calibri" w:cs="Calibri"/>
                <w:color w:val="002060"/>
                <w:sz w:val="24"/>
                <w:szCs w:val="18"/>
              </w:rPr>
            </w:pPr>
            <w:r w:rsidRPr="00C4281A">
              <w:rPr>
                <w:rFonts w:ascii="Calibri" w:hAnsi="Calibri"/>
                <w:b/>
                <w:bCs/>
                <w:color w:val="002060"/>
                <w:sz w:val="24"/>
                <w:szCs w:val="18"/>
              </w:rPr>
              <w:t>MINISTERIET</w:t>
            </w:r>
          </w:p>
          <w:p w:rsidR="00BB5948" w:rsidRPr="00C4281A" w:rsidRDefault="00BB5948" w:rsidP="00C4281A">
            <w:pPr>
              <w:jc w:val="center"/>
              <w:rPr>
                <w:rFonts w:ascii="Calibri" w:hAnsi="Calibri" w:cs="Calibri"/>
                <w:color w:val="002060"/>
                <w:sz w:val="24"/>
                <w:szCs w:val="18"/>
              </w:rPr>
            </w:pPr>
            <w:r w:rsidRPr="00C4281A">
              <w:rPr>
                <w:rFonts w:ascii="Calibri" w:hAnsi="Calibri"/>
                <w:b/>
                <w:bCs/>
                <w:color w:val="002060"/>
                <w:sz w:val="24"/>
                <w:szCs w:val="18"/>
              </w:rPr>
              <w:t>FOR UDVIKLING OG INVESTERING</w:t>
            </w:r>
          </w:p>
          <w:p w:rsidR="00BB5948" w:rsidRPr="00C4281A" w:rsidRDefault="00BB5948" w:rsidP="00C4281A"/>
          <w:p w:rsidR="00073FC0" w:rsidRPr="00C4281A" w:rsidRDefault="00073FC0" w:rsidP="00C4281A">
            <w:pPr>
              <w:pStyle w:val="a"/>
              <w:framePr w:w="0" w:hRule="auto" w:hSpace="0" w:vSpace="0" w:wrap="auto" w:vAnchor="margin" w:hAnchor="text" w:yAlign="inline"/>
              <w:spacing w:line="240" w:lineRule="auto"/>
              <w:jc w:val="left"/>
              <w:rPr>
                <w:rFonts w:ascii="Times New Roman" w:hAnsi="Times New Roman"/>
                <w:spacing w:val="60"/>
                <w:sz w:val="22"/>
                <w:szCs w:val="22"/>
              </w:rPr>
            </w:pPr>
            <w:r w:rsidRPr="00C4281A">
              <w:rPr>
                <w:rFonts w:ascii="Times New Roman" w:hAnsi="Times New Roman"/>
                <w:sz w:val="22"/>
                <w:szCs w:val="22"/>
              </w:rPr>
              <w:t>GENERALSEKRETARIATET FOR INDUSTRI</w:t>
            </w:r>
          </w:p>
          <w:p w:rsidR="00073FC0" w:rsidRPr="00C4281A" w:rsidRDefault="00073FC0" w:rsidP="00C4281A">
            <w:pPr>
              <w:pStyle w:val="a"/>
              <w:framePr w:wrap="notBeside"/>
              <w:spacing w:line="240" w:lineRule="auto"/>
              <w:rPr>
                <w:rFonts w:ascii="Times New Roman" w:hAnsi="Times New Roman"/>
                <w:spacing w:val="0"/>
                <w:sz w:val="22"/>
                <w:szCs w:val="22"/>
              </w:rPr>
            </w:pPr>
            <w:r w:rsidRPr="00C4281A">
              <w:rPr>
                <w:rFonts w:ascii="Times New Roman" w:hAnsi="Times New Roman"/>
                <w:sz w:val="22"/>
                <w:szCs w:val="22"/>
              </w:rPr>
              <w:t xml:space="preserve">GENERALDIREKTORATET FOR INDUSTRI OG </w:t>
            </w:r>
          </w:p>
          <w:p w:rsidR="00073FC0" w:rsidRPr="00C4281A" w:rsidRDefault="00073FC0" w:rsidP="00C4281A">
            <w:pPr>
              <w:pStyle w:val="a"/>
              <w:framePr w:w="0" w:hRule="auto" w:hSpace="0" w:vSpace="0" w:wrap="auto" w:vAnchor="margin" w:hAnchor="text" w:yAlign="inline"/>
              <w:spacing w:line="240" w:lineRule="auto"/>
              <w:jc w:val="left"/>
              <w:rPr>
                <w:rFonts w:ascii="Times New Roman" w:hAnsi="Times New Roman"/>
                <w:spacing w:val="0"/>
                <w:sz w:val="22"/>
                <w:szCs w:val="22"/>
              </w:rPr>
            </w:pPr>
            <w:r w:rsidRPr="00C4281A">
              <w:rPr>
                <w:rFonts w:ascii="Times New Roman" w:hAnsi="Times New Roman"/>
                <w:sz w:val="22"/>
                <w:szCs w:val="22"/>
              </w:rPr>
              <w:t>FORRETNINGSMILJØET</w:t>
            </w:r>
          </w:p>
          <w:p w:rsidR="00073FC0" w:rsidRPr="00C4281A" w:rsidRDefault="00073FC0" w:rsidP="00C4281A">
            <w:pPr>
              <w:pStyle w:val="a"/>
              <w:framePr w:w="0" w:hRule="auto" w:hSpace="0" w:vSpace="0" w:wrap="auto" w:vAnchor="margin" w:hAnchor="text" w:yAlign="inline"/>
              <w:spacing w:line="240" w:lineRule="auto"/>
              <w:jc w:val="left"/>
              <w:rPr>
                <w:rFonts w:ascii="Times New Roman" w:hAnsi="Times New Roman"/>
                <w:spacing w:val="60"/>
                <w:sz w:val="22"/>
                <w:szCs w:val="22"/>
              </w:rPr>
            </w:pPr>
            <w:r w:rsidRPr="00C4281A">
              <w:rPr>
                <w:rFonts w:ascii="Times New Roman" w:hAnsi="Times New Roman"/>
                <w:sz w:val="22"/>
                <w:szCs w:val="22"/>
              </w:rPr>
              <w:t>DIREKTORATET FOR KVALITETSPOLITIK</w:t>
            </w:r>
          </w:p>
          <w:p w:rsidR="00DB520C" w:rsidRPr="00C4281A" w:rsidRDefault="0072107F" w:rsidP="00C4281A">
            <w:pPr>
              <w:rPr>
                <w:rFonts w:ascii="Arial" w:hAnsi="Arial"/>
                <w:sz w:val="24"/>
              </w:rPr>
            </w:pPr>
            <w:r w:rsidRPr="00C4281A">
              <w:rPr>
                <w:rFonts w:ascii="Times New Roman" w:hAnsi="Times New Roman"/>
                <w:sz w:val="22"/>
                <w:szCs w:val="22"/>
              </w:rPr>
              <w:t>AFDELINGEN FOR GENERAL PRODUKTSIKKERHED</w:t>
            </w:r>
          </w:p>
        </w:tc>
        <w:tc>
          <w:tcPr>
            <w:tcW w:w="4536" w:type="dxa"/>
          </w:tcPr>
          <w:p w:rsidR="00DB520C" w:rsidRPr="00C4281A" w:rsidRDefault="00DB520C" w:rsidP="00C4281A">
            <w:pPr>
              <w:rPr>
                <w:rFonts w:ascii="Arial" w:hAnsi="Arial" w:cs="Arial"/>
                <w:sz w:val="24"/>
              </w:rPr>
            </w:pPr>
          </w:p>
          <w:p w:rsidR="00DB520C" w:rsidRPr="00C4281A" w:rsidRDefault="00DB520C" w:rsidP="00C4281A">
            <w:pPr>
              <w:rPr>
                <w:rFonts w:ascii="Times New Roman" w:hAnsi="Times New Roman"/>
                <w:b/>
                <w:sz w:val="24"/>
                <w:szCs w:val="24"/>
              </w:rPr>
            </w:pPr>
          </w:p>
          <w:p w:rsidR="006412EA" w:rsidRPr="00C4281A" w:rsidRDefault="006412EA" w:rsidP="00C4281A">
            <w:pPr>
              <w:rPr>
                <w:rFonts w:ascii="Times New Roman" w:hAnsi="Times New Roman"/>
                <w:sz w:val="24"/>
              </w:rPr>
            </w:pPr>
          </w:p>
          <w:p w:rsidR="00671892" w:rsidRPr="00C4281A" w:rsidRDefault="00671892" w:rsidP="00C4281A">
            <w:pPr>
              <w:jc w:val="center"/>
              <w:rPr>
                <w:rFonts w:ascii="Times New Roman" w:hAnsi="Times New Roman"/>
                <w:sz w:val="24"/>
              </w:rPr>
            </w:pPr>
          </w:p>
          <w:p w:rsidR="00DB520C" w:rsidRPr="00C4281A" w:rsidRDefault="00DB520C" w:rsidP="00C4281A">
            <w:pPr>
              <w:rPr>
                <w:rFonts w:ascii="Times New Roman" w:hAnsi="Times New Roman"/>
                <w:sz w:val="22"/>
                <w:szCs w:val="22"/>
              </w:rPr>
            </w:pPr>
          </w:p>
          <w:p w:rsidR="00DB520C" w:rsidRPr="00C4281A" w:rsidRDefault="00DB520C" w:rsidP="00C4281A">
            <w:pPr>
              <w:tabs>
                <w:tab w:val="left" w:pos="1518"/>
              </w:tabs>
              <w:ind w:left="547"/>
              <w:rPr>
                <w:rFonts w:ascii="Times New Roman" w:hAnsi="Times New Roman"/>
                <w:b/>
                <w:sz w:val="24"/>
              </w:rPr>
            </w:pPr>
            <w:r w:rsidRPr="00C4281A">
              <w:rPr>
                <w:rFonts w:ascii="Times New Roman" w:hAnsi="Times New Roman"/>
                <w:sz w:val="24"/>
              </w:rPr>
              <w:t>Athen,</w:t>
            </w:r>
            <w:r w:rsidRPr="00C4281A">
              <w:rPr>
                <w:rFonts w:ascii="Times New Roman" w:hAnsi="Times New Roman"/>
                <w:sz w:val="22"/>
                <w:szCs w:val="22"/>
              </w:rPr>
              <w:tab/>
            </w:r>
            <w:r w:rsidRPr="00C4281A">
              <w:rPr>
                <w:rFonts w:ascii="Times New Roman" w:hAnsi="Times New Roman"/>
                <w:b/>
                <w:bCs/>
                <w:sz w:val="24"/>
                <w:szCs w:val="24"/>
              </w:rPr>
              <w:t>3.9.2020</w:t>
            </w:r>
            <w:r w:rsidRPr="00C4281A">
              <w:rPr>
                <w:rFonts w:ascii="Times New Roman" w:hAnsi="Times New Roman"/>
                <w:b/>
                <w:sz w:val="24"/>
              </w:rPr>
              <w:t>]</w:t>
            </w:r>
          </w:p>
          <w:p w:rsidR="00DB520C" w:rsidRPr="00C4281A" w:rsidRDefault="00DB520C" w:rsidP="00C4281A">
            <w:pPr>
              <w:rPr>
                <w:rFonts w:ascii="Times New Roman" w:hAnsi="Times New Roman"/>
                <w:sz w:val="24"/>
                <w:lang w:val="el-GR"/>
              </w:rPr>
            </w:pPr>
          </w:p>
          <w:p w:rsidR="00DB520C" w:rsidRPr="00C4281A" w:rsidRDefault="00DB520C" w:rsidP="00C4281A">
            <w:pPr>
              <w:ind w:left="547"/>
              <w:rPr>
                <w:rFonts w:ascii="Arial" w:hAnsi="Arial" w:cs="Arial"/>
                <w:sz w:val="24"/>
              </w:rPr>
            </w:pPr>
            <w:r w:rsidRPr="00C4281A">
              <w:rPr>
                <w:rFonts w:ascii="Times New Roman" w:hAnsi="Times New Roman"/>
                <w:sz w:val="24"/>
              </w:rPr>
              <w:t xml:space="preserve">Ref. nr.: [REF. </w:t>
            </w:r>
            <w:r w:rsidRPr="00C4281A">
              <w:rPr>
                <w:rFonts w:ascii="Times New Roman" w:hAnsi="Times New Roman"/>
                <w:b/>
                <w:sz w:val="24"/>
                <w:szCs w:val="24"/>
              </w:rPr>
              <w:t>91808</w:t>
            </w:r>
            <w:r w:rsidRPr="00C4281A">
              <w:rPr>
                <w:rFonts w:ascii="Times New Roman" w:hAnsi="Times New Roman"/>
                <w:b/>
                <w:bCs/>
                <w:sz w:val="24"/>
                <w:szCs w:val="24"/>
              </w:rPr>
              <w:t xml:space="preserve"> - 3.9.2020</w:t>
            </w:r>
          </w:p>
        </w:tc>
      </w:tr>
    </w:tbl>
    <w:p w:rsidR="00525FA9" w:rsidRPr="00C4281A" w:rsidRDefault="00525FA9" w:rsidP="00C4281A">
      <w:pPr>
        <w:pStyle w:val="Heading1"/>
        <w:tabs>
          <w:tab w:val="left" w:pos="4618"/>
        </w:tabs>
        <w:ind w:left="3153"/>
        <w:jc w:val="both"/>
        <w:rPr>
          <w:rFonts w:ascii="Times New Roman" w:hAnsi="Times New Roman"/>
          <w:sz w:val="22"/>
          <w:szCs w:val="22"/>
          <w:lang w:val="el-GR"/>
        </w:rPr>
      </w:pPr>
    </w:p>
    <w:p w:rsidR="00247089" w:rsidRPr="00C4281A" w:rsidRDefault="00247089" w:rsidP="00C4281A">
      <w:pPr>
        <w:pStyle w:val="Heading1"/>
        <w:tabs>
          <w:tab w:val="left" w:pos="4618"/>
        </w:tabs>
        <w:jc w:val="center"/>
        <w:rPr>
          <w:rFonts w:ascii="Times New Roman" w:hAnsi="Times New Roman"/>
          <w:spacing w:val="60"/>
          <w:sz w:val="22"/>
          <w:szCs w:val="22"/>
        </w:rPr>
      </w:pPr>
      <w:r w:rsidRPr="00C4281A">
        <w:rPr>
          <w:rFonts w:ascii="Times New Roman" w:hAnsi="Times New Roman"/>
          <w:sz w:val="22"/>
          <w:szCs w:val="22"/>
        </w:rPr>
        <w:t>AFGØRELSE</w:t>
      </w:r>
    </w:p>
    <w:p w:rsidR="00247089" w:rsidRPr="00C4281A" w:rsidRDefault="00247089" w:rsidP="00C4281A">
      <w:pPr>
        <w:tabs>
          <w:tab w:val="left" w:pos="1354"/>
        </w:tabs>
        <w:ind w:right="494"/>
        <w:rPr>
          <w:rFonts w:ascii="Times New Roman" w:hAnsi="Times New Roman"/>
          <w:sz w:val="22"/>
          <w:szCs w:val="22"/>
        </w:rPr>
      </w:pPr>
      <w:r w:rsidRPr="00C4281A">
        <w:rPr>
          <w:rFonts w:ascii="Times New Roman" w:hAnsi="Times New Roman"/>
          <w:sz w:val="22"/>
          <w:szCs w:val="22"/>
        </w:rPr>
        <w:t>EMNE: Fastlæggelse af væsentlige krav til industrielt forarbejdede gummiprodukter</w:t>
      </w:r>
    </w:p>
    <w:p w:rsidR="00247089" w:rsidRPr="00C4281A" w:rsidRDefault="00247089" w:rsidP="00C4281A">
      <w:pPr>
        <w:ind w:right="8"/>
        <w:jc w:val="center"/>
        <w:rPr>
          <w:rFonts w:ascii="Times New Roman" w:hAnsi="Times New Roman"/>
          <w:spacing w:val="60"/>
          <w:sz w:val="22"/>
          <w:szCs w:val="22"/>
        </w:rPr>
      </w:pPr>
      <w:r w:rsidRPr="00C4281A">
        <w:rPr>
          <w:rFonts w:ascii="Times New Roman" w:hAnsi="Times New Roman"/>
          <w:sz w:val="22"/>
          <w:szCs w:val="22"/>
        </w:rPr>
        <w:t>MINISTRENE FOR</w:t>
      </w:r>
    </w:p>
    <w:p w:rsidR="00247089" w:rsidRPr="00C4281A" w:rsidRDefault="00247089" w:rsidP="00C4281A">
      <w:pPr>
        <w:tabs>
          <w:tab w:val="left" w:pos="6931"/>
        </w:tabs>
        <w:spacing w:before="93"/>
        <w:ind w:left="1170"/>
        <w:jc w:val="center"/>
        <w:rPr>
          <w:rFonts w:ascii="Times New Roman" w:hAnsi="Times New Roman"/>
          <w:sz w:val="22"/>
          <w:szCs w:val="22"/>
        </w:rPr>
      </w:pPr>
      <w:r w:rsidRPr="00C4281A">
        <w:rPr>
          <w:rFonts w:ascii="Times New Roman" w:hAnsi="Times New Roman"/>
          <w:sz w:val="22"/>
          <w:szCs w:val="22"/>
        </w:rPr>
        <w:t>ØKONOMI               UDVIKLING OG INVESTERINGER</w:t>
      </w:r>
    </w:p>
    <w:p w:rsidR="00247089" w:rsidRPr="00C4281A" w:rsidRDefault="00247089" w:rsidP="00C4281A">
      <w:pPr>
        <w:tabs>
          <w:tab w:val="left" w:pos="6931"/>
        </w:tabs>
        <w:spacing w:before="93"/>
        <w:jc w:val="center"/>
        <w:rPr>
          <w:rFonts w:ascii="Times New Roman" w:hAnsi="Times New Roman"/>
          <w:sz w:val="22"/>
          <w:szCs w:val="22"/>
        </w:rPr>
      </w:pPr>
      <w:r w:rsidRPr="00C4281A">
        <w:rPr>
          <w:rFonts w:ascii="Times New Roman" w:hAnsi="Times New Roman"/>
          <w:sz w:val="22"/>
          <w:szCs w:val="22"/>
        </w:rPr>
        <w:t xml:space="preserve">MILJØ OG ENERGI </w:t>
      </w:r>
    </w:p>
    <w:p w:rsidR="00247089" w:rsidRPr="00C4281A" w:rsidRDefault="00247089" w:rsidP="00C4281A">
      <w:pPr>
        <w:pStyle w:val="BodyText"/>
        <w:tabs>
          <w:tab w:val="left" w:pos="529"/>
        </w:tabs>
        <w:spacing w:before="1"/>
        <w:ind w:left="540" w:hanging="540"/>
        <w:rPr>
          <w:rFonts w:ascii="Times New Roman" w:hAnsi="Times New Roman"/>
          <w:sz w:val="22"/>
          <w:szCs w:val="22"/>
        </w:rPr>
      </w:pPr>
      <w:r w:rsidRPr="00C4281A">
        <w:rPr>
          <w:rFonts w:ascii="Times New Roman" w:hAnsi="Times New Roman"/>
          <w:sz w:val="22"/>
          <w:szCs w:val="22"/>
        </w:rPr>
        <w:t>Α.</w:t>
      </w:r>
      <w:r w:rsidRPr="00C4281A">
        <w:rPr>
          <w:rFonts w:ascii="Times New Roman" w:hAnsi="Times New Roman"/>
          <w:sz w:val="22"/>
          <w:szCs w:val="22"/>
        </w:rPr>
        <w:tab/>
        <w:t xml:space="preserve"> Under henvisning til</w:t>
      </w:r>
    </w:p>
    <w:p w:rsidR="00247089" w:rsidRPr="00C4281A" w:rsidRDefault="00247089" w:rsidP="00C4281A">
      <w:pPr>
        <w:numPr>
          <w:ilvl w:val="0"/>
          <w:numId w:val="27"/>
        </w:numPr>
        <w:tabs>
          <w:tab w:val="left" w:pos="540"/>
        </w:tabs>
        <w:spacing w:before="120" w:after="120"/>
        <w:ind w:left="540" w:right="43" w:hanging="540"/>
        <w:jc w:val="both"/>
        <w:rPr>
          <w:rFonts w:ascii="Times New Roman" w:hAnsi="Times New Roman"/>
          <w:sz w:val="22"/>
          <w:szCs w:val="22"/>
        </w:rPr>
      </w:pPr>
      <w:r w:rsidRPr="00C4281A">
        <w:rPr>
          <w:rFonts w:ascii="Times New Roman" w:hAnsi="Times New Roman"/>
          <w:sz w:val="22"/>
          <w:szCs w:val="22"/>
        </w:rPr>
        <w:t>lov 2690/1999 (45/A) om "ratificering af lov om administrative procedurer og andre bestemmelser"</w:t>
      </w:r>
    </w:p>
    <w:p w:rsidR="00247089" w:rsidRPr="00C4281A" w:rsidRDefault="00247089" w:rsidP="00C4281A">
      <w:pPr>
        <w:numPr>
          <w:ilvl w:val="0"/>
          <w:numId w:val="27"/>
        </w:numPr>
        <w:tabs>
          <w:tab w:val="left" w:pos="540"/>
        </w:tabs>
        <w:spacing w:before="120" w:after="120"/>
        <w:ind w:left="540" w:right="43" w:hanging="540"/>
        <w:jc w:val="both"/>
        <w:rPr>
          <w:rFonts w:ascii="Times New Roman" w:hAnsi="Times New Roman"/>
          <w:sz w:val="22"/>
          <w:szCs w:val="22"/>
        </w:rPr>
      </w:pPr>
      <w:r w:rsidRPr="00C4281A">
        <w:rPr>
          <w:rFonts w:ascii="Times New Roman" w:hAnsi="Times New Roman"/>
          <w:sz w:val="22"/>
          <w:szCs w:val="22"/>
        </w:rPr>
        <w:t>lov 4622/2019 (133/Α) om "statens hovedkvarter: organisation, funktion og transparens i forbindelse med regeringen, regeringsorganer og den offentlige centraladministration"</w:t>
      </w:r>
    </w:p>
    <w:p w:rsidR="00247089" w:rsidRPr="00C4281A" w:rsidRDefault="00247089" w:rsidP="00C4281A">
      <w:pPr>
        <w:numPr>
          <w:ilvl w:val="0"/>
          <w:numId w:val="27"/>
        </w:numPr>
        <w:tabs>
          <w:tab w:val="left" w:pos="540"/>
        </w:tabs>
        <w:spacing w:before="120" w:after="120"/>
        <w:ind w:left="540" w:right="43" w:hanging="540"/>
        <w:jc w:val="both"/>
        <w:rPr>
          <w:rFonts w:ascii="Times New Roman" w:hAnsi="Times New Roman"/>
          <w:sz w:val="22"/>
          <w:szCs w:val="22"/>
        </w:rPr>
      </w:pPr>
      <w:r w:rsidRPr="00C4281A">
        <w:rPr>
          <w:rFonts w:ascii="Times New Roman" w:hAnsi="Times New Roman"/>
          <w:sz w:val="22"/>
          <w:szCs w:val="22"/>
        </w:rPr>
        <w:t>lov 4605/2019 (52/A) og specifikt artikel 47 deri, som fastsætter: "1. Generaldirektoratet for gennemførelse af forskrifter, infrastruktur og kontrol under generalsekretariatet for industri i ministeriet for økonomi og udvikling, der er fastlagt ved artikel 2 i præsidentielt dekret 147/2017 (192/A), omdøbes hermed til generaldirektoratet for industri og forretningsmiljø"</w:t>
      </w:r>
    </w:p>
    <w:p w:rsidR="00247089" w:rsidRPr="00C4281A" w:rsidRDefault="00247089" w:rsidP="00C4281A">
      <w:pPr>
        <w:numPr>
          <w:ilvl w:val="0"/>
          <w:numId w:val="27"/>
        </w:numPr>
        <w:tabs>
          <w:tab w:val="left" w:pos="540"/>
        </w:tabs>
        <w:spacing w:before="120" w:after="120"/>
        <w:ind w:left="540" w:right="43" w:hanging="540"/>
        <w:jc w:val="both"/>
        <w:rPr>
          <w:rFonts w:ascii="Times New Roman" w:hAnsi="Times New Roman"/>
          <w:sz w:val="22"/>
          <w:szCs w:val="22"/>
        </w:rPr>
      </w:pPr>
      <w:r w:rsidRPr="00C4281A">
        <w:rPr>
          <w:rFonts w:ascii="Times New Roman" w:hAnsi="Times New Roman"/>
          <w:sz w:val="22"/>
          <w:szCs w:val="22"/>
        </w:rPr>
        <w:t>bestemmelserne i artikel 22 - 33 i lov nr. 4072/2012 (86/A) om forbedring af forretningsmiljøet – ny virksomhedsform – varemærker – ejendomsmæglere – regulering af problemstillinger vedrørende shipping, havne og fiskeri og andre bestemmelser, der vedrører markedsovervågning af markedet for industriprodukter og kvalitet af tjenester</w:t>
      </w:r>
    </w:p>
    <w:p w:rsidR="00247089" w:rsidRPr="00C4281A" w:rsidRDefault="00247089" w:rsidP="00C4281A">
      <w:pPr>
        <w:numPr>
          <w:ilvl w:val="0"/>
          <w:numId w:val="27"/>
        </w:numPr>
        <w:tabs>
          <w:tab w:val="left" w:pos="540"/>
        </w:tabs>
        <w:spacing w:before="120" w:after="120"/>
        <w:ind w:left="540" w:right="43" w:hanging="540"/>
        <w:jc w:val="both"/>
        <w:rPr>
          <w:rFonts w:ascii="Times New Roman" w:hAnsi="Times New Roman"/>
          <w:sz w:val="22"/>
          <w:szCs w:val="22"/>
        </w:rPr>
      </w:pPr>
      <w:r w:rsidRPr="00C4281A">
        <w:rPr>
          <w:rFonts w:ascii="Times New Roman" w:hAnsi="Times New Roman"/>
          <w:sz w:val="22"/>
          <w:szCs w:val="22"/>
        </w:rPr>
        <w:t>bestemmelserne i artikel 127 - 154 i lov 4512/2018 (5/A) om "ordninger for gennemførelse af strukturreformer i det økonomiske tilpasningsprogram og andre bestemmelser", afsnit D om "fastlæggelse af rammerne for overvågning af økonomiske aktiviteter og produktmarkedet og andre bestemmelser"</w:t>
      </w:r>
    </w:p>
    <w:p w:rsidR="00247089" w:rsidRPr="00C4281A" w:rsidRDefault="00247089" w:rsidP="00C4281A">
      <w:pPr>
        <w:numPr>
          <w:ilvl w:val="0"/>
          <w:numId w:val="27"/>
        </w:numPr>
        <w:tabs>
          <w:tab w:val="left" w:pos="540"/>
        </w:tabs>
        <w:spacing w:before="120" w:after="120"/>
        <w:ind w:left="540" w:right="43" w:hanging="540"/>
        <w:jc w:val="both"/>
        <w:rPr>
          <w:rFonts w:ascii="Times New Roman" w:hAnsi="Times New Roman"/>
          <w:sz w:val="22"/>
          <w:szCs w:val="22"/>
        </w:rPr>
      </w:pPr>
      <w:r w:rsidRPr="00C4281A">
        <w:rPr>
          <w:rFonts w:ascii="Times New Roman" w:hAnsi="Times New Roman"/>
          <w:sz w:val="22"/>
          <w:szCs w:val="22"/>
        </w:rPr>
        <w:t>bestemmelserne i artikel 22 i lov 1682/1987 (Grækenlands statstidende 14/A) om "Udviklingspolitiske midler og organer . . og andre bestemmelser"</w:t>
      </w:r>
    </w:p>
    <w:p w:rsidR="00247089" w:rsidRPr="00C4281A" w:rsidRDefault="00247089" w:rsidP="00C4281A">
      <w:pPr>
        <w:numPr>
          <w:ilvl w:val="0"/>
          <w:numId w:val="27"/>
        </w:numPr>
        <w:tabs>
          <w:tab w:val="left" w:pos="540"/>
        </w:tabs>
        <w:spacing w:before="120" w:after="120"/>
        <w:ind w:left="540" w:right="43" w:hanging="540"/>
        <w:jc w:val="both"/>
        <w:rPr>
          <w:rFonts w:ascii="Times New Roman" w:hAnsi="Times New Roman"/>
          <w:sz w:val="22"/>
          <w:szCs w:val="22"/>
        </w:rPr>
      </w:pPr>
      <w:r w:rsidRPr="00C4281A">
        <w:rPr>
          <w:rFonts w:ascii="Times New Roman" w:hAnsi="Times New Roman"/>
          <w:sz w:val="22"/>
          <w:szCs w:val="22"/>
        </w:rPr>
        <w:t>præsidentielt dekret 147/2017 (192/A) om "organisation af ministeriet for finans og udvikling"</w:t>
      </w:r>
    </w:p>
    <w:p w:rsidR="00247089" w:rsidRPr="00C4281A" w:rsidRDefault="00247089" w:rsidP="00C4281A">
      <w:pPr>
        <w:numPr>
          <w:ilvl w:val="0"/>
          <w:numId w:val="27"/>
        </w:numPr>
        <w:tabs>
          <w:tab w:val="left" w:pos="540"/>
        </w:tabs>
        <w:spacing w:before="120" w:after="120"/>
        <w:ind w:left="540" w:right="43" w:hanging="540"/>
        <w:jc w:val="both"/>
        <w:rPr>
          <w:rFonts w:ascii="Times New Roman" w:hAnsi="Times New Roman"/>
          <w:sz w:val="22"/>
          <w:szCs w:val="22"/>
        </w:rPr>
      </w:pPr>
      <w:r w:rsidRPr="00C4281A">
        <w:rPr>
          <w:rFonts w:ascii="Times New Roman" w:hAnsi="Times New Roman"/>
          <w:sz w:val="22"/>
          <w:szCs w:val="22"/>
        </w:rPr>
        <w:t>præsidentielt dekret 81/2019 (119/A) om "oprettelse, sammenlægning, omdøbning og nedlæggelse af ministerier, definition af deres ansvarsområder og om overdragelse af tjenester samt ansvarsområder mellem ministerier"</w:t>
      </w:r>
    </w:p>
    <w:p w:rsidR="00247089" w:rsidRPr="00C4281A" w:rsidRDefault="00247089" w:rsidP="00C4281A">
      <w:pPr>
        <w:numPr>
          <w:ilvl w:val="0"/>
          <w:numId w:val="27"/>
        </w:numPr>
        <w:tabs>
          <w:tab w:val="left" w:pos="540"/>
        </w:tabs>
        <w:spacing w:before="120" w:after="120"/>
        <w:ind w:left="540" w:right="43" w:hanging="540"/>
        <w:jc w:val="both"/>
        <w:rPr>
          <w:rFonts w:ascii="Times New Roman" w:hAnsi="Times New Roman"/>
          <w:sz w:val="22"/>
          <w:szCs w:val="22"/>
        </w:rPr>
      </w:pPr>
      <w:r w:rsidRPr="00C4281A">
        <w:rPr>
          <w:rFonts w:ascii="Times New Roman" w:hAnsi="Times New Roman"/>
          <w:sz w:val="22"/>
          <w:szCs w:val="22"/>
        </w:rPr>
        <w:t xml:space="preserve"> præsidentielt dekret 83/2019 (121/A) om "udnævnelse af en vicepremierminister, ministre, viceministre og statssekretærer"</w:t>
      </w:r>
    </w:p>
    <w:p w:rsidR="00247089" w:rsidRPr="00C4281A" w:rsidRDefault="00247089" w:rsidP="00C4281A">
      <w:pPr>
        <w:pStyle w:val="ListParagraph"/>
        <w:widowControl/>
        <w:numPr>
          <w:ilvl w:val="0"/>
          <w:numId w:val="27"/>
        </w:numPr>
        <w:tabs>
          <w:tab w:val="left" w:pos="540"/>
        </w:tabs>
        <w:spacing w:before="119"/>
        <w:ind w:left="540" w:hanging="540"/>
      </w:pPr>
      <w:r w:rsidRPr="00C4281A">
        <w:t>bestemmelserne i kapitel I i lov nr. 4389/2016 (den græske statstidende 94/A) om oprettelse af den uafhængige myndighed for offentlige indtægter og især bestemmelserne i artikel 7, artikel 14, stk.1, og artikel 41 deri</w:t>
      </w:r>
    </w:p>
    <w:p w:rsidR="00247089" w:rsidRPr="00C4281A" w:rsidRDefault="00247089" w:rsidP="00C4281A">
      <w:pPr>
        <w:pStyle w:val="ListParagraph"/>
        <w:widowControl/>
        <w:numPr>
          <w:ilvl w:val="0"/>
          <w:numId w:val="27"/>
        </w:numPr>
        <w:tabs>
          <w:tab w:val="left" w:pos="540"/>
        </w:tabs>
        <w:spacing w:before="119"/>
        <w:ind w:left="540" w:hanging="540"/>
      </w:pPr>
      <w:r w:rsidRPr="00C4281A">
        <w:t>beslutning nr. Δ.ΟΡΓ.Α. 1036960 ΕΞ 2017/10.3.2017 (den græske statstidende 968/B og 1238/B) fra lederen af den uafhængige myndighed for offentlige indtægter om den organisatoriske struktur for den uafhængige myndighed for offentlige indtægter</w:t>
      </w:r>
    </w:p>
    <w:p w:rsidR="00247089" w:rsidRPr="00C4281A" w:rsidRDefault="00247089" w:rsidP="00C4281A">
      <w:pPr>
        <w:pStyle w:val="ListParagraph"/>
        <w:widowControl/>
        <w:numPr>
          <w:ilvl w:val="0"/>
          <w:numId w:val="27"/>
        </w:numPr>
        <w:tabs>
          <w:tab w:val="left" w:pos="540"/>
        </w:tabs>
        <w:spacing w:before="119"/>
        <w:ind w:left="540" w:hanging="540"/>
      </w:pPr>
      <w:r w:rsidRPr="00C4281A">
        <w:lastRenderedPageBreak/>
        <w:t xml:space="preserve">fælles ministerbeslutning nr. Ζ3-2810/2004 (den græske statstidende 1885/B/2004) om </w:t>
      </w:r>
      <w:r w:rsidRPr="00C4281A">
        <w:rPr>
          <w:i/>
          <w:iCs/>
        </w:rPr>
        <w:t>generel produktsikkerhed – gennemførelse af Europa-Parlamentets og Rådets direktiv 2001/95/EF af 3. december 2001</w:t>
      </w:r>
    </w:p>
    <w:p w:rsidR="00247089" w:rsidRPr="00C4281A" w:rsidRDefault="00247089" w:rsidP="00C4281A">
      <w:pPr>
        <w:pStyle w:val="ListParagraph"/>
        <w:widowControl/>
        <w:numPr>
          <w:ilvl w:val="0"/>
          <w:numId w:val="27"/>
        </w:numPr>
        <w:tabs>
          <w:tab w:val="left" w:pos="540"/>
        </w:tabs>
        <w:spacing w:before="119"/>
        <w:ind w:left="540" w:right="124" w:hanging="540"/>
      </w:pPr>
      <w:r w:rsidRPr="00C4281A">
        <w:t>Europa-Parlamentets og Rådets forordning (EF) nr. 765/2008 af 9. juli 2008 om kravene til akkreditering og markedsovervågning i forbindelse med markedsføring af produkter og om ophævelse af Rådets forordning (EØF) nr. 339/93</w:t>
      </w:r>
    </w:p>
    <w:p w:rsidR="00247089" w:rsidRPr="00C4281A" w:rsidRDefault="00247089" w:rsidP="00C4281A">
      <w:pPr>
        <w:pStyle w:val="ListParagraph"/>
        <w:widowControl/>
        <w:numPr>
          <w:ilvl w:val="0"/>
          <w:numId w:val="27"/>
        </w:numPr>
        <w:tabs>
          <w:tab w:val="left" w:pos="540"/>
        </w:tabs>
        <w:spacing w:before="119"/>
        <w:ind w:left="540" w:right="124" w:hanging="540"/>
      </w:pPr>
      <w:r w:rsidRPr="00C4281A">
        <w:t>Europa-Parlamentets og Rådets forordning (EF) nr. 1907/2006 om registrering, vurdering og godkendelse af samt begrænsninger for kemikalier (REACH), om oprettelse af et europæisk kemikalieagentur og om ændring af direktiv 1999/45/EF og ophævelse af Rådets forordning (EØF) nr. 793/93 og Kommissionens forordning (EF) nr. 1488/94 samt Rådets direktiv 76/769/EØF og Kommissionens direktiv 91/155/EØF, 93/67/EØF, 93/105/EF og 2000/21/EF (i det følgende REACH-forordningen), i den gældende udgave, samt de nationale bestemmelser:</w:t>
      </w:r>
    </w:p>
    <w:p w:rsidR="00247089" w:rsidRPr="00C4281A" w:rsidRDefault="00247089" w:rsidP="00C4281A">
      <w:pPr>
        <w:pStyle w:val="ListParagraph"/>
        <w:widowControl/>
        <w:numPr>
          <w:ilvl w:val="0"/>
          <w:numId w:val="27"/>
        </w:numPr>
        <w:tabs>
          <w:tab w:val="left" w:pos="540"/>
        </w:tabs>
        <w:spacing w:before="119"/>
        <w:ind w:left="540" w:right="124" w:hanging="540"/>
      </w:pPr>
      <w:r w:rsidRPr="00C4281A">
        <w:t>ministerbeslutning nr. 82/2009 (den græske statstidende 581/B/31.3.2009) om fastsættelse af sanktioner for implementering af Europa-Parlamentets og Rådets forordning (EF) nr. 1907/2006</w:t>
      </w:r>
    </w:p>
    <w:p w:rsidR="00247089" w:rsidRPr="00C4281A" w:rsidRDefault="00247089" w:rsidP="00C4281A">
      <w:pPr>
        <w:pStyle w:val="ListParagraph"/>
        <w:widowControl/>
        <w:numPr>
          <w:ilvl w:val="0"/>
          <w:numId w:val="27"/>
        </w:numPr>
        <w:tabs>
          <w:tab w:val="left" w:pos="540"/>
        </w:tabs>
        <w:spacing w:before="119"/>
        <w:ind w:left="540" w:right="124" w:hanging="540"/>
      </w:pPr>
      <w:r w:rsidRPr="00C4281A">
        <w:t>ministerbeslutning nr. 450/2008 (den græske statstidende 2553/B/2008) om fastsættelse af kontrolforanstaltninger for implementering af Europa-Parlamentets og Rådets forordning (EF) nr. 1907/2006</w:t>
      </w:r>
    </w:p>
    <w:p w:rsidR="00247089" w:rsidRPr="00C4281A" w:rsidRDefault="00247089" w:rsidP="00C4281A">
      <w:pPr>
        <w:pStyle w:val="ListParagraph"/>
        <w:widowControl/>
        <w:numPr>
          <w:ilvl w:val="0"/>
          <w:numId w:val="27"/>
        </w:numPr>
        <w:tabs>
          <w:tab w:val="left" w:pos="540"/>
        </w:tabs>
        <w:spacing w:before="119"/>
        <w:ind w:left="540" w:right="124" w:hanging="540"/>
      </w:pPr>
      <w:r w:rsidRPr="00C4281A">
        <w:t>ministerbeslutning nr. 3013966/2726 (den græske statstidende 1025/B/2007) om udpegning af den kompetente myndighed til implementering af Europa-Parlamentets og Rådets forordning (EF) nr. 1907/2006 (EUT L 396/30.12.2006)</w:t>
      </w:r>
    </w:p>
    <w:p w:rsidR="00247089" w:rsidRPr="00C4281A" w:rsidRDefault="00247089" w:rsidP="00C4281A">
      <w:pPr>
        <w:pStyle w:val="ListParagraph"/>
        <w:widowControl/>
        <w:numPr>
          <w:ilvl w:val="0"/>
          <w:numId w:val="27"/>
        </w:numPr>
        <w:tabs>
          <w:tab w:val="left" w:pos="540"/>
        </w:tabs>
        <w:spacing w:before="119"/>
        <w:ind w:left="540" w:right="124" w:hanging="540"/>
      </w:pPr>
      <w:r w:rsidRPr="00C4281A">
        <w:t>Europa-Parlamentets og Rådets forordning (EF) nr. 1272/2008 om klassificering, mærkning og emballering af stoffer og blandinger og om ændring og ophævelse af direktiv 67/548/EØF og 1999/45/EF og om ændring af forordning (EF) nr. 1907/2006, (i det følgende kaldet CLP-forordningen)</w:t>
      </w:r>
    </w:p>
    <w:p w:rsidR="00247089" w:rsidRPr="00C4281A" w:rsidRDefault="00247089" w:rsidP="00C4281A">
      <w:pPr>
        <w:pStyle w:val="ListParagraph"/>
        <w:widowControl/>
        <w:numPr>
          <w:ilvl w:val="0"/>
          <w:numId w:val="27"/>
        </w:numPr>
        <w:tabs>
          <w:tab w:val="left" w:pos="540"/>
        </w:tabs>
        <w:spacing w:before="119"/>
        <w:ind w:left="540" w:right="124" w:hanging="540"/>
      </w:pPr>
      <w:r w:rsidRPr="00C4281A">
        <w:t>ministerbeslutning nr. 3017130/2798 (den græske statstidende 1843/B/2009) om udpegning af den kompetente myndighed til implementering af Europa-Parlamentets og Rådets forordning (EF) nr. 1272/2008 (EUT L 353/31.12.2008)</w:t>
      </w:r>
    </w:p>
    <w:p w:rsidR="00247089" w:rsidRPr="00C4281A" w:rsidRDefault="00247089" w:rsidP="00C4281A">
      <w:pPr>
        <w:pStyle w:val="ListParagraph"/>
        <w:widowControl/>
        <w:numPr>
          <w:ilvl w:val="0"/>
          <w:numId w:val="27"/>
        </w:numPr>
        <w:tabs>
          <w:tab w:val="left" w:pos="540"/>
        </w:tabs>
        <w:spacing w:before="119"/>
        <w:ind w:left="540" w:right="124" w:hanging="540"/>
      </w:pPr>
      <w:r w:rsidRPr="00C4281A">
        <w:t>fælles ministerbeslutning nr. 3015811/2663 (den græske statstidende 1410/B/2010) om fastsættelse af kontrolforanstaltninger og sanktioner for implementering af Europa-Parlamentets og Rådets forordning (EF) nr. 1272/2008, som ændret af fælles ministerbeslutning nr. 111/2017 (Grækenlands statstidende 1876/B/2018)</w:t>
      </w:r>
    </w:p>
    <w:p w:rsidR="00247089" w:rsidRPr="00C4281A" w:rsidRDefault="00247089" w:rsidP="00C4281A">
      <w:pPr>
        <w:pStyle w:val="ListParagraph"/>
        <w:widowControl/>
        <w:numPr>
          <w:ilvl w:val="0"/>
          <w:numId w:val="27"/>
        </w:numPr>
        <w:tabs>
          <w:tab w:val="left" w:pos="540"/>
        </w:tabs>
        <w:spacing w:before="119"/>
        <w:ind w:left="540" w:right="124" w:hanging="540"/>
      </w:pPr>
      <w:r w:rsidRPr="00C4281A">
        <w:t>Europa-Parlamentets og Rådets direktiv (EU) 2015/1535 om en informationsprocedure med hensyn til tekniske forskrifter samt forskrifter for informationssamfundets tjenester</w:t>
      </w:r>
    </w:p>
    <w:p w:rsidR="00247089" w:rsidRPr="00C4281A" w:rsidRDefault="00DD7366" w:rsidP="00C4281A">
      <w:pPr>
        <w:pStyle w:val="ListParagraph"/>
        <w:widowControl/>
        <w:numPr>
          <w:ilvl w:val="0"/>
          <w:numId w:val="27"/>
        </w:numPr>
        <w:tabs>
          <w:tab w:val="left" w:pos="540"/>
        </w:tabs>
        <w:ind w:left="540" w:right="109" w:hanging="540"/>
      </w:pPr>
      <w:r w:rsidRPr="00C4281A">
        <w:t>forordning (EF) nr. 850/2004 om persistente organiske miljøgifte og om ændring af direktiv 79/117/EØF</w:t>
      </w:r>
    </w:p>
    <w:p w:rsidR="00DD7366" w:rsidRPr="00C4281A" w:rsidRDefault="00DD7366" w:rsidP="00C4281A">
      <w:pPr>
        <w:pStyle w:val="ListParagraph"/>
        <w:widowControl/>
        <w:numPr>
          <w:ilvl w:val="0"/>
          <w:numId w:val="27"/>
        </w:numPr>
        <w:tabs>
          <w:tab w:val="left" w:pos="540"/>
        </w:tabs>
        <w:spacing w:before="119"/>
        <w:ind w:left="540" w:right="112" w:hanging="540"/>
      </w:pPr>
      <w:r w:rsidRPr="00C4281A">
        <w:t>fælles beslutning nr. 339/18.7.2019 fra premierministeren og finansministeren om delegering af ansvarsområder til vicefinansministeren, Apostolos Vesyropoulos (Grækenlands statstidende nr. 3051/B)</w:t>
      </w:r>
    </w:p>
    <w:p w:rsidR="00247089" w:rsidRPr="00C4281A" w:rsidRDefault="00247089" w:rsidP="00C4281A">
      <w:pPr>
        <w:pStyle w:val="ListParagraph"/>
        <w:widowControl/>
        <w:numPr>
          <w:ilvl w:val="0"/>
          <w:numId w:val="27"/>
        </w:numPr>
        <w:tabs>
          <w:tab w:val="left" w:pos="540"/>
        </w:tabs>
        <w:spacing w:before="119"/>
        <w:ind w:left="540" w:right="112" w:hanging="540"/>
      </w:pPr>
      <w:r w:rsidRPr="00C4281A">
        <w:t>bestemmelserne i fælles ministerbeslutning nr. Φ.01.2/56790/ΔΠΠ1828/31.5.2016 (den græske statstidende 1897/B) om lovgivningsrammen for overensstemmelsesvurderingsorganer, der arbejder inden for området for EU's harmoniserede lovgivning og/eller inden for områderne for udelukkende national lovgivning for teknisk industri, der er omfattet af ansvarsområdet for generalsekretariatet for industri</w:t>
      </w:r>
    </w:p>
    <w:p w:rsidR="00247089" w:rsidRPr="00C4281A" w:rsidRDefault="00247089" w:rsidP="00C4281A">
      <w:pPr>
        <w:pStyle w:val="ListParagraph"/>
        <w:widowControl/>
        <w:numPr>
          <w:ilvl w:val="0"/>
          <w:numId w:val="27"/>
        </w:numPr>
        <w:tabs>
          <w:tab w:val="left" w:pos="540"/>
        </w:tabs>
        <w:spacing w:before="122"/>
        <w:ind w:left="540" w:right="122" w:hanging="540"/>
      </w:pPr>
      <w:r w:rsidRPr="00C4281A">
        <w:t>ministerbeslutning nr. 28492/2009 (den græske statstidende 931/B) om fastsættelse af betingelser og tekniske specifikationer for opførelse og drift af kommunale og fælles udendørs legepladser, udstyr og licenserings- og inspektionsprocedurer, vedligeholdelsesprocedurer og alle andre nødvendige modaliteter, som ændret og i den gældende udgave efter ministerbeslutningen nr. 27934/2014 (den græske statstidende 2029/B)</w:t>
      </w:r>
    </w:p>
    <w:p w:rsidR="00247089" w:rsidRPr="00C4281A" w:rsidRDefault="00247089" w:rsidP="00C4281A">
      <w:pPr>
        <w:pStyle w:val="ListParagraph"/>
        <w:widowControl/>
        <w:numPr>
          <w:ilvl w:val="0"/>
          <w:numId w:val="27"/>
        </w:numPr>
        <w:tabs>
          <w:tab w:val="left" w:pos="540"/>
        </w:tabs>
        <w:ind w:left="540" w:right="124" w:hanging="540"/>
      </w:pPr>
      <w:r w:rsidRPr="00C4281A">
        <w:t>fælles ministerbeslutning nr. 43650/2019 (den græske statstidende 213/B) om fastsættelse af krav, betingelser, procedure, støttedokumentation og alle andre nødvendige modaliteter til tildeling og annullering af opførelse- og driftstilladelser til indendørs legepladser</w:t>
      </w:r>
    </w:p>
    <w:p w:rsidR="00247089" w:rsidRPr="00C4281A" w:rsidRDefault="00247089" w:rsidP="00C4281A">
      <w:pPr>
        <w:pStyle w:val="ListParagraph"/>
        <w:widowControl/>
        <w:numPr>
          <w:ilvl w:val="0"/>
          <w:numId w:val="27"/>
        </w:numPr>
        <w:tabs>
          <w:tab w:val="left" w:pos="540"/>
        </w:tabs>
        <w:ind w:left="540" w:right="124" w:hanging="540"/>
      </w:pPr>
      <w:r w:rsidRPr="00C4281A">
        <w:lastRenderedPageBreak/>
        <w:t>afslutningen af notifikationsprocedurerne i den fælles ministerbeslutning til Europa-Kommissionen i forbindelse med notifikationsnummer 2019/87/GR og indarbejdelsen af bemærkningerne fremsat af Europa-Kommissionen</w:t>
      </w:r>
    </w:p>
    <w:p w:rsidR="00247089" w:rsidRPr="00C4281A" w:rsidRDefault="00247089" w:rsidP="00C4281A">
      <w:pPr>
        <w:pStyle w:val="ListParagraph"/>
        <w:widowControl/>
        <w:numPr>
          <w:ilvl w:val="0"/>
          <w:numId w:val="27"/>
        </w:numPr>
        <w:tabs>
          <w:tab w:val="left" w:pos="540"/>
        </w:tabs>
        <w:ind w:left="540" w:right="124" w:hanging="540"/>
      </w:pPr>
      <w:r w:rsidRPr="00C4281A">
        <w:t>at bestemmelserne i denne beslutning ikke medfører omkostninger for statens budget</w:t>
      </w:r>
    </w:p>
    <w:p w:rsidR="00247089" w:rsidRPr="00C4281A" w:rsidRDefault="00247089" w:rsidP="00C4281A">
      <w:pPr>
        <w:pStyle w:val="ListParagraph"/>
        <w:widowControl/>
        <w:tabs>
          <w:tab w:val="left" w:pos="529"/>
          <w:tab w:val="left" w:pos="530"/>
        </w:tabs>
        <w:spacing w:before="119"/>
        <w:ind w:firstLine="0"/>
      </w:pPr>
    </w:p>
    <w:p w:rsidR="00247089" w:rsidRPr="00C4281A" w:rsidRDefault="00247089" w:rsidP="00C4281A">
      <w:pPr>
        <w:ind w:right="7"/>
        <w:jc w:val="center"/>
        <w:rPr>
          <w:rFonts w:ascii="Times New Roman" w:hAnsi="Times New Roman"/>
          <w:b/>
          <w:spacing w:val="60"/>
          <w:sz w:val="22"/>
          <w:szCs w:val="22"/>
        </w:rPr>
      </w:pPr>
      <w:r w:rsidRPr="00C4281A">
        <w:rPr>
          <w:rFonts w:ascii="Times New Roman" w:hAnsi="Times New Roman"/>
          <w:b/>
          <w:sz w:val="22"/>
          <w:szCs w:val="22"/>
        </w:rPr>
        <w:t>BESLUTTES HERMED FØLGENDE</w:t>
      </w:r>
    </w:p>
    <w:p w:rsidR="00247089" w:rsidRPr="00C4281A" w:rsidRDefault="00247089" w:rsidP="00C4281A">
      <w:pPr>
        <w:ind w:right="7"/>
        <w:jc w:val="center"/>
        <w:rPr>
          <w:rFonts w:ascii="Times New Roman" w:hAnsi="Times New Roman"/>
          <w:b/>
          <w:sz w:val="22"/>
          <w:szCs w:val="22"/>
        </w:rPr>
      </w:pPr>
    </w:p>
    <w:p w:rsidR="00247089" w:rsidRPr="00C4281A" w:rsidRDefault="00943836" w:rsidP="00C4281A">
      <w:pPr>
        <w:tabs>
          <w:tab w:val="left" w:pos="1115"/>
        </w:tabs>
        <w:spacing w:before="195" w:line="251" w:lineRule="exact"/>
        <w:ind w:right="4"/>
        <w:jc w:val="center"/>
        <w:rPr>
          <w:rFonts w:ascii="Times New Roman" w:hAnsi="Times New Roman"/>
          <w:b/>
          <w:sz w:val="22"/>
          <w:szCs w:val="22"/>
        </w:rPr>
      </w:pPr>
      <w:r w:rsidRPr="00C4281A">
        <w:rPr>
          <w:rFonts w:ascii="Times New Roman" w:hAnsi="Times New Roman"/>
          <w:b/>
          <w:sz w:val="22"/>
          <w:szCs w:val="22"/>
        </w:rPr>
        <w:t>Artikel 1</w:t>
      </w:r>
    </w:p>
    <w:p w:rsidR="00247089" w:rsidRPr="00C4281A" w:rsidRDefault="00247089" w:rsidP="00C4281A">
      <w:pPr>
        <w:spacing w:line="251" w:lineRule="exact"/>
        <w:ind w:right="4"/>
        <w:jc w:val="center"/>
        <w:rPr>
          <w:rFonts w:ascii="Times New Roman" w:hAnsi="Times New Roman"/>
          <w:sz w:val="22"/>
          <w:szCs w:val="22"/>
        </w:rPr>
      </w:pPr>
      <w:r w:rsidRPr="00C4281A">
        <w:rPr>
          <w:rFonts w:ascii="Times New Roman" w:hAnsi="Times New Roman"/>
          <w:sz w:val="22"/>
          <w:szCs w:val="22"/>
        </w:rPr>
        <w:t>Anvendelsesområde og formål</w:t>
      </w:r>
    </w:p>
    <w:p w:rsidR="00247089" w:rsidRPr="00C4281A" w:rsidRDefault="00247089" w:rsidP="00C4281A">
      <w:pPr>
        <w:pStyle w:val="ListParagraph"/>
        <w:widowControl/>
        <w:numPr>
          <w:ilvl w:val="0"/>
          <w:numId w:val="25"/>
        </w:numPr>
        <w:tabs>
          <w:tab w:val="left" w:pos="450"/>
        </w:tabs>
        <w:ind w:right="106" w:hanging="462"/>
      </w:pPr>
      <w:r w:rsidRPr="00C4281A">
        <w:t>Denne beslutning fastsætter væsentlige krav til produkter, der udelukkende består af gummi eller indeholder gummi, og som er beregnet til at blive brugt til de formål, der er anført i</w:t>
      </w:r>
      <w:r w:rsidRPr="00C4281A">
        <w:rPr>
          <w:b/>
          <w:bCs/>
        </w:rPr>
        <w:t xml:space="preserve"> bilag I</w:t>
      </w:r>
      <w:r w:rsidRPr="00C4281A">
        <w:t xml:space="preserve"> til denne beslutning. Gummi kan enten stamme fra primære råstoffer eller fra sekundære råstoffer fra genvinding af gummiprodukter som for eksempel ethylenpropylendiengummi (EPDM), styrenbutadiengummi (SBR), ethylenacrylatgummi (EA, AEM), polyurethangummi (AU, EU), silikonegummi (PMQ, PVMQ, VMQ) eller andet.</w:t>
      </w:r>
    </w:p>
    <w:p w:rsidR="00247089" w:rsidRPr="00C4281A" w:rsidRDefault="00247089" w:rsidP="00C4281A">
      <w:pPr>
        <w:pStyle w:val="ListParagraph"/>
        <w:widowControl/>
        <w:numPr>
          <w:ilvl w:val="0"/>
          <w:numId w:val="25"/>
        </w:numPr>
        <w:tabs>
          <w:tab w:val="left" w:pos="450"/>
        </w:tabs>
        <w:ind w:right="106" w:hanging="462"/>
      </w:pPr>
      <w:r w:rsidRPr="00C4281A">
        <w:t xml:space="preserve">De krav, der er fastlagt og fastsat i </w:t>
      </w:r>
      <w:r w:rsidRPr="00C4281A">
        <w:rPr>
          <w:b/>
          <w:bCs/>
        </w:rPr>
        <w:t>bilag II</w:t>
      </w:r>
      <w:r w:rsidRPr="00C4281A">
        <w:t>, sikrer, at disse forarbejdede gummiprodukter overholder bestemmelserne i den relevante tekniske lovgivning og tilsvarende gældende lovgivning.</w:t>
      </w:r>
    </w:p>
    <w:p w:rsidR="00247089" w:rsidRPr="00C4281A" w:rsidRDefault="00247089" w:rsidP="00C4281A">
      <w:pPr>
        <w:pStyle w:val="BodyText"/>
        <w:rPr>
          <w:rFonts w:ascii="Times New Roman" w:hAnsi="Times New Roman"/>
          <w:sz w:val="22"/>
          <w:szCs w:val="22"/>
        </w:rPr>
      </w:pPr>
    </w:p>
    <w:p w:rsidR="00247089" w:rsidRPr="00C4281A" w:rsidRDefault="00943836" w:rsidP="00C4281A">
      <w:pPr>
        <w:tabs>
          <w:tab w:val="left" w:pos="1115"/>
        </w:tabs>
        <w:spacing w:line="250" w:lineRule="exact"/>
        <w:ind w:right="4"/>
        <w:jc w:val="center"/>
        <w:rPr>
          <w:rFonts w:ascii="Times New Roman" w:hAnsi="Times New Roman"/>
          <w:b/>
          <w:sz w:val="22"/>
          <w:szCs w:val="22"/>
        </w:rPr>
      </w:pPr>
      <w:r w:rsidRPr="00C4281A">
        <w:rPr>
          <w:rFonts w:ascii="Times New Roman" w:hAnsi="Times New Roman"/>
          <w:b/>
          <w:sz w:val="22"/>
          <w:szCs w:val="22"/>
        </w:rPr>
        <w:t>Artikel 2</w:t>
      </w:r>
    </w:p>
    <w:p w:rsidR="00247089" w:rsidRPr="00C4281A" w:rsidRDefault="00247089" w:rsidP="00C4281A">
      <w:pPr>
        <w:pStyle w:val="Heading3"/>
        <w:spacing w:line="250" w:lineRule="exact"/>
        <w:ind w:right="4"/>
        <w:rPr>
          <w:rFonts w:ascii="Times New Roman" w:hAnsi="Times New Roman"/>
          <w:sz w:val="22"/>
          <w:szCs w:val="22"/>
        </w:rPr>
      </w:pPr>
      <w:r w:rsidRPr="00C4281A">
        <w:rPr>
          <w:rFonts w:ascii="Times New Roman" w:hAnsi="Times New Roman"/>
          <w:sz w:val="22"/>
          <w:szCs w:val="22"/>
        </w:rPr>
        <w:t>Definitioner</w:t>
      </w:r>
    </w:p>
    <w:p w:rsidR="00247089" w:rsidRPr="00C4281A" w:rsidRDefault="00247089" w:rsidP="00C4281A">
      <w:pPr>
        <w:spacing w:before="119"/>
        <w:ind w:left="102"/>
        <w:rPr>
          <w:rFonts w:ascii="Times New Roman" w:hAnsi="Times New Roman"/>
          <w:sz w:val="22"/>
          <w:szCs w:val="22"/>
        </w:rPr>
      </w:pPr>
      <w:r w:rsidRPr="00C4281A">
        <w:rPr>
          <w:rFonts w:ascii="Times New Roman" w:hAnsi="Times New Roman"/>
          <w:sz w:val="22"/>
          <w:szCs w:val="22"/>
        </w:rPr>
        <w:t>I denne beslutning gælder følgende definitioner:</w:t>
      </w:r>
    </w:p>
    <w:p w:rsidR="00247089" w:rsidRPr="00C4281A" w:rsidRDefault="00247089" w:rsidP="00C4281A">
      <w:pPr>
        <w:pStyle w:val="ListParagraph"/>
        <w:widowControl/>
        <w:numPr>
          <w:ilvl w:val="0"/>
          <w:numId w:val="24"/>
        </w:numPr>
        <w:spacing w:before="121"/>
        <w:ind w:left="540" w:right="106" w:hanging="540"/>
      </w:pPr>
      <w:r w:rsidRPr="00C4281A">
        <w:rPr>
          <w:i/>
          <w:iCs/>
        </w:rPr>
        <w:t>"Gummi"</w:t>
      </w:r>
      <w:r w:rsidRPr="00C4281A">
        <w:t>: Materialer, der er beregnet til salg på markedet, til de formål, der er anført i bilag I, som enten stammer fra genbrugt gummi eller fra andre kilder i overensstemmelse med artikel 1, stk. 1.</w:t>
      </w:r>
    </w:p>
    <w:p w:rsidR="00247089" w:rsidRPr="00C4281A" w:rsidRDefault="00247089" w:rsidP="00C4281A">
      <w:pPr>
        <w:pStyle w:val="ListParagraph"/>
        <w:widowControl/>
        <w:numPr>
          <w:ilvl w:val="0"/>
          <w:numId w:val="24"/>
        </w:numPr>
        <w:ind w:left="540" w:right="106" w:hanging="540"/>
      </w:pPr>
      <w:r w:rsidRPr="00C4281A">
        <w:rPr>
          <w:i/>
          <w:iCs/>
        </w:rPr>
        <w:t>"Fabrikant"</w:t>
      </w:r>
      <w:r w:rsidRPr="00C4281A">
        <w:t>:</w:t>
      </w:r>
      <w:r w:rsidRPr="00C4281A">
        <w:rPr>
          <w:b/>
        </w:rPr>
        <w:t xml:space="preserve"> </w:t>
      </w:r>
      <w:r w:rsidRPr="00C4281A">
        <w:t>En operatør, der forarbejder gummi for at fremstille et færdigt produkt med henblik på at markedsføre det i Grækenland til de formål, der er anført i bilag I hertil.</w:t>
      </w:r>
    </w:p>
    <w:p w:rsidR="00247089" w:rsidRPr="00C4281A" w:rsidRDefault="00247089" w:rsidP="00C4281A">
      <w:pPr>
        <w:pStyle w:val="ListParagraph"/>
        <w:widowControl/>
        <w:numPr>
          <w:ilvl w:val="0"/>
          <w:numId w:val="24"/>
        </w:numPr>
        <w:ind w:left="540" w:right="110" w:hanging="540"/>
      </w:pPr>
      <w:r w:rsidRPr="00C4281A">
        <w:rPr>
          <w:i/>
        </w:rPr>
        <w:t>"Importør"</w:t>
      </w:r>
      <w:r w:rsidRPr="00C4281A">
        <w:t>: Enhver fysisk eller juridisk person, der gør industrielt behandlede gummiprodukter fra et land uden for EU tilgængelige på det græske marked i forbindelse med de formål, der er angivet i bilag I. Importøren skal have samme forpligtelser som en producent, hvor sidstnævnte ikke er etableret i Den Europæiske Union.</w:t>
      </w:r>
    </w:p>
    <w:p w:rsidR="00247089" w:rsidRPr="00C4281A" w:rsidRDefault="00247089" w:rsidP="00C4281A">
      <w:pPr>
        <w:pStyle w:val="ListParagraph"/>
        <w:widowControl/>
        <w:numPr>
          <w:ilvl w:val="0"/>
          <w:numId w:val="24"/>
        </w:numPr>
        <w:ind w:left="540" w:right="110" w:hanging="540"/>
      </w:pPr>
      <w:r w:rsidRPr="00C4281A">
        <w:rPr>
          <w:i/>
          <w:iCs/>
        </w:rPr>
        <w:t>"Distributør"</w:t>
      </w:r>
      <w:r w:rsidRPr="00C4281A">
        <w:t>: Enhver fysisk eller juridisk person i forsyningskæden, bortset fra producenten eller importøren, som markedsfører et produkt.</w:t>
      </w:r>
    </w:p>
    <w:p w:rsidR="00247089" w:rsidRPr="00C4281A" w:rsidRDefault="00247089" w:rsidP="00C4281A">
      <w:pPr>
        <w:pStyle w:val="ListParagraph"/>
        <w:widowControl/>
        <w:numPr>
          <w:ilvl w:val="0"/>
          <w:numId w:val="24"/>
        </w:numPr>
        <w:ind w:left="540" w:right="105" w:hanging="540"/>
      </w:pPr>
      <w:r w:rsidRPr="00C4281A">
        <w:rPr>
          <w:i/>
        </w:rPr>
        <w:t>"Kunde"</w:t>
      </w:r>
      <w:r w:rsidRPr="00C4281A">
        <w:t xml:space="preserve"> (</w:t>
      </w:r>
      <w:r w:rsidRPr="00C4281A">
        <w:rPr>
          <w:i/>
        </w:rPr>
        <w:t>person, der modtager produkterne</w:t>
      </w:r>
      <w:r w:rsidRPr="00C4281A">
        <w:t>): Enhver fysisk eller juridisk person, der erhverver gummiprodukter mod finansiel kompensation i overensstemmelse med bilag I.</w:t>
      </w:r>
    </w:p>
    <w:p w:rsidR="00247089" w:rsidRPr="00C4281A" w:rsidRDefault="00247089" w:rsidP="00C4281A">
      <w:pPr>
        <w:pStyle w:val="ListParagraph"/>
        <w:widowControl/>
        <w:numPr>
          <w:ilvl w:val="0"/>
          <w:numId w:val="24"/>
        </w:numPr>
        <w:spacing w:before="118"/>
        <w:ind w:left="540" w:right="107" w:hanging="540"/>
      </w:pPr>
      <w:r w:rsidRPr="00C4281A">
        <w:rPr>
          <w:i/>
        </w:rPr>
        <w:t>"Økonomiske operatører"</w:t>
      </w:r>
      <w:r w:rsidRPr="00C4281A">
        <w:t>: Producenter, importører, distributører eller kunder, som tager del i forsyningskæden med deres relevante andel.</w:t>
      </w:r>
    </w:p>
    <w:p w:rsidR="00247089" w:rsidRPr="00C4281A" w:rsidRDefault="00247089" w:rsidP="00C4281A">
      <w:pPr>
        <w:pStyle w:val="ListParagraph"/>
        <w:widowControl/>
        <w:numPr>
          <w:ilvl w:val="0"/>
          <w:numId w:val="24"/>
        </w:numPr>
        <w:tabs>
          <w:tab w:val="left" w:pos="520"/>
        </w:tabs>
        <w:ind w:left="540" w:right="108" w:hanging="540"/>
      </w:pPr>
      <w:r w:rsidRPr="00C4281A">
        <w:rPr>
          <w:i/>
          <w:iCs/>
        </w:rPr>
        <w:t>"Overensstemmelsesvurderingsorgan":</w:t>
      </w:r>
      <w:r w:rsidRPr="00C4281A">
        <w:t xml:space="preserve"> En operatør, der udfører overensstemmelsesvurderingsaktiviteter i henhold til forordning (EF) nr. 765/2008.</w:t>
      </w:r>
    </w:p>
    <w:p w:rsidR="00247089" w:rsidRPr="00C4281A" w:rsidRDefault="00247089" w:rsidP="00C4281A">
      <w:pPr>
        <w:pStyle w:val="Heading3"/>
        <w:keepNext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sidRPr="00C4281A">
        <w:rPr>
          <w:rFonts w:ascii="Times New Roman" w:hAnsi="Times New Roman"/>
          <w:b w:val="0"/>
          <w:i/>
          <w:sz w:val="22"/>
          <w:szCs w:val="22"/>
        </w:rPr>
        <w:t>"Erklæring på tro og love"</w:t>
      </w:r>
      <w:r w:rsidRPr="00C4281A">
        <w:rPr>
          <w:rFonts w:ascii="Times New Roman" w:hAnsi="Times New Roman"/>
          <w:b w:val="0"/>
          <w:sz w:val="22"/>
          <w:szCs w:val="22"/>
        </w:rPr>
        <w:t>: En erklæring udarbejdet af fabrikanten eller importøren, der bekræfter, at de industrielt forarbejdede gummiprodukter er i overensstemmelse med kravene i denne beslutning.</w:t>
      </w:r>
    </w:p>
    <w:p w:rsidR="00247089" w:rsidRPr="00C4281A" w:rsidRDefault="00247089" w:rsidP="00C4281A">
      <w:pPr>
        <w:pStyle w:val="ListParagraph"/>
        <w:widowControl/>
        <w:numPr>
          <w:ilvl w:val="0"/>
          <w:numId w:val="24"/>
        </w:numPr>
        <w:spacing w:before="72"/>
        <w:ind w:left="540" w:right="104" w:hanging="540"/>
      </w:pPr>
      <w:r w:rsidRPr="00C4281A">
        <w:rPr>
          <w:i/>
          <w:iCs/>
        </w:rPr>
        <w:t>"Kompetente markedsovervågningsmyndigheder</w:t>
      </w:r>
      <w:r w:rsidRPr="00C4281A">
        <w:t>": De kompetente afdelinger til generalsekretariatet for industri i ministeriet for økonomi og udvikling og de kompetente afdelinger til statens almindelige laboratorium til den uafhængige myndighed for offentlige indtægter.</w:t>
      </w:r>
    </w:p>
    <w:p w:rsidR="00247089" w:rsidRPr="00C4281A" w:rsidRDefault="00247089" w:rsidP="00C4281A">
      <w:pPr>
        <w:pStyle w:val="BodyText"/>
        <w:rPr>
          <w:rFonts w:ascii="Times New Roman" w:hAnsi="Times New Roman"/>
          <w:sz w:val="22"/>
          <w:szCs w:val="22"/>
        </w:rPr>
      </w:pPr>
    </w:p>
    <w:p w:rsidR="00247089" w:rsidRPr="00C4281A" w:rsidRDefault="00943836" w:rsidP="00C4281A">
      <w:pPr>
        <w:tabs>
          <w:tab w:val="left" w:pos="1115"/>
        </w:tabs>
        <w:ind w:right="4"/>
        <w:jc w:val="center"/>
        <w:rPr>
          <w:rFonts w:ascii="Times New Roman" w:hAnsi="Times New Roman"/>
          <w:b/>
          <w:sz w:val="22"/>
          <w:szCs w:val="22"/>
        </w:rPr>
      </w:pPr>
      <w:r w:rsidRPr="00C4281A">
        <w:rPr>
          <w:rFonts w:ascii="Times New Roman" w:hAnsi="Times New Roman"/>
          <w:b/>
          <w:sz w:val="22"/>
          <w:szCs w:val="22"/>
        </w:rPr>
        <w:t>Artikel 3</w:t>
      </w:r>
    </w:p>
    <w:p w:rsidR="00247089" w:rsidRPr="00C4281A" w:rsidRDefault="00247089" w:rsidP="00C4281A">
      <w:pPr>
        <w:ind w:right="4"/>
        <w:jc w:val="center"/>
        <w:rPr>
          <w:rFonts w:ascii="Times New Roman" w:hAnsi="Times New Roman"/>
          <w:sz w:val="22"/>
          <w:szCs w:val="22"/>
        </w:rPr>
      </w:pPr>
      <w:r w:rsidRPr="00C4281A">
        <w:rPr>
          <w:rFonts w:ascii="Times New Roman" w:hAnsi="Times New Roman"/>
          <w:sz w:val="22"/>
          <w:szCs w:val="22"/>
        </w:rPr>
        <w:t>Kvalitetskrav til gummiproduktet</w:t>
      </w:r>
    </w:p>
    <w:p w:rsidR="00247089" w:rsidRPr="00C4281A" w:rsidRDefault="00247089" w:rsidP="00C4281A">
      <w:pPr>
        <w:pStyle w:val="ListParagraph"/>
        <w:widowControl/>
        <w:numPr>
          <w:ilvl w:val="0"/>
          <w:numId w:val="23"/>
        </w:numPr>
        <w:spacing w:before="119"/>
        <w:ind w:left="540" w:right="105" w:hanging="540"/>
      </w:pPr>
      <w:r w:rsidRPr="00C4281A">
        <w:t xml:space="preserve">De forarbejdede </w:t>
      </w:r>
      <w:r w:rsidRPr="00C4281A">
        <w:rPr>
          <w:b/>
        </w:rPr>
        <w:t xml:space="preserve">gummiprodukter </w:t>
      </w:r>
      <w:r w:rsidRPr="00C4281A">
        <w:t>omhandlet i artikel 1, stk. 1, der er beregnet til at blive anvendt til de formål, der er anført i bilag I, skal overholde kravene under punkt 1 til bilag II hertil.</w:t>
      </w:r>
    </w:p>
    <w:p w:rsidR="00247089" w:rsidRPr="00C4281A" w:rsidRDefault="00247089" w:rsidP="00C4281A">
      <w:pPr>
        <w:pStyle w:val="ListParagraph"/>
        <w:widowControl/>
        <w:numPr>
          <w:ilvl w:val="0"/>
          <w:numId w:val="23"/>
        </w:numPr>
        <w:spacing w:before="119"/>
        <w:ind w:left="540" w:right="105" w:hanging="540"/>
      </w:pPr>
      <w:r w:rsidRPr="00C4281A">
        <w:rPr>
          <w:b/>
        </w:rPr>
        <w:t>Gummi</w:t>
      </w:r>
      <w:r w:rsidRPr="00C4281A">
        <w:t>, der anvendes til fremstilling af produkterne omhandlet i stk. 1 i samme artikel, skal overholde kravene under punkt 2 til bilag II.</w:t>
      </w:r>
    </w:p>
    <w:p w:rsidR="00247089" w:rsidRPr="00C4281A" w:rsidRDefault="00247089" w:rsidP="00C4281A">
      <w:pPr>
        <w:pStyle w:val="ListParagraph"/>
        <w:widowControl/>
        <w:numPr>
          <w:ilvl w:val="0"/>
          <w:numId w:val="23"/>
        </w:numPr>
        <w:spacing w:before="122"/>
        <w:ind w:left="540" w:right="105" w:hanging="540"/>
      </w:pPr>
      <w:r w:rsidRPr="00C4281A">
        <w:lastRenderedPageBreak/>
        <w:t>Fabrikanten, importøren og distributøren af forarbejdede gummiprodukter er forpligtet til at overholde bestemmelserne heri samt at efterkomme forpligtelserne, der er fastsat i artikel 4 og 5 heri, i det omfang, de er gældende for dem.</w:t>
      </w:r>
    </w:p>
    <w:p w:rsidR="00247089" w:rsidRPr="00C4281A" w:rsidRDefault="00247089" w:rsidP="00C4281A">
      <w:pPr>
        <w:pStyle w:val="ListParagraph"/>
        <w:widowControl/>
        <w:tabs>
          <w:tab w:val="left" w:pos="386"/>
        </w:tabs>
        <w:ind w:left="385" w:right="110" w:firstLine="0"/>
      </w:pPr>
    </w:p>
    <w:p w:rsidR="00247089" w:rsidRPr="00C4281A" w:rsidRDefault="00943836" w:rsidP="00C4281A">
      <w:pPr>
        <w:tabs>
          <w:tab w:val="left" w:pos="1115"/>
        </w:tabs>
        <w:spacing w:line="251" w:lineRule="exact"/>
        <w:ind w:right="4"/>
        <w:jc w:val="center"/>
        <w:rPr>
          <w:rFonts w:ascii="Times New Roman" w:hAnsi="Times New Roman"/>
          <w:b/>
          <w:sz w:val="22"/>
          <w:szCs w:val="22"/>
        </w:rPr>
      </w:pPr>
      <w:r w:rsidRPr="00C4281A">
        <w:rPr>
          <w:rFonts w:ascii="Times New Roman" w:hAnsi="Times New Roman"/>
          <w:b/>
          <w:sz w:val="22"/>
          <w:szCs w:val="22"/>
        </w:rPr>
        <w:t>Artikel 4</w:t>
      </w:r>
    </w:p>
    <w:p w:rsidR="00247089" w:rsidRPr="00C4281A" w:rsidRDefault="00247089" w:rsidP="00C4281A">
      <w:pPr>
        <w:spacing w:line="251" w:lineRule="exact"/>
        <w:ind w:right="6"/>
        <w:jc w:val="center"/>
        <w:rPr>
          <w:rFonts w:ascii="Times New Roman" w:hAnsi="Times New Roman"/>
          <w:sz w:val="22"/>
          <w:szCs w:val="22"/>
        </w:rPr>
      </w:pPr>
      <w:r w:rsidRPr="00C4281A">
        <w:rPr>
          <w:rFonts w:ascii="Times New Roman" w:hAnsi="Times New Roman"/>
          <w:sz w:val="22"/>
          <w:szCs w:val="22"/>
        </w:rPr>
        <w:t xml:space="preserve">Erklæring på tro og love </w:t>
      </w:r>
    </w:p>
    <w:p w:rsidR="00247089" w:rsidRPr="00C4281A" w:rsidRDefault="00247089" w:rsidP="00861198">
      <w:pPr>
        <w:pStyle w:val="ListParagraph"/>
        <w:widowControl/>
        <w:numPr>
          <w:ilvl w:val="0"/>
          <w:numId w:val="22"/>
        </w:numPr>
        <w:spacing w:before="122"/>
        <w:ind w:left="540" w:right="107" w:hanging="540"/>
      </w:pPr>
      <w:r w:rsidRPr="00C4281A">
        <w:t xml:space="preserve">Hvert parti af forarbejdede gummiprodukter, der er beregnet til at blive markedsført efter fremstillingen med formålene anført i bilag I, skal ledsages af en passende </w:t>
      </w:r>
      <w:r w:rsidRPr="00C4281A">
        <w:rPr>
          <w:i/>
          <w:iCs/>
        </w:rPr>
        <w:t>"erklæring på tro og love"</w:t>
      </w:r>
      <w:r w:rsidRPr="00C4281A">
        <w:t xml:space="preserve"> udarbejdet af fabrikanten i overensstemmelse med formularen i </w:t>
      </w:r>
      <w:r w:rsidRPr="00C4281A">
        <w:rPr>
          <w:b/>
          <w:bCs/>
        </w:rPr>
        <w:t>bilag III</w:t>
      </w:r>
      <w:r w:rsidRPr="00C4281A">
        <w:t xml:space="preserve">. </w:t>
      </w:r>
    </w:p>
    <w:p w:rsidR="00247089" w:rsidRPr="00C4281A" w:rsidRDefault="00247089" w:rsidP="00861198">
      <w:pPr>
        <w:pStyle w:val="ListParagraph"/>
        <w:widowControl/>
        <w:spacing w:before="125" w:line="237" w:lineRule="auto"/>
        <w:ind w:left="540" w:right="106" w:firstLine="0"/>
      </w:pPr>
      <w:r w:rsidRPr="00C4281A">
        <w:t>Erklæringen på tro og love skal udarbejdes til sidst i fremstillingsprocessen for hvert parti, og den skal ledsages af tekniske specifikationer for de forarbejdede gummiprodukter.</w:t>
      </w:r>
    </w:p>
    <w:p w:rsidR="00247089" w:rsidRPr="00C4281A" w:rsidRDefault="00247089" w:rsidP="00C4281A">
      <w:pPr>
        <w:pStyle w:val="ListParagraph"/>
        <w:widowControl/>
        <w:numPr>
          <w:ilvl w:val="0"/>
          <w:numId w:val="22"/>
        </w:numPr>
        <w:spacing w:before="122"/>
        <w:ind w:left="540" w:right="107" w:hanging="540"/>
      </w:pPr>
      <w:r w:rsidRPr="00C4281A">
        <w:t>Erklæringen på tro og love skal være vedlagt hvert produktparti og skal overføres til den næste person, der overtager ejerskabet af partiet, indtil den endelige tiltænkte anvendelse af disse produkter.</w:t>
      </w:r>
    </w:p>
    <w:p w:rsidR="00247089" w:rsidRPr="00C4281A" w:rsidRDefault="00247089" w:rsidP="00C4281A">
      <w:pPr>
        <w:pStyle w:val="ListParagraph"/>
        <w:widowControl/>
        <w:numPr>
          <w:ilvl w:val="0"/>
          <w:numId w:val="22"/>
        </w:numPr>
        <w:spacing w:before="119"/>
        <w:ind w:left="540" w:right="107" w:hanging="540"/>
      </w:pPr>
      <w:r w:rsidRPr="00C4281A">
        <w:t>Der skal opbevares en kopi af erklæringen på tro og love af den ansvarlige økonomiske operatør, og erklæringen skal altid være til rådighed for de kompetente markedsovervågningsmyndigheder.</w:t>
      </w:r>
    </w:p>
    <w:p w:rsidR="00247089" w:rsidRPr="00C4281A" w:rsidRDefault="00247089" w:rsidP="00C4281A">
      <w:pPr>
        <w:pStyle w:val="ListParagraph"/>
        <w:widowControl/>
        <w:numPr>
          <w:ilvl w:val="0"/>
          <w:numId w:val="22"/>
        </w:numPr>
        <w:ind w:left="540" w:hanging="540"/>
      </w:pPr>
      <w:r w:rsidRPr="00C4281A">
        <w:t>Erklæringen på tro og love kan også udstedes i elektronisk format.</w:t>
      </w:r>
    </w:p>
    <w:p w:rsidR="00247089" w:rsidRPr="00C4281A" w:rsidRDefault="00247089" w:rsidP="00C4281A">
      <w:pPr>
        <w:pStyle w:val="BodyText"/>
        <w:rPr>
          <w:rFonts w:ascii="Times New Roman" w:hAnsi="Times New Roman"/>
          <w:sz w:val="22"/>
          <w:szCs w:val="22"/>
        </w:rPr>
      </w:pPr>
    </w:p>
    <w:p w:rsidR="00247089" w:rsidRPr="00C4281A" w:rsidRDefault="00943836" w:rsidP="00C4281A">
      <w:pPr>
        <w:tabs>
          <w:tab w:val="left" w:pos="5656"/>
        </w:tabs>
        <w:spacing w:line="249" w:lineRule="exact"/>
        <w:jc w:val="center"/>
        <w:rPr>
          <w:rFonts w:ascii="Times New Roman" w:hAnsi="Times New Roman"/>
          <w:b/>
          <w:sz w:val="22"/>
          <w:szCs w:val="22"/>
        </w:rPr>
      </w:pPr>
      <w:r w:rsidRPr="00C4281A">
        <w:rPr>
          <w:rFonts w:ascii="Times New Roman" w:hAnsi="Times New Roman"/>
          <w:b/>
          <w:sz w:val="22"/>
          <w:szCs w:val="22"/>
        </w:rPr>
        <w:t>Artikel 5</w:t>
      </w:r>
    </w:p>
    <w:p w:rsidR="00247089" w:rsidRPr="00C4281A" w:rsidRDefault="00247089" w:rsidP="00C4281A">
      <w:pPr>
        <w:spacing w:line="272" w:lineRule="exact"/>
        <w:jc w:val="center"/>
        <w:rPr>
          <w:rFonts w:ascii="Times New Roman" w:hAnsi="Times New Roman"/>
          <w:sz w:val="22"/>
          <w:szCs w:val="22"/>
        </w:rPr>
      </w:pPr>
      <w:r w:rsidRPr="00C4281A">
        <w:rPr>
          <w:rFonts w:ascii="Times New Roman" w:hAnsi="Times New Roman"/>
          <w:sz w:val="22"/>
          <w:szCs w:val="22"/>
        </w:rPr>
        <w:t>Kvalitetsstyringssystem – mærkning</w:t>
      </w:r>
    </w:p>
    <w:p w:rsidR="00247089" w:rsidRPr="00C4281A" w:rsidRDefault="00247089" w:rsidP="00C4281A">
      <w:pPr>
        <w:pStyle w:val="Heading3"/>
        <w:keepNext w:val="0"/>
        <w:numPr>
          <w:ilvl w:val="0"/>
          <w:numId w:val="21"/>
        </w:numPr>
        <w:autoSpaceDE w:val="0"/>
        <w:autoSpaceDN w:val="0"/>
        <w:spacing w:before="123"/>
        <w:ind w:left="540" w:right="106" w:hanging="540"/>
        <w:jc w:val="both"/>
        <w:rPr>
          <w:rFonts w:ascii="Times New Roman" w:hAnsi="Times New Roman"/>
          <w:b w:val="0"/>
          <w:sz w:val="22"/>
          <w:szCs w:val="22"/>
        </w:rPr>
      </w:pPr>
      <w:r w:rsidRPr="00C4281A">
        <w:rPr>
          <w:rFonts w:ascii="Times New Roman" w:hAnsi="Times New Roman"/>
          <w:b w:val="0"/>
          <w:sz w:val="22"/>
          <w:szCs w:val="22"/>
        </w:rPr>
        <w:t>Fabrikanten af produkterne, som henvist til i bilag I, skal anvende et kvalitetsstyringssystem, der opfylder de krav, der er fastlagt i bilag IV.</w:t>
      </w:r>
    </w:p>
    <w:p w:rsidR="00247089" w:rsidRPr="00C4281A" w:rsidRDefault="00247089" w:rsidP="00C4281A">
      <w:pPr>
        <w:spacing w:before="122"/>
        <w:ind w:left="540" w:right="105"/>
        <w:jc w:val="both"/>
        <w:rPr>
          <w:rFonts w:ascii="Times New Roman" w:hAnsi="Times New Roman"/>
          <w:sz w:val="22"/>
          <w:szCs w:val="22"/>
        </w:rPr>
      </w:pPr>
      <w:r w:rsidRPr="00C4281A">
        <w:rPr>
          <w:rFonts w:ascii="Times New Roman" w:hAnsi="Times New Roman"/>
          <w:sz w:val="22"/>
          <w:szCs w:val="22"/>
        </w:rPr>
        <w:t>Overensstemmelsen med kravene i bilag IV kan dokumenteres af fabrikanten med gennemførelsen af et kvalitetsstyringssystem i overensstemmelse med den internationale standard ISO 9001:2015 (</w:t>
      </w:r>
      <w:r w:rsidRPr="00C4281A">
        <w:rPr>
          <w:rFonts w:ascii="Times New Roman" w:hAnsi="Times New Roman"/>
          <w:i/>
          <w:sz w:val="22"/>
          <w:szCs w:val="22"/>
        </w:rPr>
        <w:t>den aktuelt gældende</w:t>
      </w:r>
      <w:r w:rsidRPr="00C4281A">
        <w:rPr>
          <w:rFonts w:ascii="Times New Roman" w:hAnsi="Times New Roman"/>
          <w:sz w:val="22"/>
          <w:szCs w:val="22"/>
        </w:rPr>
        <w:t>), som certificeres af et akkrediteret overensstemmelsesvurderingsorgan.</w:t>
      </w:r>
    </w:p>
    <w:p w:rsidR="00247089" w:rsidRPr="00C4281A" w:rsidRDefault="00247089" w:rsidP="00C4281A">
      <w:pPr>
        <w:pStyle w:val="ListParagraph"/>
        <w:widowControl/>
        <w:numPr>
          <w:ilvl w:val="0"/>
          <w:numId w:val="21"/>
        </w:numPr>
        <w:spacing w:before="116"/>
        <w:ind w:left="540" w:right="106" w:hanging="540"/>
      </w:pPr>
      <w:r w:rsidRPr="00C4281A">
        <w:t>Importører af forarbejdede gummiprodukter skal anmode om, at deres leverandører udarbejder en erklæring på tro og love, som henvist til i artikel 4, med henblik på at gøre produkterne tilgængelige på det græske marked uden hindringer.</w:t>
      </w:r>
    </w:p>
    <w:p w:rsidR="00247089" w:rsidRPr="00C4281A" w:rsidRDefault="00247089" w:rsidP="00C4281A">
      <w:pPr>
        <w:pStyle w:val="ListParagraph"/>
        <w:widowControl/>
        <w:numPr>
          <w:ilvl w:val="0"/>
          <w:numId w:val="21"/>
        </w:numPr>
        <w:spacing w:before="121"/>
        <w:ind w:left="540" w:right="110" w:hanging="540"/>
      </w:pPr>
      <w:r w:rsidRPr="00C4281A">
        <w:t>Forarbejdede gummiprodukter, der er omfattet af bilag I, punkt 1, skal også overholde kravene i fælles ministerbeslutning nr. 28492/18.5.2009, 27934/25.7.2014 og 36873/2.8.2007, i den gældende udgave.</w:t>
      </w:r>
    </w:p>
    <w:p w:rsidR="00247089" w:rsidRPr="00C4281A" w:rsidRDefault="00247089" w:rsidP="00C4281A">
      <w:pPr>
        <w:pStyle w:val="ListParagraph"/>
        <w:widowControl/>
        <w:tabs>
          <w:tab w:val="left" w:pos="446"/>
        </w:tabs>
        <w:spacing w:before="121"/>
        <w:ind w:left="102" w:right="110" w:firstLine="0"/>
      </w:pPr>
    </w:p>
    <w:p w:rsidR="00247089" w:rsidRPr="00C4281A" w:rsidRDefault="00943836" w:rsidP="00C4281A">
      <w:pPr>
        <w:tabs>
          <w:tab w:val="left" w:pos="1156"/>
        </w:tabs>
        <w:spacing w:before="221" w:line="274" w:lineRule="exact"/>
        <w:ind w:right="6"/>
        <w:jc w:val="center"/>
        <w:rPr>
          <w:rFonts w:ascii="Times New Roman" w:hAnsi="Times New Roman"/>
          <w:b/>
          <w:sz w:val="22"/>
          <w:szCs w:val="22"/>
        </w:rPr>
      </w:pPr>
      <w:r w:rsidRPr="00C4281A">
        <w:rPr>
          <w:rFonts w:ascii="Times New Roman" w:hAnsi="Times New Roman"/>
          <w:b/>
          <w:sz w:val="22"/>
          <w:szCs w:val="22"/>
        </w:rPr>
        <w:t>Artikel 6</w:t>
      </w:r>
    </w:p>
    <w:p w:rsidR="00247089" w:rsidRPr="00C4281A" w:rsidRDefault="00247089" w:rsidP="00C4281A">
      <w:pPr>
        <w:spacing w:line="274" w:lineRule="exact"/>
        <w:ind w:right="6"/>
        <w:jc w:val="center"/>
        <w:rPr>
          <w:rFonts w:ascii="Times New Roman" w:hAnsi="Times New Roman"/>
          <w:sz w:val="22"/>
          <w:szCs w:val="22"/>
        </w:rPr>
      </w:pPr>
      <w:r w:rsidRPr="00C4281A">
        <w:rPr>
          <w:rFonts w:ascii="Times New Roman" w:hAnsi="Times New Roman"/>
          <w:sz w:val="22"/>
          <w:szCs w:val="22"/>
        </w:rPr>
        <w:t>Generelle krav til fremstilling - bestemmelse om angivelse af oplysninger til kunder</w:t>
      </w:r>
    </w:p>
    <w:p w:rsidR="00247089" w:rsidRPr="00C4281A" w:rsidRDefault="00247089" w:rsidP="00C4281A">
      <w:pPr>
        <w:pStyle w:val="ListParagraph"/>
        <w:widowControl/>
        <w:numPr>
          <w:ilvl w:val="0"/>
          <w:numId w:val="20"/>
        </w:numPr>
        <w:spacing w:before="125" w:line="237" w:lineRule="auto"/>
        <w:ind w:left="540" w:right="106" w:hanging="540"/>
      </w:pPr>
      <w:r w:rsidRPr="00C4281A">
        <w:t xml:space="preserve">For at vurdere produkternes overensstemmelse, som henvist til i bilag I, kan fabrikaterne anvende harmoniserede europæiske standarder. Hvis der ikke findes harmoniserede europæiske standarder, kan der anvendes tilsvarende internationale, europæiske eller nationale standarder, eller endda internationalt anerkendte tekniske specifikationer eller god praksis. </w:t>
      </w:r>
    </w:p>
    <w:p w:rsidR="00247089" w:rsidRPr="00C4281A" w:rsidRDefault="00247089" w:rsidP="00C4281A">
      <w:pPr>
        <w:pStyle w:val="ListParagraph"/>
        <w:widowControl/>
        <w:spacing w:before="125" w:line="237" w:lineRule="auto"/>
        <w:ind w:left="540" w:right="106" w:firstLine="0"/>
      </w:pPr>
      <w:r w:rsidRPr="00C4281A">
        <w:t xml:space="preserve">Bilag V fastsætter en vejledende, ikke udtømmende liste over standarder og tekniske specifikationer som hjælp til fabrikanter. </w:t>
      </w:r>
    </w:p>
    <w:p w:rsidR="00247089" w:rsidRPr="00C4281A" w:rsidRDefault="00247089" w:rsidP="00C4281A">
      <w:pPr>
        <w:pStyle w:val="ListParagraph"/>
        <w:widowControl/>
        <w:numPr>
          <w:ilvl w:val="0"/>
          <w:numId w:val="20"/>
        </w:numPr>
        <w:spacing w:before="125" w:line="237" w:lineRule="auto"/>
        <w:ind w:left="540" w:right="106" w:hanging="540"/>
      </w:pPr>
      <w:r w:rsidRPr="00C4281A">
        <w:t xml:space="preserve">Overensstemmelsesvurderingen skal udføres af et overensstemmelsesvurderingsorgan i medfør af forordning nr. 765/2008/EC, som skal udstede et overensstemmelsescertifikat på baggrund af de fastlagte krav efter en anmodning fra en fabrikant med henblik på det tiltænkte formål. Overensstemmelsescertifikatet skal henvise til de færdigt fremstillede produkter, der er fremstillet ved forarbejdning af gummi. </w:t>
      </w:r>
    </w:p>
    <w:p w:rsidR="00247089" w:rsidRPr="00C4281A" w:rsidRDefault="00247089" w:rsidP="00C4281A">
      <w:pPr>
        <w:pStyle w:val="Heading3"/>
        <w:keepNext w:val="0"/>
        <w:numPr>
          <w:ilvl w:val="0"/>
          <w:numId w:val="20"/>
        </w:numPr>
        <w:autoSpaceDE w:val="0"/>
        <w:autoSpaceDN w:val="0"/>
        <w:spacing w:before="121"/>
        <w:ind w:left="540" w:right="106" w:hanging="540"/>
        <w:jc w:val="both"/>
        <w:rPr>
          <w:rFonts w:ascii="Times New Roman" w:hAnsi="Times New Roman"/>
          <w:b w:val="0"/>
          <w:sz w:val="22"/>
          <w:szCs w:val="22"/>
        </w:rPr>
      </w:pPr>
      <w:r w:rsidRPr="00C4281A">
        <w:rPr>
          <w:rFonts w:ascii="Times New Roman" w:hAnsi="Times New Roman"/>
          <w:b w:val="0"/>
          <w:sz w:val="22"/>
          <w:szCs w:val="22"/>
        </w:rPr>
        <w:t>Fabrikanten, importøren eller distributørens skal tilvejebringe de nødvendige anbefalinger, oplysninger og forslag til kunderne, oplyse dem om de gældende standarder og rådgive kunderne om passende trin for at undgå potentielle risici.</w:t>
      </w:r>
    </w:p>
    <w:p w:rsidR="00247089" w:rsidRPr="00C4281A" w:rsidRDefault="00247089" w:rsidP="00861198">
      <w:pPr>
        <w:pStyle w:val="ListParagraph"/>
        <w:widowControl/>
        <w:spacing w:before="125" w:line="237" w:lineRule="auto"/>
        <w:ind w:left="540" w:right="106" w:firstLine="0"/>
      </w:pPr>
      <w:r w:rsidRPr="00C4281A">
        <w:t xml:space="preserve">Anbefalinger, oplysninger og forslag skal være tydelige og forståelige, skal have relevans til de teknikker, der blev anvendt under fremstillingen af produkterne, skal oplyse om produktets forventede levetid under formale og rimelige forudsigelige brugsforhold, og skal henvise til de krævede </w:t>
      </w:r>
      <w:r w:rsidRPr="00C4281A">
        <w:lastRenderedPageBreak/>
        <w:t>regelmæssige kontroller, vedligeholdelsesmetoden og de afhjælpende foranstaltninger med henblik på at sikre brugernes sundhed og sikkerhed.</w:t>
      </w:r>
    </w:p>
    <w:p w:rsidR="00247089" w:rsidRPr="00C4281A" w:rsidRDefault="00247089" w:rsidP="00C4281A">
      <w:pPr>
        <w:pStyle w:val="BodyText"/>
        <w:spacing w:before="9"/>
        <w:rPr>
          <w:rFonts w:ascii="Times New Roman" w:hAnsi="Times New Roman"/>
          <w:sz w:val="22"/>
          <w:szCs w:val="22"/>
        </w:rPr>
      </w:pPr>
    </w:p>
    <w:p w:rsidR="00247089" w:rsidRPr="00C4281A" w:rsidRDefault="00943836" w:rsidP="00C4281A">
      <w:pPr>
        <w:tabs>
          <w:tab w:val="left" w:pos="1060"/>
        </w:tabs>
        <w:ind w:right="6"/>
        <w:jc w:val="center"/>
        <w:rPr>
          <w:rFonts w:ascii="Times New Roman" w:hAnsi="Times New Roman"/>
          <w:b/>
          <w:sz w:val="22"/>
          <w:szCs w:val="22"/>
        </w:rPr>
      </w:pPr>
      <w:r w:rsidRPr="00C4281A">
        <w:rPr>
          <w:rFonts w:ascii="Times New Roman" w:hAnsi="Times New Roman"/>
          <w:b/>
          <w:sz w:val="22"/>
          <w:szCs w:val="22"/>
        </w:rPr>
        <w:t>Artikel 7</w:t>
      </w:r>
    </w:p>
    <w:p w:rsidR="00247089" w:rsidRPr="00C4281A" w:rsidRDefault="00247089" w:rsidP="00C4281A">
      <w:pPr>
        <w:ind w:right="6"/>
        <w:jc w:val="center"/>
        <w:rPr>
          <w:rFonts w:ascii="Times New Roman" w:hAnsi="Times New Roman"/>
          <w:sz w:val="22"/>
          <w:szCs w:val="22"/>
        </w:rPr>
      </w:pPr>
      <w:r w:rsidRPr="00C4281A">
        <w:rPr>
          <w:rFonts w:ascii="Times New Roman" w:hAnsi="Times New Roman"/>
          <w:sz w:val="22"/>
          <w:szCs w:val="22"/>
        </w:rPr>
        <w:t>Markedsovervågning</w:t>
      </w:r>
    </w:p>
    <w:p w:rsidR="00247089" w:rsidRPr="00C4281A" w:rsidRDefault="00247089" w:rsidP="00C4281A">
      <w:pPr>
        <w:numPr>
          <w:ilvl w:val="0"/>
          <w:numId w:val="33"/>
        </w:numPr>
        <w:autoSpaceDE w:val="0"/>
        <w:autoSpaceDN w:val="0"/>
        <w:spacing w:before="120" w:after="120"/>
        <w:ind w:left="540" w:right="6" w:hanging="540"/>
        <w:jc w:val="both"/>
        <w:rPr>
          <w:rFonts w:ascii="Times New Roman" w:hAnsi="Times New Roman"/>
          <w:strike/>
          <w:sz w:val="22"/>
          <w:szCs w:val="22"/>
        </w:rPr>
      </w:pPr>
      <w:r w:rsidRPr="00C4281A">
        <w:rPr>
          <w:rFonts w:ascii="Times New Roman" w:hAnsi="Times New Roman"/>
          <w:sz w:val="22"/>
          <w:szCs w:val="22"/>
        </w:rPr>
        <w:t>Generalsekretariatet for industri under ministeriet for udvikling og investeringer er den kompetente nationale myndighed for markedsovervågning af produkter, som denne beslutning er omfattet af, samt den korrekte gennemførelse af dens bestemmelser. Inden for rammerne af dens overvågningspligter om at udarbejde og udføre en årlig markedsovervågningsplan (</w:t>
      </w:r>
      <w:r w:rsidRPr="00C4281A">
        <w:rPr>
          <w:rFonts w:ascii="Times New Roman" w:hAnsi="Times New Roman"/>
          <w:i/>
          <w:iCs/>
          <w:sz w:val="22"/>
          <w:szCs w:val="22"/>
        </w:rPr>
        <w:t>forordning</w:t>
      </w:r>
      <w:r w:rsidRPr="00C4281A">
        <w:rPr>
          <w:rFonts w:ascii="Times New Roman" w:hAnsi="Times New Roman"/>
          <w:sz w:val="22"/>
          <w:szCs w:val="22"/>
        </w:rPr>
        <w:t xml:space="preserve"> </w:t>
      </w:r>
      <w:r w:rsidRPr="00C4281A">
        <w:rPr>
          <w:rFonts w:ascii="Times New Roman" w:hAnsi="Times New Roman"/>
          <w:i/>
          <w:iCs/>
          <w:sz w:val="22"/>
          <w:szCs w:val="22"/>
        </w:rPr>
        <w:t>(EF) nr. 765/2008 og lov nr. 4072/2012, kapitel V)</w:t>
      </w:r>
      <w:r w:rsidRPr="00C4281A">
        <w:rPr>
          <w:rFonts w:ascii="Times New Roman" w:hAnsi="Times New Roman"/>
          <w:sz w:val="22"/>
          <w:szCs w:val="22"/>
        </w:rPr>
        <w:t xml:space="preserve"> skal disse også omfatte kontroller af produkter, der er omfattet af denne beslutning.</w:t>
      </w:r>
    </w:p>
    <w:p w:rsidR="00247089" w:rsidRPr="00C4281A" w:rsidRDefault="00247089" w:rsidP="00C4281A">
      <w:pPr>
        <w:pStyle w:val="ListParagraph"/>
        <w:widowControl/>
        <w:numPr>
          <w:ilvl w:val="0"/>
          <w:numId w:val="33"/>
        </w:numPr>
        <w:adjustRightInd w:val="0"/>
        <w:ind w:left="540" w:hanging="540"/>
      </w:pPr>
      <w:r w:rsidRPr="00C4281A">
        <w:t>Inden for rammerne af udarbejdelsen af produktkontrolplanerne vedrørende produktoverensstemmelsen skal statens almindelige laboratorium i henhold til ministerbeslutning nr. 450/2008 (den græske statstidende 2553/B/2008) og fælles ministerbeslutning nr. 3015811/2663 (den græske statstidende 1410/B/2010), udarbejde årlige inspektionsplaner for at vurdere, om produkterne, der er omfattet af denne beslutning, er i overensstemmelse med REACH- og CLP-forordningen.</w:t>
      </w:r>
    </w:p>
    <w:p w:rsidR="00247089" w:rsidRPr="00C4281A" w:rsidRDefault="00247089" w:rsidP="00C4281A">
      <w:pPr>
        <w:pStyle w:val="ListParagraph"/>
        <w:widowControl/>
        <w:numPr>
          <w:ilvl w:val="0"/>
          <w:numId w:val="33"/>
        </w:numPr>
        <w:spacing w:after="120"/>
        <w:ind w:left="540" w:right="105" w:hanging="540"/>
      </w:pPr>
      <w:r w:rsidRPr="00C4281A">
        <w:t>Kontrollerne skal udføres på produktions-, emballerings-, lagrings- og distributionsfaciliteter og på fragter, der skal lagres eller leveres til installation på skoler, indendørs og udendørs legepladser, sportspladser, sportsanlæg, svømmebassiner, offentlige og private fitnesscentre osv.</w:t>
      </w:r>
    </w:p>
    <w:p w:rsidR="00247089" w:rsidRPr="00C4281A" w:rsidRDefault="00247089" w:rsidP="00C4281A">
      <w:pPr>
        <w:pStyle w:val="ListParagraph"/>
        <w:widowControl/>
        <w:numPr>
          <w:ilvl w:val="0"/>
          <w:numId w:val="33"/>
        </w:numPr>
        <w:spacing w:after="120"/>
        <w:ind w:left="540" w:right="105" w:hanging="540"/>
      </w:pPr>
      <w:r w:rsidRPr="00C4281A">
        <w:t>Laboratorietest, der udføres for at kontrollere og dokumentere overensstemmelsen af de færdige produkter, må kun udføres af akkrediterede laboratorier inden for hvert område.</w:t>
      </w:r>
    </w:p>
    <w:p w:rsidR="00247089" w:rsidRPr="00C4281A" w:rsidRDefault="00247089" w:rsidP="00C4281A">
      <w:pPr>
        <w:pStyle w:val="Default"/>
        <w:numPr>
          <w:ilvl w:val="0"/>
          <w:numId w:val="33"/>
        </w:numPr>
        <w:spacing w:before="120" w:after="120"/>
        <w:ind w:left="540" w:hanging="540"/>
        <w:jc w:val="both"/>
        <w:rPr>
          <w:color w:val="auto"/>
          <w:sz w:val="22"/>
          <w:szCs w:val="22"/>
        </w:rPr>
      </w:pPr>
      <w:r w:rsidRPr="00C4281A">
        <w:rPr>
          <w:color w:val="auto"/>
          <w:sz w:val="22"/>
          <w:szCs w:val="22"/>
        </w:rPr>
        <w:t xml:space="preserve">Prøver, der tages inden for rammerne af markedsovervågningen for at kontrollere overensstemmelsen med REACH- og CLP-forordningen, må kun kontrolleres af laboratorier under statens almindelige laboratorium. </w:t>
      </w:r>
    </w:p>
    <w:p w:rsidR="00247089" w:rsidRPr="00C4281A" w:rsidRDefault="00247089" w:rsidP="00C4281A">
      <w:pPr>
        <w:tabs>
          <w:tab w:val="left" w:pos="1156"/>
        </w:tabs>
        <w:spacing w:line="274" w:lineRule="exact"/>
        <w:ind w:right="6"/>
        <w:jc w:val="center"/>
        <w:rPr>
          <w:rFonts w:ascii="Times New Roman" w:hAnsi="Times New Roman"/>
          <w:b/>
          <w:sz w:val="22"/>
          <w:szCs w:val="22"/>
        </w:rPr>
      </w:pPr>
    </w:p>
    <w:p w:rsidR="00247089" w:rsidRPr="00C4281A" w:rsidRDefault="00943836" w:rsidP="00C4281A">
      <w:pPr>
        <w:tabs>
          <w:tab w:val="left" w:pos="1156"/>
        </w:tabs>
        <w:spacing w:line="274" w:lineRule="exact"/>
        <w:ind w:right="6"/>
        <w:jc w:val="center"/>
        <w:rPr>
          <w:rFonts w:ascii="Times New Roman" w:hAnsi="Times New Roman"/>
          <w:b/>
          <w:sz w:val="22"/>
          <w:szCs w:val="22"/>
        </w:rPr>
      </w:pPr>
      <w:r w:rsidRPr="00C4281A">
        <w:rPr>
          <w:rFonts w:ascii="Times New Roman" w:hAnsi="Times New Roman"/>
          <w:b/>
          <w:sz w:val="22"/>
          <w:szCs w:val="22"/>
        </w:rPr>
        <w:t>Artikel 8</w:t>
      </w:r>
    </w:p>
    <w:p w:rsidR="00247089" w:rsidRPr="00C4281A" w:rsidRDefault="00247089" w:rsidP="00C4281A">
      <w:pPr>
        <w:spacing w:line="274" w:lineRule="exact"/>
        <w:ind w:left="3061"/>
        <w:rPr>
          <w:rFonts w:ascii="Times New Roman" w:hAnsi="Times New Roman"/>
          <w:sz w:val="22"/>
          <w:szCs w:val="22"/>
        </w:rPr>
      </w:pPr>
      <w:r w:rsidRPr="00C4281A">
        <w:rPr>
          <w:rFonts w:ascii="Times New Roman" w:hAnsi="Times New Roman"/>
          <w:sz w:val="22"/>
          <w:szCs w:val="22"/>
        </w:rPr>
        <w:t>De økonomiske aktørers forpligtelser</w:t>
      </w:r>
    </w:p>
    <w:p w:rsidR="00247089" w:rsidRPr="00C4281A" w:rsidRDefault="00247089" w:rsidP="00C4281A">
      <w:pPr>
        <w:spacing w:before="122"/>
        <w:ind w:left="102"/>
        <w:rPr>
          <w:rFonts w:ascii="Times New Roman" w:hAnsi="Times New Roman"/>
          <w:sz w:val="22"/>
          <w:szCs w:val="22"/>
        </w:rPr>
      </w:pPr>
      <w:r w:rsidRPr="00C4281A">
        <w:rPr>
          <w:rFonts w:ascii="Times New Roman" w:hAnsi="Times New Roman"/>
          <w:sz w:val="22"/>
          <w:szCs w:val="22"/>
        </w:rPr>
        <w:t>Forpligtelserne for de økonomiske aktører, der er underlagt bestemmelserne i denne beslutning, er fastsat i stykkerne nedenfor.</w:t>
      </w:r>
    </w:p>
    <w:p w:rsidR="00247089" w:rsidRPr="00C4281A" w:rsidRDefault="00247089" w:rsidP="00C4281A">
      <w:pPr>
        <w:pStyle w:val="ListParagraph"/>
        <w:widowControl/>
        <w:numPr>
          <w:ilvl w:val="0"/>
          <w:numId w:val="18"/>
        </w:numPr>
        <w:ind w:left="540" w:hanging="540"/>
        <w:jc w:val="left"/>
        <w:rPr>
          <w:b/>
        </w:rPr>
      </w:pPr>
      <w:r w:rsidRPr="00C4281A">
        <w:rPr>
          <w:b/>
          <w:bCs/>
        </w:rPr>
        <w:t>Fabrikanter</w:t>
      </w:r>
      <w:r w:rsidRPr="00C4281A">
        <w:t>, importører og distributører er forpligtede til at:</w:t>
      </w:r>
    </w:p>
    <w:p w:rsidR="00247089" w:rsidRPr="00C4281A" w:rsidRDefault="00247089" w:rsidP="00C4281A">
      <w:pPr>
        <w:pStyle w:val="ListParagraph"/>
        <w:widowControl/>
        <w:numPr>
          <w:ilvl w:val="1"/>
          <w:numId w:val="18"/>
        </w:numPr>
        <w:tabs>
          <w:tab w:val="left" w:pos="810"/>
        </w:tabs>
        <w:spacing w:after="120"/>
        <w:ind w:left="811" w:right="109" w:hanging="284"/>
      </w:pPr>
      <w:r w:rsidRPr="00C4281A">
        <w:t>stille produkter til rådighed på markedet i overensstemmelse med bestemmelserne i denne beslutning</w:t>
      </w:r>
    </w:p>
    <w:p w:rsidR="00247089" w:rsidRPr="00C4281A" w:rsidRDefault="00247089" w:rsidP="00C4281A">
      <w:pPr>
        <w:pStyle w:val="ListParagraph"/>
        <w:widowControl/>
        <w:numPr>
          <w:ilvl w:val="1"/>
          <w:numId w:val="18"/>
        </w:numPr>
        <w:tabs>
          <w:tab w:val="left" w:pos="810"/>
        </w:tabs>
        <w:spacing w:after="120"/>
        <w:ind w:left="811" w:right="109" w:hanging="284"/>
      </w:pPr>
      <w:r w:rsidRPr="00C4281A">
        <w:t>udarbejde eller kræve, at fabrikanten udarbejder erklæringen på tro og love, som henvist til i artikel 4, der skal gives videre til kunden med en relevant teknisk fil, anbefalinger og passende informationer</w:t>
      </w:r>
    </w:p>
    <w:p w:rsidR="00247089" w:rsidRPr="00C4281A" w:rsidRDefault="00247089" w:rsidP="00C4281A">
      <w:pPr>
        <w:pStyle w:val="ListParagraph"/>
        <w:widowControl/>
        <w:numPr>
          <w:ilvl w:val="1"/>
          <w:numId w:val="18"/>
        </w:numPr>
        <w:tabs>
          <w:tab w:val="left" w:pos="810"/>
        </w:tabs>
        <w:spacing w:after="120"/>
        <w:ind w:left="811" w:hanging="284"/>
      </w:pPr>
      <w:r w:rsidRPr="00C4281A">
        <w:t>sikre adgangen til det anvendte kvalitetsstyringssystem for de kompetente markedsovervågningsmyndigheder efter anmodning</w:t>
      </w:r>
    </w:p>
    <w:p w:rsidR="00247089" w:rsidRPr="00C4281A" w:rsidRDefault="00247089" w:rsidP="00C4281A">
      <w:pPr>
        <w:pStyle w:val="ListParagraph"/>
        <w:widowControl/>
        <w:numPr>
          <w:ilvl w:val="1"/>
          <w:numId w:val="18"/>
        </w:numPr>
        <w:tabs>
          <w:tab w:val="left" w:pos="810"/>
        </w:tabs>
        <w:spacing w:after="120"/>
        <w:ind w:left="811" w:right="112" w:hanging="284"/>
      </w:pPr>
      <w:r w:rsidRPr="00C4281A">
        <w:t>sikre adgangen til alle lokaler, anlæg og dokumenter, der vedrører forarbejdningen, lagringen og installationen af produkter, efter anmodning fra de kompetente markedsovervågningsmyndigheder, med henblik på at kontrollere overensstemmelsen med bestemmelserne i denne beslutning</w:t>
      </w:r>
    </w:p>
    <w:p w:rsidR="00247089" w:rsidRPr="00C4281A" w:rsidRDefault="00247089" w:rsidP="00C4281A">
      <w:pPr>
        <w:pStyle w:val="ListParagraph"/>
        <w:widowControl/>
        <w:numPr>
          <w:ilvl w:val="1"/>
          <w:numId w:val="18"/>
        </w:numPr>
        <w:tabs>
          <w:tab w:val="left" w:pos="810"/>
        </w:tabs>
        <w:spacing w:after="120"/>
        <w:ind w:left="811" w:hanging="284"/>
        <w:jc w:val="left"/>
      </w:pPr>
      <w:r w:rsidRPr="00C4281A">
        <w:t>implementere et sporbarhedssystem</w:t>
      </w:r>
    </w:p>
    <w:p w:rsidR="00247089" w:rsidRPr="00C4281A" w:rsidRDefault="00247089" w:rsidP="00C4281A">
      <w:pPr>
        <w:pStyle w:val="ListParagraph"/>
        <w:widowControl/>
        <w:numPr>
          <w:ilvl w:val="1"/>
          <w:numId w:val="18"/>
        </w:numPr>
        <w:tabs>
          <w:tab w:val="left" w:pos="810"/>
        </w:tabs>
        <w:spacing w:after="120"/>
        <w:ind w:left="811" w:right="123" w:hanging="284"/>
      </w:pPr>
      <w:r w:rsidRPr="00C4281A">
        <w:t>informere de kompetente markedsovervågningsmyndigheder om de potentielle risici samt samarbejde med dem for at forebygge sådanne risici.</w:t>
      </w:r>
    </w:p>
    <w:p w:rsidR="00247089" w:rsidRPr="00C4281A" w:rsidRDefault="00247089" w:rsidP="00C4281A">
      <w:pPr>
        <w:pStyle w:val="ListParagraph"/>
        <w:widowControl/>
        <w:numPr>
          <w:ilvl w:val="0"/>
          <w:numId w:val="18"/>
        </w:numPr>
        <w:tabs>
          <w:tab w:val="left" w:pos="530"/>
        </w:tabs>
        <w:spacing w:before="119"/>
        <w:ind w:left="450" w:right="108" w:hanging="540"/>
        <w:jc w:val="both"/>
      </w:pPr>
      <w:r w:rsidRPr="00C4281A">
        <w:rPr>
          <w:b/>
          <w:bCs/>
        </w:rPr>
        <w:t>Kunder</w:t>
      </w:r>
      <w:r w:rsidRPr="00C4281A">
        <w:t>, der er ansvarlige for anvendelser af produktet i forbindelse med den brede offentlighed, er forpligtede til, uden forbehold for mere specifikke bestemmelser (</w:t>
      </w:r>
      <w:r w:rsidRPr="00C4281A">
        <w:rPr>
          <w:i/>
          <w:iCs/>
        </w:rPr>
        <w:t>såsom loven om grønne kontrakter</w:t>
      </w:r>
      <w:r w:rsidRPr="00C4281A">
        <w:t>), at:</w:t>
      </w:r>
    </w:p>
    <w:p w:rsidR="00247089" w:rsidRPr="00C4281A" w:rsidRDefault="00247089" w:rsidP="00C4281A">
      <w:pPr>
        <w:pStyle w:val="ListParagraph"/>
        <w:widowControl/>
        <w:numPr>
          <w:ilvl w:val="1"/>
          <w:numId w:val="18"/>
        </w:numPr>
        <w:tabs>
          <w:tab w:val="left" w:pos="810"/>
        </w:tabs>
        <w:spacing w:after="120"/>
        <w:ind w:left="811" w:right="109" w:hanging="284"/>
      </w:pPr>
      <w:r w:rsidRPr="00C4281A">
        <w:t>inkludere kravene i denne beslutning i tekniske specifikationer for udbudsprocedurer, som de indleder for at købe de nævnte produkter, og at kræve fremlæggelse af passende dokumentation i dokumentformat og certifikater for overensstemmelse</w:t>
      </w:r>
    </w:p>
    <w:p w:rsidR="00247089" w:rsidRPr="00C4281A" w:rsidRDefault="00247089" w:rsidP="00C4281A">
      <w:pPr>
        <w:pStyle w:val="ListParagraph"/>
        <w:widowControl/>
        <w:numPr>
          <w:ilvl w:val="1"/>
          <w:numId w:val="18"/>
        </w:numPr>
        <w:tabs>
          <w:tab w:val="left" w:pos="810"/>
        </w:tabs>
        <w:spacing w:after="120"/>
        <w:ind w:left="811" w:right="113" w:hanging="284"/>
      </w:pPr>
      <w:r w:rsidRPr="00C4281A">
        <w:lastRenderedPageBreak/>
        <w:t>opbevare erklæringen på tro og love og den tekniske dokumentation, de har fået af fabrikanten eller importøren, for hvert parti af produkter, der leveres</w:t>
      </w:r>
    </w:p>
    <w:p w:rsidR="00247089" w:rsidRPr="00C4281A" w:rsidRDefault="00247089" w:rsidP="00C4281A">
      <w:pPr>
        <w:pStyle w:val="ListParagraph"/>
        <w:widowControl/>
        <w:numPr>
          <w:ilvl w:val="1"/>
          <w:numId w:val="18"/>
        </w:numPr>
        <w:tabs>
          <w:tab w:val="left" w:pos="810"/>
        </w:tabs>
        <w:spacing w:after="120"/>
        <w:ind w:left="811" w:right="110" w:hanging="284"/>
      </w:pPr>
      <w:r w:rsidRPr="00C4281A">
        <w:t>overholde anbefalingerne og forslagene fra produktets fabrikant eller importør</w:t>
      </w:r>
    </w:p>
    <w:p w:rsidR="00247089" w:rsidRPr="00C4281A" w:rsidRDefault="00247089" w:rsidP="00C4281A">
      <w:pPr>
        <w:pStyle w:val="ListParagraph"/>
        <w:widowControl/>
        <w:numPr>
          <w:ilvl w:val="1"/>
          <w:numId w:val="18"/>
        </w:numPr>
        <w:tabs>
          <w:tab w:val="left" w:pos="810"/>
        </w:tabs>
        <w:spacing w:after="120"/>
        <w:ind w:left="811" w:right="108" w:hanging="284"/>
      </w:pPr>
      <w:r w:rsidRPr="00C4281A">
        <w:t>sikre adgangen til alle lokaler, anlæg og dokumenter, der vedrører forarbejdningen, lagringen og installationen af produkter, efter anmodning fra de kompetente markedsovervågningsmyndigheder, med henblik på at kontrollere overensstemmelsen med bestemmelserne i denne beslutning</w:t>
      </w:r>
    </w:p>
    <w:p w:rsidR="00247089" w:rsidRPr="00C4281A" w:rsidRDefault="00247089" w:rsidP="00C4281A">
      <w:pPr>
        <w:pStyle w:val="ListParagraph"/>
        <w:widowControl/>
        <w:numPr>
          <w:ilvl w:val="1"/>
          <w:numId w:val="18"/>
        </w:numPr>
        <w:tabs>
          <w:tab w:val="left" w:pos="810"/>
        </w:tabs>
        <w:spacing w:after="120"/>
        <w:ind w:left="811" w:right="113" w:hanging="284"/>
      </w:pPr>
      <w:r w:rsidRPr="00C4281A">
        <w:t>informere de kompetente markedsovervågningsmyndigheder om de potentielle risici samt samarbejde med dem for at forebygge sådanne risici.</w:t>
      </w:r>
    </w:p>
    <w:p w:rsidR="00247089" w:rsidRPr="00C4281A" w:rsidRDefault="00247089" w:rsidP="00C4281A">
      <w:pPr>
        <w:pStyle w:val="Heading3"/>
        <w:keepNext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sidRPr="00C4281A">
        <w:rPr>
          <w:rFonts w:ascii="Times New Roman" w:hAnsi="Times New Roman"/>
          <w:b w:val="0"/>
          <w:sz w:val="22"/>
          <w:szCs w:val="22"/>
        </w:rPr>
        <w:t>Overensstemmelsesvurderings</w:t>
      </w:r>
      <w:r w:rsidRPr="00C4281A">
        <w:rPr>
          <w:rFonts w:ascii="Times New Roman" w:hAnsi="Times New Roman"/>
          <w:bCs/>
          <w:sz w:val="22"/>
          <w:szCs w:val="22"/>
        </w:rPr>
        <w:t>organer</w:t>
      </w:r>
      <w:r w:rsidRPr="00C4281A">
        <w:rPr>
          <w:rFonts w:ascii="Times New Roman" w:hAnsi="Times New Roman"/>
          <w:b w:val="0"/>
          <w:sz w:val="22"/>
          <w:szCs w:val="22"/>
        </w:rPr>
        <w:t xml:space="preserve"> er forpligtede til følgende:</w:t>
      </w:r>
    </w:p>
    <w:p w:rsidR="00247089" w:rsidRPr="00C4281A" w:rsidRDefault="00247089" w:rsidP="00C4281A">
      <w:pPr>
        <w:pStyle w:val="ListParagraph"/>
        <w:widowControl/>
        <w:numPr>
          <w:ilvl w:val="1"/>
          <w:numId w:val="18"/>
        </w:numPr>
        <w:tabs>
          <w:tab w:val="left" w:pos="810"/>
        </w:tabs>
        <w:spacing w:after="120"/>
        <w:ind w:left="811" w:right="122" w:hanging="284"/>
      </w:pPr>
      <w:r w:rsidRPr="00C4281A">
        <w:t>fuldstændigt at opfylde kravene i den tekniske lovgivning, der vedrører dem, og uden undtagelser at overholde driftsbetingelserne, som de pålægges</w:t>
      </w:r>
    </w:p>
    <w:p w:rsidR="00247089" w:rsidRPr="00C4281A" w:rsidRDefault="00247089" w:rsidP="00C4281A">
      <w:pPr>
        <w:pStyle w:val="ListParagraph"/>
        <w:widowControl/>
        <w:numPr>
          <w:ilvl w:val="1"/>
          <w:numId w:val="18"/>
        </w:numPr>
        <w:tabs>
          <w:tab w:val="left" w:pos="810"/>
        </w:tabs>
        <w:spacing w:after="120"/>
        <w:ind w:left="811" w:hanging="284"/>
        <w:jc w:val="left"/>
      </w:pPr>
      <w:r w:rsidRPr="00C4281A">
        <w:t>udøve deres beføjelser på en uafhængig og upartisk måde</w:t>
      </w:r>
    </w:p>
    <w:p w:rsidR="00247089" w:rsidRPr="00C4281A" w:rsidRDefault="00247089" w:rsidP="00C4281A">
      <w:pPr>
        <w:pStyle w:val="ListParagraph"/>
        <w:widowControl/>
        <w:numPr>
          <w:ilvl w:val="1"/>
          <w:numId w:val="18"/>
        </w:numPr>
        <w:tabs>
          <w:tab w:val="left" w:pos="810"/>
        </w:tabs>
        <w:spacing w:after="120"/>
        <w:ind w:left="811" w:right="111" w:hanging="284"/>
      </w:pPr>
      <w:r w:rsidRPr="00C4281A">
        <w:t>udstede passende certifikater i overensstemmelse med lovgivningen og de tekniske forskrifter</w:t>
      </w:r>
    </w:p>
    <w:p w:rsidR="00247089" w:rsidRPr="00C4281A" w:rsidRDefault="00247089" w:rsidP="00C4281A">
      <w:pPr>
        <w:pStyle w:val="ListParagraph"/>
        <w:widowControl/>
        <w:numPr>
          <w:ilvl w:val="1"/>
          <w:numId w:val="18"/>
        </w:numPr>
        <w:tabs>
          <w:tab w:val="left" w:pos="810"/>
        </w:tabs>
        <w:spacing w:after="120"/>
        <w:ind w:left="811" w:right="114" w:hanging="284"/>
      </w:pPr>
      <w:r w:rsidRPr="00C4281A">
        <w:t>informere de kompetente myndigheder om de potentielle risici samt samarbejde med dem for at forebygge sådanne risici.</w:t>
      </w:r>
    </w:p>
    <w:p w:rsidR="00247089" w:rsidRPr="00C4281A" w:rsidRDefault="00247089" w:rsidP="00C4281A">
      <w:pPr>
        <w:tabs>
          <w:tab w:val="left" w:pos="1060"/>
        </w:tabs>
        <w:spacing w:line="250" w:lineRule="exact"/>
        <w:ind w:right="6"/>
        <w:jc w:val="center"/>
        <w:rPr>
          <w:rFonts w:ascii="Times New Roman" w:hAnsi="Times New Roman"/>
          <w:b/>
          <w:sz w:val="22"/>
          <w:szCs w:val="22"/>
        </w:rPr>
      </w:pPr>
    </w:p>
    <w:p w:rsidR="00247089" w:rsidRPr="00C4281A" w:rsidRDefault="00A01F2C" w:rsidP="00C4281A">
      <w:pPr>
        <w:tabs>
          <w:tab w:val="left" w:pos="1060"/>
        </w:tabs>
        <w:spacing w:line="250" w:lineRule="exact"/>
        <w:ind w:right="6"/>
        <w:jc w:val="center"/>
        <w:rPr>
          <w:rFonts w:ascii="Times New Roman" w:hAnsi="Times New Roman"/>
          <w:b/>
          <w:sz w:val="22"/>
          <w:szCs w:val="22"/>
        </w:rPr>
      </w:pPr>
      <w:r w:rsidRPr="00C4281A">
        <w:rPr>
          <w:rFonts w:ascii="Times New Roman" w:hAnsi="Times New Roman"/>
          <w:b/>
          <w:sz w:val="22"/>
          <w:szCs w:val="22"/>
        </w:rPr>
        <w:t>Artikel 9</w:t>
      </w:r>
    </w:p>
    <w:p w:rsidR="00247089" w:rsidRPr="00C4281A" w:rsidRDefault="00247089" w:rsidP="00C4281A">
      <w:pPr>
        <w:tabs>
          <w:tab w:val="left" w:pos="1060"/>
        </w:tabs>
        <w:spacing w:line="250" w:lineRule="exact"/>
        <w:ind w:right="6"/>
        <w:jc w:val="center"/>
        <w:rPr>
          <w:rFonts w:ascii="Times New Roman" w:hAnsi="Times New Roman"/>
          <w:sz w:val="22"/>
          <w:szCs w:val="22"/>
        </w:rPr>
      </w:pPr>
      <w:r w:rsidRPr="00C4281A">
        <w:rPr>
          <w:rFonts w:ascii="Times New Roman" w:hAnsi="Times New Roman"/>
          <w:sz w:val="22"/>
          <w:szCs w:val="22"/>
        </w:rPr>
        <w:t>Klausul om gensidig anerkendelse</w:t>
      </w:r>
    </w:p>
    <w:p w:rsidR="00247089" w:rsidRPr="00C4281A" w:rsidRDefault="00247089" w:rsidP="00C4281A">
      <w:pPr>
        <w:numPr>
          <w:ilvl w:val="0"/>
          <w:numId w:val="41"/>
        </w:numPr>
        <w:autoSpaceDE w:val="0"/>
        <w:autoSpaceDN w:val="0"/>
        <w:spacing w:before="120" w:after="120"/>
        <w:ind w:left="540" w:right="6" w:hanging="540"/>
        <w:jc w:val="both"/>
        <w:rPr>
          <w:rFonts w:ascii="Times New Roman" w:hAnsi="Times New Roman"/>
          <w:b/>
          <w:sz w:val="22"/>
          <w:szCs w:val="22"/>
        </w:rPr>
      </w:pPr>
      <w:r w:rsidRPr="00C4281A">
        <w:rPr>
          <w:rFonts w:ascii="Times New Roman" w:hAnsi="Times New Roman"/>
          <w:sz w:val="22"/>
          <w:szCs w:val="22"/>
        </w:rPr>
        <w:t xml:space="preserve">Industrielt fremstillede gummiprodukter, der er fremstillet til de formål, der er nævnt i bilag I, og som markedsføres lovligt i en anden EU-medlemsstat eller i Tyrkiet, eller som kommer fra og lovligt markedsføres i en EFTA-stat, der er part i EØS-aftalen, anses for at være i overensstemmelse med bestemmelserne i denne beslutning. </w:t>
      </w:r>
    </w:p>
    <w:p w:rsidR="00247089" w:rsidRPr="00C4281A" w:rsidRDefault="00247089" w:rsidP="00C4281A">
      <w:pPr>
        <w:spacing w:before="120" w:after="120"/>
        <w:ind w:left="540" w:right="6"/>
        <w:jc w:val="both"/>
        <w:rPr>
          <w:rFonts w:ascii="Times New Roman" w:hAnsi="Times New Roman"/>
          <w:b/>
          <w:sz w:val="22"/>
          <w:szCs w:val="22"/>
        </w:rPr>
      </w:pPr>
      <w:r w:rsidRPr="00C4281A">
        <w:rPr>
          <w:rFonts w:ascii="Times New Roman" w:hAnsi="Times New Roman"/>
          <w:sz w:val="22"/>
          <w:szCs w:val="22"/>
        </w:rPr>
        <w:t>Anvendelsen af bestemmelserne er underlagt Europa-Parlamentets og Rådets forordning (EF) nr. 764/2008 af 9. juli 2008 om procedurer for anvendelsen af visse nationale tekniske forskrifter på produkter, der markedsføres lovligt i en anden medlemsstat, og om ophævelse af beslutning nr. 3052/95/EF (EUT L 218 af 13.8.2008, s. 21) frem til den 18. april 2020 og er fra den 19. april 2020 underlagt forordning (EU) nr. 2019/515 af 19. marts 2019 om gensidig anerkendelse af varer, der lovligt markedsføres i en anden medlemsstat.</w:t>
      </w:r>
    </w:p>
    <w:p w:rsidR="00247089" w:rsidRPr="00C4281A" w:rsidRDefault="00247089" w:rsidP="00C4281A">
      <w:pPr>
        <w:numPr>
          <w:ilvl w:val="0"/>
          <w:numId w:val="41"/>
        </w:numPr>
        <w:autoSpaceDE w:val="0"/>
        <w:autoSpaceDN w:val="0"/>
        <w:spacing w:line="250" w:lineRule="exact"/>
        <w:ind w:left="540" w:right="6" w:hanging="540"/>
        <w:jc w:val="both"/>
        <w:rPr>
          <w:rFonts w:ascii="Times New Roman" w:hAnsi="Times New Roman"/>
          <w:b/>
          <w:sz w:val="22"/>
          <w:szCs w:val="22"/>
        </w:rPr>
      </w:pPr>
      <w:r w:rsidRPr="00C4281A">
        <w:rPr>
          <w:rFonts w:ascii="Times New Roman" w:hAnsi="Times New Roman"/>
          <w:sz w:val="22"/>
          <w:szCs w:val="22"/>
        </w:rPr>
        <w:t>Uden forbehold for stk. 1, skal forarbejdede gummiprodukter fra EU-medlemsstaterne kunne markedsføres uden hindringer i Grækenland, hvis det kan godtgøres, at deres ydelsesniveauer svarer til de niveauer, der er fastsat i bestemmelserne heri, samt at de overholder bestemmelserne i EU-lovgivningen.</w:t>
      </w:r>
    </w:p>
    <w:p w:rsidR="00247089" w:rsidRPr="00C4281A" w:rsidRDefault="00247089" w:rsidP="00C4281A">
      <w:pPr>
        <w:tabs>
          <w:tab w:val="left" w:pos="1060"/>
        </w:tabs>
        <w:spacing w:line="250" w:lineRule="exact"/>
        <w:ind w:right="6"/>
        <w:jc w:val="center"/>
        <w:rPr>
          <w:rFonts w:ascii="Times New Roman" w:hAnsi="Times New Roman"/>
          <w:b/>
          <w:sz w:val="22"/>
          <w:szCs w:val="22"/>
        </w:rPr>
      </w:pPr>
    </w:p>
    <w:p w:rsidR="00247089" w:rsidRPr="00C4281A" w:rsidRDefault="00A01F2C" w:rsidP="00C4281A">
      <w:pPr>
        <w:tabs>
          <w:tab w:val="left" w:pos="1060"/>
        </w:tabs>
        <w:spacing w:line="250" w:lineRule="exact"/>
        <w:ind w:right="6"/>
        <w:jc w:val="center"/>
        <w:rPr>
          <w:rFonts w:ascii="Times New Roman" w:hAnsi="Times New Roman"/>
          <w:b/>
          <w:sz w:val="22"/>
          <w:szCs w:val="22"/>
        </w:rPr>
      </w:pPr>
      <w:r w:rsidRPr="00C4281A">
        <w:rPr>
          <w:rFonts w:ascii="Times New Roman" w:hAnsi="Times New Roman"/>
          <w:b/>
          <w:sz w:val="22"/>
          <w:szCs w:val="22"/>
        </w:rPr>
        <w:t>Artikel 10</w:t>
      </w:r>
    </w:p>
    <w:p w:rsidR="00247089" w:rsidRPr="00C4281A" w:rsidRDefault="00247089" w:rsidP="00C4281A">
      <w:pPr>
        <w:pStyle w:val="Heading3"/>
        <w:spacing w:line="250" w:lineRule="exact"/>
        <w:ind w:right="6"/>
        <w:rPr>
          <w:rFonts w:ascii="Times New Roman" w:hAnsi="Times New Roman"/>
          <w:sz w:val="22"/>
          <w:szCs w:val="22"/>
        </w:rPr>
      </w:pPr>
      <w:r w:rsidRPr="00C4281A">
        <w:rPr>
          <w:rFonts w:ascii="Times New Roman" w:hAnsi="Times New Roman"/>
          <w:sz w:val="22"/>
          <w:szCs w:val="22"/>
        </w:rPr>
        <w:t>Sanktioner</w:t>
      </w:r>
    </w:p>
    <w:p w:rsidR="00247089" w:rsidRPr="00C4281A" w:rsidRDefault="00247089" w:rsidP="00C4281A">
      <w:pPr>
        <w:pStyle w:val="Default"/>
        <w:numPr>
          <w:ilvl w:val="0"/>
          <w:numId w:val="37"/>
        </w:numPr>
        <w:spacing w:before="120" w:after="120"/>
        <w:ind w:left="540" w:hanging="385"/>
        <w:jc w:val="both"/>
        <w:rPr>
          <w:color w:val="auto"/>
          <w:sz w:val="22"/>
          <w:szCs w:val="22"/>
        </w:rPr>
      </w:pPr>
      <w:r w:rsidRPr="00C4281A">
        <w:rPr>
          <w:color w:val="auto"/>
          <w:sz w:val="22"/>
          <w:szCs w:val="22"/>
        </w:rPr>
        <w:t>Inden for seks (6) måneder fra denne beslutnings ikrafttrædelse må forarbejdede gummiprodukter, der ikke er i overensstemmelse med bestemmelserne heri, ikke markedsføres på det græske marked til de formål, der er anført i bilag I.</w:t>
      </w:r>
    </w:p>
    <w:p w:rsidR="00247089" w:rsidRPr="00C4281A" w:rsidRDefault="00247089" w:rsidP="00C4281A">
      <w:pPr>
        <w:pStyle w:val="Default"/>
        <w:numPr>
          <w:ilvl w:val="0"/>
          <w:numId w:val="37"/>
        </w:numPr>
        <w:spacing w:before="120" w:after="120"/>
        <w:ind w:left="540" w:hanging="385"/>
        <w:jc w:val="both"/>
        <w:rPr>
          <w:color w:val="auto"/>
          <w:sz w:val="22"/>
          <w:szCs w:val="22"/>
        </w:rPr>
      </w:pPr>
      <w:r w:rsidRPr="00C4281A">
        <w:rPr>
          <w:color w:val="auto"/>
          <w:sz w:val="22"/>
          <w:szCs w:val="22"/>
        </w:rPr>
        <w:t xml:space="preserve">Statens almindelige laboratorium er myndigheden med ansvar for at træffe foranstaltninger og pålægge administrative sanktioner i tilfælde, der vedrører overtrædelser af REACH- og CLP-forordningen, hvor særlige bestemmelser finder anvendelse. </w:t>
      </w:r>
    </w:p>
    <w:p w:rsidR="00247089" w:rsidRPr="00C4281A" w:rsidRDefault="00247089" w:rsidP="00C4281A">
      <w:pPr>
        <w:pStyle w:val="Default"/>
        <w:numPr>
          <w:ilvl w:val="0"/>
          <w:numId w:val="37"/>
        </w:numPr>
        <w:spacing w:before="120" w:after="120"/>
        <w:ind w:left="540" w:hanging="385"/>
        <w:jc w:val="both"/>
        <w:rPr>
          <w:color w:val="auto"/>
          <w:sz w:val="22"/>
          <w:szCs w:val="22"/>
        </w:rPr>
      </w:pPr>
      <w:r w:rsidRPr="00C4281A">
        <w:rPr>
          <w:color w:val="auto"/>
          <w:sz w:val="22"/>
          <w:szCs w:val="22"/>
        </w:rPr>
        <w:t>I tilfælde, hvor den økonomiske aktørs forpligtelser ikke overholdes, skal generalsekretariatet for industri pålægge bøder.</w:t>
      </w:r>
    </w:p>
    <w:p w:rsidR="00247089" w:rsidRPr="00C4281A" w:rsidRDefault="00247089" w:rsidP="00C4281A">
      <w:pPr>
        <w:pStyle w:val="Default"/>
        <w:numPr>
          <w:ilvl w:val="0"/>
          <w:numId w:val="37"/>
        </w:numPr>
        <w:spacing w:before="120" w:after="120"/>
        <w:ind w:left="540" w:hanging="385"/>
        <w:jc w:val="both"/>
        <w:rPr>
          <w:color w:val="auto"/>
          <w:sz w:val="22"/>
          <w:szCs w:val="22"/>
        </w:rPr>
      </w:pPr>
      <w:r w:rsidRPr="00C4281A">
        <w:rPr>
          <w:color w:val="auto"/>
          <w:sz w:val="22"/>
          <w:szCs w:val="22"/>
        </w:rPr>
        <w:t>Eventuelle foranstaltninger, der træffes af statens almindelige laboratorium for overtrædelser af REACH- og CLP-forordningen, udelukker ikke, at yderligere foranstaltninger træffes, eller administrative eller finansielle bøder pålægges af generalsekretariatet for industri for manglende overholdelse af bestemmelser, der falder ind under dets ansvarsområde.</w:t>
      </w:r>
    </w:p>
    <w:p w:rsidR="00247089" w:rsidRPr="00C4281A" w:rsidRDefault="00247089" w:rsidP="00C4281A">
      <w:pPr>
        <w:pStyle w:val="Default"/>
        <w:numPr>
          <w:ilvl w:val="0"/>
          <w:numId w:val="37"/>
        </w:numPr>
        <w:spacing w:before="120" w:after="120"/>
        <w:ind w:left="540" w:hanging="385"/>
        <w:jc w:val="both"/>
        <w:rPr>
          <w:color w:val="auto"/>
          <w:sz w:val="22"/>
          <w:szCs w:val="22"/>
        </w:rPr>
      </w:pPr>
      <w:r w:rsidRPr="00C4281A">
        <w:rPr>
          <w:color w:val="auto"/>
          <w:sz w:val="22"/>
          <w:szCs w:val="22"/>
        </w:rPr>
        <w:t>Ethvert manglende samarbejde med den kompetente markedsovervågningsmyndighed angående afhjælpende foranstaltninger skal indberettes til de kompetente retslige myndigheder med henblik på at undersøge de involverede økonomiske operatørers strafferetlige ansvar.</w:t>
      </w:r>
    </w:p>
    <w:p w:rsidR="00247089" w:rsidRPr="00C4281A" w:rsidRDefault="00247089" w:rsidP="00C4281A">
      <w:pPr>
        <w:tabs>
          <w:tab w:val="left" w:pos="1156"/>
        </w:tabs>
        <w:ind w:right="6"/>
        <w:jc w:val="center"/>
        <w:rPr>
          <w:rFonts w:ascii="Times New Roman" w:hAnsi="Times New Roman"/>
          <w:b/>
          <w:sz w:val="22"/>
          <w:szCs w:val="22"/>
        </w:rPr>
      </w:pPr>
    </w:p>
    <w:p w:rsidR="00247089" w:rsidRPr="00C4281A" w:rsidRDefault="00943836" w:rsidP="00C4281A">
      <w:pPr>
        <w:tabs>
          <w:tab w:val="left" w:pos="1156"/>
        </w:tabs>
        <w:ind w:right="6"/>
        <w:jc w:val="center"/>
        <w:rPr>
          <w:rFonts w:ascii="Times New Roman" w:hAnsi="Times New Roman"/>
          <w:b/>
          <w:sz w:val="22"/>
          <w:szCs w:val="22"/>
        </w:rPr>
      </w:pPr>
      <w:r w:rsidRPr="00C4281A">
        <w:rPr>
          <w:rFonts w:ascii="Times New Roman" w:hAnsi="Times New Roman"/>
          <w:b/>
          <w:sz w:val="22"/>
          <w:szCs w:val="22"/>
        </w:rPr>
        <w:t>Artikel 11</w:t>
      </w:r>
    </w:p>
    <w:p w:rsidR="00247089" w:rsidRPr="00C4281A" w:rsidRDefault="00247089" w:rsidP="00861198">
      <w:pPr>
        <w:spacing w:line="251" w:lineRule="exact"/>
        <w:ind w:right="6"/>
        <w:jc w:val="center"/>
        <w:rPr>
          <w:rFonts w:ascii="Times New Roman" w:hAnsi="Times New Roman"/>
          <w:sz w:val="22"/>
          <w:szCs w:val="22"/>
        </w:rPr>
      </w:pPr>
      <w:r w:rsidRPr="00C4281A">
        <w:rPr>
          <w:rFonts w:ascii="Times New Roman" w:hAnsi="Times New Roman"/>
          <w:sz w:val="22"/>
          <w:szCs w:val="22"/>
        </w:rPr>
        <w:t>Undersøgelser – teknisk udvikling</w:t>
      </w:r>
    </w:p>
    <w:p w:rsidR="00247089" w:rsidRPr="00C4281A" w:rsidRDefault="00247089" w:rsidP="00C4281A">
      <w:pPr>
        <w:pStyle w:val="ListParagraph"/>
        <w:widowControl/>
        <w:numPr>
          <w:ilvl w:val="0"/>
          <w:numId w:val="16"/>
        </w:numPr>
        <w:spacing w:before="122"/>
        <w:ind w:left="540" w:right="106" w:hanging="385"/>
      </w:pPr>
      <w:r w:rsidRPr="00C4281A">
        <w:t>Fra ikrafttrædelsen af denne beslutning kan generalsekretariatet for industri uddele opgaver hvad angår udførelse af videnskabelige undersøgelser for at vurdere konsekvenser og risici ved brug af produkter, der er omhandlet i artikel 1, under hensyntagen til de særlige betingelser for anvendelse af disse produkter (</w:t>
      </w:r>
      <w:r w:rsidRPr="00C4281A">
        <w:rPr>
          <w:i/>
          <w:iCs/>
        </w:rPr>
        <w:t>forældelse af materialer, vedligeholdelsesmetode, vejrforhold især i perioder med høje temperaturer og fugtighed osv.</w:t>
      </w:r>
      <w:r w:rsidRPr="00C4281A">
        <w:t>).</w:t>
      </w:r>
    </w:p>
    <w:p w:rsidR="00247089" w:rsidRPr="00C4281A" w:rsidRDefault="00247089" w:rsidP="00C4281A">
      <w:pPr>
        <w:pStyle w:val="Heading3"/>
        <w:tabs>
          <w:tab w:val="left" w:pos="527"/>
        </w:tabs>
        <w:spacing w:before="119"/>
        <w:ind w:left="526" w:right="108"/>
        <w:jc w:val="both"/>
        <w:rPr>
          <w:rFonts w:ascii="Times New Roman" w:hAnsi="Times New Roman"/>
          <w:b w:val="0"/>
          <w:sz w:val="22"/>
          <w:szCs w:val="22"/>
        </w:rPr>
      </w:pPr>
      <w:r w:rsidRPr="00C4281A">
        <w:rPr>
          <w:rFonts w:ascii="Times New Roman" w:hAnsi="Times New Roman"/>
          <w:b w:val="0"/>
          <w:sz w:val="22"/>
          <w:szCs w:val="22"/>
        </w:rPr>
        <w:t>Lignende undersøgelser kan også udføres hvad angår markedsføring af innovative produkter og/eller for at tilpasse produkterne til den konstante tekniske udvikling.</w:t>
      </w:r>
    </w:p>
    <w:p w:rsidR="00247089" w:rsidRPr="00C4281A" w:rsidRDefault="00247089" w:rsidP="00C4281A">
      <w:pPr>
        <w:pStyle w:val="ListParagraph"/>
        <w:widowControl/>
        <w:numPr>
          <w:ilvl w:val="0"/>
          <w:numId w:val="16"/>
        </w:numPr>
        <w:spacing w:before="121"/>
        <w:ind w:left="540" w:right="108" w:hanging="385"/>
      </w:pPr>
      <w:r w:rsidRPr="00C4281A">
        <w:t>Resultaterne af sådanne undersøgelser skal vurderes og danne grundlaget for de foranstaltninger, der skal træffes for at forebygge potentielle risici, hvor de ikke strider imod den gældende EU-lovgivning.</w:t>
      </w:r>
    </w:p>
    <w:p w:rsidR="00247089" w:rsidRPr="00C4281A" w:rsidRDefault="00247089" w:rsidP="00C4281A">
      <w:pPr>
        <w:pStyle w:val="BodyText"/>
        <w:spacing w:before="9"/>
        <w:rPr>
          <w:rFonts w:ascii="Times New Roman" w:hAnsi="Times New Roman"/>
          <w:sz w:val="22"/>
          <w:szCs w:val="22"/>
        </w:rPr>
      </w:pPr>
    </w:p>
    <w:p w:rsidR="00247089" w:rsidRPr="00C4281A" w:rsidRDefault="00943836" w:rsidP="00C4281A">
      <w:pPr>
        <w:tabs>
          <w:tab w:val="left" w:pos="1060"/>
        </w:tabs>
        <w:spacing w:before="1" w:line="251" w:lineRule="exact"/>
        <w:ind w:right="6"/>
        <w:jc w:val="center"/>
        <w:rPr>
          <w:rFonts w:ascii="Times New Roman" w:hAnsi="Times New Roman"/>
          <w:b/>
          <w:sz w:val="22"/>
          <w:szCs w:val="22"/>
        </w:rPr>
      </w:pPr>
      <w:r w:rsidRPr="00C4281A">
        <w:rPr>
          <w:rFonts w:ascii="Times New Roman" w:hAnsi="Times New Roman"/>
          <w:b/>
          <w:sz w:val="22"/>
          <w:szCs w:val="22"/>
        </w:rPr>
        <w:t>Artikel 12</w:t>
      </w:r>
    </w:p>
    <w:p w:rsidR="00247089" w:rsidRPr="00C4281A" w:rsidRDefault="00247089" w:rsidP="00C4281A">
      <w:pPr>
        <w:spacing w:line="251" w:lineRule="exact"/>
        <w:ind w:right="6"/>
        <w:jc w:val="center"/>
        <w:rPr>
          <w:rFonts w:ascii="Times New Roman" w:hAnsi="Times New Roman"/>
          <w:sz w:val="22"/>
          <w:szCs w:val="22"/>
        </w:rPr>
      </w:pPr>
      <w:r w:rsidRPr="00C4281A">
        <w:rPr>
          <w:rFonts w:ascii="Times New Roman" w:hAnsi="Times New Roman"/>
          <w:sz w:val="22"/>
          <w:szCs w:val="22"/>
        </w:rPr>
        <w:t>Overgangsbestemmelser</w:t>
      </w:r>
      <w:bookmarkStart w:id="0" w:name="_GoBack"/>
      <w:bookmarkEnd w:id="0"/>
    </w:p>
    <w:p w:rsidR="00247089" w:rsidRPr="00C4281A" w:rsidRDefault="00247089" w:rsidP="00C4281A">
      <w:pPr>
        <w:pStyle w:val="ListParagraph"/>
        <w:widowControl/>
        <w:numPr>
          <w:ilvl w:val="0"/>
          <w:numId w:val="15"/>
        </w:numPr>
        <w:ind w:left="540" w:right="105" w:hanging="385"/>
      </w:pPr>
      <w:r w:rsidRPr="00C4281A">
        <w:t>Fabrikanterne og importørerne af forarbejdede gummiprodukter er med hensyn til formålet, der er angivet i bilag I, forpligtede til at indhente passende overensstemmelsescertifikater, der gælder for disse inden for seks (</w:t>
      </w:r>
      <w:r w:rsidRPr="00C4281A">
        <w:rPr>
          <w:b/>
          <w:bCs/>
        </w:rPr>
        <w:t>6</w:t>
      </w:r>
      <w:r w:rsidRPr="00C4281A">
        <w:t>) måneder efter ikrafttrædelsen af bestemmelserne heri. Certifikaterne skal vedlægges erklæringen på tro og love, der er omhandlet i artikel 4.</w:t>
      </w:r>
    </w:p>
    <w:p w:rsidR="00247089" w:rsidRPr="00C4281A" w:rsidRDefault="00247089" w:rsidP="00C4281A">
      <w:pPr>
        <w:pStyle w:val="ListParagraph"/>
        <w:widowControl/>
        <w:numPr>
          <w:ilvl w:val="0"/>
          <w:numId w:val="15"/>
        </w:numPr>
        <w:spacing w:before="119"/>
        <w:ind w:left="540" w:right="106" w:hanging="385"/>
      </w:pPr>
      <w:r w:rsidRPr="00C4281A">
        <w:t>Fabrikanterne og importørerne af forarbejdede gummiprodukter er med hensyn til formålet, der er angivet i bilag I, forpligtede til at indsende dokumentation for disses overensstemmelse med kravene i denne beslutning til de kompetente markedsovervågningsmyndigheder inden for seks (</w:t>
      </w:r>
      <w:r w:rsidRPr="00C4281A">
        <w:rPr>
          <w:b/>
          <w:bCs/>
        </w:rPr>
        <w:t>6</w:t>
      </w:r>
      <w:r w:rsidRPr="00C4281A">
        <w:t>) måneder fra ikrafttrædelsen af bestemmelserne heri.</w:t>
      </w:r>
    </w:p>
    <w:p w:rsidR="00247089" w:rsidRPr="00C4281A" w:rsidRDefault="00247089" w:rsidP="00C4281A">
      <w:pPr>
        <w:pStyle w:val="Heading3"/>
        <w:keepNext w:val="0"/>
        <w:numPr>
          <w:ilvl w:val="0"/>
          <w:numId w:val="15"/>
        </w:numPr>
        <w:autoSpaceDE w:val="0"/>
        <w:autoSpaceDN w:val="0"/>
        <w:spacing w:before="120"/>
        <w:ind w:left="540" w:right="104" w:hanging="385"/>
        <w:jc w:val="both"/>
        <w:rPr>
          <w:rFonts w:ascii="Times New Roman" w:hAnsi="Times New Roman"/>
          <w:sz w:val="22"/>
          <w:szCs w:val="22"/>
        </w:rPr>
      </w:pPr>
      <w:r w:rsidRPr="00C4281A">
        <w:rPr>
          <w:rFonts w:ascii="Times New Roman" w:hAnsi="Times New Roman"/>
          <w:b w:val="0"/>
          <w:sz w:val="22"/>
          <w:szCs w:val="22"/>
        </w:rPr>
        <w:t>Miljøstyring eller kvalitetsstyring eller andre certifikater og attester, der er udstedt inden offentliggørelsen af denne beslutning, og som vedrører produktionsprocesser og overensstemmelsen af produkterne i artikel 1, finder ikke anvendelse.</w:t>
      </w:r>
    </w:p>
    <w:p w:rsidR="00247089" w:rsidRPr="00C4281A" w:rsidRDefault="00247089" w:rsidP="00C4281A">
      <w:pPr>
        <w:pStyle w:val="ListParagraph"/>
        <w:widowControl/>
        <w:numPr>
          <w:ilvl w:val="0"/>
          <w:numId w:val="15"/>
        </w:numPr>
        <w:spacing w:before="119"/>
        <w:ind w:left="540" w:right="107" w:hanging="385"/>
      </w:pPr>
      <w:r w:rsidRPr="00C4281A">
        <w:t>Forarbejdede gummiprodukter, der er omfattet af bilag I, men som allerede er installeret eller anvendes inden ikrafttrædelsen af denne beslutning, er ikke omfattet af disse forpligtelser.</w:t>
      </w:r>
    </w:p>
    <w:p w:rsidR="00026EA7" w:rsidRPr="00C4281A" w:rsidRDefault="00026EA7" w:rsidP="00C4281A">
      <w:pPr>
        <w:tabs>
          <w:tab w:val="left" w:pos="1060"/>
        </w:tabs>
        <w:spacing w:line="250" w:lineRule="exact"/>
        <w:ind w:right="6"/>
        <w:jc w:val="center"/>
        <w:rPr>
          <w:rFonts w:ascii="Times New Roman" w:hAnsi="Times New Roman"/>
          <w:b/>
          <w:sz w:val="22"/>
          <w:szCs w:val="22"/>
        </w:rPr>
      </w:pPr>
    </w:p>
    <w:p w:rsidR="00247089" w:rsidRPr="00C4281A" w:rsidRDefault="00943836" w:rsidP="00C4281A">
      <w:pPr>
        <w:tabs>
          <w:tab w:val="left" w:pos="1060"/>
        </w:tabs>
        <w:spacing w:line="250" w:lineRule="exact"/>
        <w:ind w:right="6"/>
        <w:jc w:val="center"/>
        <w:rPr>
          <w:rFonts w:ascii="Times New Roman" w:hAnsi="Times New Roman"/>
          <w:b/>
          <w:sz w:val="22"/>
          <w:szCs w:val="22"/>
        </w:rPr>
      </w:pPr>
      <w:r w:rsidRPr="00C4281A">
        <w:rPr>
          <w:rFonts w:ascii="Times New Roman" w:hAnsi="Times New Roman"/>
          <w:b/>
          <w:sz w:val="22"/>
          <w:szCs w:val="22"/>
        </w:rPr>
        <w:t>Artikel 13</w:t>
      </w:r>
    </w:p>
    <w:p w:rsidR="00247089" w:rsidRPr="00C4281A" w:rsidRDefault="00247089" w:rsidP="00C4281A">
      <w:pPr>
        <w:spacing w:line="250" w:lineRule="exact"/>
        <w:ind w:right="5"/>
        <w:jc w:val="center"/>
        <w:rPr>
          <w:rFonts w:ascii="Times New Roman" w:hAnsi="Times New Roman"/>
          <w:sz w:val="22"/>
          <w:szCs w:val="22"/>
        </w:rPr>
      </w:pPr>
      <w:r w:rsidRPr="00C4281A">
        <w:rPr>
          <w:rFonts w:ascii="Times New Roman" w:hAnsi="Times New Roman"/>
          <w:sz w:val="22"/>
          <w:szCs w:val="22"/>
        </w:rPr>
        <w:t>Ikrafttrædelse</w:t>
      </w:r>
    </w:p>
    <w:p w:rsidR="00247089" w:rsidRPr="00C4281A" w:rsidRDefault="00247089" w:rsidP="00C4281A">
      <w:pPr>
        <w:pStyle w:val="ListParagraph"/>
        <w:widowControl/>
        <w:numPr>
          <w:ilvl w:val="0"/>
          <w:numId w:val="14"/>
        </w:numPr>
        <w:ind w:left="547" w:hanging="547"/>
      </w:pPr>
      <w:r w:rsidRPr="00C4281A">
        <w:t>Denne beslutning træder i kraft den dag, den offentliggøres i den græske statstidende.</w:t>
      </w:r>
    </w:p>
    <w:p w:rsidR="00247089" w:rsidRPr="00C4281A" w:rsidRDefault="00247089" w:rsidP="00C4281A">
      <w:pPr>
        <w:pStyle w:val="ListParagraph"/>
        <w:widowControl/>
        <w:numPr>
          <w:ilvl w:val="0"/>
          <w:numId w:val="14"/>
        </w:numPr>
        <w:spacing w:before="72"/>
        <w:ind w:left="540" w:hanging="540"/>
      </w:pPr>
      <w:r w:rsidRPr="00C4281A">
        <w:t>De vedlagte bilag er en del af denne beslutning.</w:t>
      </w:r>
    </w:p>
    <w:p w:rsidR="00247089" w:rsidRPr="00C4281A" w:rsidRDefault="00247089" w:rsidP="00C4281A">
      <w:pPr>
        <w:pStyle w:val="ListParagraph"/>
        <w:widowControl/>
        <w:numPr>
          <w:ilvl w:val="0"/>
          <w:numId w:val="14"/>
        </w:numPr>
        <w:spacing w:before="119"/>
        <w:ind w:left="540" w:hanging="540"/>
      </w:pPr>
      <w:r w:rsidRPr="00C4281A">
        <w:t>Denne beslutning skal offentliggøres i den græske statstidende.</w:t>
      </w:r>
    </w:p>
    <w:p w:rsidR="00247089" w:rsidRPr="00C4281A" w:rsidRDefault="00247089" w:rsidP="00C4281A">
      <w:pPr>
        <w:pStyle w:val="BodyText"/>
        <w:spacing w:before="1"/>
        <w:ind w:right="352"/>
        <w:jc w:val="center"/>
        <w:rPr>
          <w:rFonts w:ascii="Times New Roman" w:hAnsi="Times New Roman"/>
          <w:sz w:val="22"/>
          <w:szCs w:val="22"/>
        </w:rPr>
      </w:pPr>
    </w:p>
    <w:p w:rsidR="00247089" w:rsidRPr="00C4281A" w:rsidRDefault="00247089" w:rsidP="00C4281A">
      <w:pPr>
        <w:pStyle w:val="BodyText"/>
        <w:spacing w:before="1"/>
        <w:ind w:right="352" w:firstLine="102"/>
        <w:jc w:val="center"/>
        <w:rPr>
          <w:rFonts w:ascii="Times New Roman" w:hAnsi="Times New Roman"/>
          <w:sz w:val="22"/>
          <w:szCs w:val="22"/>
        </w:rPr>
      </w:pPr>
      <w:r w:rsidRPr="00C4281A">
        <w:rPr>
          <w:rFonts w:ascii="Times New Roman" w:hAnsi="Times New Roman"/>
          <w:sz w:val="22"/>
          <w:szCs w:val="22"/>
        </w:rPr>
        <w:t>Athen,    den 3. september 2020</w:t>
      </w:r>
    </w:p>
    <w:p w:rsidR="00026EA7" w:rsidRPr="00C4281A" w:rsidRDefault="00026EA7" w:rsidP="00C4281A">
      <w:pPr>
        <w:pStyle w:val="BodyText"/>
        <w:spacing w:before="1"/>
        <w:ind w:right="352" w:firstLine="102"/>
        <w:jc w:val="center"/>
        <w:rPr>
          <w:rFonts w:ascii="Times New Roman" w:hAnsi="Times New Roman"/>
          <w:sz w:val="22"/>
          <w:szCs w:val="22"/>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1"/>
        <w:gridCol w:w="4798"/>
      </w:tblGrid>
      <w:tr w:rsidR="003A61F6" w:rsidRPr="00C4281A" w:rsidTr="0043166F">
        <w:tc>
          <w:tcPr>
            <w:tcW w:w="4873" w:type="dxa"/>
            <w:tcBorders>
              <w:top w:val="nil"/>
              <w:left w:val="nil"/>
              <w:bottom w:val="nil"/>
              <w:right w:val="nil"/>
            </w:tcBorders>
          </w:tcPr>
          <w:p w:rsidR="00026EA7" w:rsidRPr="00C4281A" w:rsidRDefault="00026EA7" w:rsidP="00C4281A">
            <w:pPr>
              <w:pStyle w:val="BodyText"/>
              <w:spacing w:before="1"/>
              <w:ind w:right="352"/>
              <w:jc w:val="center"/>
              <w:rPr>
                <w:rFonts w:ascii="Times New Roman" w:hAnsi="Times New Roman"/>
                <w:sz w:val="22"/>
                <w:szCs w:val="22"/>
              </w:rPr>
            </w:pPr>
            <w:r w:rsidRPr="00C4281A">
              <w:rPr>
                <w:rFonts w:ascii="Times New Roman" w:hAnsi="Times New Roman"/>
                <w:sz w:val="22"/>
                <w:szCs w:val="22"/>
              </w:rPr>
              <w:t xml:space="preserve">MINISTEREN FOR UDVIKLING </w:t>
            </w:r>
          </w:p>
          <w:p w:rsidR="00026EA7" w:rsidRPr="00C4281A" w:rsidRDefault="00026EA7" w:rsidP="00C4281A">
            <w:pPr>
              <w:pStyle w:val="BodyText"/>
              <w:spacing w:before="1"/>
              <w:ind w:right="352"/>
              <w:jc w:val="center"/>
              <w:rPr>
                <w:rFonts w:ascii="Times New Roman" w:hAnsi="Times New Roman"/>
                <w:sz w:val="22"/>
                <w:szCs w:val="22"/>
              </w:rPr>
            </w:pPr>
            <w:r w:rsidRPr="00C4281A">
              <w:rPr>
                <w:rFonts w:ascii="Times New Roman" w:hAnsi="Times New Roman"/>
                <w:sz w:val="22"/>
                <w:szCs w:val="22"/>
              </w:rPr>
              <w:t xml:space="preserve">OG INVESTERING </w:t>
            </w:r>
          </w:p>
          <w:p w:rsidR="00026EA7" w:rsidRPr="00C4281A" w:rsidRDefault="00026EA7" w:rsidP="00C4281A">
            <w:pPr>
              <w:pStyle w:val="BodyText"/>
              <w:spacing w:before="1"/>
              <w:ind w:right="352"/>
              <w:jc w:val="center"/>
              <w:rPr>
                <w:rFonts w:ascii="Times New Roman" w:hAnsi="Times New Roman"/>
                <w:sz w:val="22"/>
                <w:szCs w:val="22"/>
              </w:rPr>
            </w:pPr>
          </w:p>
          <w:p w:rsidR="00026EA7" w:rsidRPr="00C4281A" w:rsidRDefault="00026EA7" w:rsidP="00C4281A">
            <w:pPr>
              <w:pStyle w:val="BodyText"/>
              <w:spacing w:before="1"/>
              <w:ind w:right="352"/>
              <w:jc w:val="center"/>
              <w:rPr>
                <w:rFonts w:ascii="Times New Roman" w:hAnsi="Times New Roman"/>
                <w:sz w:val="22"/>
                <w:szCs w:val="22"/>
              </w:rPr>
            </w:pPr>
            <w:r w:rsidRPr="00C4281A">
              <w:rPr>
                <w:rFonts w:ascii="Times New Roman" w:hAnsi="Times New Roman"/>
                <w:sz w:val="22"/>
                <w:szCs w:val="22"/>
              </w:rPr>
              <w:t>SPIRIDON-ADONIS GEORGIADIS</w:t>
            </w:r>
          </w:p>
        </w:tc>
        <w:tc>
          <w:tcPr>
            <w:tcW w:w="4873" w:type="dxa"/>
            <w:tcBorders>
              <w:top w:val="nil"/>
              <w:left w:val="nil"/>
              <w:bottom w:val="nil"/>
              <w:right w:val="nil"/>
            </w:tcBorders>
          </w:tcPr>
          <w:p w:rsidR="00026EA7" w:rsidRPr="00C4281A" w:rsidRDefault="00026EA7" w:rsidP="00C4281A">
            <w:pPr>
              <w:pStyle w:val="BodyText"/>
              <w:spacing w:before="1"/>
              <w:ind w:right="352"/>
              <w:jc w:val="center"/>
              <w:rPr>
                <w:rFonts w:ascii="Times New Roman" w:hAnsi="Times New Roman"/>
                <w:sz w:val="22"/>
                <w:szCs w:val="22"/>
              </w:rPr>
            </w:pPr>
            <w:r w:rsidRPr="00C4281A">
              <w:rPr>
                <w:rFonts w:ascii="Times New Roman" w:hAnsi="Times New Roman"/>
                <w:sz w:val="22"/>
                <w:szCs w:val="22"/>
              </w:rPr>
              <w:t>MINISTEREN FOR MILJØ</w:t>
            </w:r>
          </w:p>
          <w:p w:rsidR="00026EA7" w:rsidRPr="00C4281A" w:rsidRDefault="00026EA7" w:rsidP="00C4281A">
            <w:pPr>
              <w:pStyle w:val="BodyText"/>
              <w:spacing w:before="1"/>
              <w:ind w:right="352"/>
              <w:jc w:val="center"/>
              <w:rPr>
                <w:rFonts w:ascii="Times New Roman" w:hAnsi="Times New Roman"/>
                <w:sz w:val="22"/>
                <w:szCs w:val="22"/>
              </w:rPr>
            </w:pPr>
            <w:r w:rsidRPr="00C4281A">
              <w:rPr>
                <w:rFonts w:ascii="Times New Roman" w:hAnsi="Times New Roman"/>
                <w:sz w:val="22"/>
                <w:szCs w:val="22"/>
              </w:rPr>
              <w:t>OG ENERGI</w:t>
            </w:r>
          </w:p>
          <w:p w:rsidR="00026EA7" w:rsidRPr="00C4281A" w:rsidRDefault="00026EA7" w:rsidP="00C4281A">
            <w:pPr>
              <w:pStyle w:val="BodyText"/>
              <w:spacing w:before="1"/>
              <w:ind w:right="352"/>
              <w:jc w:val="center"/>
              <w:rPr>
                <w:rFonts w:ascii="Times New Roman" w:hAnsi="Times New Roman"/>
                <w:sz w:val="22"/>
                <w:szCs w:val="22"/>
              </w:rPr>
            </w:pPr>
          </w:p>
          <w:p w:rsidR="00026EA7" w:rsidRPr="00C4281A" w:rsidRDefault="00026EA7" w:rsidP="00C4281A">
            <w:pPr>
              <w:pStyle w:val="BodyText"/>
              <w:spacing w:before="1"/>
              <w:ind w:right="352"/>
              <w:jc w:val="center"/>
              <w:rPr>
                <w:rFonts w:ascii="Times New Roman" w:hAnsi="Times New Roman"/>
                <w:sz w:val="22"/>
                <w:szCs w:val="22"/>
              </w:rPr>
            </w:pPr>
            <w:r w:rsidRPr="00C4281A">
              <w:rPr>
                <w:rFonts w:ascii="Times New Roman" w:hAnsi="Times New Roman"/>
                <w:sz w:val="22"/>
                <w:szCs w:val="22"/>
              </w:rPr>
              <w:t>KOSTIS HATZIDAKIS</w:t>
            </w:r>
          </w:p>
        </w:tc>
      </w:tr>
      <w:tr w:rsidR="003A61F6" w:rsidRPr="00C4281A" w:rsidTr="0043166F">
        <w:tc>
          <w:tcPr>
            <w:tcW w:w="9746" w:type="dxa"/>
            <w:gridSpan w:val="2"/>
            <w:tcBorders>
              <w:top w:val="nil"/>
              <w:left w:val="nil"/>
              <w:bottom w:val="nil"/>
              <w:right w:val="nil"/>
            </w:tcBorders>
          </w:tcPr>
          <w:p w:rsidR="00026EA7" w:rsidRPr="00C4281A" w:rsidRDefault="00026EA7" w:rsidP="00C4281A">
            <w:pPr>
              <w:pStyle w:val="BodyText"/>
              <w:spacing w:before="1"/>
              <w:ind w:right="352"/>
              <w:jc w:val="center"/>
              <w:rPr>
                <w:rFonts w:ascii="Times New Roman" w:hAnsi="Times New Roman"/>
                <w:sz w:val="22"/>
                <w:szCs w:val="22"/>
              </w:rPr>
            </w:pPr>
          </w:p>
          <w:p w:rsidR="00026EA7" w:rsidRPr="00C4281A" w:rsidRDefault="00026EA7" w:rsidP="00C4281A">
            <w:pPr>
              <w:pStyle w:val="BodyText"/>
              <w:spacing w:before="1"/>
              <w:ind w:right="352"/>
              <w:jc w:val="center"/>
              <w:rPr>
                <w:rFonts w:ascii="Times New Roman" w:hAnsi="Times New Roman"/>
                <w:sz w:val="22"/>
                <w:szCs w:val="22"/>
              </w:rPr>
            </w:pPr>
            <w:r w:rsidRPr="00C4281A">
              <w:rPr>
                <w:rFonts w:ascii="Times New Roman" w:hAnsi="Times New Roman"/>
                <w:sz w:val="22"/>
                <w:szCs w:val="22"/>
              </w:rPr>
              <w:t xml:space="preserve">VICEFINANSMINISTEREN </w:t>
            </w:r>
          </w:p>
          <w:p w:rsidR="00026EA7" w:rsidRPr="00C4281A" w:rsidRDefault="00026EA7" w:rsidP="00C4281A">
            <w:pPr>
              <w:pStyle w:val="BodyText"/>
              <w:spacing w:before="1"/>
              <w:ind w:right="352"/>
              <w:jc w:val="center"/>
              <w:rPr>
                <w:rFonts w:ascii="Times New Roman" w:hAnsi="Times New Roman"/>
                <w:sz w:val="22"/>
                <w:szCs w:val="22"/>
                <w:lang w:val="el-GR"/>
              </w:rPr>
            </w:pPr>
          </w:p>
          <w:p w:rsidR="00026EA7" w:rsidRPr="00C4281A" w:rsidRDefault="00026EA7" w:rsidP="00C4281A">
            <w:pPr>
              <w:pStyle w:val="BodyText"/>
              <w:spacing w:before="1"/>
              <w:ind w:right="352"/>
              <w:jc w:val="center"/>
              <w:rPr>
                <w:rFonts w:ascii="Times New Roman" w:hAnsi="Times New Roman"/>
                <w:sz w:val="22"/>
                <w:szCs w:val="22"/>
              </w:rPr>
            </w:pPr>
            <w:r w:rsidRPr="00C4281A">
              <w:rPr>
                <w:rFonts w:ascii="Times New Roman" w:hAnsi="Times New Roman"/>
                <w:sz w:val="22"/>
                <w:szCs w:val="22"/>
              </w:rPr>
              <w:t>APOSTOLOS VESYROPOULOS</w:t>
            </w:r>
          </w:p>
        </w:tc>
      </w:tr>
    </w:tbl>
    <w:p w:rsidR="00247089" w:rsidRPr="00C4281A" w:rsidRDefault="00247089" w:rsidP="00C4281A">
      <w:pPr>
        <w:pStyle w:val="BodyText"/>
        <w:spacing w:before="1"/>
        <w:ind w:right="352"/>
        <w:jc w:val="both"/>
        <w:rPr>
          <w:rFonts w:ascii="Times New Roman" w:hAnsi="Times New Roman"/>
          <w:sz w:val="22"/>
          <w:szCs w:val="22"/>
          <w:lang w:val="el-GR"/>
        </w:rPr>
      </w:pPr>
    </w:p>
    <w:p w:rsidR="00247089" w:rsidRPr="00C4281A" w:rsidRDefault="00247089" w:rsidP="00C4281A">
      <w:pPr>
        <w:pStyle w:val="BodyText"/>
        <w:spacing w:before="1"/>
        <w:ind w:right="352"/>
        <w:jc w:val="both"/>
        <w:rPr>
          <w:rFonts w:ascii="Times New Roman" w:hAnsi="Times New Roman"/>
          <w:sz w:val="22"/>
          <w:szCs w:val="22"/>
          <w:lang w:val="el-GR"/>
        </w:rPr>
      </w:pPr>
    </w:p>
    <w:p w:rsidR="008A6100" w:rsidRPr="00C4281A" w:rsidRDefault="00151F87" w:rsidP="00C4281A">
      <w:pPr>
        <w:ind w:right="42"/>
        <w:jc w:val="both"/>
        <w:rPr>
          <w:rFonts w:ascii="Times New Roman" w:hAnsi="Times New Roman"/>
          <w:b/>
          <w:sz w:val="24"/>
          <w:szCs w:val="24"/>
        </w:rPr>
      </w:pPr>
      <w:r w:rsidRPr="00C4281A">
        <w:rPr>
          <w:rFonts w:ascii="Times New Roman" w:hAnsi="Times New Roman"/>
          <w:noProof/>
          <w:sz w:val="24"/>
          <w:szCs w:val="24"/>
          <w:lang w:val="en-US" w:eastAsia="en-US" w:bidi="hi-IN"/>
        </w:rPr>
        <w:lastRenderedPageBreak/>
        <mc:AlternateContent>
          <mc:Choice Requires="wps">
            <w:drawing>
              <wp:anchor distT="0" distB="0" distL="114300" distR="114300" simplePos="0" relativeHeight="251657728" behindDoc="0" locked="0" layoutInCell="1" allowOverlap="1">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rsidR="008A6100" w:rsidRDefault="008A6100" w:rsidP="00C14D62">
                            <w:pPr>
                              <w:jc w:val="center"/>
                              <w:rPr>
                                <w:rFonts w:ascii="Arial" w:hAnsi="Arial" w:cs="Arial"/>
                                <w:b/>
                                <w:szCs w:val="18"/>
                              </w:rPr>
                            </w:pPr>
                            <w:r>
                              <w:rPr>
                                <w:rFonts w:ascii="Arial" w:hAnsi="Arial"/>
                                <w:b/>
                                <w:szCs w:val="18"/>
                              </w:rPr>
                              <w:t>[ORIGINAL KOPI]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rsidR="008A6100" w:rsidRDefault="008A6100" w:rsidP="00C14D62">
                      <w:pPr>
                        <w:jc w:val="center"/>
                        <w:rPr>
                          <w:rFonts w:ascii="Arial" w:hAnsi="Arial" w:cs="Arial"/>
                          <w:b/>
                          <w:szCs w:val="18"/>
                        </w:rPr>
                      </w:pPr>
                      <w:r>
                        <w:rPr>
                          <w:rFonts w:ascii="Arial" w:hAnsi="Arial"/>
                          <w:b/>
                          <w:szCs w:val="18"/>
                        </w:rPr>
                        <w:t>[ORIGINAL KOPI]</w:t>
                      </w:r>
                    </w:p>
                  </w:txbxContent>
                </v:textbox>
              </v:shape>
            </w:pict>
          </mc:Fallback>
        </mc:AlternateContent>
      </w:r>
    </w:p>
    <w:p w:rsidR="008A6100" w:rsidRPr="00C4281A" w:rsidRDefault="008A6100" w:rsidP="00C4281A">
      <w:pPr>
        <w:ind w:right="42"/>
        <w:rPr>
          <w:rFonts w:ascii="Times New Roman" w:hAnsi="Times New Roman"/>
          <w:sz w:val="24"/>
          <w:szCs w:val="24"/>
          <w:lang w:val="el-GR"/>
        </w:rPr>
      </w:pPr>
    </w:p>
    <w:tbl>
      <w:tblPr>
        <w:tblW w:w="0" w:type="auto"/>
        <w:tblInd w:w="-743" w:type="dxa"/>
        <w:tblLayout w:type="fixed"/>
        <w:tblLook w:val="04A0" w:firstRow="1" w:lastRow="0" w:firstColumn="1" w:lastColumn="0" w:noHBand="0" w:noVBand="1"/>
      </w:tblPr>
      <w:tblGrid>
        <w:gridCol w:w="4679"/>
        <w:gridCol w:w="5244"/>
        <w:gridCol w:w="9"/>
      </w:tblGrid>
      <w:tr w:rsidR="003A61F6" w:rsidRPr="00C4281A" w:rsidTr="008A6100">
        <w:tc>
          <w:tcPr>
            <w:tcW w:w="4679" w:type="dxa"/>
          </w:tcPr>
          <w:p w:rsidR="00DB520C" w:rsidRPr="00C4281A" w:rsidRDefault="00DB520C" w:rsidP="00C4281A">
            <w:pPr>
              <w:ind w:left="-851" w:right="-99"/>
              <w:jc w:val="both"/>
              <w:rPr>
                <w:rFonts w:ascii="Times New Roman" w:hAnsi="Times New Roman"/>
                <w:sz w:val="24"/>
                <w:szCs w:val="24"/>
              </w:rPr>
            </w:pPr>
            <w:r w:rsidRPr="00C4281A">
              <w:rPr>
                <w:rFonts w:ascii="Times New Roman" w:hAnsi="Times New Roman"/>
                <w:sz w:val="24"/>
                <w:szCs w:val="24"/>
              </w:rPr>
              <w:tab/>
            </w:r>
            <w:r w:rsidRPr="00C4281A">
              <w:rPr>
                <w:rFonts w:ascii="Times New Roman" w:hAnsi="Times New Roman"/>
                <w:sz w:val="24"/>
                <w:szCs w:val="24"/>
              </w:rPr>
              <w:tab/>
            </w:r>
            <w:r w:rsidRPr="00C4281A">
              <w:rPr>
                <w:rFonts w:ascii="Times New Roman" w:hAnsi="Times New Roman"/>
                <w:sz w:val="24"/>
                <w:szCs w:val="24"/>
              </w:rPr>
              <w:tab/>
            </w:r>
            <w:r w:rsidRPr="00C4281A">
              <w:rPr>
                <w:rFonts w:ascii="Times New Roman" w:hAnsi="Times New Roman"/>
                <w:sz w:val="24"/>
                <w:szCs w:val="24"/>
              </w:rPr>
              <w:tab/>
            </w:r>
          </w:p>
          <w:p w:rsidR="00DB520C" w:rsidRPr="00C4281A" w:rsidRDefault="00A01F2C" w:rsidP="00C4281A">
            <w:pPr>
              <w:ind w:left="-851" w:right="-99"/>
              <w:jc w:val="both"/>
              <w:rPr>
                <w:rFonts w:ascii="Times New Roman" w:hAnsi="Times New Roman"/>
                <w:sz w:val="24"/>
                <w:szCs w:val="24"/>
              </w:rPr>
            </w:pPr>
            <w:r w:rsidRPr="00C4281A">
              <w:rPr>
                <w:rFonts w:ascii="Times New Roman" w:hAnsi="Times New Roman"/>
                <w:sz w:val="24"/>
                <w:szCs w:val="24"/>
              </w:rPr>
              <w:t xml:space="preserve">  </w:t>
            </w:r>
          </w:p>
          <w:p w:rsidR="00DB520C" w:rsidRPr="00C4281A" w:rsidRDefault="00DB520C" w:rsidP="00C4281A">
            <w:pPr>
              <w:ind w:left="-851" w:right="-99"/>
              <w:jc w:val="both"/>
              <w:rPr>
                <w:rFonts w:ascii="Times New Roman" w:hAnsi="Times New Roman"/>
                <w:sz w:val="24"/>
                <w:szCs w:val="24"/>
                <w:lang w:val="el-GR"/>
              </w:rPr>
            </w:pPr>
          </w:p>
        </w:tc>
        <w:tc>
          <w:tcPr>
            <w:tcW w:w="5253" w:type="dxa"/>
            <w:gridSpan w:val="2"/>
          </w:tcPr>
          <w:p w:rsidR="00DB520C" w:rsidRPr="00C4281A" w:rsidRDefault="00DB520C" w:rsidP="00C4281A">
            <w:pPr>
              <w:spacing w:line="360" w:lineRule="auto"/>
              <w:ind w:left="33" w:right="42"/>
              <w:jc w:val="center"/>
              <w:rPr>
                <w:rFonts w:ascii="Times New Roman" w:hAnsi="Times New Roman"/>
                <w:bCs/>
                <w:iCs/>
                <w:sz w:val="24"/>
                <w:szCs w:val="24"/>
                <w:lang w:val="el-GR"/>
              </w:rPr>
            </w:pPr>
          </w:p>
        </w:tc>
      </w:tr>
      <w:tr w:rsidR="003A61F6" w:rsidRPr="00C4281A" w:rsidTr="008A6100">
        <w:trPr>
          <w:gridAfter w:val="1"/>
          <w:wAfter w:w="9" w:type="dxa"/>
        </w:trPr>
        <w:tc>
          <w:tcPr>
            <w:tcW w:w="9923" w:type="dxa"/>
            <w:gridSpan w:val="2"/>
          </w:tcPr>
          <w:p w:rsidR="00CB1F6D" w:rsidRPr="00C4281A" w:rsidRDefault="00CB1F6D" w:rsidP="00C4281A">
            <w:pPr>
              <w:ind w:right="-99"/>
              <w:jc w:val="both"/>
              <w:rPr>
                <w:rFonts w:ascii="Times New Roman" w:hAnsi="Times New Roman"/>
                <w:b/>
                <w:sz w:val="24"/>
                <w:szCs w:val="24"/>
                <w:lang w:val="el-GR"/>
              </w:rPr>
            </w:pPr>
          </w:p>
          <w:p w:rsidR="00DB520C" w:rsidRPr="00C4281A" w:rsidRDefault="0072107F" w:rsidP="00C4281A">
            <w:pPr>
              <w:ind w:right="-99"/>
              <w:jc w:val="both"/>
              <w:rPr>
                <w:rFonts w:ascii="Times New Roman" w:hAnsi="Times New Roman"/>
                <w:b/>
                <w:sz w:val="24"/>
                <w:szCs w:val="24"/>
              </w:rPr>
            </w:pPr>
            <w:r w:rsidRPr="00C4281A">
              <w:rPr>
                <w:rFonts w:ascii="Times New Roman" w:hAnsi="Times New Roman"/>
                <w:b/>
                <w:sz w:val="24"/>
                <w:szCs w:val="24"/>
              </w:rPr>
              <w:t xml:space="preserve"> </w:t>
            </w:r>
          </w:p>
        </w:tc>
      </w:tr>
      <w:tr w:rsidR="003A61F6" w:rsidRPr="00C4281A" w:rsidTr="008A6100">
        <w:trPr>
          <w:gridAfter w:val="1"/>
          <w:wAfter w:w="9" w:type="dxa"/>
        </w:trPr>
        <w:tc>
          <w:tcPr>
            <w:tcW w:w="9923" w:type="dxa"/>
            <w:gridSpan w:val="2"/>
          </w:tcPr>
          <w:p w:rsidR="00DB520C" w:rsidRPr="00C4281A" w:rsidRDefault="00DB520C" w:rsidP="00C4281A">
            <w:pPr>
              <w:ind w:right="-99"/>
              <w:jc w:val="center"/>
              <w:rPr>
                <w:rFonts w:ascii="Times New Roman" w:hAnsi="Times New Roman"/>
                <w:b/>
                <w:sz w:val="24"/>
                <w:szCs w:val="24"/>
                <w:lang w:val="el-GR"/>
              </w:rPr>
            </w:pPr>
          </w:p>
        </w:tc>
      </w:tr>
    </w:tbl>
    <w:p w:rsidR="00DB520C" w:rsidRPr="00C4281A" w:rsidRDefault="00DB520C" w:rsidP="00C4281A">
      <w:pPr>
        <w:ind w:left="-851" w:right="-99"/>
        <w:jc w:val="both"/>
        <w:rPr>
          <w:rFonts w:ascii="Times New Roman" w:hAnsi="Times New Roman"/>
          <w:b/>
          <w:sz w:val="24"/>
          <w:szCs w:val="24"/>
          <w:lang w:val="el-GR"/>
        </w:rPr>
      </w:pPr>
    </w:p>
    <w:p w:rsidR="00026EA7" w:rsidRPr="00C4281A" w:rsidRDefault="00026EA7" w:rsidP="00C4281A">
      <w:pPr>
        <w:ind w:left="-851" w:right="-99"/>
        <w:jc w:val="both"/>
        <w:rPr>
          <w:rFonts w:ascii="Times New Roman" w:hAnsi="Times New Roman"/>
          <w:b/>
          <w:sz w:val="24"/>
          <w:szCs w:val="24"/>
          <w:lang w:val="el-GR"/>
        </w:rPr>
      </w:pPr>
    </w:p>
    <w:p w:rsidR="00026EA7" w:rsidRPr="00C4281A" w:rsidRDefault="00026EA7" w:rsidP="00C4281A">
      <w:pPr>
        <w:pageBreakBefore/>
        <w:tabs>
          <w:tab w:val="left" w:pos="2064"/>
        </w:tabs>
        <w:spacing w:before="76"/>
        <w:jc w:val="center"/>
        <w:rPr>
          <w:rFonts w:ascii="Times New Roman" w:hAnsi="Times New Roman"/>
          <w:b/>
          <w:spacing w:val="60"/>
          <w:sz w:val="22"/>
          <w:szCs w:val="22"/>
        </w:rPr>
      </w:pPr>
      <w:r w:rsidRPr="00C4281A">
        <w:rPr>
          <w:rFonts w:ascii="Times New Roman" w:hAnsi="Times New Roman"/>
          <w:b/>
          <w:sz w:val="22"/>
          <w:szCs w:val="22"/>
        </w:rPr>
        <w:lastRenderedPageBreak/>
        <w:t>BILAG I</w:t>
      </w:r>
    </w:p>
    <w:p w:rsidR="00026EA7" w:rsidRPr="00C4281A" w:rsidRDefault="00026EA7" w:rsidP="00C4281A">
      <w:pPr>
        <w:pStyle w:val="BodyText"/>
        <w:rPr>
          <w:rFonts w:ascii="Times New Roman" w:hAnsi="Times New Roman"/>
          <w:b/>
          <w:sz w:val="22"/>
          <w:szCs w:val="22"/>
          <w:lang w:val="el-GR"/>
        </w:rPr>
      </w:pPr>
    </w:p>
    <w:p w:rsidR="00026EA7" w:rsidRPr="00C4281A" w:rsidRDefault="00026EA7" w:rsidP="00C4281A">
      <w:pPr>
        <w:pStyle w:val="BodyText"/>
        <w:spacing w:before="8"/>
        <w:rPr>
          <w:rFonts w:ascii="Times New Roman" w:hAnsi="Times New Roman"/>
          <w:b/>
          <w:sz w:val="22"/>
          <w:szCs w:val="22"/>
          <w:lang w:val="el-GR"/>
        </w:rPr>
      </w:pPr>
    </w:p>
    <w:p w:rsidR="00026EA7" w:rsidRPr="00C4281A" w:rsidRDefault="00026EA7" w:rsidP="00C4281A">
      <w:pPr>
        <w:ind w:left="1383"/>
        <w:rPr>
          <w:rFonts w:ascii="Times New Roman" w:hAnsi="Times New Roman"/>
          <w:b/>
          <w:sz w:val="22"/>
          <w:szCs w:val="22"/>
        </w:rPr>
      </w:pPr>
      <w:r w:rsidRPr="00C4281A">
        <w:rPr>
          <w:rFonts w:ascii="Times New Roman" w:hAnsi="Times New Roman"/>
          <w:b/>
          <w:sz w:val="22"/>
          <w:szCs w:val="22"/>
        </w:rPr>
        <w:t>Produkter, der er omfattet af denne beslutning</w:t>
      </w:r>
    </w:p>
    <w:p w:rsidR="00026EA7" w:rsidRPr="00C4281A" w:rsidRDefault="00026EA7" w:rsidP="00C4281A">
      <w:pPr>
        <w:pStyle w:val="BodyText"/>
        <w:spacing w:before="10"/>
        <w:rPr>
          <w:rFonts w:ascii="Times New Roman" w:hAnsi="Times New Roman"/>
          <w:b/>
          <w:sz w:val="22"/>
          <w:szCs w:val="22"/>
        </w:rPr>
      </w:pPr>
    </w:p>
    <w:p w:rsidR="00026EA7" w:rsidRPr="00C4281A" w:rsidRDefault="00026EA7" w:rsidP="00C4281A">
      <w:pPr>
        <w:pStyle w:val="BodyText"/>
        <w:spacing w:before="5"/>
        <w:rPr>
          <w:rFonts w:ascii="Times New Roman" w:hAnsi="Times New Roman"/>
          <w:strike/>
          <w:sz w:val="22"/>
          <w:szCs w:val="22"/>
        </w:rPr>
      </w:pPr>
    </w:p>
    <w:p w:rsidR="00026EA7" w:rsidRPr="00C4281A" w:rsidRDefault="00026EA7" w:rsidP="00C4281A">
      <w:pPr>
        <w:pStyle w:val="ListParagraph"/>
        <w:widowControl/>
        <w:numPr>
          <w:ilvl w:val="0"/>
          <w:numId w:val="13"/>
        </w:numPr>
        <w:spacing w:before="1" w:line="240" w:lineRule="atLeast"/>
        <w:ind w:left="360" w:right="108" w:hanging="360"/>
      </w:pPr>
      <w:r w:rsidRPr="00C4281A">
        <w:t xml:space="preserve">Forarbejdede gulvfliser af gummi til: </w:t>
      </w:r>
    </w:p>
    <w:p w:rsidR="00026EA7" w:rsidRPr="00C4281A" w:rsidRDefault="00026EA7" w:rsidP="00C4281A">
      <w:pPr>
        <w:pStyle w:val="BodyText"/>
        <w:spacing w:before="8" w:line="240" w:lineRule="atLeast"/>
        <w:rPr>
          <w:rFonts w:ascii="Times New Roman" w:hAnsi="Times New Roman"/>
          <w:sz w:val="22"/>
          <w:szCs w:val="22"/>
        </w:rPr>
      </w:pPr>
    </w:p>
    <w:p w:rsidR="00026EA7" w:rsidRPr="00C4281A" w:rsidRDefault="00026EA7" w:rsidP="00C4281A">
      <w:pPr>
        <w:pStyle w:val="ListParagraph"/>
        <w:widowControl/>
        <w:numPr>
          <w:ilvl w:val="1"/>
          <w:numId w:val="13"/>
        </w:numPr>
        <w:tabs>
          <w:tab w:val="left" w:pos="745"/>
          <w:tab w:val="left" w:pos="746"/>
        </w:tabs>
        <w:spacing w:before="1" w:line="240" w:lineRule="atLeast"/>
        <w:jc w:val="left"/>
        <w:rPr>
          <w:i/>
        </w:rPr>
      </w:pPr>
      <w:r w:rsidRPr="00C4281A">
        <w:rPr>
          <w:i/>
        </w:rPr>
        <w:t>indendørs legepladser</w:t>
      </w:r>
    </w:p>
    <w:p w:rsidR="00026EA7" w:rsidRPr="00C4281A" w:rsidRDefault="00026EA7" w:rsidP="00C4281A">
      <w:pPr>
        <w:pStyle w:val="BodyText"/>
        <w:spacing w:before="9" w:line="240" w:lineRule="atLeast"/>
        <w:rPr>
          <w:rFonts w:ascii="Times New Roman" w:hAnsi="Times New Roman"/>
          <w:i/>
          <w:sz w:val="22"/>
          <w:szCs w:val="22"/>
        </w:rPr>
      </w:pPr>
    </w:p>
    <w:p w:rsidR="00026EA7" w:rsidRPr="00C4281A" w:rsidRDefault="00026EA7" w:rsidP="00C4281A">
      <w:pPr>
        <w:pStyle w:val="ListParagraph"/>
        <w:widowControl/>
        <w:numPr>
          <w:ilvl w:val="1"/>
          <w:numId w:val="13"/>
        </w:numPr>
        <w:tabs>
          <w:tab w:val="left" w:pos="745"/>
          <w:tab w:val="left" w:pos="746"/>
        </w:tabs>
        <w:spacing w:before="0" w:line="240" w:lineRule="atLeast"/>
        <w:jc w:val="left"/>
        <w:rPr>
          <w:i/>
        </w:rPr>
      </w:pPr>
      <w:r w:rsidRPr="00C4281A">
        <w:rPr>
          <w:i/>
        </w:rPr>
        <w:t>udendørs legepladser</w:t>
      </w:r>
    </w:p>
    <w:p w:rsidR="00026EA7" w:rsidRPr="00C4281A" w:rsidRDefault="00026EA7" w:rsidP="00C4281A">
      <w:pPr>
        <w:pStyle w:val="BodyText"/>
        <w:spacing w:before="10" w:line="240" w:lineRule="atLeast"/>
        <w:rPr>
          <w:rFonts w:ascii="Times New Roman" w:hAnsi="Times New Roman"/>
          <w:i/>
          <w:sz w:val="22"/>
          <w:szCs w:val="22"/>
        </w:rPr>
      </w:pPr>
    </w:p>
    <w:p w:rsidR="00026EA7" w:rsidRPr="00C4281A" w:rsidRDefault="00026EA7" w:rsidP="00C4281A">
      <w:pPr>
        <w:pStyle w:val="ListParagraph"/>
        <w:widowControl/>
        <w:numPr>
          <w:ilvl w:val="1"/>
          <w:numId w:val="13"/>
        </w:numPr>
        <w:tabs>
          <w:tab w:val="left" w:pos="745"/>
          <w:tab w:val="left" w:pos="746"/>
        </w:tabs>
        <w:spacing w:before="0" w:line="240" w:lineRule="atLeast"/>
        <w:jc w:val="left"/>
        <w:rPr>
          <w:i/>
        </w:rPr>
      </w:pPr>
      <w:r w:rsidRPr="00C4281A">
        <w:rPr>
          <w:i/>
        </w:rPr>
        <w:t>skoler</w:t>
      </w:r>
    </w:p>
    <w:p w:rsidR="00026EA7" w:rsidRPr="00C4281A" w:rsidRDefault="00026EA7" w:rsidP="00C4281A">
      <w:pPr>
        <w:pStyle w:val="BodyText"/>
        <w:spacing w:before="9" w:line="240" w:lineRule="atLeast"/>
        <w:rPr>
          <w:rFonts w:ascii="Times New Roman" w:hAnsi="Times New Roman"/>
          <w:i/>
          <w:sz w:val="22"/>
          <w:szCs w:val="22"/>
        </w:rPr>
      </w:pPr>
    </w:p>
    <w:p w:rsidR="00026EA7" w:rsidRPr="00C4281A" w:rsidRDefault="00026EA7" w:rsidP="00C4281A">
      <w:pPr>
        <w:pStyle w:val="ListParagraph"/>
        <w:widowControl/>
        <w:numPr>
          <w:ilvl w:val="1"/>
          <w:numId w:val="13"/>
        </w:numPr>
        <w:tabs>
          <w:tab w:val="left" w:pos="745"/>
          <w:tab w:val="left" w:pos="746"/>
        </w:tabs>
        <w:spacing w:before="0" w:line="240" w:lineRule="atLeast"/>
        <w:jc w:val="left"/>
        <w:rPr>
          <w:i/>
        </w:rPr>
      </w:pPr>
      <w:r w:rsidRPr="00C4281A">
        <w:rPr>
          <w:i/>
        </w:rPr>
        <w:t>fitnesscentre</w:t>
      </w:r>
    </w:p>
    <w:p w:rsidR="00026EA7" w:rsidRPr="00C4281A" w:rsidRDefault="00026EA7" w:rsidP="00C4281A">
      <w:pPr>
        <w:pStyle w:val="BodyText"/>
        <w:spacing w:before="9" w:line="240" w:lineRule="atLeast"/>
        <w:rPr>
          <w:rFonts w:ascii="Times New Roman" w:hAnsi="Times New Roman"/>
          <w:i/>
          <w:sz w:val="22"/>
          <w:szCs w:val="22"/>
        </w:rPr>
      </w:pPr>
    </w:p>
    <w:p w:rsidR="00026EA7" w:rsidRPr="00C4281A" w:rsidRDefault="00026EA7" w:rsidP="00C4281A">
      <w:pPr>
        <w:pStyle w:val="ListParagraph"/>
        <w:widowControl/>
        <w:numPr>
          <w:ilvl w:val="1"/>
          <w:numId w:val="13"/>
        </w:numPr>
        <w:tabs>
          <w:tab w:val="left" w:pos="745"/>
          <w:tab w:val="left" w:pos="746"/>
        </w:tabs>
        <w:spacing w:before="0" w:line="240" w:lineRule="atLeast"/>
        <w:jc w:val="left"/>
        <w:rPr>
          <w:i/>
        </w:rPr>
      </w:pPr>
      <w:r w:rsidRPr="00C4281A">
        <w:rPr>
          <w:i/>
        </w:rPr>
        <w:t>sportsanlæg osv.</w:t>
      </w:r>
    </w:p>
    <w:p w:rsidR="00026EA7" w:rsidRPr="00C4281A" w:rsidRDefault="00026EA7" w:rsidP="00C4281A">
      <w:pPr>
        <w:pStyle w:val="BodyText"/>
        <w:spacing w:line="240" w:lineRule="atLeast"/>
        <w:rPr>
          <w:rFonts w:ascii="Times New Roman" w:hAnsi="Times New Roman"/>
          <w:i/>
          <w:sz w:val="22"/>
          <w:szCs w:val="22"/>
        </w:rPr>
      </w:pPr>
    </w:p>
    <w:p w:rsidR="00026EA7" w:rsidRPr="00C4281A" w:rsidRDefault="00026EA7" w:rsidP="00C4281A">
      <w:pPr>
        <w:pStyle w:val="BodyText"/>
        <w:spacing w:before="9" w:line="240" w:lineRule="atLeast"/>
        <w:rPr>
          <w:rFonts w:ascii="Times New Roman" w:hAnsi="Times New Roman"/>
          <w:i/>
          <w:sz w:val="22"/>
          <w:szCs w:val="22"/>
        </w:rPr>
      </w:pPr>
    </w:p>
    <w:p w:rsidR="00026EA7" w:rsidRPr="00C4281A" w:rsidRDefault="00026EA7" w:rsidP="00C4281A">
      <w:pPr>
        <w:pStyle w:val="ListParagraph"/>
        <w:widowControl/>
        <w:numPr>
          <w:ilvl w:val="0"/>
          <w:numId w:val="13"/>
        </w:numPr>
        <w:spacing w:before="0" w:line="240" w:lineRule="atLeast"/>
        <w:ind w:left="360" w:hanging="360"/>
      </w:pPr>
      <w:r w:rsidRPr="00C4281A">
        <w:t xml:space="preserve">Syntetiske gummioverflader til anvendelse på sportsanlæg </w:t>
      </w:r>
    </w:p>
    <w:p w:rsidR="00026EA7" w:rsidRPr="00C4281A" w:rsidRDefault="00026EA7" w:rsidP="00C4281A">
      <w:pPr>
        <w:pStyle w:val="BodyText"/>
        <w:spacing w:before="7" w:line="240" w:lineRule="atLeast"/>
        <w:rPr>
          <w:rFonts w:ascii="Times New Roman" w:hAnsi="Times New Roman"/>
          <w:sz w:val="22"/>
          <w:szCs w:val="22"/>
        </w:rPr>
      </w:pPr>
    </w:p>
    <w:p w:rsidR="00026EA7" w:rsidRPr="00C4281A" w:rsidRDefault="00026EA7" w:rsidP="00C4281A">
      <w:pPr>
        <w:pStyle w:val="ListParagraph"/>
        <w:widowControl/>
        <w:numPr>
          <w:ilvl w:val="1"/>
          <w:numId w:val="13"/>
        </w:numPr>
        <w:tabs>
          <w:tab w:val="left" w:pos="809"/>
          <w:tab w:val="left" w:pos="810"/>
        </w:tabs>
        <w:spacing w:before="0" w:line="240" w:lineRule="atLeast"/>
        <w:ind w:left="810" w:hanging="462"/>
        <w:jc w:val="left"/>
        <w:rPr>
          <w:i/>
        </w:rPr>
      </w:pPr>
      <w:r w:rsidRPr="00C4281A">
        <w:rPr>
          <w:i/>
        </w:rPr>
        <w:t>sportsbaneudfyldninger og</w:t>
      </w:r>
    </w:p>
    <w:p w:rsidR="00026EA7" w:rsidRPr="00C4281A" w:rsidRDefault="00026EA7" w:rsidP="00C4281A">
      <w:pPr>
        <w:pStyle w:val="BodyText"/>
        <w:spacing w:before="9" w:line="240" w:lineRule="atLeast"/>
        <w:ind w:hanging="462"/>
        <w:rPr>
          <w:rFonts w:ascii="Times New Roman" w:hAnsi="Times New Roman"/>
          <w:i/>
          <w:sz w:val="22"/>
          <w:szCs w:val="22"/>
        </w:rPr>
      </w:pPr>
    </w:p>
    <w:p w:rsidR="00026EA7" w:rsidRPr="00C4281A" w:rsidRDefault="00026EA7" w:rsidP="00C4281A">
      <w:pPr>
        <w:pStyle w:val="ListParagraph"/>
        <w:widowControl/>
        <w:numPr>
          <w:ilvl w:val="1"/>
          <w:numId w:val="13"/>
        </w:numPr>
        <w:tabs>
          <w:tab w:val="left" w:pos="809"/>
          <w:tab w:val="left" w:pos="810"/>
        </w:tabs>
        <w:spacing w:before="1" w:line="240" w:lineRule="atLeast"/>
        <w:ind w:left="810" w:hanging="462"/>
        <w:jc w:val="left"/>
        <w:rPr>
          <w:i/>
        </w:rPr>
      </w:pPr>
      <w:r w:rsidRPr="00C4281A">
        <w:rPr>
          <w:i/>
        </w:rPr>
        <w:t>gummiunderlag i kunstige tørv.</w:t>
      </w:r>
    </w:p>
    <w:p w:rsidR="00026EA7" w:rsidRPr="00C4281A" w:rsidRDefault="00026EA7" w:rsidP="00C4281A">
      <w:pPr>
        <w:pStyle w:val="BodyText"/>
        <w:spacing w:line="240" w:lineRule="atLeast"/>
        <w:rPr>
          <w:rFonts w:ascii="Times New Roman" w:hAnsi="Times New Roman"/>
          <w:i/>
          <w:sz w:val="22"/>
          <w:szCs w:val="22"/>
          <w:lang w:val="el-GR"/>
        </w:rPr>
      </w:pPr>
    </w:p>
    <w:p w:rsidR="00026EA7" w:rsidRPr="00C4281A" w:rsidRDefault="00026EA7" w:rsidP="00C4281A">
      <w:pPr>
        <w:pStyle w:val="BodyText"/>
        <w:spacing w:before="10" w:line="240" w:lineRule="atLeast"/>
        <w:rPr>
          <w:rFonts w:ascii="Times New Roman" w:hAnsi="Times New Roman"/>
          <w:i/>
          <w:sz w:val="22"/>
          <w:szCs w:val="22"/>
          <w:lang w:val="el-GR"/>
        </w:rPr>
      </w:pPr>
    </w:p>
    <w:p w:rsidR="00026EA7" w:rsidRPr="00C4281A" w:rsidRDefault="00026EA7" w:rsidP="00C4281A">
      <w:pPr>
        <w:pStyle w:val="ListParagraph"/>
        <w:widowControl/>
        <w:numPr>
          <w:ilvl w:val="0"/>
          <w:numId w:val="13"/>
        </w:numPr>
        <w:tabs>
          <w:tab w:val="left" w:pos="360"/>
        </w:tabs>
        <w:spacing w:before="1" w:line="240" w:lineRule="atLeast"/>
        <w:ind w:left="360" w:hanging="360"/>
      </w:pPr>
      <w:r w:rsidRPr="00C4281A">
        <w:t>Forarbejdede gummidele, som markedsføres, såsom:</w:t>
      </w:r>
    </w:p>
    <w:p w:rsidR="00026EA7" w:rsidRPr="00C4281A" w:rsidRDefault="00026EA7" w:rsidP="00C4281A">
      <w:pPr>
        <w:pStyle w:val="BodyText"/>
        <w:spacing w:before="7" w:line="240" w:lineRule="atLeast"/>
        <w:rPr>
          <w:rFonts w:ascii="Times New Roman" w:hAnsi="Times New Roman"/>
          <w:sz w:val="22"/>
          <w:szCs w:val="22"/>
        </w:rPr>
      </w:pPr>
    </w:p>
    <w:p w:rsidR="00026EA7" w:rsidRPr="00C4281A" w:rsidRDefault="00026EA7" w:rsidP="00C4281A">
      <w:pPr>
        <w:pStyle w:val="ListParagraph"/>
        <w:widowControl/>
        <w:numPr>
          <w:ilvl w:val="1"/>
          <w:numId w:val="13"/>
        </w:numPr>
        <w:spacing w:before="0" w:line="240" w:lineRule="atLeast"/>
        <w:ind w:left="720"/>
        <w:jc w:val="left"/>
        <w:rPr>
          <w:i/>
        </w:rPr>
      </w:pPr>
      <w:r w:rsidRPr="00C4281A">
        <w:rPr>
          <w:i/>
        </w:rPr>
        <w:t>legetøj og produkter til børn</w:t>
      </w:r>
    </w:p>
    <w:p w:rsidR="00026EA7" w:rsidRPr="00C4281A" w:rsidRDefault="00026EA7" w:rsidP="00C4281A">
      <w:pPr>
        <w:pStyle w:val="BodyText"/>
        <w:spacing w:before="9" w:line="240" w:lineRule="atLeast"/>
        <w:ind w:left="720" w:hanging="360"/>
        <w:rPr>
          <w:rFonts w:ascii="Times New Roman" w:hAnsi="Times New Roman"/>
          <w:i/>
          <w:sz w:val="22"/>
          <w:szCs w:val="22"/>
        </w:rPr>
      </w:pPr>
    </w:p>
    <w:p w:rsidR="00026EA7" w:rsidRPr="00C4281A" w:rsidRDefault="00026EA7" w:rsidP="00C4281A">
      <w:pPr>
        <w:pStyle w:val="ListParagraph"/>
        <w:widowControl/>
        <w:numPr>
          <w:ilvl w:val="1"/>
          <w:numId w:val="13"/>
        </w:numPr>
        <w:spacing w:before="1" w:line="240" w:lineRule="atLeast"/>
        <w:ind w:left="720"/>
        <w:jc w:val="left"/>
        <w:rPr>
          <w:i/>
        </w:rPr>
      </w:pPr>
      <w:r w:rsidRPr="00C4281A">
        <w:rPr>
          <w:i/>
        </w:rPr>
        <w:t>sportsudstyr, såsom cykelhåndtag, golfpinde, ketsjere</w:t>
      </w:r>
    </w:p>
    <w:p w:rsidR="00026EA7" w:rsidRPr="00C4281A" w:rsidRDefault="00026EA7" w:rsidP="00C4281A">
      <w:pPr>
        <w:pStyle w:val="BodyText"/>
        <w:spacing w:before="9" w:line="240" w:lineRule="atLeast"/>
        <w:ind w:left="720" w:hanging="360"/>
        <w:rPr>
          <w:rFonts w:ascii="Times New Roman" w:hAnsi="Times New Roman"/>
          <w:i/>
          <w:sz w:val="22"/>
          <w:szCs w:val="22"/>
          <w:lang w:val="el-GR"/>
        </w:rPr>
      </w:pPr>
    </w:p>
    <w:p w:rsidR="00026EA7" w:rsidRPr="00C4281A" w:rsidRDefault="00026EA7" w:rsidP="00C4281A">
      <w:pPr>
        <w:pStyle w:val="ListParagraph"/>
        <w:widowControl/>
        <w:numPr>
          <w:ilvl w:val="1"/>
          <w:numId w:val="13"/>
        </w:numPr>
        <w:spacing w:before="0" w:line="240" w:lineRule="atLeast"/>
        <w:ind w:left="720"/>
        <w:jc w:val="left"/>
        <w:rPr>
          <w:i/>
        </w:rPr>
      </w:pPr>
      <w:r w:rsidRPr="00C4281A">
        <w:rPr>
          <w:i/>
        </w:rPr>
        <w:t>husholdningsudstyr, barnevogne, gåvogne til babyer</w:t>
      </w:r>
    </w:p>
    <w:p w:rsidR="00026EA7" w:rsidRPr="00C4281A" w:rsidRDefault="00026EA7" w:rsidP="00C4281A">
      <w:pPr>
        <w:pStyle w:val="BodyText"/>
        <w:spacing w:before="9" w:line="240" w:lineRule="atLeast"/>
        <w:ind w:left="720" w:hanging="360"/>
        <w:rPr>
          <w:rFonts w:ascii="Times New Roman" w:hAnsi="Times New Roman"/>
          <w:i/>
          <w:sz w:val="22"/>
          <w:szCs w:val="22"/>
          <w:lang w:val="el-GR"/>
        </w:rPr>
      </w:pPr>
    </w:p>
    <w:p w:rsidR="00026EA7" w:rsidRPr="00C4281A" w:rsidRDefault="00026EA7" w:rsidP="00C4281A">
      <w:pPr>
        <w:pStyle w:val="ListParagraph"/>
        <w:widowControl/>
        <w:numPr>
          <w:ilvl w:val="1"/>
          <w:numId w:val="13"/>
        </w:numPr>
        <w:spacing w:before="0" w:line="240" w:lineRule="atLeast"/>
        <w:ind w:left="720"/>
        <w:jc w:val="left"/>
        <w:rPr>
          <w:i/>
        </w:rPr>
      </w:pPr>
      <w:r w:rsidRPr="00C4281A">
        <w:rPr>
          <w:i/>
        </w:rPr>
        <w:t>husholdningsværktøjer</w:t>
      </w:r>
    </w:p>
    <w:p w:rsidR="00026EA7" w:rsidRPr="00C4281A" w:rsidRDefault="00026EA7" w:rsidP="00C4281A">
      <w:pPr>
        <w:pStyle w:val="BodyText"/>
        <w:spacing w:before="9" w:line="240" w:lineRule="atLeast"/>
        <w:ind w:left="720" w:hanging="360"/>
        <w:rPr>
          <w:rFonts w:ascii="Times New Roman" w:hAnsi="Times New Roman"/>
          <w:i/>
          <w:sz w:val="22"/>
          <w:szCs w:val="22"/>
        </w:rPr>
      </w:pPr>
    </w:p>
    <w:p w:rsidR="00026EA7" w:rsidRPr="00C4281A" w:rsidRDefault="00026EA7" w:rsidP="00C4281A">
      <w:pPr>
        <w:pStyle w:val="ListParagraph"/>
        <w:widowControl/>
        <w:numPr>
          <w:ilvl w:val="1"/>
          <w:numId w:val="13"/>
        </w:numPr>
        <w:spacing w:before="1" w:line="240" w:lineRule="atLeast"/>
        <w:ind w:left="720"/>
        <w:jc w:val="left"/>
        <w:rPr>
          <w:i/>
        </w:rPr>
      </w:pPr>
      <w:r w:rsidRPr="00C4281A">
        <w:rPr>
          <w:i/>
        </w:rPr>
        <w:t>tøj, sko, handsker og sportstøj</w:t>
      </w:r>
    </w:p>
    <w:p w:rsidR="00026EA7" w:rsidRPr="00C4281A" w:rsidRDefault="00026EA7" w:rsidP="00C4281A">
      <w:pPr>
        <w:pStyle w:val="BodyText"/>
        <w:spacing w:before="9" w:line="240" w:lineRule="atLeast"/>
        <w:ind w:left="720" w:hanging="360"/>
        <w:rPr>
          <w:rFonts w:ascii="Times New Roman" w:hAnsi="Times New Roman"/>
          <w:i/>
          <w:sz w:val="22"/>
          <w:szCs w:val="22"/>
          <w:lang w:val="el-GR"/>
        </w:rPr>
      </w:pPr>
    </w:p>
    <w:p w:rsidR="00026EA7" w:rsidRPr="00C4281A" w:rsidRDefault="00026EA7" w:rsidP="00C4281A">
      <w:pPr>
        <w:pStyle w:val="ListParagraph"/>
        <w:widowControl/>
        <w:numPr>
          <w:ilvl w:val="1"/>
          <w:numId w:val="13"/>
        </w:numPr>
        <w:spacing w:before="0" w:line="240" w:lineRule="atLeast"/>
        <w:ind w:left="720"/>
        <w:jc w:val="left"/>
        <w:rPr>
          <w:i/>
        </w:rPr>
      </w:pPr>
      <w:r w:rsidRPr="00C4281A">
        <w:rPr>
          <w:i/>
        </w:rPr>
        <w:t>urremme, armbånd, masker, hårtilbehør.</w:t>
      </w:r>
    </w:p>
    <w:p w:rsidR="00026EA7" w:rsidRPr="00C4281A" w:rsidRDefault="00026EA7" w:rsidP="00C4281A">
      <w:pPr>
        <w:rPr>
          <w:rFonts w:ascii="Times New Roman" w:hAnsi="Times New Roman"/>
          <w:sz w:val="22"/>
          <w:szCs w:val="22"/>
          <w:lang w:val="el-GR"/>
        </w:rPr>
        <w:sectPr w:rsidR="00026EA7" w:rsidRPr="00C4281A" w:rsidSect="00FA02E7">
          <w:footerReference w:type="default" r:id="rId12"/>
          <w:pgSz w:w="11910" w:h="16840"/>
          <w:pgMar w:top="1180" w:right="711" w:bottom="900" w:left="1600" w:header="0" w:footer="712" w:gutter="0"/>
          <w:cols w:space="720"/>
        </w:sectPr>
      </w:pPr>
    </w:p>
    <w:p w:rsidR="00026EA7" w:rsidRPr="00C4281A" w:rsidRDefault="00026EA7" w:rsidP="00C4281A">
      <w:pPr>
        <w:spacing w:before="90"/>
        <w:jc w:val="center"/>
        <w:rPr>
          <w:rFonts w:ascii="Times New Roman" w:hAnsi="Times New Roman"/>
          <w:b/>
          <w:spacing w:val="60"/>
          <w:sz w:val="22"/>
          <w:szCs w:val="22"/>
        </w:rPr>
      </w:pPr>
      <w:r w:rsidRPr="00C4281A">
        <w:rPr>
          <w:rFonts w:ascii="Times New Roman" w:hAnsi="Times New Roman"/>
          <w:b/>
          <w:sz w:val="22"/>
          <w:szCs w:val="22"/>
        </w:rPr>
        <w:lastRenderedPageBreak/>
        <w:t>BILAG II</w:t>
      </w:r>
    </w:p>
    <w:p w:rsidR="00026EA7" w:rsidRPr="00C4281A" w:rsidRDefault="00026EA7" w:rsidP="00C4281A">
      <w:pPr>
        <w:spacing w:before="184"/>
        <w:ind w:left="4803"/>
        <w:rPr>
          <w:rFonts w:ascii="Times New Roman" w:hAnsi="Times New Roman"/>
          <w:b/>
          <w:sz w:val="22"/>
          <w:szCs w:val="22"/>
        </w:rPr>
      </w:pPr>
      <w:r w:rsidRPr="00C4281A">
        <w:rPr>
          <w:rFonts w:ascii="Times New Roman" w:hAnsi="Times New Roman"/>
          <w:b/>
          <w:sz w:val="22"/>
          <w:szCs w:val="22"/>
        </w:rPr>
        <w:t>Krav til forarbejdede gummiprodukter</w:t>
      </w:r>
    </w:p>
    <w:p w:rsidR="00026EA7" w:rsidRPr="00C4281A" w:rsidRDefault="00026EA7" w:rsidP="00C4281A">
      <w:pPr>
        <w:pStyle w:val="BodyText"/>
        <w:spacing w:before="1"/>
        <w:rPr>
          <w:rFonts w:ascii="Times New Roman" w:hAnsi="Times New Roman"/>
          <w:b/>
          <w:sz w:val="22"/>
          <w:szCs w:val="22"/>
          <w:lang w:val="el-G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C4281A" w:rsidTr="00525FA9">
        <w:tc>
          <w:tcPr>
            <w:tcW w:w="6488" w:type="dxa"/>
            <w:shd w:val="clear" w:color="auto" w:fill="D9D9D9"/>
          </w:tcPr>
          <w:p w:rsidR="00026EA7" w:rsidRPr="00C4281A" w:rsidRDefault="00026EA7" w:rsidP="00C4281A">
            <w:pPr>
              <w:pStyle w:val="TableParagraph"/>
              <w:widowControl/>
              <w:spacing w:before="119"/>
              <w:ind w:left="37" w:right="214"/>
              <w:jc w:val="center"/>
              <w:rPr>
                <w:b/>
                <w:spacing w:val="60"/>
              </w:rPr>
            </w:pPr>
            <w:r w:rsidRPr="00C4281A">
              <w:rPr>
                <w:b/>
              </w:rPr>
              <w:t>Krav</w:t>
            </w:r>
          </w:p>
        </w:tc>
        <w:tc>
          <w:tcPr>
            <w:tcW w:w="7230" w:type="dxa"/>
            <w:shd w:val="clear" w:color="auto" w:fill="D9D9D9"/>
          </w:tcPr>
          <w:p w:rsidR="00026EA7" w:rsidRPr="00C4281A" w:rsidRDefault="00026EA7" w:rsidP="00C4281A">
            <w:pPr>
              <w:pStyle w:val="TableParagraph"/>
              <w:widowControl/>
              <w:spacing w:before="119"/>
              <w:ind w:left="70" w:right="215"/>
              <w:jc w:val="center"/>
              <w:rPr>
                <w:b/>
                <w:spacing w:val="60"/>
              </w:rPr>
            </w:pPr>
            <w:r w:rsidRPr="00C4281A">
              <w:rPr>
                <w:b/>
              </w:rPr>
              <w:t>Opfyldelse af krav</w:t>
            </w:r>
          </w:p>
        </w:tc>
      </w:tr>
      <w:tr w:rsidR="003A61F6" w:rsidRPr="00C4281A" w:rsidTr="00525FA9">
        <w:tc>
          <w:tcPr>
            <w:tcW w:w="6488" w:type="dxa"/>
          </w:tcPr>
          <w:p w:rsidR="00026EA7" w:rsidRPr="00C4281A" w:rsidRDefault="00026EA7" w:rsidP="00C4281A">
            <w:pPr>
              <w:pStyle w:val="TableParagraph"/>
              <w:widowControl/>
              <w:tabs>
                <w:tab w:val="left" w:pos="391"/>
              </w:tabs>
              <w:spacing w:before="61" w:line="235" w:lineRule="auto"/>
              <w:ind w:right="132"/>
              <w:jc w:val="both"/>
            </w:pPr>
          </w:p>
          <w:p w:rsidR="00026EA7" w:rsidRPr="00C4281A" w:rsidRDefault="00026EA7" w:rsidP="00C4281A">
            <w:pPr>
              <w:pStyle w:val="TableParagraph"/>
              <w:widowControl/>
              <w:numPr>
                <w:ilvl w:val="0"/>
                <w:numId w:val="12"/>
              </w:numPr>
              <w:tabs>
                <w:tab w:val="left" w:pos="391"/>
              </w:tabs>
              <w:spacing w:before="61" w:line="235" w:lineRule="auto"/>
              <w:ind w:right="132"/>
              <w:jc w:val="both"/>
            </w:pPr>
            <w:r w:rsidRPr="00C4281A">
              <w:rPr>
                <w:b/>
              </w:rPr>
              <w:t>Forarbejdede gummiprodukter beregnet til de formål, der er angivet i bilag I:</w:t>
            </w:r>
          </w:p>
          <w:p w:rsidR="00026EA7" w:rsidRPr="00C4281A" w:rsidRDefault="00026EA7" w:rsidP="00C4281A">
            <w:pPr>
              <w:pStyle w:val="TableParagraph"/>
              <w:widowControl/>
              <w:tabs>
                <w:tab w:val="left" w:pos="391"/>
              </w:tabs>
              <w:spacing w:before="61" w:line="235" w:lineRule="auto"/>
              <w:ind w:left="391" w:right="132"/>
              <w:jc w:val="both"/>
            </w:pPr>
          </w:p>
          <w:p w:rsidR="00026EA7" w:rsidRPr="00C4281A" w:rsidRDefault="00026EA7" w:rsidP="00C4281A">
            <w:pPr>
              <w:pStyle w:val="TableParagraph"/>
              <w:widowControl/>
              <w:numPr>
                <w:ilvl w:val="1"/>
                <w:numId w:val="12"/>
              </w:numPr>
              <w:tabs>
                <w:tab w:val="left" w:pos="817"/>
              </w:tabs>
              <w:spacing w:before="59"/>
              <w:ind w:right="130" w:hanging="425"/>
              <w:jc w:val="both"/>
            </w:pPr>
            <w:r w:rsidRPr="00C4281A">
              <w:t>skal være i overensstemmelse med de relevante tekniske specifikationer og standarder inden for sektoren</w:t>
            </w:r>
          </w:p>
          <w:p w:rsidR="00026EA7" w:rsidRPr="00C4281A" w:rsidRDefault="00026EA7" w:rsidP="00C4281A">
            <w:pPr>
              <w:pStyle w:val="TableParagraph"/>
              <w:widowControl/>
              <w:tabs>
                <w:tab w:val="left" w:pos="817"/>
              </w:tabs>
              <w:spacing w:before="59"/>
              <w:ind w:left="816" w:right="130"/>
              <w:jc w:val="both"/>
            </w:pPr>
          </w:p>
          <w:p w:rsidR="00026EA7" w:rsidRPr="00C4281A" w:rsidRDefault="00026EA7" w:rsidP="00C4281A">
            <w:pPr>
              <w:pStyle w:val="TableParagraph"/>
              <w:widowControl/>
              <w:numPr>
                <w:ilvl w:val="1"/>
                <w:numId w:val="12"/>
              </w:numPr>
              <w:tabs>
                <w:tab w:val="left" w:pos="817"/>
              </w:tabs>
              <w:spacing w:before="61"/>
              <w:ind w:right="130" w:hanging="425"/>
              <w:jc w:val="both"/>
            </w:pPr>
            <w:r w:rsidRPr="00C4281A">
              <w:t>skal være i overensstemmelse med bestemmelserne i forordning (EF) nr. 1907/2006 (REACH) i den gældende udgave</w:t>
            </w:r>
          </w:p>
          <w:p w:rsidR="00026EA7" w:rsidRPr="00C4281A" w:rsidRDefault="00026EA7" w:rsidP="00C4281A">
            <w:pPr>
              <w:pStyle w:val="TableParagraph"/>
              <w:widowControl/>
              <w:tabs>
                <w:tab w:val="left" w:pos="817"/>
              </w:tabs>
              <w:spacing w:before="61"/>
              <w:ind w:right="130"/>
              <w:jc w:val="both"/>
            </w:pPr>
          </w:p>
          <w:p w:rsidR="00026EA7" w:rsidRPr="00C4281A" w:rsidRDefault="00026EA7" w:rsidP="00C4281A">
            <w:pPr>
              <w:pStyle w:val="TableParagraph"/>
              <w:widowControl/>
              <w:numPr>
                <w:ilvl w:val="1"/>
                <w:numId w:val="12"/>
              </w:numPr>
              <w:tabs>
                <w:tab w:val="left" w:pos="817"/>
              </w:tabs>
              <w:spacing w:before="58"/>
              <w:ind w:right="129" w:hanging="425"/>
              <w:jc w:val="both"/>
            </w:pPr>
            <w:r w:rsidRPr="00C4281A">
              <w:t>skal være i overensstemmelse med de specielle krav i al relevant lovgivning.</w:t>
            </w:r>
          </w:p>
          <w:p w:rsidR="00026EA7" w:rsidRPr="00C4281A" w:rsidRDefault="00026EA7" w:rsidP="00C4281A">
            <w:pPr>
              <w:pStyle w:val="TableParagraph"/>
              <w:widowControl/>
              <w:tabs>
                <w:tab w:val="left" w:pos="817"/>
              </w:tabs>
              <w:spacing w:before="61"/>
              <w:ind w:left="816"/>
              <w:jc w:val="both"/>
            </w:pPr>
          </w:p>
        </w:tc>
        <w:tc>
          <w:tcPr>
            <w:tcW w:w="7230" w:type="dxa"/>
          </w:tcPr>
          <w:p w:rsidR="00026EA7" w:rsidRPr="00C4281A" w:rsidRDefault="00026EA7" w:rsidP="00C4281A">
            <w:pPr>
              <w:pStyle w:val="TableParagraph"/>
              <w:widowControl/>
              <w:spacing w:before="53"/>
              <w:ind w:left="108"/>
            </w:pPr>
          </w:p>
          <w:p w:rsidR="00026EA7" w:rsidRPr="00C4281A" w:rsidRDefault="00026EA7" w:rsidP="00C4281A">
            <w:pPr>
              <w:pStyle w:val="TableParagraph"/>
              <w:widowControl/>
              <w:spacing w:before="53"/>
              <w:ind w:left="108"/>
            </w:pPr>
            <w:r w:rsidRPr="00C4281A">
              <w:t>Forarbejdede gummiprodukter, der anvendes til de formål, der er angivet i bilag I, skal vurderes ved brug af:</w:t>
            </w:r>
          </w:p>
          <w:p w:rsidR="00026EA7" w:rsidRPr="00C4281A" w:rsidRDefault="00026EA7" w:rsidP="00C4281A">
            <w:pPr>
              <w:pStyle w:val="TableParagraph"/>
              <w:widowControl/>
              <w:spacing w:before="53"/>
              <w:ind w:left="108"/>
            </w:pPr>
          </w:p>
          <w:p w:rsidR="00026EA7" w:rsidRPr="00C4281A" w:rsidRDefault="00026EA7" w:rsidP="00C4281A">
            <w:pPr>
              <w:pStyle w:val="TableParagraph"/>
              <w:widowControl/>
              <w:numPr>
                <w:ilvl w:val="0"/>
                <w:numId w:val="11"/>
              </w:numPr>
              <w:tabs>
                <w:tab w:val="left" w:pos="467"/>
                <w:tab w:val="left" w:pos="468"/>
              </w:tabs>
              <w:spacing w:before="58"/>
            </w:pPr>
            <w:r w:rsidRPr="00C4281A">
              <w:t>makroskopisk undersøgelse</w:t>
            </w:r>
          </w:p>
          <w:p w:rsidR="00026EA7" w:rsidRPr="00C4281A" w:rsidRDefault="00026EA7" w:rsidP="00C4281A">
            <w:pPr>
              <w:pStyle w:val="TableParagraph"/>
              <w:widowControl/>
              <w:tabs>
                <w:tab w:val="left" w:pos="467"/>
                <w:tab w:val="left" w:pos="468"/>
              </w:tabs>
              <w:spacing w:before="58"/>
              <w:ind w:left="468"/>
            </w:pPr>
          </w:p>
          <w:p w:rsidR="00026EA7" w:rsidRPr="00C4281A" w:rsidRDefault="00026EA7" w:rsidP="00C4281A">
            <w:pPr>
              <w:pStyle w:val="TableParagraph"/>
              <w:widowControl/>
              <w:numPr>
                <w:ilvl w:val="0"/>
                <w:numId w:val="11"/>
              </w:numPr>
              <w:tabs>
                <w:tab w:val="left" w:pos="467"/>
                <w:tab w:val="left" w:pos="468"/>
              </w:tabs>
              <w:spacing w:before="60"/>
            </w:pPr>
            <w:r w:rsidRPr="00C4281A">
              <w:t xml:space="preserve">laboratorietest (mekaniske, fysiske og kemiske) </w:t>
            </w:r>
          </w:p>
          <w:p w:rsidR="00026EA7" w:rsidRPr="00C4281A" w:rsidRDefault="00026EA7" w:rsidP="00C4281A">
            <w:pPr>
              <w:pStyle w:val="TableParagraph"/>
              <w:widowControl/>
              <w:tabs>
                <w:tab w:val="left" w:pos="467"/>
                <w:tab w:val="left" w:pos="468"/>
              </w:tabs>
              <w:spacing w:before="60"/>
              <w:ind w:left="108"/>
            </w:pPr>
            <w:r w:rsidRPr="00C4281A">
              <w:t>som fastlagt i fabrikantens kvalitetsstyringssystem i overensstemmelse med bilag IV.</w:t>
            </w:r>
          </w:p>
          <w:p w:rsidR="00026EA7" w:rsidRPr="00C4281A" w:rsidRDefault="00026EA7" w:rsidP="00C4281A">
            <w:pPr>
              <w:pStyle w:val="TableParagraph"/>
              <w:widowControl/>
              <w:tabs>
                <w:tab w:val="left" w:pos="467"/>
                <w:tab w:val="left" w:pos="468"/>
              </w:tabs>
              <w:spacing w:before="60"/>
              <w:ind w:left="108"/>
            </w:pPr>
          </w:p>
          <w:p w:rsidR="00026EA7" w:rsidRPr="00C4281A" w:rsidRDefault="00026EA7" w:rsidP="00C4281A">
            <w:pPr>
              <w:pStyle w:val="TableParagraph"/>
              <w:widowControl/>
              <w:spacing w:before="60"/>
              <w:ind w:left="108"/>
            </w:pPr>
            <w:r w:rsidRPr="00C4281A">
              <w:t>Laboratorietest skal udføres på et laboratorium, der er akkrediteret i henhold til standarden ISO/IEC 17025.</w:t>
            </w:r>
          </w:p>
        </w:tc>
      </w:tr>
      <w:tr w:rsidR="003A61F6" w:rsidRPr="00C4281A" w:rsidTr="00525FA9">
        <w:tc>
          <w:tcPr>
            <w:tcW w:w="6488" w:type="dxa"/>
          </w:tcPr>
          <w:p w:rsidR="00026EA7" w:rsidRPr="00C4281A" w:rsidRDefault="00026EA7" w:rsidP="00C4281A">
            <w:pPr>
              <w:pStyle w:val="TableParagraph"/>
              <w:widowControl/>
              <w:tabs>
                <w:tab w:val="left" w:pos="391"/>
              </w:tabs>
              <w:spacing w:before="58"/>
              <w:ind w:left="467" w:right="132"/>
              <w:jc w:val="both"/>
              <w:rPr>
                <w:b/>
              </w:rPr>
            </w:pPr>
          </w:p>
          <w:p w:rsidR="00026EA7" w:rsidRPr="00C4281A" w:rsidRDefault="00026EA7" w:rsidP="00C4281A">
            <w:pPr>
              <w:pStyle w:val="TableParagraph"/>
              <w:widowControl/>
              <w:numPr>
                <w:ilvl w:val="0"/>
                <w:numId w:val="10"/>
              </w:numPr>
              <w:tabs>
                <w:tab w:val="left" w:pos="391"/>
              </w:tabs>
              <w:spacing w:before="58"/>
              <w:ind w:right="132" w:hanging="360"/>
              <w:jc w:val="both"/>
              <w:rPr>
                <w:b/>
              </w:rPr>
            </w:pPr>
            <w:r w:rsidRPr="00C4281A">
              <w:rPr>
                <w:b/>
              </w:rPr>
              <w:t>Gummi og andre materialer, der er anvendt til fremstilling af produkterne, der er henvist til i bilag Ι:</w:t>
            </w:r>
          </w:p>
          <w:p w:rsidR="00026EA7" w:rsidRPr="00C4281A" w:rsidRDefault="00026EA7" w:rsidP="00C4281A">
            <w:pPr>
              <w:pStyle w:val="TableParagraph"/>
              <w:widowControl/>
              <w:tabs>
                <w:tab w:val="left" w:pos="391"/>
              </w:tabs>
              <w:spacing w:before="58"/>
              <w:ind w:left="467" w:right="132"/>
              <w:jc w:val="both"/>
              <w:rPr>
                <w:b/>
              </w:rPr>
            </w:pPr>
          </w:p>
          <w:p w:rsidR="00026EA7" w:rsidRPr="00C4281A" w:rsidRDefault="00026EA7" w:rsidP="00C4281A">
            <w:pPr>
              <w:pStyle w:val="TableParagraph"/>
              <w:widowControl/>
              <w:numPr>
                <w:ilvl w:val="1"/>
                <w:numId w:val="10"/>
              </w:numPr>
              <w:tabs>
                <w:tab w:val="left" w:pos="888"/>
              </w:tabs>
              <w:spacing w:before="59"/>
              <w:ind w:left="883" w:right="129" w:hanging="492"/>
              <w:jc w:val="both"/>
            </w:pPr>
            <w:r w:rsidRPr="00C4281A">
              <w:t>skal være i overensstemmelse med de relevante tekniske specifikationer og standarder inden for sektoren</w:t>
            </w:r>
          </w:p>
          <w:p w:rsidR="00026EA7" w:rsidRPr="00C4281A" w:rsidRDefault="00026EA7" w:rsidP="00C4281A">
            <w:pPr>
              <w:pStyle w:val="TableParagraph"/>
              <w:widowControl/>
              <w:tabs>
                <w:tab w:val="left" w:pos="746"/>
              </w:tabs>
              <w:spacing w:before="56"/>
              <w:ind w:left="816" w:right="130"/>
              <w:jc w:val="both"/>
            </w:pPr>
          </w:p>
          <w:p w:rsidR="00026EA7" w:rsidRPr="00C4281A" w:rsidRDefault="00026EA7" w:rsidP="00C4281A">
            <w:pPr>
              <w:pStyle w:val="TableParagraph"/>
              <w:widowControl/>
              <w:numPr>
                <w:ilvl w:val="1"/>
                <w:numId w:val="10"/>
              </w:numPr>
              <w:tabs>
                <w:tab w:val="left" w:pos="888"/>
              </w:tabs>
              <w:spacing w:before="59"/>
              <w:ind w:left="883" w:right="129" w:hanging="492"/>
              <w:jc w:val="both"/>
            </w:pPr>
            <w:r w:rsidRPr="00C4281A">
              <w:t>skal være i overensstemmelse med den gældende miljølovgivning, i tilfælde af genbrugt gummi (i henhold til bilag III til direktiv 2008/98/EF, i den gældende udgave, og bilag IV til forordning (EF) nr. 850/2004.</w:t>
            </w:r>
          </w:p>
          <w:p w:rsidR="00026EA7" w:rsidRPr="00C4281A" w:rsidRDefault="00026EA7" w:rsidP="00C4281A">
            <w:pPr>
              <w:pStyle w:val="TableParagraph"/>
              <w:widowControl/>
              <w:tabs>
                <w:tab w:val="left" w:pos="817"/>
              </w:tabs>
              <w:spacing w:before="61"/>
              <w:ind w:right="136"/>
              <w:jc w:val="both"/>
            </w:pPr>
          </w:p>
        </w:tc>
        <w:tc>
          <w:tcPr>
            <w:tcW w:w="7230" w:type="dxa"/>
          </w:tcPr>
          <w:p w:rsidR="00026EA7" w:rsidRPr="00C4281A" w:rsidRDefault="00026EA7" w:rsidP="00C4281A">
            <w:pPr>
              <w:pStyle w:val="TableParagraph"/>
              <w:widowControl/>
              <w:spacing w:before="10"/>
              <w:rPr>
                <w:b/>
              </w:rPr>
            </w:pPr>
          </w:p>
          <w:p w:rsidR="00026EA7" w:rsidRPr="00C4281A" w:rsidRDefault="00026EA7" w:rsidP="00C4281A">
            <w:pPr>
              <w:pStyle w:val="TableParagraph"/>
              <w:widowControl/>
              <w:spacing w:before="10"/>
              <w:rPr>
                <w:b/>
              </w:rPr>
            </w:pPr>
          </w:p>
          <w:p w:rsidR="00026EA7" w:rsidRPr="00C4281A" w:rsidRDefault="00026EA7" w:rsidP="00C4281A">
            <w:pPr>
              <w:pStyle w:val="TableParagraph"/>
              <w:widowControl/>
              <w:numPr>
                <w:ilvl w:val="0"/>
                <w:numId w:val="9"/>
              </w:numPr>
              <w:tabs>
                <w:tab w:val="left" w:pos="495"/>
              </w:tabs>
              <w:ind w:right="275" w:hanging="360"/>
              <w:jc w:val="both"/>
            </w:pPr>
            <w:r w:rsidRPr="00C4281A">
              <w:t>Godkendelses- og afvisningskriterier for gummi og andre indgangsmaterialer skal fastlægges i kvalitetsstyringssystemets procedurevejledning i overensstemmelse med bilag IV.</w:t>
            </w:r>
          </w:p>
          <w:p w:rsidR="00026EA7" w:rsidRPr="00C4281A" w:rsidRDefault="00026EA7" w:rsidP="00C4281A">
            <w:pPr>
              <w:pStyle w:val="TableParagraph"/>
              <w:widowControl/>
              <w:tabs>
                <w:tab w:val="left" w:pos="495"/>
              </w:tabs>
              <w:ind w:left="468" w:right="275"/>
              <w:jc w:val="both"/>
            </w:pPr>
          </w:p>
          <w:p w:rsidR="00026EA7" w:rsidRPr="00C4281A" w:rsidRDefault="00026EA7" w:rsidP="00C4281A">
            <w:pPr>
              <w:pStyle w:val="TableParagraph"/>
              <w:widowControl/>
              <w:tabs>
                <w:tab w:val="left" w:pos="495"/>
              </w:tabs>
              <w:ind w:left="468" w:right="275"/>
              <w:jc w:val="both"/>
            </w:pPr>
          </w:p>
          <w:p w:rsidR="00026EA7" w:rsidRPr="00C4281A" w:rsidRDefault="00026EA7" w:rsidP="00C4281A">
            <w:pPr>
              <w:pStyle w:val="TableParagraph"/>
              <w:widowControl/>
              <w:numPr>
                <w:ilvl w:val="0"/>
                <w:numId w:val="9"/>
              </w:numPr>
              <w:tabs>
                <w:tab w:val="left" w:pos="495"/>
              </w:tabs>
              <w:spacing w:before="60"/>
              <w:ind w:right="274" w:hanging="360"/>
              <w:jc w:val="both"/>
            </w:pPr>
            <w:r w:rsidRPr="00C4281A">
              <w:t>Personale, der har til opgave at håndtere gummi og forarbejdede gummiprodukter, skal have fået passende undervisning i implementering af procedurerne.</w:t>
            </w:r>
          </w:p>
        </w:tc>
      </w:tr>
    </w:tbl>
    <w:p w:rsidR="00026EA7" w:rsidRPr="00C4281A" w:rsidRDefault="00026EA7" w:rsidP="00C4281A">
      <w:pPr>
        <w:spacing w:before="1"/>
        <w:ind w:right="113"/>
        <w:rPr>
          <w:rFonts w:ascii="Times New Roman" w:hAnsi="Times New Roman"/>
          <w:sz w:val="22"/>
          <w:szCs w:val="22"/>
        </w:rPr>
      </w:pPr>
    </w:p>
    <w:p w:rsidR="00026EA7" w:rsidRPr="00C4281A" w:rsidRDefault="00026EA7" w:rsidP="00C4281A">
      <w:pPr>
        <w:jc w:val="right"/>
        <w:rPr>
          <w:rFonts w:ascii="Times New Roman" w:hAnsi="Times New Roman"/>
          <w:sz w:val="22"/>
          <w:szCs w:val="22"/>
        </w:rPr>
        <w:sectPr w:rsidR="00026EA7" w:rsidRPr="00C4281A" w:rsidSect="00FD1D0F">
          <w:footerReference w:type="default" r:id="rId13"/>
          <w:pgSz w:w="16840" w:h="11910" w:orient="landscape"/>
          <w:pgMar w:top="1100" w:right="1300" w:bottom="280" w:left="1200" w:header="0" w:footer="258" w:gutter="0"/>
          <w:cols w:space="720"/>
        </w:sectPr>
      </w:pPr>
    </w:p>
    <w:p w:rsidR="00026EA7" w:rsidRPr="00C4281A" w:rsidRDefault="00026EA7" w:rsidP="00C4281A">
      <w:pPr>
        <w:tabs>
          <w:tab w:val="left" w:pos="2064"/>
        </w:tabs>
        <w:spacing w:before="79"/>
        <w:ind w:right="313"/>
        <w:jc w:val="center"/>
        <w:rPr>
          <w:rFonts w:ascii="Times New Roman" w:hAnsi="Times New Roman"/>
          <w:b/>
          <w:spacing w:val="60"/>
          <w:sz w:val="22"/>
          <w:szCs w:val="22"/>
        </w:rPr>
      </w:pPr>
      <w:r w:rsidRPr="00C4281A">
        <w:rPr>
          <w:rFonts w:ascii="Times New Roman" w:hAnsi="Times New Roman"/>
          <w:b/>
          <w:sz w:val="22"/>
          <w:szCs w:val="22"/>
        </w:rPr>
        <w:lastRenderedPageBreak/>
        <w:t>BILAG III</w:t>
      </w:r>
    </w:p>
    <w:p w:rsidR="00026EA7" w:rsidRPr="00C4281A" w:rsidRDefault="00026EA7" w:rsidP="00C4281A">
      <w:pPr>
        <w:pStyle w:val="BodyText"/>
        <w:spacing w:before="2"/>
        <w:rPr>
          <w:rFonts w:ascii="Times New Roman" w:hAnsi="Times New Roman"/>
          <w:b/>
          <w:sz w:val="22"/>
          <w:szCs w:val="22"/>
        </w:rPr>
      </w:pPr>
    </w:p>
    <w:p w:rsidR="00026EA7" w:rsidRPr="00C4281A" w:rsidRDefault="00026EA7" w:rsidP="00C4281A">
      <w:pPr>
        <w:pStyle w:val="BodyText"/>
        <w:spacing w:before="2"/>
        <w:jc w:val="center"/>
        <w:rPr>
          <w:rFonts w:ascii="Times New Roman" w:hAnsi="Times New Roman"/>
          <w:sz w:val="22"/>
          <w:szCs w:val="22"/>
        </w:rPr>
      </w:pPr>
      <w:r w:rsidRPr="00C4281A">
        <w:rPr>
          <w:rFonts w:ascii="Times New Roman" w:hAnsi="Times New Roman"/>
          <w:b/>
          <w:sz w:val="22"/>
          <w:szCs w:val="22"/>
        </w:rPr>
        <w:t xml:space="preserve">Erklæring på tro og love </w:t>
      </w:r>
    </w:p>
    <w:p w:rsidR="00026EA7" w:rsidRPr="00C4281A" w:rsidRDefault="00026EA7" w:rsidP="00C4281A">
      <w:pPr>
        <w:pStyle w:val="BodyText"/>
        <w:spacing w:before="2"/>
        <w:jc w:val="center"/>
        <w:rPr>
          <w:rFonts w:ascii="Times New Roman" w:hAnsi="Times New Roman"/>
          <w:b/>
          <w:sz w:val="22"/>
          <w:szCs w:val="22"/>
        </w:rPr>
      </w:pPr>
      <w:r w:rsidRPr="00C4281A">
        <w:rPr>
          <w:rFonts w:ascii="Times New Roman" w:hAnsi="Times New Roman"/>
          <w:sz w:val="22"/>
          <w:szCs w:val="22"/>
        </w:rPr>
        <w:t>som omhandlet i artikel 4 i denne beslutning</w:t>
      </w:r>
    </w:p>
    <w:p w:rsidR="00026EA7" w:rsidRPr="00C4281A" w:rsidRDefault="00026EA7" w:rsidP="00C4281A">
      <w:pPr>
        <w:spacing w:line="237" w:lineRule="auto"/>
        <w:ind w:right="304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C4281A" w:rsidTr="00C61A52">
        <w:tc>
          <w:tcPr>
            <w:tcW w:w="392" w:type="dxa"/>
            <w:vAlign w:val="center"/>
          </w:tcPr>
          <w:p w:rsidR="00026EA7" w:rsidRPr="00C4281A" w:rsidRDefault="00026EA7" w:rsidP="00C4281A">
            <w:pPr>
              <w:spacing w:line="237" w:lineRule="auto"/>
              <w:ind w:right="3040"/>
              <w:rPr>
                <w:rFonts w:ascii="Times New Roman" w:hAnsi="Times New Roman"/>
                <w:sz w:val="22"/>
                <w:szCs w:val="22"/>
              </w:rPr>
            </w:pPr>
            <w:r w:rsidRPr="00C4281A">
              <w:rPr>
                <w:rFonts w:ascii="Times New Roman" w:hAnsi="Times New Roman"/>
                <w:sz w:val="22"/>
                <w:szCs w:val="22"/>
              </w:rPr>
              <w:t>1</w:t>
            </w:r>
          </w:p>
        </w:tc>
        <w:tc>
          <w:tcPr>
            <w:tcW w:w="9214" w:type="dxa"/>
            <w:vAlign w:val="center"/>
          </w:tcPr>
          <w:p w:rsidR="00026EA7" w:rsidRPr="00C4281A" w:rsidRDefault="00026EA7" w:rsidP="00C4281A">
            <w:pPr>
              <w:spacing w:line="237" w:lineRule="auto"/>
              <w:ind w:right="3040"/>
              <w:rPr>
                <w:rFonts w:ascii="Times New Roman" w:hAnsi="Times New Roman"/>
                <w:sz w:val="22"/>
                <w:szCs w:val="22"/>
                <w:lang w:val="el-GR"/>
              </w:rPr>
            </w:pPr>
          </w:p>
          <w:p w:rsidR="00026EA7" w:rsidRPr="00C4281A" w:rsidRDefault="00026EA7" w:rsidP="00C4281A">
            <w:pPr>
              <w:tabs>
                <w:tab w:val="left" w:pos="2064"/>
              </w:tabs>
              <w:spacing w:before="120" w:after="120"/>
              <w:ind w:right="312"/>
              <w:rPr>
                <w:rFonts w:ascii="Times New Roman" w:hAnsi="Times New Roman"/>
                <w:sz w:val="22"/>
                <w:szCs w:val="22"/>
              </w:rPr>
            </w:pPr>
            <w:r w:rsidRPr="00C4281A">
              <w:rPr>
                <w:rFonts w:ascii="Times New Roman" w:hAnsi="Times New Roman"/>
                <w:sz w:val="22"/>
                <w:szCs w:val="22"/>
              </w:rPr>
              <w:t>Virksomhedens navn</w:t>
            </w:r>
            <w:r w:rsidRPr="00C4281A">
              <w:rPr>
                <w:rFonts w:ascii="Times New Roman" w:hAnsi="Times New Roman"/>
                <w:sz w:val="22"/>
                <w:szCs w:val="22"/>
              </w:rPr>
              <w:tab/>
            </w:r>
            <w:r w:rsidRPr="00C4281A">
              <w:rPr>
                <w:rFonts w:ascii="Times New Roman" w:hAnsi="Times New Roman"/>
                <w:b/>
                <w:sz w:val="22"/>
                <w:szCs w:val="22"/>
              </w:rPr>
              <w:t>:</w:t>
            </w:r>
          </w:p>
          <w:p w:rsidR="00026EA7" w:rsidRPr="00C4281A" w:rsidRDefault="00026EA7" w:rsidP="00C4281A">
            <w:pPr>
              <w:tabs>
                <w:tab w:val="left" w:pos="2064"/>
              </w:tabs>
              <w:spacing w:before="120" w:after="120"/>
              <w:ind w:right="312"/>
              <w:rPr>
                <w:rFonts w:ascii="Times New Roman" w:hAnsi="Times New Roman"/>
                <w:b/>
                <w:sz w:val="22"/>
                <w:szCs w:val="22"/>
              </w:rPr>
            </w:pPr>
            <w:r w:rsidRPr="00C4281A">
              <w:rPr>
                <w:rFonts w:ascii="Times New Roman" w:hAnsi="Times New Roman"/>
                <w:sz w:val="22"/>
                <w:szCs w:val="22"/>
              </w:rPr>
              <w:t>Adresse</w:t>
            </w:r>
            <w:r w:rsidRPr="00C4281A">
              <w:rPr>
                <w:rFonts w:ascii="Times New Roman" w:hAnsi="Times New Roman"/>
                <w:sz w:val="22"/>
                <w:szCs w:val="22"/>
              </w:rPr>
              <w:tab/>
            </w:r>
            <w:r w:rsidRPr="00C4281A">
              <w:rPr>
                <w:rFonts w:ascii="Times New Roman" w:hAnsi="Times New Roman"/>
                <w:b/>
                <w:sz w:val="22"/>
                <w:szCs w:val="22"/>
              </w:rPr>
              <w:t>:</w:t>
            </w:r>
          </w:p>
          <w:p w:rsidR="00026EA7" w:rsidRPr="00C4281A" w:rsidRDefault="00026EA7" w:rsidP="00C4281A">
            <w:pPr>
              <w:tabs>
                <w:tab w:val="left" w:pos="2064"/>
              </w:tabs>
              <w:spacing w:before="120" w:after="120"/>
              <w:ind w:right="312"/>
              <w:rPr>
                <w:rFonts w:ascii="Times New Roman" w:hAnsi="Times New Roman"/>
                <w:b/>
                <w:sz w:val="22"/>
                <w:szCs w:val="22"/>
              </w:rPr>
            </w:pPr>
            <w:r w:rsidRPr="00C4281A">
              <w:rPr>
                <w:rFonts w:ascii="Times New Roman" w:hAnsi="Times New Roman"/>
                <w:sz w:val="22"/>
                <w:szCs w:val="22"/>
              </w:rPr>
              <w:t>Kontaktoplysninger</w:t>
            </w:r>
            <w:r w:rsidRPr="00C4281A">
              <w:rPr>
                <w:rFonts w:ascii="Times New Roman" w:hAnsi="Times New Roman"/>
                <w:sz w:val="22"/>
                <w:szCs w:val="22"/>
              </w:rPr>
              <w:tab/>
            </w:r>
            <w:r w:rsidRPr="00C4281A">
              <w:rPr>
                <w:rFonts w:ascii="Times New Roman" w:hAnsi="Times New Roman"/>
                <w:b/>
                <w:sz w:val="22"/>
                <w:szCs w:val="22"/>
              </w:rPr>
              <w:t>:</w:t>
            </w:r>
          </w:p>
          <w:p w:rsidR="00026EA7" w:rsidRPr="00C4281A" w:rsidRDefault="00026EA7" w:rsidP="00C4281A">
            <w:pPr>
              <w:tabs>
                <w:tab w:val="left" w:pos="2064"/>
              </w:tabs>
              <w:spacing w:before="120" w:after="120"/>
              <w:ind w:right="312"/>
              <w:rPr>
                <w:rFonts w:ascii="Times New Roman" w:hAnsi="Times New Roman"/>
                <w:b/>
                <w:sz w:val="22"/>
                <w:szCs w:val="22"/>
                <w:lang w:val="el-GR"/>
              </w:rPr>
            </w:pPr>
          </w:p>
        </w:tc>
      </w:tr>
      <w:tr w:rsidR="003A61F6" w:rsidRPr="00C4281A" w:rsidTr="00C61A52">
        <w:tc>
          <w:tcPr>
            <w:tcW w:w="392" w:type="dxa"/>
            <w:vAlign w:val="center"/>
          </w:tcPr>
          <w:p w:rsidR="00026EA7" w:rsidRPr="00C4281A" w:rsidRDefault="00026EA7" w:rsidP="00C4281A">
            <w:pPr>
              <w:spacing w:line="237" w:lineRule="auto"/>
              <w:ind w:right="3040"/>
              <w:rPr>
                <w:rFonts w:ascii="Times New Roman" w:hAnsi="Times New Roman"/>
                <w:sz w:val="22"/>
                <w:szCs w:val="22"/>
              </w:rPr>
            </w:pPr>
            <w:r w:rsidRPr="00C4281A">
              <w:rPr>
                <w:rFonts w:ascii="Times New Roman" w:hAnsi="Times New Roman"/>
                <w:sz w:val="22"/>
                <w:szCs w:val="22"/>
              </w:rPr>
              <w:t>2</w:t>
            </w:r>
          </w:p>
          <w:p w:rsidR="00026EA7" w:rsidRPr="00C4281A" w:rsidRDefault="00026EA7" w:rsidP="00C4281A">
            <w:pPr>
              <w:spacing w:line="237" w:lineRule="auto"/>
              <w:ind w:right="3040"/>
              <w:rPr>
                <w:rFonts w:ascii="Times New Roman" w:hAnsi="Times New Roman"/>
                <w:sz w:val="22"/>
                <w:szCs w:val="22"/>
              </w:rPr>
            </w:pPr>
          </w:p>
        </w:tc>
        <w:tc>
          <w:tcPr>
            <w:tcW w:w="9214" w:type="dxa"/>
            <w:vAlign w:val="center"/>
          </w:tcPr>
          <w:p w:rsidR="00026EA7" w:rsidRPr="00C4281A" w:rsidRDefault="00026EA7" w:rsidP="00C4281A">
            <w:pPr>
              <w:tabs>
                <w:tab w:val="left" w:pos="8113"/>
              </w:tabs>
              <w:spacing w:line="237" w:lineRule="auto"/>
              <w:ind w:right="3040"/>
              <w:rPr>
                <w:rFonts w:ascii="Times New Roman" w:hAnsi="Times New Roman"/>
                <w:sz w:val="22"/>
                <w:szCs w:val="22"/>
              </w:rPr>
            </w:pPr>
          </w:p>
          <w:p w:rsidR="00026EA7" w:rsidRPr="00C4281A" w:rsidRDefault="00026EA7" w:rsidP="00C4281A">
            <w:pPr>
              <w:tabs>
                <w:tab w:val="left" w:pos="459"/>
              </w:tabs>
              <w:spacing w:line="237" w:lineRule="auto"/>
              <w:ind w:right="176"/>
              <w:jc w:val="both"/>
              <w:rPr>
                <w:rFonts w:ascii="Times New Roman" w:hAnsi="Times New Roman"/>
                <w:sz w:val="22"/>
                <w:szCs w:val="22"/>
              </w:rPr>
            </w:pPr>
            <w:r w:rsidRPr="00C4281A">
              <w:rPr>
                <w:rFonts w:ascii="Times New Roman" w:hAnsi="Times New Roman"/>
                <w:sz w:val="22"/>
                <w:szCs w:val="22"/>
              </w:rPr>
              <w:t>Standard eller teknisk specifikation, som det færdigt forarbejdede gummiprodukt overholder.</w:t>
            </w:r>
          </w:p>
          <w:p w:rsidR="00026EA7" w:rsidRPr="00C4281A" w:rsidRDefault="00026EA7" w:rsidP="00C4281A">
            <w:pPr>
              <w:tabs>
                <w:tab w:val="left" w:pos="459"/>
              </w:tabs>
              <w:spacing w:line="237" w:lineRule="auto"/>
              <w:ind w:left="459" w:right="176" w:hanging="425"/>
              <w:rPr>
                <w:rFonts w:ascii="Times New Roman" w:hAnsi="Times New Roman"/>
                <w:sz w:val="22"/>
                <w:szCs w:val="22"/>
              </w:rPr>
            </w:pPr>
          </w:p>
          <w:p w:rsidR="00026EA7" w:rsidRPr="00C4281A" w:rsidRDefault="00026EA7" w:rsidP="00C4281A">
            <w:pPr>
              <w:tabs>
                <w:tab w:val="left" w:pos="459"/>
              </w:tabs>
              <w:spacing w:line="237" w:lineRule="auto"/>
              <w:ind w:left="459" w:right="176"/>
              <w:rPr>
                <w:rFonts w:ascii="Times New Roman" w:hAnsi="Times New Roman"/>
                <w:sz w:val="22"/>
                <w:szCs w:val="22"/>
              </w:rPr>
            </w:pPr>
          </w:p>
        </w:tc>
      </w:tr>
      <w:tr w:rsidR="003A61F6" w:rsidRPr="00C4281A" w:rsidTr="00C61A52">
        <w:tc>
          <w:tcPr>
            <w:tcW w:w="392" w:type="dxa"/>
            <w:vAlign w:val="center"/>
          </w:tcPr>
          <w:p w:rsidR="00026EA7" w:rsidRPr="00C4281A" w:rsidRDefault="00026EA7" w:rsidP="00C4281A">
            <w:pPr>
              <w:spacing w:line="237" w:lineRule="auto"/>
              <w:ind w:right="3040"/>
              <w:rPr>
                <w:rFonts w:ascii="Times New Roman" w:hAnsi="Times New Roman"/>
                <w:sz w:val="22"/>
                <w:szCs w:val="22"/>
              </w:rPr>
            </w:pPr>
            <w:r w:rsidRPr="00C4281A">
              <w:rPr>
                <w:rFonts w:ascii="Times New Roman" w:hAnsi="Times New Roman"/>
                <w:sz w:val="22"/>
                <w:szCs w:val="22"/>
              </w:rPr>
              <w:t>3</w:t>
            </w:r>
          </w:p>
        </w:tc>
        <w:tc>
          <w:tcPr>
            <w:tcW w:w="9214" w:type="dxa"/>
            <w:vAlign w:val="center"/>
          </w:tcPr>
          <w:p w:rsidR="00026EA7" w:rsidRPr="00C4281A" w:rsidRDefault="00026EA7" w:rsidP="00C4281A">
            <w:pPr>
              <w:tabs>
                <w:tab w:val="left" w:pos="459"/>
              </w:tabs>
              <w:spacing w:line="237" w:lineRule="auto"/>
              <w:ind w:left="360" w:right="3040"/>
              <w:rPr>
                <w:rFonts w:ascii="Times New Roman" w:hAnsi="Times New Roman"/>
                <w:sz w:val="22"/>
                <w:szCs w:val="22"/>
              </w:rPr>
            </w:pPr>
          </w:p>
          <w:p w:rsidR="00026EA7" w:rsidRPr="00C4281A" w:rsidRDefault="00026EA7" w:rsidP="00C4281A">
            <w:pPr>
              <w:numPr>
                <w:ilvl w:val="0"/>
                <w:numId w:val="40"/>
              </w:numPr>
              <w:tabs>
                <w:tab w:val="left" w:pos="459"/>
                <w:tab w:val="left" w:pos="4659"/>
              </w:tabs>
              <w:autoSpaceDE w:val="0"/>
              <w:autoSpaceDN w:val="0"/>
              <w:spacing w:line="237" w:lineRule="auto"/>
              <w:ind w:left="360" w:right="3040"/>
              <w:rPr>
                <w:rFonts w:ascii="Times New Roman" w:hAnsi="Times New Roman"/>
                <w:b/>
                <w:sz w:val="22"/>
                <w:szCs w:val="22"/>
              </w:rPr>
            </w:pPr>
            <w:r w:rsidRPr="00C4281A">
              <w:rPr>
                <w:rFonts w:ascii="Times New Roman" w:hAnsi="Times New Roman"/>
                <w:sz w:val="22"/>
                <w:szCs w:val="22"/>
              </w:rPr>
              <w:t>Parti/fragt-ID</w:t>
            </w:r>
            <w:r w:rsidRPr="00C4281A">
              <w:rPr>
                <w:rFonts w:ascii="Times New Roman" w:hAnsi="Times New Roman"/>
                <w:b/>
                <w:sz w:val="22"/>
                <w:szCs w:val="22"/>
              </w:rPr>
              <w:t>:</w:t>
            </w:r>
          </w:p>
          <w:p w:rsidR="00026EA7" w:rsidRPr="00C4281A" w:rsidRDefault="00026EA7" w:rsidP="00C4281A">
            <w:pPr>
              <w:tabs>
                <w:tab w:val="left" w:pos="459"/>
              </w:tabs>
              <w:spacing w:line="237" w:lineRule="auto"/>
              <w:ind w:right="3040"/>
              <w:rPr>
                <w:rFonts w:ascii="Times New Roman" w:hAnsi="Times New Roman"/>
                <w:sz w:val="22"/>
                <w:szCs w:val="22"/>
                <w:lang w:val="el-GR"/>
              </w:rPr>
            </w:pPr>
          </w:p>
          <w:p w:rsidR="00026EA7" w:rsidRPr="00C4281A" w:rsidRDefault="00026EA7" w:rsidP="00C4281A">
            <w:pPr>
              <w:numPr>
                <w:ilvl w:val="0"/>
                <w:numId w:val="40"/>
              </w:numPr>
              <w:tabs>
                <w:tab w:val="left" w:pos="459"/>
              </w:tabs>
              <w:autoSpaceDE w:val="0"/>
              <w:autoSpaceDN w:val="0"/>
              <w:spacing w:line="237" w:lineRule="auto"/>
              <w:ind w:left="360" w:right="176"/>
              <w:rPr>
                <w:rFonts w:ascii="Times New Roman" w:hAnsi="Times New Roman"/>
                <w:sz w:val="22"/>
                <w:szCs w:val="22"/>
              </w:rPr>
            </w:pPr>
            <w:r w:rsidRPr="00C4281A">
              <w:rPr>
                <w:rFonts w:ascii="Times New Roman" w:hAnsi="Times New Roman"/>
                <w:sz w:val="22"/>
                <w:szCs w:val="22"/>
              </w:rPr>
              <w:t xml:space="preserve">Produktvægt (kg) </w:t>
            </w:r>
          </w:p>
          <w:p w:rsidR="00026EA7" w:rsidRPr="00C4281A" w:rsidRDefault="00026EA7" w:rsidP="00C4281A">
            <w:pPr>
              <w:tabs>
                <w:tab w:val="left" w:pos="459"/>
                <w:tab w:val="left" w:pos="4989"/>
              </w:tabs>
              <w:spacing w:line="237" w:lineRule="auto"/>
              <w:ind w:left="357" w:right="176"/>
              <w:rPr>
                <w:rFonts w:ascii="Times New Roman" w:hAnsi="Times New Roman"/>
                <w:b/>
                <w:sz w:val="22"/>
                <w:szCs w:val="22"/>
              </w:rPr>
            </w:pPr>
            <w:r w:rsidRPr="00C4281A">
              <w:rPr>
                <w:rFonts w:ascii="Times New Roman" w:hAnsi="Times New Roman"/>
                <w:sz w:val="22"/>
                <w:szCs w:val="22"/>
              </w:rPr>
              <w:t>Rumfang (m</w:t>
            </w:r>
            <w:r w:rsidRPr="00C4281A">
              <w:rPr>
                <w:rFonts w:ascii="Times New Roman" w:hAnsi="Times New Roman"/>
                <w:sz w:val="22"/>
                <w:szCs w:val="22"/>
                <w:vertAlign w:val="superscript"/>
              </w:rPr>
              <w:t xml:space="preserve">3 </w:t>
            </w:r>
            <w:r w:rsidRPr="00C4281A">
              <w:rPr>
                <w:rFonts w:ascii="Times New Roman" w:hAnsi="Times New Roman"/>
                <w:sz w:val="22"/>
                <w:szCs w:val="22"/>
              </w:rPr>
              <w:t>), antal dele</w:t>
            </w:r>
            <w:r w:rsidRPr="00C4281A">
              <w:rPr>
                <w:rFonts w:ascii="Times New Roman" w:hAnsi="Times New Roman"/>
                <w:b/>
                <w:sz w:val="22"/>
                <w:szCs w:val="22"/>
              </w:rPr>
              <w:t>:</w:t>
            </w:r>
          </w:p>
          <w:p w:rsidR="00026EA7" w:rsidRPr="00C4281A" w:rsidRDefault="00026EA7" w:rsidP="00C4281A">
            <w:pPr>
              <w:tabs>
                <w:tab w:val="left" w:pos="459"/>
              </w:tabs>
              <w:spacing w:line="237" w:lineRule="auto"/>
              <w:ind w:right="176"/>
              <w:rPr>
                <w:rFonts w:ascii="Times New Roman" w:hAnsi="Times New Roman"/>
                <w:sz w:val="22"/>
                <w:szCs w:val="22"/>
              </w:rPr>
            </w:pPr>
          </w:p>
        </w:tc>
      </w:tr>
      <w:tr w:rsidR="003A61F6" w:rsidRPr="00C4281A" w:rsidTr="00C61A52">
        <w:tc>
          <w:tcPr>
            <w:tcW w:w="392" w:type="dxa"/>
            <w:vAlign w:val="center"/>
          </w:tcPr>
          <w:p w:rsidR="00026EA7" w:rsidRPr="00C4281A" w:rsidRDefault="00026EA7" w:rsidP="00C4281A">
            <w:pPr>
              <w:spacing w:line="237" w:lineRule="auto"/>
              <w:ind w:right="3040"/>
              <w:rPr>
                <w:rFonts w:ascii="Times New Roman" w:hAnsi="Times New Roman"/>
                <w:sz w:val="22"/>
                <w:szCs w:val="22"/>
              </w:rPr>
            </w:pPr>
            <w:r w:rsidRPr="00C4281A">
              <w:rPr>
                <w:rFonts w:ascii="Times New Roman" w:hAnsi="Times New Roman"/>
                <w:sz w:val="22"/>
                <w:szCs w:val="22"/>
              </w:rPr>
              <w:t>4</w:t>
            </w:r>
          </w:p>
        </w:tc>
        <w:tc>
          <w:tcPr>
            <w:tcW w:w="9214" w:type="dxa"/>
            <w:vAlign w:val="center"/>
          </w:tcPr>
          <w:p w:rsidR="00026EA7" w:rsidRPr="00C4281A" w:rsidRDefault="00026EA7" w:rsidP="00C4281A">
            <w:pPr>
              <w:spacing w:line="237" w:lineRule="auto"/>
              <w:ind w:right="176"/>
              <w:rPr>
                <w:rFonts w:ascii="Times New Roman" w:hAnsi="Times New Roman"/>
                <w:sz w:val="22"/>
                <w:szCs w:val="22"/>
              </w:rPr>
            </w:pPr>
          </w:p>
          <w:p w:rsidR="00026EA7" w:rsidRPr="00C4281A" w:rsidRDefault="00026EA7" w:rsidP="00C4281A">
            <w:pPr>
              <w:spacing w:line="237" w:lineRule="auto"/>
              <w:ind w:right="176"/>
              <w:rPr>
                <w:rFonts w:ascii="Times New Roman" w:hAnsi="Times New Roman"/>
                <w:sz w:val="22"/>
                <w:szCs w:val="22"/>
              </w:rPr>
            </w:pPr>
            <w:r w:rsidRPr="00C4281A">
              <w:rPr>
                <w:rFonts w:ascii="Times New Roman" w:hAnsi="Times New Roman"/>
                <w:sz w:val="22"/>
                <w:szCs w:val="22"/>
              </w:rPr>
              <w:t xml:space="preserve">Implementering af et kvalitetsstyringssystem </w:t>
            </w:r>
          </w:p>
          <w:p w:rsidR="00026EA7" w:rsidRPr="00C4281A" w:rsidRDefault="00026EA7" w:rsidP="00C4281A">
            <w:pPr>
              <w:spacing w:line="237" w:lineRule="auto"/>
              <w:ind w:right="176"/>
              <w:rPr>
                <w:rFonts w:ascii="Times New Roman" w:hAnsi="Times New Roman"/>
                <w:sz w:val="22"/>
                <w:szCs w:val="22"/>
              </w:rPr>
            </w:pPr>
          </w:p>
          <w:p w:rsidR="00026EA7" w:rsidRPr="00C4281A" w:rsidRDefault="00026EA7" w:rsidP="00C4281A">
            <w:pPr>
              <w:spacing w:line="237" w:lineRule="auto"/>
              <w:ind w:right="176"/>
              <w:rPr>
                <w:rFonts w:ascii="Times New Roman" w:hAnsi="Times New Roman"/>
                <w:sz w:val="22"/>
                <w:szCs w:val="22"/>
              </w:rPr>
            </w:pPr>
            <w:r w:rsidRPr="00C4281A">
              <w:rPr>
                <w:rFonts w:ascii="Times New Roman" w:hAnsi="Times New Roman"/>
                <w:sz w:val="22"/>
                <w:szCs w:val="22"/>
              </w:rPr>
              <w:t>Opfyldelse af de tekniske krav, der henvises til i bilag ΙV</w:t>
            </w:r>
            <w:r w:rsidRPr="00C4281A">
              <w:rPr>
                <w:rFonts w:ascii="Times New Roman" w:hAnsi="Times New Roman"/>
                <w:b/>
                <w:sz w:val="22"/>
                <w:szCs w:val="22"/>
              </w:rPr>
              <w:t xml:space="preserve">: </w:t>
            </w:r>
          </w:p>
          <w:p w:rsidR="00026EA7" w:rsidRPr="00C4281A" w:rsidRDefault="00026EA7" w:rsidP="00C4281A">
            <w:pPr>
              <w:spacing w:line="237" w:lineRule="auto"/>
              <w:ind w:right="176"/>
              <w:rPr>
                <w:rFonts w:ascii="Times New Roman" w:hAnsi="Times New Roman"/>
                <w:sz w:val="22"/>
                <w:szCs w:val="22"/>
              </w:rPr>
            </w:pPr>
          </w:p>
          <w:p w:rsidR="00026EA7" w:rsidRPr="00C4281A" w:rsidRDefault="00026EA7" w:rsidP="00C4281A">
            <w:pPr>
              <w:spacing w:line="237" w:lineRule="auto"/>
              <w:ind w:right="176"/>
              <w:rPr>
                <w:rFonts w:ascii="Times New Roman" w:hAnsi="Times New Roman"/>
                <w:sz w:val="22"/>
                <w:szCs w:val="22"/>
              </w:rPr>
            </w:pPr>
            <w:r w:rsidRPr="00C4281A">
              <w:rPr>
                <w:rFonts w:ascii="Times New Roman" w:hAnsi="Times New Roman"/>
                <w:sz w:val="22"/>
                <w:szCs w:val="22"/>
              </w:rPr>
              <w:t>Opfyldelse af kravene i standarden ISO 9001: 2015</w:t>
            </w:r>
            <w:r w:rsidRPr="00C4281A">
              <w:rPr>
                <w:rFonts w:ascii="Times New Roman" w:hAnsi="Times New Roman"/>
                <w:b/>
                <w:sz w:val="22"/>
                <w:szCs w:val="22"/>
              </w:rPr>
              <w:t>:</w:t>
            </w:r>
          </w:p>
          <w:p w:rsidR="00026EA7" w:rsidRPr="00C4281A" w:rsidRDefault="00026EA7" w:rsidP="00C4281A">
            <w:pPr>
              <w:spacing w:line="237" w:lineRule="auto"/>
              <w:ind w:right="176"/>
              <w:rPr>
                <w:rFonts w:ascii="Times New Roman" w:hAnsi="Times New Roman"/>
                <w:sz w:val="22"/>
                <w:szCs w:val="22"/>
              </w:rPr>
            </w:pPr>
          </w:p>
        </w:tc>
      </w:tr>
      <w:tr w:rsidR="003A61F6" w:rsidRPr="00C4281A" w:rsidTr="00C61A52">
        <w:tc>
          <w:tcPr>
            <w:tcW w:w="392" w:type="dxa"/>
            <w:vAlign w:val="center"/>
          </w:tcPr>
          <w:p w:rsidR="00026EA7" w:rsidRPr="00C4281A" w:rsidRDefault="00026EA7" w:rsidP="00C4281A">
            <w:pPr>
              <w:spacing w:line="237" w:lineRule="auto"/>
              <w:ind w:right="3040"/>
              <w:rPr>
                <w:rFonts w:ascii="Times New Roman" w:hAnsi="Times New Roman"/>
                <w:sz w:val="22"/>
                <w:szCs w:val="22"/>
              </w:rPr>
            </w:pPr>
            <w:r w:rsidRPr="00C4281A">
              <w:rPr>
                <w:rFonts w:ascii="Times New Roman" w:hAnsi="Times New Roman"/>
                <w:sz w:val="22"/>
                <w:szCs w:val="22"/>
              </w:rPr>
              <w:t>5</w:t>
            </w:r>
          </w:p>
        </w:tc>
        <w:tc>
          <w:tcPr>
            <w:tcW w:w="9214" w:type="dxa"/>
            <w:vAlign w:val="center"/>
          </w:tcPr>
          <w:p w:rsidR="00026EA7" w:rsidRPr="00C4281A" w:rsidRDefault="00026EA7" w:rsidP="00C4281A">
            <w:pPr>
              <w:spacing w:line="237" w:lineRule="auto"/>
              <w:ind w:right="176"/>
              <w:rPr>
                <w:rFonts w:ascii="Times New Roman" w:hAnsi="Times New Roman"/>
                <w:sz w:val="22"/>
                <w:szCs w:val="22"/>
              </w:rPr>
            </w:pPr>
          </w:p>
          <w:p w:rsidR="00026EA7" w:rsidRPr="00C4281A" w:rsidRDefault="00026EA7" w:rsidP="00C4281A">
            <w:pPr>
              <w:spacing w:line="237" w:lineRule="auto"/>
              <w:ind w:right="176"/>
              <w:rPr>
                <w:rFonts w:ascii="Times New Roman" w:hAnsi="Times New Roman"/>
                <w:sz w:val="22"/>
                <w:szCs w:val="22"/>
              </w:rPr>
            </w:pPr>
            <w:r w:rsidRPr="00C4281A">
              <w:rPr>
                <w:rFonts w:ascii="Times New Roman" w:hAnsi="Times New Roman"/>
                <w:sz w:val="22"/>
                <w:szCs w:val="22"/>
              </w:rPr>
              <w:t xml:space="preserve">Afsendt fragt, som udelukkende skal anvendes til: </w:t>
            </w:r>
          </w:p>
          <w:p w:rsidR="00026EA7" w:rsidRPr="00C4281A" w:rsidRDefault="00026EA7" w:rsidP="00C4281A">
            <w:pPr>
              <w:spacing w:line="237" w:lineRule="auto"/>
              <w:ind w:right="176"/>
              <w:rPr>
                <w:rFonts w:ascii="Times New Roman" w:hAnsi="Times New Roman"/>
                <w:sz w:val="22"/>
                <w:szCs w:val="22"/>
              </w:rPr>
            </w:pPr>
            <w:r w:rsidRPr="00C4281A">
              <w:rPr>
                <w:rFonts w:ascii="Times New Roman" w:hAnsi="Times New Roman"/>
                <w:sz w:val="22"/>
                <w:szCs w:val="22"/>
              </w:rPr>
              <w:t>(</w:t>
            </w:r>
            <w:r w:rsidRPr="00C4281A">
              <w:rPr>
                <w:rFonts w:ascii="Times New Roman" w:hAnsi="Times New Roman"/>
                <w:i/>
                <w:iCs/>
                <w:sz w:val="22"/>
                <w:szCs w:val="22"/>
              </w:rPr>
              <w:t>angiv det tiltænkte formål</w:t>
            </w:r>
            <w:r w:rsidRPr="00C4281A">
              <w:rPr>
                <w:rFonts w:ascii="Times New Roman" w:hAnsi="Times New Roman"/>
                <w:sz w:val="22"/>
                <w:szCs w:val="22"/>
              </w:rPr>
              <w:t xml:space="preserve">) </w:t>
            </w:r>
          </w:p>
          <w:p w:rsidR="00026EA7" w:rsidRPr="00C4281A" w:rsidRDefault="00026EA7" w:rsidP="00C4281A">
            <w:pPr>
              <w:spacing w:line="237" w:lineRule="auto"/>
              <w:ind w:right="176"/>
              <w:rPr>
                <w:rFonts w:ascii="Times New Roman" w:hAnsi="Times New Roman"/>
                <w:sz w:val="22"/>
                <w:szCs w:val="22"/>
              </w:rPr>
            </w:pPr>
          </w:p>
        </w:tc>
      </w:tr>
      <w:tr w:rsidR="003A61F6" w:rsidRPr="00C4281A" w:rsidTr="00C61A52">
        <w:tc>
          <w:tcPr>
            <w:tcW w:w="392" w:type="dxa"/>
            <w:vAlign w:val="center"/>
          </w:tcPr>
          <w:p w:rsidR="00026EA7" w:rsidRPr="00C4281A" w:rsidRDefault="00026EA7" w:rsidP="00C4281A">
            <w:pPr>
              <w:spacing w:line="237" w:lineRule="auto"/>
              <w:ind w:right="3040"/>
              <w:rPr>
                <w:rFonts w:ascii="Times New Roman" w:hAnsi="Times New Roman"/>
                <w:sz w:val="22"/>
                <w:szCs w:val="22"/>
              </w:rPr>
            </w:pPr>
            <w:r w:rsidRPr="00C4281A">
              <w:rPr>
                <w:rFonts w:ascii="Times New Roman" w:hAnsi="Times New Roman"/>
                <w:sz w:val="22"/>
                <w:szCs w:val="22"/>
              </w:rPr>
              <w:t>6</w:t>
            </w:r>
          </w:p>
        </w:tc>
        <w:tc>
          <w:tcPr>
            <w:tcW w:w="9214" w:type="dxa"/>
            <w:vAlign w:val="center"/>
          </w:tcPr>
          <w:p w:rsidR="00026EA7" w:rsidRPr="00C4281A" w:rsidRDefault="00026EA7" w:rsidP="00C4281A">
            <w:pPr>
              <w:spacing w:line="237" w:lineRule="auto"/>
              <w:ind w:right="176"/>
              <w:rPr>
                <w:rFonts w:ascii="Times New Roman" w:hAnsi="Times New Roman"/>
                <w:sz w:val="22"/>
                <w:szCs w:val="22"/>
              </w:rPr>
            </w:pPr>
          </w:p>
          <w:p w:rsidR="00026EA7" w:rsidRPr="00C4281A" w:rsidRDefault="00026EA7" w:rsidP="00C4281A">
            <w:pPr>
              <w:spacing w:line="237" w:lineRule="auto"/>
              <w:ind w:right="176"/>
              <w:rPr>
                <w:rFonts w:ascii="Times New Roman" w:hAnsi="Times New Roman"/>
                <w:b/>
                <w:sz w:val="22"/>
                <w:szCs w:val="22"/>
              </w:rPr>
            </w:pPr>
            <w:r w:rsidRPr="00C4281A">
              <w:rPr>
                <w:rFonts w:ascii="Times New Roman" w:hAnsi="Times New Roman"/>
                <w:b/>
                <w:sz w:val="22"/>
                <w:szCs w:val="22"/>
              </w:rPr>
              <w:t xml:space="preserve">Navnet på den ansvarlige person </w:t>
            </w:r>
          </w:p>
          <w:p w:rsidR="00026EA7" w:rsidRPr="00C4281A" w:rsidRDefault="00026EA7" w:rsidP="00C4281A">
            <w:pPr>
              <w:spacing w:line="237" w:lineRule="auto"/>
              <w:ind w:right="176"/>
              <w:rPr>
                <w:rFonts w:ascii="Times New Roman" w:hAnsi="Times New Roman"/>
                <w:sz w:val="22"/>
                <w:szCs w:val="22"/>
              </w:rPr>
            </w:pPr>
          </w:p>
          <w:p w:rsidR="00026EA7" w:rsidRPr="00C4281A" w:rsidRDefault="00026EA7" w:rsidP="00C4281A">
            <w:pPr>
              <w:tabs>
                <w:tab w:val="left" w:pos="2106"/>
              </w:tabs>
              <w:spacing w:line="237" w:lineRule="auto"/>
              <w:ind w:right="176"/>
              <w:rPr>
                <w:rFonts w:ascii="Times New Roman" w:hAnsi="Times New Roman"/>
                <w:sz w:val="22"/>
                <w:szCs w:val="22"/>
              </w:rPr>
            </w:pPr>
            <w:r w:rsidRPr="00C4281A">
              <w:rPr>
                <w:rFonts w:ascii="Times New Roman" w:hAnsi="Times New Roman"/>
                <w:sz w:val="22"/>
                <w:szCs w:val="22"/>
              </w:rPr>
              <w:t>Navn og efternavn:</w:t>
            </w:r>
          </w:p>
          <w:p w:rsidR="00026EA7" w:rsidRPr="00C4281A" w:rsidRDefault="00026EA7" w:rsidP="00C4281A">
            <w:pPr>
              <w:tabs>
                <w:tab w:val="left" w:pos="2106"/>
              </w:tabs>
              <w:spacing w:line="237" w:lineRule="auto"/>
              <w:ind w:right="176"/>
              <w:rPr>
                <w:rFonts w:ascii="Times New Roman" w:hAnsi="Times New Roman"/>
                <w:sz w:val="22"/>
                <w:szCs w:val="22"/>
              </w:rPr>
            </w:pPr>
          </w:p>
          <w:p w:rsidR="00026EA7" w:rsidRPr="00C4281A" w:rsidRDefault="00026EA7" w:rsidP="00C4281A">
            <w:pPr>
              <w:tabs>
                <w:tab w:val="left" w:pos="2106"/>
              </w:tabs>
              <w:spacing w:line="237" w:lineRule="auto"/>
              <w:ind w:right="176"/>
              <w:rPr>
                <w:rFonts w:ascii="Times New Roman" w:hAnsi="Times New Roman"/>
                <w:sz w:val="22"/>
                <w:szCs w:val="22"/>
              </w:rPr>
            </w:pPr>
            <w:r w:rsidRPr="00C4281A">
              <w:rPr>
                <w:rFonts w:ascii="Times New Roman" w:hAnsi="Times New Roman"/>
                <w:sz w:val="22"/>
                <w:szCs w:val="22"/>
              </w:rPr>
              <w:t>Dato:</w:t>
            </w:r>
          </w:p>
          <w:p w:rsidR="00026EA7" w:rsidRPr="00C4281A" w:rsidRDefault="00026EA7" w:rsidP="00C4281A">
            <w:pPr>
              <w:tabs>
                <w:tab w:val="left" w:pos="2106"/>
              </w:tabs>
              <w:spacing w:line="237" w:lineRule="auto"/>
              <w:ind w:right="176"/>
              <w:rPr>
                <w:rFonts w:ascii="Times New Roman" w:hAnsi="Times New Roman"/>
                <w:sz w:val="22"/>
                <w:szCs w:val="22"/>
                <w:lang w:val="el-GR"/>
              </w:rPr>
            </w:pPr>
          </w:p>
          <w:p w:rsidR="00026EA7" w:rsidRPr="00C4281A" w:rsidRDefault="00026EA7" w:rsidP="00C4281A">
            <w:pPr>
              <w:tabs>
                <w:tab w:val="left" w:pos="2106"/>
              </w:tabs>
              <w:spacing w:line="237" w:lineRule="auto"/>
              <w:ind w:right="176"/>
              <w:rPr>
                <w:rFonts w:ascii="Times New Roman" w:hAnsi="Times New Roman"/>
                <w:sz w:val="22"/>
                <w:szCs w:val="22"/>
              </w:rPr>
            </w:pPr>
            <w:r w:rsidRPr="00C4281A">
              <w:rPr>
                <w:rFonts w:ascii="Times New Roman" w:hAnsi="Times New Roman"/>
                <w:sz w:val="22"/>
                <w:szCs w:val="22"/>
              </w:rPr>
              <w:t>Underskrift:</w:t>
            </w:r>
          </w:p>
          <w:p w:rsidR="00026EA7" w:rsidRPr="00C4281A" w:rsidRDefault="00026EA7" w:rsidP="00C4281A">
            <w:pPr>
              <w:spacing w:line="237" w:lineRule="auto"/>
              <w:ind w:right="176"/>
              <w:rPr>
                <w:rFonts w:ascii="Times New Roman" w:hAnsi="Times New Roman"/>
                <w:sz w:val="22"/>
                <w:szCs w:val="22"/>
                <w:lang w:val="el-GR"/>
              </w:rPr>
            </w:pPr>
          </w:p>
        </w:tc>
      </w:tr>
    </w:tbl>
    <w:p w:rsidR="00026EA7" w:rsidRPr="00C4281A" w:rsidRDefault="00026EA7" w:rsidP="00C4281A">
      <w:pPr>
        <w:spacing w:line="237" w:lineRule="auto"/>
        <w:ind w:right="3040"/>
        <w:rPr>
          <w:rFonts w:ascii="Times New Roman" w:hAnsi="Times New Roman"/>
          <w:sz w:val="22"/>
          <w:szCs w:val="22"/>
          <w:lang w:val="el-GR"/>
        </w:rPr>
      </w:pPr>
    </w:p>
    <w:p w:rsidR="00026EA7" w:rsidRPr="00C4281A" w:rsidRDefault="00026EA7" w:rsidP="00C4281A">
      <w:pPr>
        <w:rPr>
          <w:rFonts w:ascii="Times New Roman" w:hAnsi="Times New Roman"/>
          <w:sz w:val="22"/>
          <w:szCs w:val="22"/>
          <w:lang w:val="el-GR"/>
        </w:rPr>
        <w:sectPr w:rsidR="00026EA7" w:rsidRPr="00C4281A">
          <w:footerReference w:type="default" r:id="rId14"/>
          <w:pgSz w:w="11910" w:h="16840"/>
          <w:pgMar w:top="1340" w:right="640" w:bottom="900" w:left="1580" w:header="0" w:footer="709" w:gutter="0"/>
          <w:pgNumType w:start="11"/>
          <w:cols w:space="720"/>
        </w:sectPr>
      </w:pPr>
    </w:p>
    <w:p w:rsidR="00026EA7" w:rsidRPr="00C4281A" w:rsidRDefault="00026EA7" w:rsidP="00C4281A">
      <w:pPr>
        <w:tabs>
          <w:tab w:val="left" w:pos="5532"/>
        </w:tabs>
        <w:spacing w:before="79"/>
        <w:ind w:left="3569"/>
        <w:rPr>
          <w:rFonts w:ascii="Times New Roman" w:hAnsi="Times New Roman"/>
          <w:b/>
          <w:spacing w:val="60"/>
          <w:sz w:val="22"/>
          <w:szCs w:val="22"/>
        </w:rPr>
      </w:pPr>
      <w:r w:rsidRPr="00C4281A">
        <w:rPr>
          <w:rFonts w:ascii="Times New Roman" w:hAnsi="Times New Roman"/>
          <w:b/>
          <w:sz w:val="22"/>
          <w:szCs w:val="22"/>
        </w:rPr>
        <w:lastRenderedPageBreak/>
        <w:t>BILAG IV</w:t>
      </w:r>
    </w:p>
    <w:p w:rsidR="00026EA7" w:rsidRPr="00C4281A" w:rsidRDefault="00026EA7" w:rsidP="00C4281A">
      <w:pPr>
        <w:pStyle w:val="BodyText"/>
        <w:spacing w:before="8"/>
        <w:rPr>
          <w:rFonts w:ascii="Times New Roman" w:hAnsi="Times New Roman"/>
          <w:b/>
          <w:sz w:val="22"/>
          <w:szCs w:val="22"/>
          <w:lang w:val="el-GR"/>
        </w:rPr>
      </w:pPr>
    </w:p>
    <w:p w:rsidR="00026EA7" w:rsidRPr="00C4281A" w:rsidRDefault="00026EA7" w:rsidP="00C4281A">
      <w:pPr>
        <w:pStyle w:val="BodyText"/>
        <w:ind w:left="3355"/>
        <w:rPr>
          <w:rFonts w:ascii="Times New Roman" w:hAnsi="Times New Roman"/>
          <w:sz w:val="22"/>
          <w:szCs w:val="22"/>
        </w:rPr>
      </w:pPr>
      <w:r w:rsidRPr="00C4281A">
        <w:rPr>
          <w:rFonts w:ascii="Times New Roman" w:hAnsi="Times New Roman"/>
          <w:sz w:val="22"/>
          <w:szCs w:val="22"/>
        </w:rPr>
        <w:t>Kvalitetsstyringssystem</w:t>
      </w:r>
    </w:p>
    <w:p w:rsidR="00026EA7" w:rsidRPr="00C4281A" w:rsidRDefault="00026EA7" w:rsidP="00C4281A">
      <w:pPr>
        <w:pStyle w:val="BodyText"/>
        <w:spacing w:before="1"/>
        <w:rPr>
          <w:rFonts w:ascii="Times New Roman" w:hAnsi="Times New Roman"/>
          <w:sz w:val="22"/>
          <w:szCs w:val="22"/>
          <w:lang w:val="el-GR"/>
        </w:rPr>
      </w:pPr>
    </w:p>
    <w:p w:rsidR="00026EA7" w:rsidRPr="00C4281A" w:rsidRDefault="00026EA7" w:rsidP="00C4281A">
      <w:pPr>
        <w:pStyle w:val="ListParagraph"/>
        <w:widowControl/>
        <w:numPr>
          <w:ilvl w:val="0"/>
          <w:numId w:val="8"/>
        </w:numPr>
        <w:tabs>
          <w:tab w:val="left" w:pos="928"/>
          <w:tab w:val="left" w:pos="929"/>
        </w:tabs>
        <w:spacing w:before="0"/>
        <w:ind w:right="250"/>
      </w:pPr>
      <w:r w:rsidRPr="00C4281A">
        <w:t>Kvalitetsstyringssystemet, der implementeres af fabrikanten af forarbejdede gummiprodukter, skal omfatte en række dokumenterede procedurer for hvert af de følgende aspekter:</w:t>
      </w:r>
    </w:p>
    <w:p w:rsidR="00026EA7" w:rsidRPr="00C4281A" w:rsidRDefault="00026EA7" w:rsidP="00C4281A">
      <w:pPr>
        <w:pStyle w:val="ListParagraph"/>
        <w:widowControl/>
        <w:numPr>
          <w:ilvl w:val="1"/>
          <w:numId w:val="7"/>
        </w:numPr>
        <w:tabs>
          <w:tab w:val="left" w:pos="1661"/>
        </w:tabs>
        <w:spacing w:before="240" w:after="240"/>
        <w:ind w:right="249"/>
      </w:pPr>
      <w:r w:rsidRPr="00C4281A">
        <w:t xml:space="preserve">Implementering af kriterierne for opfyldelse af de krav, der er fastlagt i punkt 1 i bilag II, og dokumentering af resultaterne. </w:t>
      </w:r>
    </w:p>
    <w:p w:rsidR="00026EA7" w:rsidRPr="00C4281A" w:rsidRDefault="00026EA7" w:rsidP="00C4281A">
      <w:pPr>
        <w:pStyle w:val="ListParagraph"/>
        <w:widowControl/>
        <w:numPr>
          <w:ilvl w:val="1"/>
          <w:numId w:val="7"/>
        </w:numPr>
        <w:tabs>
          <w:tab w:val="left" w:pos="1661"/>
        </w:tabs>
        <w:spacing w:before="240" w:after="240"/>
        <w:ind w:right="249"/>
      </w:pPr>
      <w:r w:rsidRPr="00C4281A">
        <w:t>Implementering af kriterierne for opfyldelse af de krav, der er fastlagt i punkt 2 i bilag II, og dokumentering af resultaterne.</w:t>
      </w:r>
    </w:p>
    <w:p w:rsidR="00026EA7" w:rsidRPr="00C4281A" w:rsidRDefault="00026EA7" w:rsidP="00C4281A">
      <w:pPr>
        <w:pStyle w:val="ListParagraph"/>
        <w:widowControl/>
        <w:numPr>
          <w:ilvl w:val="1"/>
          <w:numId w:val="7"/>
        </w:numPr>
        <w:tabs>
          <w:tab w:val="left" w:pos="1660"/>
          <w:tab w:val="left" w:pos="1661"/>
        </w:tabs>
        <w:spacing w:before="240" w:after="240"/>
      </w:pPr>
      <w:r w:rsidRPr="00C4281A">
        <w:t>Håndtering af affaldet, der blev genereret ved fremstillingsprocessen.</w:t>
      </w:r>
    </w:p>
    <w:p w:rsidR="00026EA7" w:rsidRPr="00C4281A" w:rsidRDefault="00026EA7" w:rsidP="00C4281A">
      <w:pPr>
        <w:pStyle w:val="ListParagraph"/>
        <w:widowControl/>
        <w:numPr>
          <w:ilvl w:val="1"/>
          <w:numId w:val="7"/>
        </w:numPr>
        <w:tabs>
          <w:tab w:val="left" w:pos="1660"/>
          <w:tab w:val="left" w:pos="1661"/>
        </w:tabs>
        <w:spacing w:before="240" w:after="240"/>
      </w:pPr>
      <w:r w:rsidRPr="00C4281A">
        <w:t>Overholdelse af en metode til vurdering af kundetilfredsheden.</w:t>
      </w:r>
    </w:p>
    <w:p w:rsidR="00026EA7" w:rsidRPr="00C4281A" w:rsidRDefault="00026EA7" w:rsidP="00C4281A">
      <w:pPr>
        <w:pStyle w:val="ListParagraph"/>
        <w:widowControl/>
        <w:numPr>
          <w:ilvl w:val="1"/>
          <w:numId w:val="7"/>
        </w:numPr>
        <w:tabs>
          <w:tab w:val="left" w:pos="1660"/>
          <w:tab w:val="left" w:pos="1661"/>
        </w:tabs>
        <w:spacing w:before="240" w:after="240"/>
      </w:pPr>
      <w:r w:rsidRPr="00C4281A">
        <w:t>Implementering af et sporbarhedssystem.</w:t>
      </w:r>
    </w:p>
    <w:p w:rsidR="00026EA7" w:rsidRPr="00C4281A" w:rsidRDefault="00026EA7" w:rsidP="00C4281A">
      <w:pPr>
        <w:pStyle w:val="ListParagraph"/>
        <w:widowControl/>
        <w:numPr>
          <w:ilvl w:val="1"/>
          <w:numId w:val="7"/>
        </w:numPr>
        <w:tabs>
          <w:tab w:val="left" w:pos="1660"/>
          <w:tab w:val="left" w:pos="1661"/>
        </w:tabs>
        <w:spacing w:before="240" w:after="240"/>
      </w:pPr>
      <w:r w:rsidRPr="00C4281A">
        <w:t>Implementering af et passende lagringssystem.</w:t>
      </w:r>
    </w:p>
    <w:p w:rsidR="00026EA7" w:rsidRPr="00C4281A" w:rsidRDefault="00026EA7" w:rsidP="00C4281A">
      <w:pPr>
        <w:pStyle w:val="ListParagraph"/>
        <w:widowControl/>
        <w:numPr>
          <w:ilvl w:val="1"/>
          <w:numId w:val="7"/>
        </w:numPr>
        <w:tabs>
          <w:tab w:val="left" w:pos="1660"/>
          <w:tab w:val="left" w:pos="1661"/>
        </w:tabs>
        <w:spacing w:before="240" w:after="240"/>
      </w:pPr>
      <w:r w:rsidRPr="00C4281A">
        <w:t>Oplæring af personalet.</w:t>
      </w:r>
    </w:p>
    <w:p w:rsidR="00026EA7" w:rsidRPr="00C4281A" w:rsidRDefault="00026EA7" w:rsidP="00C4281A">
      <w:pPr>
        <w:pStyle w:val="ListParagraph"/>
        <w:widowControl/>
        <w:numPr>
          <w:ilvl w:val="1"/>
          <w:numId w:val="7"/>
        </w:numPr>
        <w:tabs>
          <w:tab w:val="left" w:pos="1660"/>
          <w:tab w:val="left" w:pos="1661"/>
        </w:tabs>
        <w:spacing w:before="240" w:after="240"/>
        <w:ind w:right="767"/>
      </w:pPr>
      <w:r w:rsidRPr="00C4281A">
        <w:t>Håndtering af produkter, der ikke opfylder kravene.</w:t>
      </w:r>
    </w:p>
    <w:p w:rsidR="00026EA7" w:rsidRPr="00C4281A" w:rsidRDefault="00026EA7" w:rsidP="00C4281A">
      <w:pPr>
        <w:pStyle w:val="ListParagraph"/>
        <w:widowControl/>
        <w:numPr>
          <w:ilvl w:val="1"/>
          <w:numId w:val="7"/>
        </w:numPr>
        <w:tabs>
          <w:tab w:val="left" w:pos="1660"/>
          <w:tab w:val="left" w:pos="1661"/>
        </w:tabs>
        <w:spacing w:before="240" w:after="240"/>
      </w:pPr>
      <w:r w:rsidRPr="00C4281A">
        <w:t>Føring af et register over klager.</w:t>
      </w:r>
    </w:p>
    <w:p w:rsidR="00026EA7" w:rsidRPr="00C4281A" w:rsidRDefault="00026EA7" w:rsidP="00C4281A">
      <w:pPr>
        <w:pStyle w:val="ListParagraph"/>
        <w:widowControl/>
        <w:numPr>
          <w:ilvl w:val="1"/>
          <w:numId w:val="7"/>
        </w:numPr>
        <w:tabs>
          <w:tab w:val="left" w:pos="1660"/>
          <w:tab w:val="left" w:pos="1661"/>
        </w:tabs>
        <w:spacing w:before="240" w:after="240"/>
      </w:pPr>
      <w:r w:rsidRPr="00C4281A">
        <w:t>Gennemgang, revurdering og forbedring af kvalitetsstyringssystemet.</w:t>
      </w:r>
    </w:p>
    <w:p w:rsidR="00026EA7" w:rsidRPr="00C4281A" w:rsidRDefault="00026EA7" w:rsidP="00C4281A">
      <w:pPr>
        <w:pStyle w:val="ListParagraph"/>
        <w:widowControl/>
        <w:tabs>
          <w:tab w:val="left" w:pos="1660"/>
          <w:tab w:val="left" w:pos="1661"/>
        </w:tabs>
        <w:spacing w:before="240" w:after="240"/>
      </w:pPr>
    </w:p>
    <w:p w:rsidR="00026EA7" w:rsidRPr="00C4281A" w:rsidRDefault="00026EA7" w:rsidP="00C4281A">
      <w:pPr>
        <w:pStyle w:val="ListParagraph"/>
        <w:widowControl/>
        <w:numPr>
          <w:ilvl w:val="0"/>
          <w:numId w:val="8"/>
        </w:numPr>
        <w:tabs>
          <w:tab w:val="left" w:pos="928"/>
          <w:tab w:val="left" w:pos="929"/>
        </w:tabs>
        <w:spacing w:before="122"/>
        <w:ind w:right="252"/>
      </w:pPr>
      <w:r w:rsidRPr="00C4281A">
        <w:t xml:space="preserve">Kvalitetsstyringssystemet skal verificeres af en tredjepart, f.eks. et uafhængigt overensstemmelsesvurderingsorgan. </w:t>
      </w:r>
    </w:p>
    <w:p w:rsidR="00026EA7" w:rsidRPr="00C4281A" w:rsidRDefault="00026EA7" w:rsidP="00C4281A">
      <w:pPr>
        <w:pStyle w:val="ListParagraph"/>
        <w:widowControl/>
        <w:tabs>
          <w:tab w:val="left" w:pos="928"/>
          <w:tab w:val="left" w:pos="929"/>
        </w:tabs>
        <w:spacing w:before="122"/>
        <w:ind w:left="928" w:right="252" w:firstLine="0"/>
      </w:pPr>
    </w:p>
    <w:p w:rsidR="00026EA7" w:rsidRPr="00C4281A" w:rsidRDefault="00026EA7" w:rsidP="00C4281A">
      <w:pPr>
        <w:pStyle w:val="ListParagraph"/>
        <w:widowControl/>
        <w:numPr>
          <w:ilvl w:val="0"/>
          <w:numId w:val="8"/>
        </w:numPr>
        <w:tabs>
          <w:tab w:val="left" w:pos="928"/>
          <w:tab w:val="left" w:pos="929"/>
        </w:tabs>
        <w:spacing w:before="122"/>
        <w:ind w:right="252"/>
      </w:pPr>
      <w:r w:rsidRPr="00C4281A">
        <w:t>Verifikation af kvalitetsstyringssystemet skal udføres hvert tredje år, bortset i tilfælde af ændringer i fremstillingsmetoderne og teknikker, hvor verifikationen skal udføres med det samme.</w:t>
      </w:r>
    </w:p>
    <w:p w:rsidR="00026EA7" w:rsidRPr="00C4281A" w:rsidRDefault="00026EA7" w:rsidP="00C4281A">
      <w:pPr>
        <w:pStyle w:val="BodyText"/>
        <w:spacing w:before="119"/>
        <w:ind w:left="928" w:right="250"/>
        <w:jc w:val="both"/>
        <w:rPr>
          <w:rFonts w:ascii="Times New Roman" w:hAnsi="Times New Roman"/>
          <w:sz w:val="22"/>
          <w:szCs w:val="22"/>
        </w:rPr>
      </w:pPr>
    </w:p>
    <w:p w:rsidR="00026EA7" w:rsidRPr="00C4281A" w:rsidRDefault="00026EA7" w:rsidP="00C4281A">
      <w:pPr>
        <w:jc w:val="both"/>
        <w:rPr>
          <w:rFonts w:ascii="Times New Roman" w:hAnsi="Times New Roman"/>
          <w:sz w:val="22"/>
          <w:szCs w:val="22"/>
        </w:rPr>
        <w:sectPr w:rsidR="00026EA7" w:rsidRPr="00C4281A">
          <w:pgSz w:w="11910" w:h="16840"/>
          <w:pgMar w:top="1340" w:right="640" w:bottom="900" w:left="1580" w:header="0" w:footer="709" w:gutter="0"/>
          <w:cols w:space="720"/>
        </w:sectPr>
      </w:pPr>
    </w:p>
    <w:p w:rsidR="00026EA7" w:rsidRPr="00C4281A" w:rsidRDefault="00026EA7" w:rsidP="00C4281A">
      <w:pPr>
        <w:pStyle w:val="Heading2"/>
        <w:widowControl/>
        <w:tabs>
          <w:tab w:val="left" w:pos="2215"/>
        </w:tabs>
        <w:spacing w:before="152"/>
        <w:ind w:right="27"/>
        <w:rPr>
          <w:spacing w:val="60"/>
        </w:rPr>
      </w:pPr>
      <w:r w:rsidRPr="00C4281A">
        <w:lastRenderedPageBreak/>
        <w:t>BILAG V</w:t>
      </w:r>
    </w:p>
    <w:p w:rsidR="00525FA9" w:rsidRPr="00C4281A" w:rsidRDefault="00525FA9" w:rsidP="00C4281A">
      <w:pPr>
        <w:pStyle w:val="Heading2"/>
        <w:widowControl/>
        <w:tabs>
          <w:tab w:val="left" w:pos="2215"/>
        </w:tabs>
        <w:spacing w:before="152"/>
        <w:ind w:right="27"/>
        <w:rPr>
          <w:b w:val="0"/>
          <w:spacing w:val="60"/>
        </w:rPr>
      </w:pPr>
    </w:p>
    <w:p w:rsidR="00026EA7" w:rsidRPr="00C4281A" w:rsidRDefault="00026EA7" w:rsidP="00C4281A">
      <w:pPr>
        <w:pStyle w:val="BodyText"/>
        <w:ind w:right="31"/>
        <w:jc w:val="center"/>
        <w:rPr>
          <w:rFonts w:ascii="Times New Roman" w:hAnsi="Times New Roman"/>
          <w:sz w:val="22"/>
          <w:szCs w:val="22"/>
        </w:rPr>
      </w:pPr>
      <w:r w:rsidRPr="00C4281A">
        <w:rPr>
          <w:rFonts w:ascii="Times New Roman" w:hAnsi="Times New Roman"/>
          <w:sz w:val="22"/>
          <w:szCs w:val="22"/>
        </w:rPr>
        <w:t>VEJLEDENDE LISTE OVER STANDARDER</w:t>
      </w:r>
      <w:r w:rsidRPr="00C4281A">
        <w:rPr>
          <w:rStyle w:val="FootnoteReference"/>
          <w:rFonts w:ascii="Times New Roman" w:hAnsi="Times New Roman"/>
          <w:sz w:val="22"/>
          <w:szCs w:val="22"/>
        </w:rPr>
        <w:footnoteReference w:id="1"/>
      </w:r>
      <w:r w:rsidRPr="00C4281A">
        <w:rPr>
          <w:rFonts w:ascii="Times New Roman" w:hAnsi="Times New Roman"/>
          <w:sz w:val="22"/>
          <w:szCs w:val="22"/>
        </w:rPr>
        <w:t xml:space="preserve"> OG TEKNISKE SPECIFIKATIONER FOR TILVEJEBRINGELSE AF OPLYSNINGER TIL FABRIKANTER AF FORARBEJDEDE GUMMIPRODUKTER</w:t>
      </w:r>
    </w:p>
    <w:p w:rsidR="00026EA7" w:rsidRPr="00C4281A" w:rsidRDefault="00026EA7" w:rsidP="00C4281A">
      <w:pPr>
        <w:pStyle w:val="BodyText"/>
        <w:jc w:val="both"/>
        <w:rPr>
          <w:rFonts w:ascii="Times New Roman" w:hAnsi="Times New Roman"/>
          <w:sz w:val="22"/>
          <w:szCs w:val="22"/>
        </w:rPr>
      </w:pPr>
      <w:r w:rsidRPr="00C4281A">
        <w:rPr>
          <w:rFonts w:ascii="Times New Roman" w:hAnsi="Times New Roman"/>
          <w:sz w:val="22"/>
          <w:szCs w:val="22"/>
        </w:rPr>
        <w:t>Listen skal tilpasses efter de nye standarder, der udstedes af Den Europæiske Standardiseringsorganisation, som er relateret med henblik på denne beslutning</w:t>
      </w:r>
      <w:r w:rsidRPr="00C4281A">
        <w:rPr>
          <w:rStyle w:val="FootnoteReference"/>
          <w:rFonts w:ascii="Times New Roman" w:hAnsi="Times New Roman"/>
          <w:sz w:val="22"/>
          <w:szCs w:val="22"/>
        </w:rPr>
        <w:footnoteReference w:id="2"/>
      </w:r>
      <w:r w:rsidRPr="00C4281A">
        <w:rPr>
          <w:rFonts w:ascii="Times New Roman" w:hAnsi="Times New Roman"/>
          <w:sz w:val="22"/>
          <w:szCs w:val="22"/>
        </w:rPr>
        <w:t>.</w:t>
      </w:r>
    </w:p>
    <w:tbl>
      <w:tblPr>
        <w:tblW w:w="924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0"/>
        <w:gridCol w:w="7229"/>
      </w:tblGrid>
      <w:tr w:rsidR="003A61F6" w:rsidRPr="00C4281A" w:rsidTr="00525FA9">
        <w:tc>
          <w:tcPr>
            <w:tcW w:w="2020" w:type="dxa"/>
            <w:vAlign w:val="center"/>
          </w:tcPr>
          <w:p w:rsidR="00026EA7" w:rsidRPr="00C4281A" w:rsidRDefault="00026EA7" w:rsidP="00C4281A">
            <w:pPr>
              <w:pStyle w:val="TableParagraph"/>
              <w:widowControl/>
              <w:spacing w:line="228" w:lineRule="exact"/>
              <w:ind w:left="107"/>
              <w:rPr>
                <w:b/>
              </w:rPr>
            </w:pPr>
            <w:r w:rsidRPr="00C4281A">
              <w:rPr>
                <w:b/>
              </w:rPr>
              <w:t>CEN/TS 14243</w:t>
            </w:r>
          </w:p>
        </w:tc>
        <w:tc>
          <w:tcPr>
            <w:tcW w:w="7229" w:type="dxa"/>
          </w:tcPr>
          <w:p w:rsidR="00026EA7" w:rsidRPr="00C4281A" w:rsidRDefault="00026EA7" w:rsidP="00C4281A">
            <w:pPr>
              <w:pStyle w:val="TableParagraph"/>
              <w:widowControl/>
              <w:ind w:left="129" w:right="59"/>
            </w:pPr>
            <w:r w:rsidRPr="00C4281A">
              <w:t>Materials produced from end of life tyres - Specification of categories based on their dimension(s) and impurities and methods for determining their dimension (s) and impurities</w:t>
            </w:r>
          </w:p>
        </w:tc>
      </w:tr>
      <w:tr w:rsidR="003A61F6" w:rsidRPr="00C4281A" w:rsidTr="00525FA9">
        <w:tc>
          <w:tcPr>
            <w:tcW w:w="2020" w:type="dxa"/>
            <w:vAlign w:val="center"/>
          </w:tcPr>
          <w:p w:rsidR="00026EA7" w:rsidRPr="00C4281A" w:rsidRDefault="00026EA7" w:rsidP="00C4281A">
            <w:pPr>
              <w:pStyle w:val="TableParagraph"/>
              <w:widowControl/>
              <w:ind w:left="107"/>
              <w:rPr>
                <w:b/>
              </w:rPr>
            </w:pPr>
            <w:r w:rsidRPr="00C4281A">
              <w:rPr>
                <w:b/>
              </w:rPr>
              <w:t>EN 14243-1</w:t>
            </w:r>
          </w:p>
        </w:tc>
        <w:tc>
          <w:tcPr>
            <w:tcW w:w="7229" w:type="dxa"/>
          </w:tcPr>
          <w:p w:rsidR="00026EA7" w:rsidRPr="00C4281A" w:rsidRDefault="00026EA7" w:rsidP="00C4281A">
            <w:pPr>
              <w:pStyle w:val="TableParagraph"/>
              <w:widowControl/>
              <w:spacing w:line="216" w:lineRule="exact"/>
              <w:ind w:left="107"/>
            </w:pPr>
            <w:r w:rsidRPr="00C4281A">
              <w:t>Materials obtained from end of life tyres - Part 1: General definitions related to the methods for determining their dimension(s) and impurities</w:t>
            </w:r>
          </w:p>
        </w:tc>
      </w:tr>
      <w:tr w:rsidR="003A61F6" w:rsidRPr="00C4281A" w:rsidTr="00525FA9">
        <w:tc>
          <w:tcPr>
            <w:tcW w:w="2020" w:type="dxa"/>
            <w:vAlign w:val="center"/>
          </w:tcPr>
          <w:p w:rsidR="00026EA7" w:rsidRPr="00C4281A" w:rsidRDefault="00026EA7" w:rsidP="00C4281A">
            <w:pPr>
              <w:pStyle w:val="TableParagraph"/>
              <w:widowControl/>
              <w:spacing w:line="228" w:lineRule="exact"/>
              <w:ind w:left="107"/>
              <w:rPr>
                <w:b/>
              </w:rPr>
            </w:pPr>
            <w:r w:rsidRPr="00C4281A">
              <w:rPr>
                <w:b/>
              </w:rPr>
              <w:t>EN 14243-2</w:t>
            </w:r>
          </w:p>
        </w:tc>
        <w:tc>
          <w:tcPr>
            <w:tcW w:w="7229" w:type="dxa"/>
          </w:tcPr>
          <w:p w:rsidR="00026EA7" w:rsidRPr="00C4281A" w:rsidRDefault="00026EA7" w:rsidP="00C4281A">
            <w:pPr>
              <w:pStyle w:val="TableParagraph"/>
              <w:widowControl/>
              <w:spacing w:line="230" w:lineRule="atLeast"/>
              <w:ind w:left="107" w:right="184"/>
            </w:pPr>
            <w:r w:rsidRPr="00C4281A">
              <w:t>Materials obtained from end of life tyres - Part 2: Granulates and powders - Methods for determining the particle size distribution and impurities, including free steel and free textile content</w:t>
            </w:r>
          </w:p>
        </w:tc>
      </w:tr>
      <w:tr w:rsidR="003A61F6" w:rsidRPr="00C4281A" w:rsidTr="00525FA9">
        <w:tc>
          <w:tcPr>
            <w:tcW w:w="2020" w:type="dxa"/>
            <w:vAlign w:val="center"/>
          </w:tcPr>
          <w:p w:rsidR="00026EA7" w:rsidRPr="00C4281A" w:rsidRDefault="00026EA7" w:rsidP="00C4281A">
            <w:pPr>
              <w:pStyle w:val="TableParagraph"/>
              <w:widowControl/>
              <w:spacing w:line="228" w:lineRule="exact"/>
              <w:ind w:left="107"/>
              <w:rPr>
                <w:b/>
              </w:rPr>
            </w:pPr>
            <w:r w:rsidRPr="00C4281A">
              <w:rPr>
                <w:b/>
              </w:rPr>
              <w:t>EN 14243-3</w:t>
            </w:r>
          </w:p>
        </w:tc>
        <w:tc>
          <w:tcPr>
            <w:tcW w:w="7229" w:type="dxa"/>
          </w:tcPr>
          <w:p w:rsidR="00026EA7" w:rsidRPr="00C4281A" w:rsidRDefault="00026EA7" w:rsidP="00C4281A">
            <w:pPr>
              <w:pStyle w:val="TableParagraph"/>
              <w:widowControl/>
              <w:spacing w:line="230" w:lineRule="atLeast"/>
              <w:ind w:left="107" w:right="59"/>
            </w:pPr>
            <w:r w:rsidRPr="00C4281A">
              <w:t>Materials obtained from end of life tyres - Part 3: Shreds, cuts and chips - Methods for determining their dimension(s) including protruding filaments dimensions</w:t>
            </w:r>
          </w:p>
        </w:tc>
      </w:tr>
      <w:tr w:rsidR="003A61F6" w:rsidRPr="00C4281A" w:rsidTr="00525FA9">
        <w:tc>
          <w:tcPr>
            <w:tcW w:w="2020" w:type="dxa"/>
            <w:vAlign w:val="center"/>
          </w:tcPr>
          <w:p w:rsidR="00026EA7" w:rsidRPr="00C4281A" w:rsidRDefault="00026EA7" w:rsidP="00C4281A">
            <w:pPr>
              <w:pStyle w:val="TableParagraph"/>
              <w:widowControl/>
              <w:spacing w:line="228" w:lineRule="exact"/>
              <w:ind w:left="107"/>
              <w:rPr>
                <w:b/>
              </w:rPr>
            </w:pPr>
            <w:r w:rsidRPr="00C4281A">
              <w:rPr>
                <w:b/>
              </w:rPr>
              <w:t>PAS 107</w:t>
            </w:r>
          </w:p>
        </w:tc>
        <w:tc>
          <w:tcPr>
            <w:tcW w:w="7229" w:type="dxa"/>
          </w:tcPr>
          <w:p w:rsidR="00026EA7" w:rsidRPr="00C4281A" w:rsidRDefault="00026EA7" w:rsidP="00C4281A">
            <w:pPr>
              <w:pStyle w:val="TableParagraph"/>
              <w:widowControl/>
              <w:spacing w:line="223" w:lineRule="exact"/>
              <w:ind w:left="107"/>
            </w:pPr>
            <w:r w:rsidRPr="00C4281A">
              <w:t>Publicly available specification, for the manufacture and storage of size-reduced</w:t>
            </w:r>
          </w:p>
          <w:p w:rsidR="00026EA7" w:rsidRPr="00C4281A" w:rsidRDefault="00026EA7" w:rsidP="00C4281A">
            <w:pPr>
              <w:pStyle w:val="TableParagraph"/>
              <w:widowControl/>
              <w:spacing w:line="215" w:lineRule="exact"/>
              <w:ind w:left="107"/>
            </w:pPr>
            <w:r w:rsidRPr="00C4281A">
              <w:t>tyre materials</w:t>
            </w:r>
          </w:p>
        </w:tc>
      </w:tr>
      <w:tr w:rsidR="003A61F6" w:rsidRPr="00C4281A" w:rsidTr="00525FA9">
        <w:tc>
          <w:tcPr>
            <w:tcW w:w="2020" w:type="dxa"/>
            <w:vAlign w:val="center"/>
          </w:tcPr>
          <w:p w:rsidR="00026EA7" w:rsidRPr="00C4281A" w:rsidRDefault="00026EA7" w:rsidP="00C4281A">
            <w:pPr>
              <w:pStyle w:val="TableParagraph"/>
              <w:widowControl/>
              <w:spacing w:line="212" w:lineRule="exact"/>
              <w:ind w:left="107"/>
              <w:rPr>
                <w:b/>
              </w:rPr>
            </w:pPr>
            <w:r w:rsidRPr="00C4281A">
              <w:rPr>
                <w:b/>
              </w:rPr>
              <w:t xml:space="preserve">PAS 108 </w:t>
            </w:r>
          </w:p>
        </w:tc>
        <w:tc>
          <w:tcPr>
            <w:tcW w:w="7229" w:type="dxa"/>
          </w:tcPr>
          <w:p w:rsidR="00026EA7" w:rsidRPr="00C4281A" w:rsidRDefault="00026EA7" w:rsidP="00C4281A">
            <w:pPr>
              <w:pStyle w:val="TableParagraph"/>
              <w:widowControl/>
              <w:spacing w:line="212" w:lineRule="exact"/>
              <w:ind w:left="107"/>
            </w:pPr>
            <w:r w:rsidRPr="00C4281A">
              <w:t>Specification for the production of tyre bales for use in construction</w:t>
            </w:r>
          </w:p>
        </w:tc>
      </w:tr>
      <w:tr w:rsidR="003A61F6" w:rsidRPr="00C4281A" w:rsidTr="00525FA9">
        <w:tc>
          <w:tcPr>
            <w:tcW w:w="2020" w:type="dxa"/>
            <w:vAlign w:val="center"/>
          </w:tcPr>
          <w:p w:rsidR="00026EA7" w:rsidRPr="00C4281A" w:rsidRDefault="00026EA7" w:rsidP="00C4281A">
            <w:pPr>
              <w:pStyle w:val="TableParagraph"/>
              <w:widowControl/>
              <w:spacing w:line="228" w:lineRule="exact"/>
              <w:ind w:left="107"/>
              <w:rPr>
                <w:b/>
              </w:rPr>
            </w:pPr>
            <w:r w:rsidRPr="00C4281A">
              <w:rPr>
                <w:b/>
              </w:rPr>
              <w:t>ELOT EN 1176-1</w:t>
            </w:r>
          </w:p>
        </w:tc>
        <w:tc>
          <w:tcPr>
            <w:tcW w:w="7229" w:type="dxa"/>
          </w:tcPr>
          <w:p w:rsidR="00026EA7" w:rsidRPr="00C4281A" w:rsidRDefault="00026EA7" w:rsidP="00C4281A">
            <w:pPr>
              <w:pStyle w:val="TableParagraph"/>
              <w:widowControl/>
              <w:spacing w:line="223" w:lineRule="exact"/>
              <w:ind w:left="107"/>
            </w:pPr>
            <w:r w:rsidRPr="00C4281A">
              <w:t>Legepladsredskaber og -underlag – Del 1:</w:t>
            </w:r>
          </w:p>
          <w:p w:rsidR="00026EA7" w:rsidRPr="00C4281A" w:rsidRDefault="00026EA7" w:rsidP="00C4281A">
            <w:pPr>
              <w:pStyle w:val="TableParagraph"/>
              <w:widowControl/>
              <w:spacing w:before="1" w:line="215" w:lineRule="exact"/>
              <w:ind w:left="107"/>
            </w:pPr>
            <w:r w:rsidRPr="00C4281A">
              <w:t>Generelle sikkerhedskrav og prøvningsmetoder</w:t>
            </w:r>
          </w:p>
        </w:tc>
      </w:tr>
      <w:tr w:rsidR="003A61F6" w:rsidRPr="00C4281A" w:rsidTr="00525FA9">
        <w:tc>
          <w:tcPr>
            <w:tcW w:w="2020" w:type="dxa"/>
            <w:vAlign w:val="center"/>
          </w:tcPr>
          <w:p w:rsidR="00026EA7" w:rsidRPr="00C4281A" w:rsidRDefault="00026EA7" w:rsidP="00C4281A">
            <w:pPr>
              <w:pStyle w:val="TableParagraph"/>
              <w:widowControl/>
              <w:ind w:left="107"/>
              <w:rPr>
                <w:b/>
              </w:rPr>
            </w:pPr>
            <w:r w:rsidRPr="00C4281A">
              <w:rPr>
                <w:b/>
              </w:rPr>
              <w:t>ELOT EN 1176-7</w:t>
            </w:r>
          </w:p>
        </w:tc>
        <w:tc>
          <w:tcPr>
            <w:tcW w:w="7229" w:type="dxa"/>
          </w:tcPr>
          <w:p w:rsidR="00026EA7" w:rsidRPr="00C4281A" w:rsidRDefault="00026EA7" w:rsidP="00C4281A">
            <w:pPr>
              <w:pStyle w:val="TableParagraph"/>
              <w:widowControl/>
              <w:spacing w:line="228" w:lineRule="exact"/>
              <w:ind w:left="107" w:right="153"/>
            </w:pPr>
            <w:r w:rsidRPr="00C4281A">
              <w:t>Legepladsredskaber – Del 7: Vejledning til brug ved installation, inspektion, vedligeholdelse og drift</w:t>
            </w:r>
          </w:p>
        </w:tc>
      </w:tr>
      <w:tr w:rsidR="003A61F6" w:rsidRPr="00C4281A" w:rsidTr="00525FA9">
        <w:tc>
          <w:tcPr>
            <w:tcW w:w="2020" w:type="dxa"/>
            <w:vAlign w:val="center"/>
          </w:tcPr>
          <w:p w:rsidR="00026EA7" w:rsidRPr="00C4281A" w:rsidRDefault="00026EA7" w:rsidP="00C4281A">
            <w:pPr>
              <w:pStyle w:val="TableParagraph"/>
              <w:widowControl/>
              <w:spacing w:line="228" w:lineRule="exact"/>
              <w:ind w:left="107"/>
              <w:rPr>
                <w:b/>
              </w:rPr>
            </w:pPr>
            <w:r w:rsidRPr="00C4281A">
              <w:rPr>
                <w:b/>
              </w:rPr>
              <w:t>ELOT EN 1177</w:t>
            </w:r>
          </w:p>
        </w:tc>
        <w:tc>
          <w:tcPr>
            <w:tcW w:w="7229" w:type="dxa"/>
          </w:tcPr>
          <w:p w:rsidR="00026EA7" w:rsidRPr="00C4281A" w:rsidRDefault="00026EA7" w:rsidP="00C4281A">
            <w:pPr>
              <w:pStyle w:val="TableParagraph"/>
              <w:widowControl/>
              <w:ind w:left="107" w:right="1692"/>
            </w:pPr>
            <w:r w:rsidRPr="00C4281A">
              <w:t>Støddæmpende legepladsunderlag – Bestemmelse af den kritiske faldhøjde</w:t>
            </w:r>
          </w:p>
        </w:tc>
      </w:tr>
      <w:tr w:rsidR="003A61F6" w:rsidRPr="00C4281A" w:rsidTr="00525FA9">
        <w:tc>
          <w:tcPr>
            <w:tcW w:w="2020" w:type="dxa"/>
            <w:vAlign w:val="center"/>
          </w:tcPr>
          <w:p w:rsidR="00026EA7" w:rsidRPr="00C4281A" w:rsidRDefault="00026EA7" w:rsidP="00C4281A">
            <w:pPr>
              <w:pStyle w:val="TableParagraph"/>
              <w:widowControl/>
              <w:spacing w:line="210" w:lineRule="exact"/>
              <w:ind w:left="107"/>
              <w:rPr>
                <w:b/>
              </w:rPr>
            </w:pPr>
            <w:r w:rsidRPr="00C4281A">
              <w:rPr>
                <w:b/>
              </w:rPr>
              <w:t>ELOT EN 71-3</w:t>
            </w:r>
          </w:p>
        </w:tc>
        <w:tc>
          <w:tcPr>
            <w:tcW w:w="7229" w:type="dxa"/>
          </w:tcPr>
          <w:p w:rsidR="00026EA7" w:rsidRPr="00C4281A" w:rsidRDefault="00026EA7" w:rsidP="00C4281A">
            <w:pPr>
              <w:pStyle w:val="TableParagraph"/>
              <w:widowControl/>
              <w:spacing w:line="210" w:lineRule="exact"/>
              <w:ind w:left="107"/>
            </w:pPr>
            <w:r w:rsidRPr="00C4281A">
              <w:t>Sikkerhed for legetøj – Del 3: Migration af særlige stoffer</w:t>
            </w:r>
          </w:p>
        </w:tc>
      </w:tr>
      <w:tr w:rsidR="003A61F6" w:rsidRPr="00C4281A" w:rsidTr="00525FA9">
        <w:tc>
          <w:tcPr>
            <w:tcW w:w="2020" w:type="dxa"/>
            <w:vAlign w:val="center"/>
          </w:tcPr>
          <w:p w:rsidR="00026EA7" w:rsidRPr="00C4281A" w:rsidRDefault="00026EA7" w:rsidP="00C4281A">
            <w:pPr>
              <w:pStyle w:val="TableParagraph"/>
              <w:widowControl/>
              <w:ind w:left="107"/>
              <w:rPr>
                <w:b/>
              </w:rPr>
            </w:pPr>
            <w:r w:rsidRPr="00C4281A">
              <w:rPr>
                <w:b/>
              </w:rPr>
              <w:t>ELOT EN 14877</w:t>
            </w:r>
          </w:p>
        </w:tc>
        <w:tc>
          <w:tcPr>
            <w:tcW w:w="7229" w:type="dxa"/>
          </w:tcPr>
          <w:p w:rsidR="00026EA7" w:rsidRPr="00C4281A" w:rsidRDefault="00026EA7" w:rsidP="00C4281A">
            <w:pPr>
              <w:pStyle w:val="TableParagraph"/>
              <w:widowControl/>
              <w:ind w:left="105"/>
            </w:pPr>
            <w:r w:rsidRPr="00C4281A">
              <w:t>Udendørs sportsbelægninger af kunststof – specifikation</w:t>
            </w:r>
          </w:p>
        </w:tc>
      </w:tr>
      <w:tr w:rsidR="003A61F6" w:rsidRPr="00C4281A" w:rsidTr="00525FA9">
        <w:tc>
          <w:tcPr>
            <w:tcW w:w="2020" w:type="dxa"/>
            <w:vAlign w:val="center"/>
          </w:tcPr>
          <w:p w:rsidR="00026EA7" w:rsidRPr="00C4281A" w:rsidRDefault="00026EA7" w:rsidP="00C4281A">
            <w:pPr>
              <w:pStyle w:val="TableParagraph"/>
              <w:widowControl/>
              <w:ind w:left="107"/>
              <w:rPr>
                <w:b/>
              </w:rPr>
            </w:pPr>
            <w:r w:rsidRPr="00C4281A">
              <w:rPr>
                <w:b/>
              </w:rPr>
              <w:t xml:space="preserve">DIN 18035-6 </w:t>
            </w:r>
          </w:p>
        </w:tc>
        <w:tc>
          <w:tcPr>
            <w:tcW w:w="7229" w:type="dxa"/>
          </w:tcPr>
          <w:p w:rsidR="00026EA7" w:rsidRPr="00C4281A" w:rsidRDefault="00026EA7" w:rsidP="00C4281A">
            <w:pPr>
              <w:pStyle w:val="TableParagraph"/>
              <w:widowControl/>
              <w:tabs>
                <w:tab w:val="left" w:pos="1695"/>
                <w:tab w:val="left" w:pos="2792"/>
                <w:tab w:val="left" w:pos="3293"/>
                <w:tab w:val="left" w:pos="4343"/>
                <w:tab w:val="left" w:pos="5477"/>
              </w:tabs>
              <w:ind w:left="105" w:right="179"/>
            </w:pPr>
            <w:r w:rsidRPr="00C4281A">
              <w:t>Miljøkrav til indholdet af tungmetaller i gummibelægninger af kunststof</w:t>
            </w:r>
          </w:p>
        </w:tc>
      </w:tr>
      <w:tr w:rsidR="003A61F6" w:rsidRPr="00C4281A" w:rsidTr="00525FA9">
        <w:tc>
          <w:tcPr>
            <w:tcW w:w="2020" w:type="dxa"/>
            <w:vAlign w:val="center"/>
          </w:tcPr>
          <w:p w:rsidR="00026EA7" w:rsidRPr="00C4281A" w:rsidRDefault="00026EA7" w:rsidP="00C4281A">
            <w:pPr>
              <w:pStyle w:val="TableParagraph"/>
              <w:widowControl/>
              <w:ind w:left="107"/>
              <w:rPr>
                <w:b/>
              </w:rPr>
            </w:pPr>
            <w:r w:rsidRPr="00C4281A">
              <w:rPr>
                <w:b/>
              </w:rPr>
              <w:t>ELOT EN 15330-1</w:t>
            </w:r>
          </w:p>
        </w:tc>
        <w:tc>
          <w:tcPr>
            <w:tcW w:w="7229" w:type="dxa"/>
          </w:tcPr>
          <w:p w:rsidR="00026EA7" w:rsidRPr="00C4281A" w:rsidRDefault="00026EA7" w:rsidP="00C4281A">
            <w:pPr>
              <w:pStyle w:val="TableParagraph"/>
              <w:widowControl/>
              <w:ind w:left="105"/>
            </w:pPr>
            <w:r w:rsidRPr="00C4281A">
              <w:t>Sportsbelægninger – Belægninger af kunstgræs og nålefilt primært beregnet til udendørs brug – Del 1: Specifikation for kunstgræsbelægninger anvendt til fodbold, hockey, rugbytræning, tennis og multisport</w:t>
            </w:r>
          </w:p>
        </w:tc>
      </w:tr>
      <w:tr w:rsidR="003A61F6" w:rsidRPr="00C4281A" w:rsidTr="00525FA9">
        <w:tc>
          <w:tcPr>
            <w:tcW w:w="2020" w:type="dxa"/>
            <w:vAlign w:val="center"/>
          </w:tcPr>
          <w:p w:rsidR="00026EA7" w:rsidRPr="00C4281A" w:rsidRDefault="00026EA7" w:rsidP="00C4281A">
            <w:pPr>
              <w:pStyle w:val="TableParagraph"/>
              <w:widowControl/>
              <w:ind w:left="107"/>
              <w:rPr>
                <w:b/>
              </w:rPr>
            </w:pPr>
            <w:r w:rsidRPr="00C4281A">
              <w:rPr>
                <w:b/>
              </w:rPr>
              <w:t>DIN 18035-6</w:t>
            </w:r>
          </w:p>
        </w:tc>
        <w:tc>
          <w:tcPr>
            <w:tcW w:w="7229" w:type="dxa"/>
          </w:tcPr>
          <w:p w:rsidR="00026EA7" w:rsidRPr="00C4281A" w:rsidRDefault="00026EA7" w:rsidP="00C4281A">
            <w:pPr>
              <w:pStyle w:val="TableParagraph"/>
              <w:widowControl/>
              <w:tabs>
                <w:tab w:val="left" w:pos="1694"/>
                <w:tab w:val="left" w:pos="2790"/>
                <w:tab w:val="left" w:pos="3289"/>
                <w:tab w:val="left" w:pos="4339"/>
                <w:tab w:val="left" w:pos="5471"/>
              </w:tabs>
              <w:ind w:left="105" w:right="186"/>
            </w:pPr>
            <w:r w:rsidRPr="00C4281A">
              <w:t>Miljøkrav til indholdet af tungmetaller i gummibelægninger af kunststof</w:t>
            </w:r>
          </w:p>
        </w:tc>
      </w:tr>
      <w:tr w:rsidR="003A61F6" w:rsidRPr="00C4281A" w:rsidTr="00525FA9">
        <w:tc>
          <w:tcPr>
            <w:tcW w:w="2020" w:type="dxa"/>
            <w:vAlign w:val="center"/>
          </w:tcPr>
          <w:p w:rsidR="00026EA7" w:rsidRPr="00C4281A" w:rsidRDefault="00A01F2C" w:rsidP="00C4281A">
            <w:pPr>
              <w:pStyle w:val="TableParagraph"/>
              <w:widowControl/>
              <w:spacing w:before="3"/>
              <w:rPr>
                <w:b/>
              </w:rPr>
            </w:pPr>
            <w:r w:rsidRPr="00C4281A">
              <w:rPr>
                <w:b/>
                <w:bCs/>
              </w:rPr>
              <w:t xml:space="preserve"> DIN 18035-7</w:t>
            </w:r>
          </w:p>
        </w:tc>
        <w:tc>
          <w:tcPr>
            <w:tcW w:w="7229" w:type="dxa"/>
          </w:tcPr>
          <w:p w:rsidR="00026EA7" w:rsidRPr="00C4281A" w:rsidRDefault="00A01F2C" w:rsidP="00C4281A">
            <w:pPr>
              <w:pStyle w:val="Heading2"/>
              <w:widowControl/>
              <w:jc w:val="left"/>
            </w:pPr>
            <w:r w:rsidRPr="00C4281A">
              <w:rPr>
                <w:b w:val="0"/>
              </w:rPr>
              <w:t xml:space="preserve"> Sports grounds - Part 7: Synthetic turf areas </w:t>
            </w:r>
          </w:p>
        </w:tc>
      </w:tr>
      <w:tr w:rsidR="003A61F6" w:rsidRPr="00C4281A" w:rsidTr="00525FA9">
        <w:tc>
          <w:tcPr>
            <w:tcW w:w="2020" w:type="dxa"/>
            <w:vAlign w:val="center"/>
          </w:tcPr>
          <w:p w:rsidR="00026EA7" w:rsidRPr="00C4281A" w:rsidRDefault="00026EA7" w:rsidP="00C4281A">
            <w:pPr>
              <w:pStyle w:val="TableParagraph"/>
              <w:widowControl/>
              <w:spacing w:line="228" w:lineRule="exact"/>
              <w:ind w:left="107"/>
              <w:rPr>
                <w:b/>
              </w:rPr>
            </w:pPr>
            <w:r w:rsidRPr="00C4281A">
              <w:rPr>
                <w:b/>
              </w:rPr>
              <w:t xml:space="preserve">EN 15330-1 </w:t>
            </w:r>
          </w:p>
        </w:tc>
        <w:tc>
          <w:tcPr>
            <w:tcW w:w="7229" w:type="dxa"/>
          </w:tcPr>
          <w:p w:rsidR="00026EA7" w:rsidRPr="00C4281A" w:rsidRDefault="00026EA7" w:rsidP="00C4281A">
            <w:pPr>
              <w:pStyle w:val="TableParagraph"/>
              <w:widowControl/>
              <w:spacing w:line="223" w:lineRule="exact"/>
              <w:ind w:left="105"/>
            </w:pPr>
            <w:r w:rsidRPr="00C4281A">
              <w:t>Surfaces for sports areas. Synthetic turf and needle-punched surfaces primarily designed for outdoor use.</w:t>
            </w:r>
          </w:p>
        </w:tc>
      </w:tr>
      <w:tr w:rsidR="003A61F6" w:rsidRPr="00C4281A" w:rsidTr="00525FA9">
        <w:tc>
          <w:tcPr>
            <w:tcW w:w="2020" w:type="dxa"/>
            <w:vAlign w:val="center"/>
          </w:tcPr>
          <w:p w:rsidR="00026EA7" w:rsidRPr="00C4281A" w:rsidRDefault="00026EA7" w:rsidP="00C4281A">
            <w:pPr>
              <w:pStyle w:val="TableParagraph"/>
              <w:widowControl/>
              <w:ind w:left="107"/>
              <w:rPr>
                <w:b/>
              </w:rPr>
            </w:pPr>
            <w:r w:rsidRPr="00C4281A">
              <w:rPr>
                <w:b/>
              </w:rPr>
              <w:t xml:space="preserve">EN 933-1 </w:t>
            </w:r>
          </w:p>
        </w:tc>
        <w:tc>
          <w:tcPr>
            <w:tcW w:w="7229" w:type="dxa"/>
          </w:tcPr>
          <w:p w:rsidR="00026EA7" w:rsidRPr="00C4281A" w:rsidRDefault="00026EA7" w:rsidP="00C4281A">
            <w:pPr>
              <w:pStyle w:val="TableParagraph"/>
              <w:widowControl/>
              <w:spacing w:line="228" w:lineRule="exact"/>
              <w:ind w:left="105" w:right="718"/>
            </w:pPr>
            <w:r w:rsidRPr="00C4281A">
              <w:t>Tests for geometrical properties of aggregates part 1: determination of particle size distribution – sieving method.</w:t>
            </w:r>
          </w:p>
        </w:tc>
      </w:tr>
      <w:tr w:rsidR="003A61F6" w:rsidRPr="00C4281A" w:rsidTr="00525FA9">
        <w:tc>
          <w:tcPr>
            <w:tcW w:w="2020" w:type="dxa"/>
            <w:vAlign w:val="center"/>
          </w:tcPr>
          <w:p w:rsidR="00026EA7" w:rsidRPr="00C4281A" w:rsidRDefault="00026EA7" w:rsidP="00C4281A">
            <w:pPr>
              <w:pStyle w:val="TableParagraph"/>
              <w:widowControl/>
              <w:spacing w:line="228" w:lineRule="exact"/>
              <w:ind w:left="107"/>
              <w:rPr>
                <w:b/>
              </w:rPr>
            </w:pPr>
            <w:r w:rsidRPr="00C4281A">
              <w:rPr>
                <w:b/>
              </w:rPr>
              <w:t xml:space="preserve">EN 14955 </w:t>
            </w:r>
          </w:p>
        </w:tc>
        <w:tc>
          <w:tcPr>
            <w:tcW w:w="7229" w:type="dxa"/>
          </w:tcPr>
          <w:p w:rsidR="00026EA7" w:rsidRPr="00C4281A" w:rsidRDefault="00026EA7" w:rsidP="00C4281A">
            <w:pPr>
              <w:pStyle w:val="TableParagraph"/>
              <w:widowControl/>
              <w:spacing w:line="223" w:lineRule="exact"/>
              <w:ind w:left="105"/>
            </w:pPr>
            <w:r w:rsidRPr="00C4281A">
              <w:t>Surfaces for sport areas – determination of composition and particle shape of unbound mineral surfaces for outdoor sport areas.</w:t>
            </w:r>
          </w:p>
        </w:tc>
      </w:tr>
      <w:tr w:rsidR="003A61F6" w:rsidRPr="00C4281A" w:rsidTr="00525FA9">
        <w:tc>
          <w:tcPr>
            <w:tcW w:w="2020" w:type="dxa"/>
            <w:vAlign w:val="center"/>
          </w:tcPr>
          <w:p w:rsidR="00026EA7" w:rsidRPr="00C4281A" w:rsidRDefault="00026EA7" w:rsidP="00C4281A">
            <w:pPr>
              <w:pStyle w:val="TableParagraph"/>
              <w:widowControl/>
              <w:spacing w:line="228" w:lineRule="exact"/>
              <w:ind w:left="107"/>
              <w:rPr>
                <w:b/>
              </w:rPr>
            </w:pPr>
            <w:r w:rsidRPr="00C4281A">
              <w:rPr>
                <w:b/>
              </w:rPr>
              <w:t xml:space="preserve">EN 1097-3 </w:t>
            </w:r>
          </w:p>
        </w:tc>
        <w:tc>
          <w:tcPr>
            <w:tcW w:w="7229" w:type="dxa"/>
          </w:tcPr>
          <w:p w:rsidR="00026EA7" w:rsidRPr="00C4281A" w:rsidRDefault="00026EA7" w:rsidP="00C4281A">
            <w:pPr>
              <w:pStyle w:val="TableParagraph"/>
              <w:widowControl/>
              <w:spacing w:line="223" w:lineRule="exact"/>
              <w:ind w:left="105"/>
            </w:pPr>
            <w:r w:rsidRPr="00C4281A">
              <w:t>Tests for mechanical and physical properties of aggregates – part 3: determination of loose bulk density and voids.</w:t>
            </w:r>
          </w:p>
        </w:tc>
      </w:tr>
      <w:tr w:rsidR="003A61F6" w:rsidRPr="00C4281A" w:rsidTr="00525FA9">
        <w:tc>
          <w:tcPr>
            <w:tcW w:w="2020" w:type="dxa"/>
            <w:vAlign w:val="center"/>
          </w:tcPr>
          <w:p w:rsidR="00026EA7" w:rsidRPr="00C4281A" w:rsidRDefault="00026EA7" w:rsidP="00C4281A">
            <w:pPr>
              <w:pStyle w:val="TableParagraph"/>
              <w:widowControl/>
              <w:spacing w:line="210" w:lineRule="exact"/>
              <w:ind w:left="107"/>
              <w:rPr>
                <w:b/>
              </w:rPr>
            </w:pPr>
            <w:r w:rsidRPr="00C4281A">
              <w:rPr>
                <w:b/>
              </w:rPr>
              <w:t xml:space="preserve">EN 14836 </w:t>
            </w:r>
          </w:p>
        </w:tc>
        <w:tc>
          <w:tcPr>
            <w:tcW w:w="7229" w:type="dxa"/>
          </w:tcPr>
          <w:p w:rsidR="00026EA7" w:rsidRPr="00C4281A" w:rsidRDefault="00026EA7" w:rsidP="00C4281A">
            <w:pPr>
              <w:pStyle w:val="TableParagraph"/>
              <w:widowControl/>
              <w:spacing w:line="210" w:lineRule="exact"/>
              <w:ind w:left="105"/>
            </w:pPr>
            <w:r w:rsidRPr="00C4281A">
              <w:t>Synthetic surfaces for outdoor sport areas. Exposure to artificial weathering.</w:t>
            </w:r>
          </w:p>
        </w:tc>
      </w:tr>
      <w:tr w:rsidR="003A61F6" w:rsidRPr="00C4281A" w:rsidTr="00525FA9">
        <w:tc>
          <w:tcPr>
            <w:tcW w:w="2020" w:type="dxa"/>
            <w:vAlign w:val="center"/>
          </w:tcPr>
          <w:p w:rsidR="00026EA7" w:rsidRPr="00C4281A" w:rsidRDefault="00026EA7" w:rsidP="00C4281A">
            <w:pPr>
              <w:pStyle w:val="TableParagraph"/>
              <w:widowControl/>
              <w:spacing w:line="228" w:lineRule="exact"/>
              <w:ind w:left="107"/>
              <w:rPr>
                <w:b/>
              </w:rPr>
            </w:pPr>
            <w:r w:rsidRPr="00C4281A">
              <w:rPr>
                <w:b/>
              </w:rPr>
              <w:t xml:space="preserve">DIN 18035-7 </w:t>
            </w:r>
          </w:p>
        </w:tc>
        <w:tc>
          <w:tcPr>
            <w:tcW w:w="7229" w:type="dxa"/>
          </w:tcPr>
          <w:p w:rsidR="00026EA7" w:rsidRPr="00C4281A" w:rsidRDefault="00026EA7" w:rsidP="00C4281A">
            <w:pPr>
              <w:pStyle w:val="TableParagraph"/>
              <w:widowControl/>
              <w:spacing w:line="223" w:lineRule="exact"/>
              <w:ind w:left="105"/>
            </w:pPr>
            <w:r w:rsidRPr="00C4281A">
              <w:t>Sports Grounds Part 7: Synthetic Turf Areas, Determination of Environment Compatibility</w:t>
            </w:r>
          </w:p>
        </w:tc>
      </w:tr>
      <w:tr w:rsidR="003A61F6" w:rsidRPr="00C4281A" w:rsidTr="00525FA9">
        <w:tc>
          <w:tcPr>
            <w:tcW w:w="2020" w:type="dxa"/>
            <w:vAlign w:val="center"/>
          </w:tcPr>
          <w:p w:rsidR="00026EA7" w:rsidRPr="00C4281A" w:rsidRDefault="00026EA7" w:rsidP="00C4281A">
            <w:pPr>
              <w:pStyle w:val="TableParagraph"/>
              <w:widowControl/>
              <w:spacing w:line="228" w:lineRule="exact"/>
              <w:ind w:left="107"/>
              <w:rPr>
                <w:b/>
              </w:rPr>
            </w:pPr>
            <w:r w:rsidRPr="00C4281A">
              <w:rPr>
                <w:b/>
              </w:rPr>
              <w:t>NF P90-112</w:t>
            </w:r>
          </w:p>
        </w:tc>
        <w:tc>
          <w:tcPr>
            <w:tcW w:w="7229" w:type="dxa"/>
          </w:tcPr>
          <w:p w:rsidR="00026EA7" w:rsidRPr="00C4281A" w:rsidRDefault="00026EA7" w:rsidP="00C4281A">
            <w:pPr>
              <w:pStyle w:val="TableParagraph"/>
              <w:widowControl/>
              <w:spacing w:line="223" w:lineRule="exact"/>
              <w:ind w:left="105"/>
            </w:pPr>
            <w:r w:rsidRPr="00C4281A">
              <w:t>Sports grounds - Unbound mineral surfaces for outdoor sport areas Specifications for construction.</w:t>
            </w:r>
          </w:p>
        </w:tc>
      </w:tr>
    </w:tbl>
    <w:p w:rsidR="00651276" w:rsidRPr="00C4281A" w:rsidRDefault="00651276" w:rsidP="00C4281A"/>
    <w:sectPr w:rsidR="00651276" w:rsidRPr="00C4281A"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B97" w:rsidRDefault="00165B97" w:rsidP="00247089">
      <w:r>
        <w:separator/>
      </w:r>
    </w:p>
  </w:endnote>
  <w:endnote w:type="continuationSeparator" w:id="0">
    <w:p w:rsidR="00165B97" w:rsidRDefault="00165B97"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861198">
      <w:rPr>
        <w:noProof/>
        <w:sz w:val="18"/>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rsidR="00861198">
      <w:rPr>
        <w:noProof/>
        <w:sz w:val="18"/>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EA7" w:rsidRDefault="00151F87">
    <w:pPr>
      <w:pStyle w:val="BodyText"/>
      <w:spacing w:line="14" w:lineRule="auto"/>
    </w:pPr>
    <w:r>
      <w:rPr>
        <w:noProof/>
        <w:lang w:val="en-US" w:eastAsia="en-US" w:bidi="hi-IN"/>
      </w:rPr>
      <mc:AlternateContent>
        <mc:Choice Requires="wps">
          <w:drawing>
            <wp:anchor distT="0" distB="0" distL="114300" distR="114300" simplePos="0" relativeHeight="251658752"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A7" w:rsidRDefault="00026EA7">
                          <w:pPr>
                            <w:spacing w:before="12"/>
                            <w:ind w:left="40"/>
                            <w:rPr>
                              <w:sz w:val="18"/>
                            </w:rPr>
                          </w:pPr>
                          <w:r>
                            <w:fldChar w:fldCharType="begin"/>
                          </w:r>
                          <w:r>
                            <w:rPr>
                              <w:sz w:val="18"/>
                            </w:rPr>
                            <w:instrText xml:space="preserve"> PAGE </w:instrText>
                          </w:r>
                          <w:r>
                            <w:fldChar w:fldCharType="separate"/>
                          </w:r>
                          <w:r w:rsidR="00861198">
                            <w:rPr>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rsidR="00026EA7" w:rsidRDefault="00026EA7">
                    <w:pPr>
                      <w:spacing w:before="12"/>
                      <w:ind w:left="40"/>
                      <w:rPr>
                        <w:sz w:val="18"/>
                      </w:rPr>
                    </w:pPr>
                    <w:r>
                      <w:fldChar w:fldCharType="begin"/>
                    </w:r>
                    <w:r>
                      <w:rPr>
                        <w:sz w:val="18"/>
                      </w:rPr>
                      <w:instrText xml:space="preserve"> PAGE </w:instrText>
                    </w:r>
                    <w:r>
                      <w:fldChar w:fldCharType="separate"/>
                    </w:r>
                    <w:r w:rsidR="00861198">
                      <w:rPr>
                        <w:noProof/>
                        <w:sz w:val="18"/>
                      </w:rPr>
                      <w:t>12</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089" w:rsidRDefault="00151F87">
    <w:pPr>
      <w:pStyle w:val="BodyText"/>
      <w:spacing w:line="14" w:lineRule="auto"/>
    </w:pPr>
    <w:r>
      <w:rPr>
        <w:noProof/>
        <w:lang w:val="en-US" w:eastAsia="en-US" w:bidi="hi-IN"/>
      </w:rPr>
      <mc:AlternateContent>
        <mc:Choice Requires="wps">
          <w:drawing>
            <wp:anchor distT="0" distB="0" distL="114300" distR="114300" simplePos="0" relativeHeight="251657728"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9" w:rsidRDefault="00247089">
                          <w:pPr>
                            <w:spacing w:before="12"/>
                            <w:ind w:left="40"/>
                            <w:rPr>
                              <w:sz w:val="18"/>
                            </w:rPr>
                          </w:pPr>
                          <w:r>
                            <w:fldChar w:fldCharType="begin"/>
                          </w:r>
                          <w:r>
                            <w:rPr>
                              <w:sz w:val="18"/>
                            </w:rPr>
                            <w:instrText xml:space="preserve"> PAGE </w:instrText>
                          </w:r>
                          <w:r>
                            <w:fldChar w:fldCharType="separate"/>
                          </w:r>
                          <w:r w:rsidR="00861198">
                            <w:rPr>
                              <w:noProof/>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rsidR="00247089" w:rsidRDefault="00247089">
                    <w:pPr>
                      <w:spacing w:before="12"/>
                      <w:ind w:left="40"/>
                      <w:rPr>
                        <w:sz w:val="18"/>
                      </w:rPr>
                    </w:pPr>
                    <w:r>
                      <w:fldChar w:fldCharType="begin"/>
                    </w:r>
                    <w:r>
                      <w:rPr>
                        <w:sz w:val="18"/>
                      </w:rPr>
                      <w:instrText xml:space="preserve"> PAGE </w:instrText>
                    </w:r>
                    <w:r>
                      <w:fldChar w:fldCharType="separate"/>
                    </w:r>
                    <w:r w:rsidR="00861198">
                      <w:rPr>
                        <w:noProof/>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B97" w:rsidRDefault="00165B97" w:rsidP="00247089">
      <w:r>
        <w:separator/>
      </w:r>
    </w:p>
  </w:footnote>
  <w:footnote w:type="continuationSeparator" w:id="0">
    <w:p w:rsidR="00165B97" w:rsidRDefault="00165B97" w:rsidP="00247089">
      <w:r>
        <w:continuationSeparator/>
      </w:r>
    </w:p>
  </w:footnote>
  <w:footnote w:id="1">
    <w:p w:rsidR="00026EA7" w:rsidRPr="00D51722" w:rsidRDefault="00026EA7" w:rsidP="00026EA7">
      <w:pPr>
        <w:pStyle w:val="FootnoteText"/>
        <w:rPr>
          <w:sz w:val="18"/>
          <w:szCs w:val="18"/>
        </w:rPr>
      </w:pPr>
      <w:r>
        <w:rPr>
          <w:rStyle w:val="FootnoteReference"/>
          <w:sz w:val="18"/>
          <w:szCs w:val="18"/>
        </w:rPr>
        <w:footnoteRef/>
      </w:r>
      <w:r>
        <w:rPr>
          <w:sz w:val="18"/>
          <w:szCs w:val="18"/>
        </w:rPr>
        <w:t xml:space="preserve"> Den opdaterede udgave af standarderne anvendes.</w:t>
      </w:r>
    </w:p>
  </w:footnote>
  <w:footnote w:id="2">
    <w:p w:rsidR="00026EA7" w:rsidRPr="00D51722" w:rsidRDefault="00026EA7" w:rsidP="00026EA7">
      <w:pPr>
        <w:pStyle w:val="FootnoteText"/>
        <w:rPr>
          <w:sz w:val="18"/>
          <w:szCs w:val="18"/>
        </w:rPr>
      </w:pPr>
      <w:r>
        <w:rPr>
          <w:rStyle w:val="FootnoteReference"/>
          <w:sz w:val="18"/>
          <w:szCs w:val="18"/>
        </w:rPr>
        <w:footnoteRef/>
      </w:r>
      <w:r>
        <w:rPr>
          <w:sz w:val="18"/>
          <w:szCs w:val="18"/>
        </w:rPr>
        <w:t xml:space="preserve"> Mandat M/556, C (2017) 2926 endelig.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2474DE72"/>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24343838"/>
    <w:lvl w:ilvl="0" w:tplc="1EC49660">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900EF32C"/>
    <w:lvl w:ilvl="0" w:tplc="9ACE72BA">
      <w:start w:val="1"/>
      <w:numFmt w:val="decimal"/>
      <w:lvlText w:val="%1."/>
      <w:lvlJc w:val="left"/>
      <w:pPr>
        <w:ind w:left="712" w:hanging="428"/>
      </w:pPr>
      <w:rPr>
        <w:rFonts w:ascii="Times New Roman" w:eastAsia="Times New Roman" w:hAnsi="Times New Roman" w:cs="Times New Roman"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0"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1"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2"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3"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4"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0"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2"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4"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5"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6"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0"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3"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0"/>
  </w:num>
  <w:num w:numId="5">
    <w:abstractNumId w:val="36"/>
  </w:num>
  <w:num w:numId="6">
    <w:abstractNumId w:val="21"/>
  </w:num>
  <w:num w:numId="7">
    <w:abstractNumId w:val="34"/>
  </w:num>
  <w:num w:numId="8">
    <w:abstractNumId w:val="22"/>
  </w:num>
  <w:num w:numId="9">
    <w:abstractNumId w:val="18"/>
  </w:num>
  <w:num w:numId="10">
    <w:abstractNumId w:val="13"/>
  </w:num>
  <w:num w:numId="11">
    <w:abstractNumId w:val="24"/>
  </w:num>
  <w:num w:numId="12">
    <w:abstractNumId w:val="1"/>
  </w:num>
  <w:num w:numId="13">
    <w:abstractNumId w:val="42"/>
  </w:num>
  <w:num w:numId="14">
    <w:abstractNumId w:val="35"/>
  </w:num>
  <w:num w:numId="15">
    <w:abstractNumId w:val="20"/>
  </w:num>
  <w:num w:numId="16">
    <w:abstractNumId w:val="15"/>
  </w:num>
  <w:num w:numId="17">
    <w:abstractNumId w:val="12"/>
  </w:num>
  <w:num w:numId="18">
    <w:abstractNumId w:val="9"/>
  </w:num>
  <w:num w:numId="19">
    <w:abstractNumId w:val="33"/>
  </w:num>
  <w:num w:numId="20">
    <w:abstractNumId w:val="3"/>
  </w:num>
  <w:num w:numId="21">
    <w:abstractNumId w:val="31"/>
  </w:num>
  <w:num w:numId="22">
    <w:abstractNumId w:val="19"/>
  </w:num>
  <w:num w:numId="23">
    <w:abstractNumId w:val="10"/>
  </w:num>
  <w:num w:numId="24">
    <w:abstractNumId w:val="4"/>
  </w:num>
  <w:num w:numId="25">
    <w:abstractNumId w:val="39"/>
  </w:num>
  <w:num w:numId="26">
    <w:abstractNumId w:val="0"/>
  </w:num>
  <w:num w:numId="27">
    <w:abstractNumId w:val="17"/>
  </w:num>
  <w:num w:numId="28">
    <w:abstractNumId w:val="16"/>
  </w:num>
  <w:num w:numId="29">
    <w:abstractNumId w:val="26"/>
  </w:num>
  <w:num w:numId="30">
    <w:abstractNumId w:val="29"/>
  </w:num>
  <w:num w:numId="31">
    <w:abstractNumId w:val="44"/>
  </w:num>
  <w:num w:numId="32">
    <w:abstractNumId w:val="37"/>
  </w:num>
  <w:num w:numId="33">
    <w:abstractNumId w:val="27"/>
  </w:num>
  <w:num w:numId="34">
    <w:abstractNumId w:val="14"/>
  </w:num>
  <w:num w:numId="35">
    <w:abstractNumId w:val="43"/>
  </w:num>
  <w:num w:numId="36">
    <w:abstractNumId w:val="5"/>
  </w:num>
  <w:num w:numId="37">
    <w:abstractNumId w:val="41"/>
  </w:num>
  <w:num w:numId="38">
    <w:abstractNumId w:val="38"/>
  </w:num>
  <w:num w:numId="39">
    <w:abstractNumId w:val="11"/>
  </w:num>
  <w:num w:numId="40">
    <w:abstractNumId w:val="28"/>
  </w:num>
  <w:num w:numId="41">
    <w:abstractNumId w:val="8"/>
  </w:num>
  <w:num w:numId="42">
    <w:abstractNumId w:val="40"/>
  </w:num>
  <w:num w:numId="43">
    <w:abstractNumId w:val="23"/>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55"/>
    <w:rsid w:val="00004E59"/>
    <w:rsid w:val="00005D36"/>
    <w:rsid w:val="00026EA7"/>
    <w:rsid w:val="000660A0"/>
    <w:rsid w:val="00073FC0"/>
    <w:rsid w:val="0008352A"/>
    <w:rsid w:val="000A10E8"/>
    <w:rsid w:val="000A28D6"/>
    <w:rsid w:val="000F0C07"/>
    <w:rsid w:val="000F2CC2"/>
    <w:rsid w:val="00114EA8"/>
    <w:rsid w:val="00151F87"/>
    <w:rsid w:val="00152F4B"/>
    <w:rsid w:val="00165B97"/>
    <w:rsid w:val="001A53D8"/>
    <w:rsid w:val="001A7887"/>
    <w:rsid w:val="001F3090"/>
    <w:rsid w:val="002048EB"/>
    <w:rsid w:val="00205984"/>
    <w:rsid w:val="0020608C"/>
    <w:rsid w:val="00230854"/>
    <w:rsid w:val="00241516"/>
    <w:rsid w:val="00247089"/>
    <w:rsid w:val="00254A0E"/>
    <w:rsid w:val="00266C37"/>
    <w:rsid w:val="00281F6A"/>
    <w:rsid w:val="002A1B2F"/>
    <w:rsid w:val="002B5883"/>
    <w:rsid w:val="002C2540"/>
    <w:rsid w:val="002C6221"/>
    <w:rsid w:val="00303265"/>
    <w:rsid w:val="003104C3"/>
    <w:rsid w:val="00317B11"/>
    <w:rsid w:val="00323C0F"/>
    <w:rsid w:val="00340C56"/>
    <w:rsid w:val="003474E6"/>
    <w:rsid w:val="0037756B"/>
    <w:rsid w:val="00382DBB"/>
    <w:rsid w:val="003A61F6"/>
    <w:rsid w:val="004145D4"/>
    <w:rsid w:val="00417702"/>
    <w:rsid w:val="0043166F"/>
    <w:rsid w:val="004719C7"/>
    <w:rsid w:val="00485E7D"/>
    <w:rsid w:val="00486643"/>
    <w:rsid w:val="004B3324"/>
    <w:rsid w:val="005130BC"/>
    <w:rsid w:val="00520171"/>
    <w:rsid w:val="00525FA9"/>
    <w:rsid w:val="00556D90"/>
    <w:rsid w:val="0056306B"/>
    <w:rsid w:val="00564EB7"/>
    <w:rsid w:val="00572955"/>
    <w:rsid w:val="005734D4"/>
    <w:rsid w:val="00582208"/>
    <w:rsid w:val="005B3F63"/>
    <w:rsid w:val="005D7910"/>
    <w:rsid w:val="00603C43"/>
    <w:rsid w:val="0061103E"/>
    <w:rsid w:val="0061361A"/>
    <w:rsid w:val="00640200"/>
    <w:rsid w:val="006412EA"/>
    <w:rsid w:val="00651276"/>
    <w:rsid w:val="00664F4A"/>
    <w:rsid w:val="00671892"/>
    <w:rsid w:val="0067752F"/>
    <w:rsid w:val="0067780E"/>
    <w:rsid w:val="006803BB"/>
    <w:rsid w:val="00684FA2"/>
    <w:rsid w:val="006B72AC"/>
    <w:rsid w:val="006D1011"/>
    <w:rsid w:val="006D274D"/>
    <w:rsid w:val="00712F6F"/>
    <w:rsid w:val="0072107F"/>
    <w:rsid w:val="00724D1F"/>
    <w:rsid w:val="007643D8"/>
    <w:rsid w:val="00774E57"/>
    <w:rsid w:val="00792570"/>
    <w:rsid w:val="007B3DBC"/>
    <w:rsid w:val="007E3862"/>
    <w:rsid w:val="008010EA"/>
    <w:rsid w:val="00861198"/>
    <w:rsid w:val="008653A4"/>
    <w:rsid w:val="0086787E"/>
    <w:rsid w:val="00867E13"/>
    <w:rsid w:val="008A6100"/>
    <w:rsid w:val="008B72B9"/>
    <w:rsid w:val="008D44E0"/>
    <w:rsid w:val="008D61F1"/>
    <w:rsid w:val="008D6B6D"/>
    <w:rsid w:val="008E422C"/>
    <w:rsid w:val="009011B6"/>
    <w:rsid w:val="00903F93"/>
    <w:rsid w:val="00907068"/>
    <w:rsid w:val="009264B6"/>
    <w:rsid w:val="0092688B"/>
    <w:rsid w:val="0093277C"/>
    <w:rsid w:val="00943836"/>
    <w:rsid w:val="00943A9B"/>
    <w:rsid w:val="0095171F"/>
    <w:rsid w:val="009A5842"/>
    <w:rsid w:val="009C03F4"/>
    <w:rsid w:val="009C1DEC"/>
    <w:rsid w:val="009E29DE"/>
    <w:rsid w:val="00A01F2C"/>
    <w:rsid w:val="00A06EF4"/>
    <w:rsid w:val="00A12131"/>
    <w:rsid w:val="00A32A2F"/>
    <w:rsid w:val="00A339CC"/>
    <w:rsid w:val="00A40172"/>
    <w:rsid w:val="00A45A87"/>
    <w:rsid w:val="00A50B96"/>
    <w:rsid w:val="00A71598"/>
    <w:rsid w:val="00A80B0C"/>
    <w:rsid w:val="00AE2DCD"/>
    <w:rsid w:val="00AF4A7F"/>
    <w:rsid w:val="00B12B8C"/>
    <w:rsid w:val="00B6669C"/>
    <w:rsid w:val="00B71DEE"/>
    <w:rsid w:val="00B7451C"/>
    <w:rsid w:val="00B7655B"/>
    <w:rsid w:val="00B96821"/>
    <w:rsid w:val="00BA157E"/>
    <w:rsid w:val="00BB5948"/>
    <w:rsid w:val="00BD2498"/>
    <w:rsid w:val="00BF4B0A"/>
    <w:rsid w:val="00C00331"/>
    <w:rsid w:val="00C069AA"/>
    <w:rsid w:val="00C14D62"/>
    <w:rsid w:val="00C237B2"/>
    <w:rsid w:val="00C4281A"/>
    <w:rsid w:val="00C45D7E"/>
    <w:rsid w:val="00C46A32"/>
    <w:rsid w:val="00C5068B"/>
    <w:rsid w:val="00C50A4D"/>
    <w:rsid w:val="00C50E5D"/>
    <w:rsid w:val="00C61A52"/>
    <w:rsid w:val="00C64563"/>
    <w:rsid w:val="00C74DC6"/>
    <w:rsid w:val="00CB1F6D"/>
    <w:rsid w:val="00CC7699"/>
    <w:rsid w:val="00CF7F1C"/>
    <w:rsid w:val="00D04F05"/>
    <w:rsid w:val="00D16BC2"/>
    <w:rsid w:val="00DA0E07"/>
    <w:rsid w:val="00DB520C"/>
    <w:rsid w:val="00DC516E"/>
    <w:rsid w:val="00DD7366"/>
    <w:rsid w:val="00DE129C"/>
    <w:rsid w:val="00DE18B1"/>
    <w:rsid w:val="00E254B1"/>
    <w:rsid w:val="00E27EE2"/>
    <w:rsid w:val="00E4154D"/>
    <w:rsid w:val="00E46278"/>
    <w:rsid w:val="00E77FF3"/>
    <w:rsid w:val="00EA784C"/>
    <w:rsid w:val="00ED7FDA"/>
    <w:rsid w:val="00EE5313"/>
    <w:rsid w:val="00F03163"/>
    <w:rsid w:val="00F04DFE"/>
    <w:rsid w:val="00F127E9"/>
    <w:rsid w:val="00F205FB"/>
    <w:rsid w:val="00F2183B"/>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da-DK"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da-DK"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da-DK"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da-DK"/>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da-DK"/>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da-DK"/>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da-DK"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da-DK"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da-DK"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2.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BED40-03ED-447B-A32F-3F293062A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4479</Words>
  <Characters>25531</Characters>
  <Application>Microsoft Office Word</Application>
  <DocSecurity>0</DocSecurity>
  <Lines>212</Lines>
  <Paragraphs>59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29951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Ke, Tingting</cp:lastModifiedBy>
  <cp:revision>21</cp:revision>
  <cp:lastPrinted>2020-09-03T05:39:00Z</cp:lastPrinted>
  <dcterms:created xsi:type="dcterms:W3CDTF">2020-10-12T09:06:00Z</dcterms:created>
  <dcterms:modified xsi:type="dcterms:W3CDTF">2020-12-03T02:39:00Z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