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0901FB" w14:textId="580CCA28" w:rsidR="008F5571" w:rsidRPr="008F5571" w:rsidRDefault="008F5571" w:rsidP="008F5571">
      <w:pPr>
        <w:spacing w:after="0" w:line="240" w:lineRule="auto"/>
        <w:rPr>
          <w:sz w:val="20"/>
          <w:szCs w:val="20"/>
          <w:rFonts w:ascii="Courier New" w:hAnsi="Courier New" w:cs="Courier New"/>
        </w:rPr>
      </w:pPr>
      <w:r>
        <w:rPr>
          <w:sz w:val="20"/>
          <w:rFonts w:ascii="Courier New" w:hAnsi="Courier New"/>
        </w:rPr>
        <w:t xml:space="preserve">1.</w:t>
      </w:r>
      <w:r>
        <w:rPr>
          <w:sz w:val="20"/>
          <w:rFonts w:ascii="Courier New" w:hAnsi="Courier New"/>
        </w:rPr>
        <w:t xml:space="preserve"> </w:t>
      </w:r>
      <w:r>
        <w:rPr>
          <w:sz w:val="20"/>
          <w:rFonts w:ascii="Courier New" w:hAnsi="Courier New"/>
        </w:rPr>
        <w:t xml:space="preserve">------IND- 2020 0549 B-- PL- ------ 20200911 --- --- PROJET</w:t>
      </w:r>
    </w:p>
    <w:p w14:paraId="72BFD6B2" w14:textId="77777777" w:rsidR="008F5571" w:rsidRPr="008F5571" w:rsidRDefault="008F5571" w:rsidP="008F5571">
      <w:pPr>
        <w:spacing w:after="0" w:line="240" w:lineRule="auto"/>
      </w:pPr>
    </w:p>
    <w:p w14:paraId="71744518" w14:textId="2E9DB1EE" w:rsidR="00994A23" w:rsidRDefault="00224C6A">
      <w:pPr>
        <w:pStyle w:val="centeredARTICLE"/>
        <w:rPr>
          <w:rFonts w:ascii="Arial" w:hAnsi="Arial" w:cs="Arial"/>
        </w:rPr>
      </w:pPr>
      <w:r>
        <w:rPr>
          <w:rFonts w:ascii="Arial" w:hAnsi="Arial"/>
        </w:rPr>
        <w:t xml:space="preserve">Artykuł 1</w:t>
      </w:r>
    </w:p>
    <w:p w14:paraId="148B8B34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Ustawa reguluje kwestię, o której mowa w art. 74 belgijskiej Konstytucji.</w:t>
      </w:r>
    </w:p>
    <w:p w14:paraId="48680981" w14:textId="77777777" w:rsidR="00994A23" w:rsidRDefault="00224C6A">
      <w:pPr>
        <w:pStyle w:val="centeredARTICLE"/>
        <w:rPr>
          <w:rFonts w:ascii="Arial" w:hAnsi="Arial" w:cs="Arial"/>
        </w:rPr>
      </w:pPr>
      <w:r>
        <w:rPr>
          <w:u w:val="thick"/>
          <w:rFonts w:ascii="Arial" w:hAnsi="Arial"/>
        </w:rPr>
        <w:t xml:space="preserve">Artykuł 2</w:t>
      </w:r>
      <w:r>
        <w:rPr>
          <w:rFonts w:ascii="Arial" w:hAnsi="Arial"/>
        </w:rPr>
        <w:t xml:space="preserve"> </w:t>
      </w:r>
      <w:r>
        <w:rPr>
          <w:i/>
          <w:rFonts w:ascii="Arial" w:hAnsi="Arial"/>
        </w:rPr>
        <w:t xml:space="preserve">(nowy)</w:t>
      </w:r>
    </w:p>
    <w:p w14:paraId="5A417BDE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Ustawa przewiduje częściową transpozycję dyrektywy Parlamentu Europejskiego i Rady (UE) 2019/904 z dnia 5 czerwca 2019 r. w sprawie zmniejszenia wpływu niektórych produktów z tworzyw sztucznych na środowisko oraz dyrektywy Parlamentu Europejskiego i Rady (UE) 2015/720 z dnia 29 kwietnia 2015 r. zmieniającej dyrektywę 94/62/WE w odniesieniu do zmniejszenia zużycia lekkich plastikowych toreb na zakupy.</w:t>
      </w:r>
    </w:p>
    <w:p w14:paraId="1D39E3F8" w14:textId="77777777" w:rsidR="00994A23" w:rsidRDefault="00224C6A">
      <w:pPr>
        <w:pStyle w:val="centeredARTICLE"/>
        <w:rPr>
          <w:rFonts w:ascii="Arial" w:hAnsi="Arial" w:cs="Arial"/>
        </w:rPr>
      </w:pPr>
      <w:r>
        <w:rPr>
          <w:rFonts w:ascii="Arial" w:hAnsi="Arial"/>
        </w:rPr>
        <w:t xml:space="preserve">Artykuł </w:t>
      </w:r>
      <w:r>
        <w:rPr>
          <w:u w:val="thick"/>
          <w:rFonts w:ascii="Arial" w:hAnsi="Arial"/>
        </w:rPr>
        <w:t xml:space="preserve">3</w:t>
      </w:r>
      <w:r>
        <w:rPr>
          <w:rFonts w:ascii="Arial" w:hAnsi="Arial"/>
        </w:rPr>
        <w:t xml:space="preserve"> (poprzednio art. 2)</w:t>
      </w:r>
    </w:p>
    <w:p w14:paraId="50EB5F49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W art. 2 ustawy z dnia 21 grudnia 1998 r. o normach produktowych mających na celu promowanie zrównoważonej produkcji i konsumpcji oraz ochronę środowiska, zdrowia publicznego i pracowników, ostatnio zmienionej ustawą z dnia 16 grudnia 2015 r., dodaje się pkt 23–26 w brzmieniu:</w:t>
      </w:r>
    </w:p>
    <w:p w14:paraId="70B34437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„23) »tworzywo sztuczne« oznacza materiał składający się z polimeru zgodnie z definicją w art. 3 pkt 5 </w:t>
      </w:r>
      <w:r>
        <w:rPr>
          <w:u w:val="thick"/>
          <w:rFonts w:ascii="Arial" w:hAnsi="Arial"/>
        </w:rPr>
        <w:t xml:space="preserve">rozporządzenia REACH</w:t>
      </w:r>
      <w:r>
        <w:rPr>
          <w:rFonts w:ascii="Arial" w:hAnsi="Arial"/>
        </w:rPr>
        <w:t xml:space="preserve">, do którego mogły zostać dodane dodatki lub inne substancje i który może funkcjonować jako główny składnik strukturalny produktów końcowych, z wyjątkiem polimerów naturalnych, które nie zostały chemicznie zmodyfikowane;</w:t>
      </w:r>
    </w:p>
    <w:p w14:paraId="284CE3E0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24) »produkt jednorazowego użytku z tworzyw sztucznych« oznacza produkt, który jest w całości lub częściowo wykonany z tworzyw sztucznych i który nie został przeznaczony, zaprojektowany ani wprowadzony do obrotu tak, aby osiągnąć w ramach okresu żywotności wielokrotną rotację poprzez zwrócenie go do producenta w celu powtórnego napełnienia lub ponownego użycia do tego samego celu, do którego był pierwotnie przeznaczony;</w:t>
      </w:r>
    </w:p>
    <w:p w14:paraId="28CEBF73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25) </w:t>
      </w:r>
      <w:r>
        <w:rPr>
          <w:rFonts w:ascii="Arial" w:hAnsi="Arial"/>
        </w:rPr>
        <w:t xml:space="preserve">»oksydegradowalne tworzywo sztuczne« oznacza materiały z tworzyw sztucznych zawierające dodatki, które pod wpływem utleniania prowadzą do rozpadu tych materiałów na mikrofragmenty lub do ich rozkładu chemicznego;</w:t>
      </w:r>
    </w:p>
    <w:p w14:paraId="1E9365A9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Style w:val="Underline"/>
          <w:rFonts w:ascii="Arial" w:hAnsi="Arial"/>
        </w:rPr>
        <w:t xml:space="preserve">26) »torba jednorazowego użytku z tworzyw sztucznych na zakupy« oznacza lekką torbę z tworzyw sztucznych na zakupy lub bardzo lekką torbę z tworzyw sztucznych na zakupy, w rozumieniu przyjętym w dyrektywie 94/62/WE Parlamentu Europejskiego i Rady z dnia 20 grudnia 1994 r. w sprawie opakowań i odpadów opakowaniowych, w całości lub częściowo wykonaną z tworzyw sztucznych i która nie została zaprojektowana, wyprodukowana ani wprowadzona do obrotu, aby w okresie swojej żywotności została ponownie użyta do tego samego celu, do którego była przeznaczona.”.</w:t>
      </w:r>
    </w:p>
    <w:p w14:paraId="17AFD7CB" w14:textId="77777777" w:rsidR="00994A23" w:rsidRDefault="00224C6A">
      <w:pPr>
        <w:pStyle w:val="centeredARTICLE"/>
        <w:rPr>
          <w:rFonts w:ascii="Arial" w:hAnsi="Arial" w:cs="Arial"/>
        </w:rPr>
      </w:pPr>
      <w:r>
        <w:rPr>
          <w:rFonts w:ascii="Arial" w:hAnsi="Arial"/>
        </w:rPr>
        <w:t xml:space="preserve">Artykuł </w:t>
      </w:r>
      <w:r>
        <w:rPr>
          <w:u w:val="thick"/>
          <w:rFonts w:ascii="Arial" w:hAnsi="Arial"/>
        </w:rPr>
        <w:t xml:space="preserve">4</w:t>
      </w:r>
      <w:r>
        <w:rPr>
          <w:rFonts w:ascii="Arial" w:hAnsi="Arial"/>
        </w:rPr>
        <w:t xml:space="preserve"> (poprzednio art. 3)</w:t>
      </w:r>
    </w:p>
    <w:p w14:paraId="4FF64097" w14:textId="77777777" w:rsidR="00994A23" w:rsidRDefault="00224C6A" w:rsidP="008F5571">
      <w:pPr>
        <w:pStyle w:val="BodyTextNL"/>
        <w:keepNext/>
        <w:keepLines/>
        <w:rPr>
          <w:rFonts w:ascii="Arial" w:hAnsi="Arial" w:cs="Arial"/>
        </w:rPr>
      </w:pPr>
      <w:r>
        <w:rPr>
          <w:rFonts w:ascii="Arial" w:hAnsi="Arial"/>
        </w:rPr>
        <w:t xml:space="preserve">Do ustawy dodaje się rozdział IV</w:t>
      </w:r>
      <w:r>
        <w:rPr>
          <w:rStyle w:val="Italic"/>
          <w:rFonts w:ascii="Arial" w:hAnsi="Arial"/>
        </w:rPr>
        <w:t xml:space="preserve">a</w:t>
      </w:r>
      <w:r>
        <w:rPr>
          <w:rFonts w:ascii="Arial" w:hAnsi="Arial"/>
        </w:rPr>
        <w:t xml:space="preserve"> w brzmieniu:</w:t>
      </w:r>
    </w:p>
    <w:p w14:paraId="3518C363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„Rozdział IV</w:t>
      </w:r>
      <w:r>
        <w:rPr>
          <w:rStyle w:val="Italic"/>
          <w:rFonts w:ascii="Arial" w:hAnsi="Arial"/>
        </w:rPr>
        <w:t xml:space="preserve">a</w:t>
      </w:r>
      <w:r>
        <w:rPr>
          <w:rFonts w:ascii="Arial" w:hAnsi="Arial"/>
        </w:rPr>
        <w:t xml:space="preserve">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Przepisy szczególne dotyczące </w:t>
      </w:r>
      <w:r>
        <w:rPr>
          <w:u w:val="single"/>
          <w:rFonts w:ascii="Arial" w:hAnsi="Arial"/>
        </w:rPr>
        <w:t xml:space="preserve">produktów z tworzyw sztucznych</w:t>
      </w:r>
      <w:r>
        <w:rPr>
          <w:rFonts w:ascii="Arial" w:hAnsi="Arial"/>
        </w:rPr>
        <w:t xml:space="preserve">”.</w:t>
      </w:r>
    </w:p>
    <w:p w14:paraId="120C8156" w14:textId="77777777" w:rsidR="00994A23" w:rsidRDefault="00224C6A">
      <w:pPr>
        <w:pStyle w:val="centeredARTICLE"/>
        <w:rPr>
          <w:rFonts w:ascii="Arial" w:hAnsi="Arial" w:cs="Arial"/>
        </w:rPr>
      </w:pPr>
      <w:r>
        <w:rPr>
          <w:rFonts w:ascii="Arial" w:hAnsi="Arial"/>
        </w:rPr>
        <w:t xml:space="preserve">Artykuł </w:t>
      </w:r>
      <w:r>
        <w:rPr>
          <w:u w:val="thick"/>
          <w:rFonts w:ascii="Arial" w:hAnsi="Arial"/>
        </w:rPr>
        <w:t xml:space="preserve">5</w:t>
      </w:r>
      <w:r>
        <w:rPr>
          <w:rFonts w:ascii="Arial" w:hAnsi="Arial"/>
        </w:rPr>
        <w:t xml:space="preserve"> (poprzednio art. 4)</w:t>
      </w:r>
    </w:p>
    <w:p w14:paraId="04CA87F4" w14:textId="77777777" w:rsidR="00994A23" w:rsidRDefault="00224C6A" w:rsidP="008F5571">
      <w:pPr>
        <w:pStyle w:val="BodyTextNL"/>
        <w:keepNext/>
        <w:keepLines/>
        <w:rPr>
          <w:rFonts w:ascii="Arial" w:hAnsi="Arial" w:cs="Arial"/>
        </w:rPr>
      </w:pPr>
      <w:r>
        <w:rPr>
          <w:rFonts w:ascii="Arial" w:hAnsi="Arial"/>
        </w:rPr>
        <w:t xml:space="preserve">W rozdziale IV</w:t>
      </w:r>
      <w:r>
        <w:rPr>
          <w:rStyle w:val="Italic"/>
          <w:rFonts w:ascii="Arial" w:hAnsi="Arial"/>
        </w:rPr>
        <w:t xml:space="preserve">a</w:t>
      </w:r>
      <w:r>
        <w:rPr>
          <w:rFonts w:ascii="Arial" w:hAnsi="Arial"/>
        </w:rPr>
        <w:t xml:space="preserve"> dodaje się art. </w:t>
      </w:r>
      <w:r>
        <w:rPr>
          <w:u w:val="thick"/>
          <w:rFonts w:ascii="Arial" w:hAnsi="Arial"/>
        </w:rPr>
        <w:t xml:space="preserve">9a</w:t>
      </w:r>
      <w:r>
        <w:rPr>
          <w:rFonts w:ascii="Arial" w:hAnsi="Arial"/>
        </w:rPr>
        <w:t xml:space="preserve"> w brzmieniu:</w:t>
      </w:r>
    </w:p>
    <w:p w14:paraId="68CE4898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„Artykuł </w:t>
      </w:r>
      <w:r>
        <w:rPr>
          <w:u w:val="thick"/>
          <w:rFonts w:ascii="Arial" w:hAnsi="Arial"/>
        </w:rPr>
        <w:t xml:space="preserve">9a</w:t>
      </w:r>
      <w:r>
        <w:rPr>
          <w:rFonts w:ascii="Arial" w:hAnsi="Arial"/>
        </w:rPr>
        <w:t xml:space="preserve">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Zabrania się wprowadzania do obrotu produktów opartych na oksydegradowalnych tworzywach sztucznych.”.</w:t>
      </w:r>
    </w:p>
    <w:p w14:paraId="4CC3EED2" w14:textId="77777777" w:rsidR="00994A23" w:rsidRDefault="00224C6A">
      <w:pPr>
        <w:pStyle w:val="centeredARTICLE"/>
        <w:rPr>
          <w:rFonts w:ascii="Arial" w:hAnsi="Arial" w:cs="Arial"/>
        </w:rPr>
      </w:pPr>
      <w:r>
        <w:rPr>
          <w:rFonts w:ascii="Arial" w:hAnsi="Arial"/>
        </w:rPr>
        <w:t xml:space="preserve">Artykuł </w:t>
      </w:r>
      <w:r>
        <w:rPr>
          <w:u w:val="thick"/>
          <w:rFonts w:ascii="Arial" w:hAnsi="Arial"/>
        </w:rPr>
        <w:t xml:space="preserve">6</w:t>
      </w:r>
      <w:r>
        <w:rPr>
          <w:rFonts w:ascii="Arial" w:hAnsi="Arial"/>
        </w:rPr>
        <w:t xml:space="preserve"> (poprzednio art. 5)</w:t>
      </w:r>
    </w:p>
    <w:p w14:paraId="13ADD4F2" w14:textId="77777777" w:rsidR="00994A23" w:rsidRDefault="00224C6A" w:rsidP="008F5571">
      <w:pPr>
        <w:pStyle w:val="BodyTextNL"/>
        <w:keepNext/>
        <w:keepLines/>
        <w:rPr>
          <w:rFonts w:ascii="Arial" w:hAnsi="Arial" w:cs="Arial"/>
        </w:rPr>
      </w:pPr>
      <w:r>
        <w:rPr>
          <w:rFonts w:ascii="Arial" w:hAnsi="Arial"/>
        </w:rPr>
        <w:t xml:space="preserve">W rozdziale IV</w:t>
      </w:r>
      <w:r>
        <w:rPr>
          <w:rStyle w:val="Italic"/>
          <w:rFonts w:ascii="Arial" w:hAnsi="Arial"/>
        </w:rPr>
        <w:t xml:space="preserve">a</w:t>
      </w:r>
      <w:r>
        <w:rPr>
          <w:rFonts w:ascii="Arial" w:hAnsi="Arial"/>
        </w:rPr>
        <w:t xml:space="preserve"> dodaje się art. </w:t>
      </w:r>
      <w:r>
        <w:rPr>
          <w:u w:val="thick"/>
          <w:rFonts w:ascii="Arial" w:hAnsi="Arial"/>
        </w:rPr>
        <w:t xml:space="preserve">9b</w:t>
      </w:r>
      <w:r>
        <w:rPr>
          <w:rFonts w:ascii="Arial" w:hAnsi="Arial"/>
        </w:rPr>
        <w:t xml:space="preserve"> w brzmieniu:</w:t>
      </w:r>
    </w:p>
    <w:p w14:paraId="0ECEF58C" w14:textId="77777777" w:rsidR="00994A23" w:rsidRDefault="00224C6A" w:rsidP="008F5571">
      <w:pPr>
        <w:pStyle w:val="BodyTextNL"/>
        <w:keepNext/>
        <w:keepLines/>
        <w:rPr>
          <w:rFonts w:ascii="Arial" w:hAnsi="Arial" w:cs="Arial"/>
        </w:rPr>
      </w:pPr>
      <w:r>
        <w:rPr>
          <w:rFonts w:ascii="Arial" w:hAnsi="Arial"/>
        </w:rPr>
        <w:t xml:space="preserve">„Artykuł </w:t>
      </w:r>
      <w:r>
        <w:rPr>
          <w:u w:val="thick"/>
          <w:rFonts w:ascii="Arial" w:hAnsi="Arial"/>
        </w:rPr>
        <w:t xml:space="preserve">9b</w:t>
      </w:r>
      <w:r>
        <w:rPr>
          <w:rFonts w:ascii="Arial" w:hAnsi="Arial"/>
        </w:rPr>
        <w:t xml:space="preserve">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Zabrania się wprowadzania do obrotu następujących produktów jednorazowego użytku:</w:t>
      </w:r>
    </w:p>
    <w:p w14:paraId="34AEC717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1) patyczków higienicznych, z wyjątkiem wyrobów objętych zakresem dyrektywy Rady 90/385/EWG </w:t>
      </w:r>
      <w:r>
        <w:rPr>
          <w:u w:val="single"/>
          <w:rFonts w:ascii="Arial" w:hAnsi="Arial"/>
        </w:rPr>
        <w:t xml:space="preserve">z dnia 20 czerwca 1990 r. w sprawie zbliżenia ustawodawstw Państw Członkowskich odnoszących się do wyrobów medycznych aktywnego osadzania</w:t>
      </w:r>
      <w:r>
        <w:rPr>
          <w:rFonts w:ascii="Arial" w:hAnsi="Arial"/>
        </w:rPr>
        <w:t xml:space="preserve"> lub dyrektywy Rady 93/42/EWG </w:t>
      </w:r>
      <w:r>
        <w:rPr>
          <w:u w:val="thick"/>
          <w:rFonts w:ascii="Arial" w:hAnsi="Arial"/>
        </w:rPr>
        <w:t xml:space="preserve">z dnia 14 czerwca 1993 r. dotyczącej wyrobów medycznych</w:t>
      </w:r>
      <w:r>
        <w:rPr>
          <w:rFonts w:ascii="Arial" w:hAnsi="Arial"/>
        </w:rPr>
        <w:t xml:space="preserve">;</w:t>
      </w:r>
    </w:p>
    <w:p w14:paraId="30187EEB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2) sztućców (widelców, noży, łyżek, pałeczek);</w:t>
      </w:r>
    </w:p>
    <w:p w14:paraId="36C9D4BD" w14:textId="77777777" w:rsidR="00994A23" w:rsidRDefault="00224C6A">
      <w:pPr>
        <w:pStyle w:val="BodyTextNL"/>
        <w:spacing w:before="240"/>
        <w:rPr>
          <w:rFonts w:ascii="Arial" w:hAnsi="Arial" w:cs="Arial"/>
        </w:rPr>
      </w:pPr>
      <w:r>
        <w:rPr>
          <w:rFonts w:ascii="Arial" w:hAnsi="Arial"/>
        </w:rPr>
        <w:t xml:space="preserve">3) talerzy;</w:t>
      </w:r>
    </w:p>
    <w:p w14:paraId="77F3288E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4) słomek, z wyjątkiem wyrobów objętych zakresem dyrektywy Rady 90/385/EWG </w:t>
      </w:r>
      <w:r>
        <w:rPr>
          <w:u w:val="single"/>
          <w:rFonts w:ascii="Arial" w:hAnsi="Arial"/>
        </w:rPr>
        <w:t xml:space="preserve">z dnia 20 czerwca 1990 r. w sprawie zbliżenia ustawodawstw Państw Członkowskich odnoszących się do wyrobów medycznych aktywnego osadzania</w:t>
      </w:r>
      <w:r>
        <w:rPr>
          <w:rFonts w:ascii="Arial" w:hAnsi="Arial"/>
        </w:rPr>
        <w:t xml:space="preserve"> lub dyrektywy Rady 93/42/EWG </w:t>
      </w:r>
      <w:r>
        <w:rPr>
          <w:u w:val="thick"/>
          <w:rFonts w:ascii="Arial" w:hAnsi="Arial"/>
        </w:rPr>
        <w:t xml:space="preserve">z dnia 14 czerwca 1993 r. dotyczącej wyrobów medycznych</w:t>
      </w:r>
      <w:r>
        <w:rPr>
          <w:rFonts w:ascii="Arial" w:hAnsi="Arial"/>
        </w:rPr>
        <w:t xml:space="preserve">;</w:t>
      </w:r>
    </w:p>
    <w:p w14:paraId="4667BDE1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5) mieszadełek do napojów;</w:t>
      </w:r>
    </w:p>
    <w:p w14:paraId="14EC48F7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6) patyczków mocowanych do balonów i służących do tego, by balony się na nich opierały, w tym mechanizmów tych patyczków, z wyjątkiem balonów do użytku przemysłowego lub innych profesjonalnych zastosowań, które to balony nie są rozprowadzane wśród konsumentów;</w:t>
      </w:r>
    </w:p>
    <w:p w14:paraId="47B7F89B" w14:textId="77777777" w:rsidR="00994A23" w:rsidRDefault="00224C6A" w:rsidP="008F5571">
      <w:pPr>
        <w:pStyle w:val="BodyTextNL"/>
        <w:keepNext/>
        <w:keepLines/>
        <w:rPr>
          <w:rFonts w:ascii="Arial" w:hAnsi="Arial" w:cs="Arial"/>
        </w:rPr>
      </w:pPr>
      <w:r>
        <w:rPr>
          <w:rFonts w:ascii="Arial" w:hAnsi="Arial"/>
        </w:rPr>
        <w:t xml:space="preserve">7) pojemników na żywność wykonanych z polistyrenu ekspandowanego, tj. </w:t>
      </w:r>
      <w:r>
        <w:rPr>
          <w:u w:val="single"/>
          <w:rFonts w:ascii="Arial" w:hAnsi="Arial"/>
        </w:rPr>
        <w:t xml:space="preserve">pojemników</w:t>
      </w:r>
      <w:r>
        <w:rPr>
          <w:rFonts w:ascii="Arial" w:hAnsi="Arial"/>
        </w:rPr>
        <w:t xml:space="preserve"> takich jak pudełka, z pokrywką lub bez, stosowanych w celu umieszczania w nich żywności, która:</w:t>
      </w:r>
    </w:p>
    <w:p w14:paraId="77C93A15" w14:textId="77777777" w:rsidR="00994A23" w:rsidRDefault="00224C6A">
      <w:pPr>
        <w:pStyle w:val="BodyTextNL"/>
        <w:spacing w:before="240"/>
        <w:rPr>
          <w:rFonts w:ascii="Arial" w:hAnsi="Arial" w:cs="Arial"/>
        </w:rPr>
      </w:pPr>
      <w:r>
        <w:rPr>
          <w:rFonts w:ascii="Arial" w:hAnsi="Arial"/>
        </w:rPr>
        <w:t xml:space="preserve">a) jest przeznaczona do bezpośredniego spożycia, na miejscu lub na wynos;</w:t>
      </w:r>
    </w:p>
    <w:p w14:paraId="7DC6276B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b) jest </w:t>
      </w:r>
      <w:r>
        <w:rPr>
          <w:u w:val="single"/>
          <w:rFonts w:ascii="Arial" w:hAnsi="Arial"/>
        </w:rPr>
        <w:t xml:space="preserve">zazwyczaj</w:t>
      </w:r>
      <w:r>
        <w:rPr>
          <w:rFonts w:ascii="Arial" w:hAnsi="Arial"/>
        </w:rPr>
        <w:t xml:space="preserve"> spożywana bezpośrednio z </w:t>
      </w:r>
      <w:r>
        <w:rPr>
          <w:u w:val="single"/>
          <w:rFonts w:ascii="Arial" w:hAnsi="Arial"/>
        </w:rPr>
        <w:t xml:space="preserve">pojemnika</w:t>
      </w:r>
      <w:r>
        <w:rPr>
          <w:rFonts w:ascii="Arial" w:hAnsi="Arial"/>
        </w:rPr>
        <w:t xml:space="preserve">; oraz</w:t>
      </w:r>
    </w:p>
    <w:p w14:paraId="35E33460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c) jest gotowa do spożycia bez dalszej obróbki takiej jak przyrządzanie, gotowanie czy podgrzewanie;</w:t>
      </w:r>
    </w:p>
    <w:p w14:paraId="685D0E21" w14:textId="77777777" w:rsidR="00994A23" w:rsidRDefault="00224C6A">
      <w:pPr>
        <w:pStyle w:val="BodyTextNL"/>
        <w:spacing w:before="240"/>
        <w:rPr>
          <w:rFonts w:ascii="Arial" w:hAnsi="Arial" w:cs="Arial"/>
        </w:rPr>
      </w:pPr>
      <w:r>
        <w:rPr>
          <w:rFonts w:ascii="Arial" w:hAnsi="Arial"/>
        </w:rPr>
        <w:t xml:space="preserve">w tym pojemników na żywność typu fast food lub na inne posiłki gotowe do bezpośredniego spożycia, z wyjątkiem pojemników na napoje, talerzy oraz paczek i owijek zawierających żywność;</w:t>
      </w:r>
    </w:p>
    <w:p w14:paraId="54F3FE39" w14:textId="77777777" w:rsidR="00994A23" w:rsidRDefault="00224C6A">
      <w:pPr>
        <w:pStyle w:val="BodyTextNL"/>
        <w:spacing w:before="240"/>
        <w:rPr>
          <w:rFonts w:ascii="Arial" w:hAnsi="Arial" w:cs="Arial"/>
        </w:rPr>
      </w:pPr>
      <w:r>
        <w:rPr>
          <w:rFonts w:ascii="Arial" w:hAnsi="Arial"/>
        </w:rPr>
        <w:t xml:space="preserve">8) pojemników na napoje wykonanych z polistyrenu ekspandowanego, w tym ich przykrywek i wieczek;</w:t>
      </w:r>
    </w:p>
    <w:p w14:paraId="2F6CC2AD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9) kubków na napoje wykonanych z polistyrenu ekspandowanego, w tym ich przykrywek i wieczek.”.</w:t>
      </w:r>
    </w:p>
    <w:p w14:paraId="7A7524E3" w14:textId="77777777" w:rsidR="00994A23" w:rsidRDefault="00224C6A">
      <w:pPr>
        <w:pStyle w:val="centeredARTICLE"/>
        <w:rPr>
          <w:rFonts w:ascii="Arial" w:hAnsi="Arial" w:cs="Arial"/>
        </w:rPr>
      </w:pPr>
      <w:r>
        <w:rPr>
          <w:rFonts w:ascii="Arial" w:hAnsi="Arial"/>
        </w:rPr>
        <w:t xml:space="preserve">Artykuł </w:t>
      </w:r>
      <w:r>
        <w:rPr>
          <w:u w:val="thick"/>
          <w:rFonts w:ascii="Arial" w:hAnsi="Arial"/>
        </w:rPr>
        <w:t xml:space="preserve">7</w:t>
      </w:r>
      <w:r>
        <w:rPr>
          <w:rFonts w:ascii="Arial" w:hAnsi="Arial"/>
        </w:rPr>
        <w:t xml:space="preserve"> (poprzednio art. 6)</w:t>
      </w:r>
    </w:p>
    <w:p w14:paraId="7B150196" w14:textId="77777777" w:rsidR="00994A23" w:rsidRDefault="00224C6A" w:rsidP="008F5571">
      <w:pPr>
        <w:pStyle w:val="BodyTextNL"/>
        <w:keepNext/>
        <w:keepLines/>
        <w:rPr>
          <w:rFonts w:ascii="Arial" w:hAnsi="Arial" w:cs="Arial"/>
        </w:rPr>
      </w:pPr>
      <w:r>
        <w:rPr>
          <w:rFonts w:ascii="Arial" w:hAnsi="Arial"/>
        </w:rPr>
        <w:t xml:space="preserve">W rozdziale IV</w:t>
      </w:r>
      <w:r>
        <w:rPr>
          <w:rStyle w:val="Italic"/>
          <w:rFonts w:ascii="Arial" w:hAnsi="Arial"/>
        </w:rPr>
        <w:t xml:space="preserve">a</w:t>
      </w:r>
      <w:r>
        <w:rPr>
          <w:rFonts w:ascii="Arial" w:hAnsi="Arial"/>
        </w:rPr>
        <w:t xml:space="preserve"> dodaje się art. </w:t>
      </w:r>
      <w:r>
        <w:rPr>
          <w:u w:val="thick"/>
          <w:rFonts w:ascii="Arial" w:hAnsi="Arial"/>
        </w:rPr>
        <w:t xml:space="preserve">9c</w:t>
      </w:r>
      <w:r>
        <w:rPr>
          <w:rFonts w:ascii="Arial" w:hAnsi="Arial"/>
        </w:rPr>
        <w:t xml:space="preserve"> w brzmieniu:</w:t>
      </w:r>
    </w:p>
    <w:p w14:paraId="6FEAD1B3" w14:textId="77777777" w:rsidR="00994A23" w:rsidRDefault="00224C6A" w:rsidP="008F5571">
      <w:pPr>
        <w:pStyle w:val="BodyTextNL"/>
        <w:keepNext/>
        <w:keepLines/>
        <w:rPr>
          <w:rFonts w:ascii="Arial" w:hAnsi="Arial" w:cs="Arial"/>
        </w:rPr>
      </w:pPr>
      <w:r>
        <w:rPr>
          <w:rFonts w:ascii="Arial" w:hAnsi="Arial"/>
        </w:rPr>
        <w:t xml:space="preserve">„Artykuł </w:t>
      </w:r>
      <w:r>
        <w:rPr>
          <w:u w:val="thick"/>
          <w:rFonts w:ascii="Arial" w:hAnsi="Arial"/>
        </w:rPr>
        <w:t xml:space="preserve">9c</w:t>
      </w:r>
      <w:r>
        <w:rPr>
          <w:rFonts w:ascii="Arial" w:hAnsi="Arial"/>
        </w:rPr>
        <w:t xml:space="preserve">.</w:t>
      </w:r>
      <w:r>
        <w:rPr>
          <w:rFonts w:ascii="Arial" w:hAnsi="Arial"/>
        </w:rPr>
        <w:t xml:space="preserve"> </w:t>
      </w:r>
      <w:r>
        <w:rPr>
          <w:rFonts w:ascii="Arial" w:hAnsi="Arial"/>
        </w:rPr>
        <w:t xml:space="preserve">Zabrania się wprowadzania do obrotu toreb jednorazowego użytku z tworzyw sztucznych na zakupy, przeznaczonych do pakowania lub przenoszenia towarów zakupionych w punktach sprzedaży znajdujących się wewnątrz lub na zewnątrz pomieszczeń, z wyjątkiem:</w:t>
      </w:r>
    </w:p>
    <w:p w14:paraId="1E7BA3C2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1) toreb na zakupy na lotniskach, wyposażonych samoprzylepne, trwałe zamknięcia lub mocne szwy;</w:t>
      </w:r>
    </w:p>
    <w:p w14:paraId="08461A54" w14:textId="4634388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2) toreb przeznaczonych do zbiórki odpadów;</w:t>
      </w:r>
    </w:p>
    <w:p w14:paraId="046CBB9F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3) toreb przeznaczonych do zastosowań medycznych;</w:t>
      </w:r>
    </w:p>
    <w:p w14:paraId="5A667197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4) toreb przeznaczonych do pakowania środków spożywczych sprzedawanych w małych ilościach, które są mokre, płynne lub zawierają płyny mogące wycieknąć, przy czym takie torby muszą być wykonane z tworzyw biodegradowalnych i nadawać się do kompostowania w gospodarstwie domowym;</w:t>
      </w:r>
    </w:p>
    <w:p w14:paraId="27209BDA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5) bardzo lekkich toreb przeznaczonych głównie do pakowania roślin i zwierząt wodnych.</w:t>
      </w:r>
      <w:r>
        <w:rPr>
          <w:rFonts w:ascii="Arial" w:hAnsi="Arial"/>
        </w:rPr>
        <w:t xml:space="preserve"> </w:t>
      </w:r>
    </w:p>
    <w:p w14:paraId="2907C68D" w14:textId="77777777" w:rsidR="00994A23" w:rsidRDefault="00224C6A">
      <w:pPr>
        <w:pStyle w:val="BodyTextNL"/>
        <w:spacing w:before="240"/>
        <w:rPr>
          <w:rFonts w:ascii="Arial" w:hAnsi="Arial" w:cs="Arial"/>
        </w:rPr>
      </w:pPr>
      <w:r>
        <w:rPr>
          <w:u w:val="thick"/>
          <w:rFonts w:ascii="Arial" w:hAnsi="Arial"/>
        </w:rPr>
        <w:t xml:space="preserve">Po upływie sześciu miesięcy od daty publikacji w </w:t>
      </w:r>
      <w:r>
        <w:rPr>
          <w:u w:val="thick"/>
          <w:i/>
          <w:rFonts w:ascii="Arial" w:hAnsi="Arial"/>
        </w:rPr>
        <w:t xml:space="preserve">belgijskim Dzienniku Urzędowym</w:t>
      </w:r>
      <w:r>
        <w:rPr>
          <w:u w:val="thick"/>
          <w:rFonts w:ascii="Arial" w:hAnsi="Arial"/>
        </w:rPr>
        <w:t xml:space="preserve"> ustawy z dnia ... zmieniającej ustawę z dnia 21 grudnia 1998 r. o normach produktowych mających na celu promowanie zrównoważonej produkcji i konsumpcji oraz ochronę środowiska, zdrowia publicznego i pracowników, której celem jest wprowadzenie zakazu stosowania produktów z oksydegradowalnych tworzyw sztucznych i niektórych innych produktów jednorazowego użytku z tworzyw sztucznych</w:t>
      </w:r>
      <w:r>
        <w:rPr>
          <w:rFonts w:ascii="Arial" w:hAnsi="Arial"/>
        </w:rPr>
        <w:t xml:space="preserve">, torby na zakupy, o których mowa w art. 1 ust. 4, muszą zawierać w składzie co najmniej 40% materiałów biodegradowalnych, a od dnia 1 stycznia 2025 r. muszą one zawierać w składzie 60% materiałów biodegradowalnych.</w:t>
      </w:r>
      <w:r>
        <w:rPr>
          <w:rFonts w:ascii="Arial" w:hAnsi="Arial"/>
        </w:rPr>
        <w:t xml:space="preserve"> </w:t>
      </w:r>
    </w:p>
    <w:p w14:paraId="2A58C639" w14:textId="77777777" w:rsidR="00994A23" w:rsidRDefault="00224C6A">
      <w:pPr>
        <w:pStyle w:val="BodyTextNL"/>
        <w:rPr>
          <w:rFonts w:ascii="Arial" w:hAnsi="Arial" w:cs="Arial"/>
        </w:rPr>
      </w:pPr>
      <w:r>
        <w:rPr>
          <w:u w:val="single"/>
          <w:rFonts w:ascii="Arial" w:hAnsi="Arial"/>
        </w:rPr>
        <w:t xml:space="preserve">Prawo do wprowadzania dalszych odstępstw od zakazu przewidzianego w ust. 1 przysługuje wyłącznie królowi w sytuacji gdy nie będzie alternatywy dla produktów jednorazowego użytku z tworzyw sztucznych, z uwzględnieniem zasad proporcjonalności i niedyskryminacji </w:t>
      </w:r>
      <w:r>
        <w:rPr>
          <w:rStyle w:val="ItalicUnderline"/>
          <w:i w:val="0"/>
          <w:rFonts w:ascii="Arial" w:hAnsi="Arial"/>
        </w:rPr>
        <w:t xml:space="preserve">przewidzianych w dyrektywie 94/62/WE z dnia 20 grudnia 1994 r. w sprawie opakowań i odpadów opakowaniowych.”.</w:t>
      </w:r>
    </w:p>
    <w:p w14:paraId="2AB9389F" w14:textId="77777777" w:rsidR="00994A23" w:rsidRDefault="00224C6A">
      <w:pPr>
        <w:pStyle w:val="centeredARTICLE"/>
        <w:rPr>
          <w:rFonts w:ascii="Arial" w:hAnsi="Arial" w:cs="Arial"/>
        </w:rPr>
      </w:pPr>
      <w:r>
        <w:rPr>
          <w:rStyle w:val="Underline"/>
          <w:u w:val="none"/>
          <w:rFonts w:ascii="Arial" w:hAnsi="Arial"/>
        </w:rPr>
        <w:t xml:space="preserve">Artykuł </w:t>
      </w:r>
      <w:r>
        <w:rPr>
          <w:rStyle w:val="Underline"/>
          <w:rFonts w:ascii="Arial" w:hAnsi="Arial"/>
        </w:rPr>
        <w:t xml:space="preserve">8</w:t>
      </w:r>
      <w:r>
        <w:rPr>
          <w:rStyle w:val="Underline"/>
          <w:u w:val="none"/>
          <w:rFonts w:ascii="Arial" w:hAnsi="Arial"/>
        </w:rPr>
        <w:t xml:space="preserve"> </w:t>
      </w:r>
      <w:r>
        <w:rPr>
          <w:rFonts w:ascii="Arial" w:hAnsi="Arial"/>
        </w:rPr>
        <w:t xml:space="preserve">(poprzednio art. 7)</w:t>
      </w:r>
    </w:p>
    <w:p w14:paraId="1EBE0348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W art. 17 ust. 2 pkt 2 ustawy z dnia 21 grudnia 1998 r. wyrażenie „art. 10–14” zastępuje się wyrażeniem „art. </w:t>
      </w:r>
      <w:r>
        <w:rPr>
          <w:u w:val="thick"/>
          <w:rFonts w:ascii="Arial" w:hAnsi="Arial"/>
        </w:rPr>
        <w:t xml:space="preserve">9a</w:t>
      </w:r>
      <w:r>
        <w:rPr>
          <w:rFonts w:ascii="Arial" w:hAnsi="Arial"/>
        </w:rPr>
        <w:t xml:space="preserve">–14”.</w:t>
      </w:r>
    </w:p>
    <w:p w14:paraId="7A909A9F" w14:textId="77777777" w:rsidR="00994A23" w:rsidRDefault="00224C6A">
      <w:pPr>
        <w:pStyle w:val="centeredARTICLE"/>
        <w:rPr>
          <w:rFonts w:ascii="Arial" w:hAnsi="Arial" w:cs="Arial"/>
        </w:rPr>
      </w:pPr>
      <w:r>
        <w:rPr>
          <w:rStyle w:val="Underline"/>
          <w:rFonts w:ascii="Arial" w:hAnsi="Arial"/>
        </w:rPr>
        <w:t xml:space="preserve">Artykuł 9</w:t>
      </w:r>
      <w:r>
        <w:rPr>
          <w:rFonts w:ascii="Arial" w:hAnsi="Arial"/>
        </w:rPr>
        <w:t xml:space="preserve"> (</w:t>
      </w:r>
      <w:r>
        <w:rPr>
          <w:i/>
          <w:rFonts w:ascii="Arial" w:hAnsi="Arial"/>
        </w:rPr>
        <w:t xml:space="preserve">nowy</w:t>
      </w:r>
      <w:r>
        <w:rPr>
          <w:rFonts w:ascii="Arial" w:hAnsi="Arial"/>
        </w:rPr>
        <w:t xml:space="preserve">)</w:t>
      </w:r>
    </w:p>
    <w:p w14:paraId="1888D22E" w14:textId="77777777" w:rsidR="00994A23" w:rsidRDefault="00224C6A">
      <w:pPr>
        <w:pStyle w:val="BodyTextNL"/>
        <w:rPr>
          <w:rStyle w:val="Italic"/>
          <w:rFonts w:ascii="Arial" w:hAnsi="Arial" w:cs="Arial"/>
        </w:rPr>
      </w:pPr>
      <w:r>
        <w:rPr>
          <w:rFonts w:ascii="Arial" w:hAnsi="Arial"/>
        </w:rPr>
        <w:t xml:space="preserve">Torby z tworzyw sztucznych na zakupy objęte zakazem wprowadzania do obrotu na mocy art. </w:t>
      </w:r>
      <w:r>
        <w:rPr>
          <w:u w:val="thick"/>
          <w:rFonts w:ascii="Arial" w:hAnsi="Arial"/>
        </w:rPr>
        <w:t xml:space="preserve">9c</w:t>
      </w:r>
      <w:r>
        <w:rPr>
          <w:rFonts w:ascii="Arial" w:hAnsi="Arial"/>
        </w:rPr>
        <w:t xml:space="preserve"> ustawy, za które sprzedawca detaliczny zapłacił przed datą wejścia w życie ustawy zgodnie z art. </w:t>
      </w:r>
      <w:r>
        <w:rPr>
          <w:rStyle w:val="Underline"/>
          <w:rFonts w:ascii="Arial" w:hAnsi="Arial"/>
        </w:rPr>
        <w:t xml:space="preserve">10</w:t>
      </w:r>
      <w:r>
        <w:rPr>
          <w:rFonts w:ascii="Arial" w:hAnsi="Arial"/>
        </w:rPr>
        <w:t xml:space="preserve"> ust. 2 ustawy, mogą być wydawane przez okres</w:t>
      </w:r>
      <w:r>
        <w:rPr>
          <w:rStyle w:val="Italic"/>
          <w:i w:val="0"/>
          <w:rFonts w:ascii="Arial" w:hAnsi="Arial"/>
        </w:rPr>
        <w:t xml:space="preserve"> sześciu miesięcy od tej daty.</w:t>
      </w:r>
      <w:r>
        <w:rPr>
          <w:rStyle w:val="Italic"/>
          <w:rFonts w:ascii="Arial" w:hAnsi="Arial"/>
        </w:rPr>
        <w:t xml:space="preserve"> </w:t>
      </w:r>
    </w:p>
    <w:p w14:paraId="53F3F179" w14:textId="77777777" w:rsidR="00994A23" w:rsidRDefault="00224C6A">
      <w:pPr>
        <w:pStyle w:val="centeredARTICLE"/>
        <w:rPr>
          <w:rStyle w:val="Underline"/>
          <w:rFonts w:ascii="Arial" w:hAnsi="Arial" w:cs="Arial"/>
        </w:rPr>
      </w:pPr>
      <w:r>
        <w:rPr>
          <w:rStyle w:val="Underline"/>
          <w:u w:val="none"/>
          <w:rFonts w:ascii="Arial" w:hAnsi="Arial"/>
        </w:rPr>
        <w:t xml:space="preserve">Artykuł </w:t>
      </w:r>
      <w:r>
        <w:rPr>
          <w:rStyle w:val="Underline"/>
          <w:rFonts w:ascii="Arial" w:hAnsi="Arial"/>
        </w:rPr>
        <w:t xml:space="preserve">10</w:t>
      </w:r>
      <w:r>
        <w:rPr>
          <w:rStyle w:val="Underline"/>
          <w:u w:val="none"/>
          <w:rFonts w:ascii="Arial" w:hAnsi="Arial"/>
        </w:rPr>
        <w:t xml:space="preserve"> </w:t>
      </w:r>
      <w:r>
        <w:rPr>
          <w:rFonts w:ascii="Arial" w:hAnsi="Arial"/>
        </w:rPr>
        <w:t xml:space="preserve">(poprzednio art. 8)</w:t>
      </w:r>
    </w:p>
    <w:p w14:paraId="508382BA" w14:textId="77777777" w:rsidR="00994A23" w:rsidRDefault="00224C6A" w:rsidP="008F5571">
      <w:pPr>
        <w:pStyle w:val="BodyTextNL"/>
        <w:keepNext/>
        <w:keepLines/>
        <w:rPr>
          <w:rFonts w:ascii="Arial" w:hAnsi="Arial" w:cs="Arial"/>
        </w:rPr>
      </w:pPr>
      <w:r>
        <w:rPr>
          <w:rFonts w:ascii="Arial" w:hAnsi="Arial"/>
        </w:rPr>
        <w:t xml:space="preserve">Niniejsza ustawa wchodzi w życie z dniem 3 lipca 2021 r.</w:t>
      </w:r>
    </w:p>
    <w:p w14:paraId="603AF641" w14:textId="77777777" w:rsidR="00994A23" w:rsidRDefault="00224C6A">
      <w:pPr>
        <w:pStyle w:val="BodyTextNL"/>
        <w:rPr>
          <w:rFonts w:ascii="Arial" w:hAnsi="Arial" w:cs="Arial"/>
        </w:rPr>
      </w:pPr>
      <w:r>
        <w:rPr>
          <w:rFonts w:ascii="Arial" w:hAnsi="Arial"/>
        </w:rPr>
        <w:t xml:space="preserve">Król może wyznaczyć szybszą datę wejścia w życie ustawy niż data wskazana w ust. 1.</w:t>
      </w:r>
    </w:p>
    <w:p w14:paraId="51060FE7" w14:textId="77777777" w:rsidR="00994A23" w:rsidRDefault="00224C6A">
      <w:pPr>
        <w:pStyle w:val="BodyTextNL"/>
      </w:pPr>
      <w:r>
        <w:rPr>
          <w:rFonts w:ascii="Arial" w:hAnsi="Arial"/>
        </w:rPr>
        <w:t xml:space="preserve">Bez uszczerbku dla akapitu pierwszego i akapitu drugiego, </w:t>
      </w:r>
      <w:r>
        <w:rPr>
          <w:u w:val="thick"/>
          <w:rFonts w:ascii="Arial" w:hAnsi="Arial"/>
        </w:rPr>
        <w:t xml:space="preserve">art. 3, 4, 7 i 8</w:t>
      </w:r>
      <w:r>
        <w:rPr>
          <w:rFonts w:ascii="Arial" w:hAnsi="Arial"/>
        </w:rPr>
        <w:t xml:space="preserve"> wchodzą w życie po upływie sześciu miesięcy od publikacji ustawy w </w:t>
      </w:r>
      <w:r>
        <w:rPr>
          <w:rStyle w:val="Italic"/>
          <w:rFonts w:ascii="Arial" w:hAnsi="Arial"/>
        </w:rPr>
        <w:t xml:space="preserve">belgijskim Dzienniku Urzędowym</w:t>
      </w:r>
      <w:r>
        <w:rPr>
          <w:rFonts w:ascii="Arial" w:hAnsi="Arial"/>
        </w:rPr>
        <w:t xml:space="preserve">.</w:t>
      </w:r>
    </w:p>
    <w:sectPr w:rsidR="00994A23">
      <w:pgSz w:w="11906" w:h="16838"/>
      <w:pgMar w:top="720" w:right="72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LT Std">
    <w:altName w:val="Arial"/>
    <w:panose1 w:val="020B0504020202020204"/>
    <w:charset w:val="00"/>
    <w:family w:val="swiss"/>
    <w:notTrueType/>
    <w:pitch w:val="variable"/>
    <w:sig w:usb0="800002AF" w:usb1="5000204A" w:usb2="00000000" w:usb3="00000000" w:csb0="00000005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embedSystemFonts/>
  <w:bordersDoNotSurroundHeader/>
  <w:bordersDoNotSurroundFooter/>
  <w:proofState w:spelling="dirty" w:grammar="dirty"/>
  <w:defaultTabStop w:val="720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4C6A"/>
    <w:rsid w:val="00224C6A"/>
    <w:rsid w:val="00272AB1"/>
    <w:rsid w:val="008F5571"/>
    <w:rsid w:val="00994A23"/>
    <w:rsid w:val="00B611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E5CEC5B"/>
  <w14:defaultImageDpi w14:val="0"/>
  <w15:docId w15:val="{C6B2BA8E-28E1-4DE1-8A66-0220D7F878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pl-PL" w:eastAsia="fr-BE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ParagraphStyle">
    <w:name w:val="[No Paragraph Style]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 LT Std" w:hAnsi="Helvetica LT Std" w:cs="Helvetica LT Std"/>
      <w:color w:val="000000"/>
      <w:sz w:val="24"/>
      <w:szCs w:val="24"/>
      <w:lang w:val="pl-PL"/>
    </w:rPr>
  </w:style>
  <w:style w:type="paragraph" w:customStyle="1" w:styleId="BodyTextNL">
    <w:name w:val="BodyText_NL"/>
    <w:basedOn w:val="NoParagraphStyle"/>
    <w:uiPriority w:val="99"/>
    <w:pPr>
      <w:spacing w:after="240"/>
      <w:ind w:firstLine="227"/>
      <w:jc w:val="both"/>
    </w:pPr>
    <w:rPr>
      <w:sz w:val="20"/>
      <w:szCs w:val="20"/>
      <w:lang w:val="pl-PL"/>
    </w:rPr>
  </w:style>
  <w:style w:type="paragraph" w:customStyle="1" w:styleId="centeredARTICLE">
    <w:name w:val="centered ARTICLE"/>
    <w:basedOn w:val="BodyTextNL"/>
    <w:next w:val="NoParagraphStyle"/>
    <w:uiPriority w:val="99"/>
    <w:pPr>
      <w:keepNext/>
      <w:keepLines/>
      <w:suppressAutoHyphens/>
      <w:spacing w:before="240"/>
      <w:ind w:firstLine="0"/>
      <w:jc w:val="center"/>
    </w:pPr>
  </w:style>
  <w:style w:type="character" w:customStyle="1" w:styleId="Underline">
    <w:name w:val="_Underline"/>
    <w:uiPriority w:val="99"/>
    <w:rPr>
      <w:u w:val="thick"/>
    </w:rPr>
  </w:style>
  <w:style w:type="character" w:customStyle="1" w:styleId="Italic">
    <w:name w:val="_Italic"/>
    <w:uiPriority w:val="99"/>
    <w:rPr>
      <w:i/>
      <w:iCs/>
    </w:rPr>
  </w:style>
  <w:style w:type="character" w:customStyle="1" w:styleId="ItalicUnderline">
    <w:name w:val="_Italic_Underline"/>
    <w:basedOn w:val="Italic"/>
    <w:uiPriority w:val="99"/>
    <w:rPr>
      <w:i/>
      <w:iCs/>
      <w:u w:val="thick"/>
    </w:rPr>
  </w:style>
  <w:style w:type="character" w:customStyle="1" w:styleId="Sup">
    <w:name w:val="_Sup"/>
    <w:uiPriority w:val="99"/>
    <w:rPr>
      <w:vertAlign w:val="superscript"/>
    </w:rPr>
  </w:style>
  <w:style w:type="character" w:customStyle="1" w:styleId="Bold">
    <w:name w:val="_Bold"/>
    <w:uiPriority w:val="99"/>
    <w:rPr>
      <w:b/>
      <w:bCs/>
    </w:rPr>
  </w:style>
  <w:style w:type="character" w:customStyle="1" w:styleId="BoldUnderline">
    <w:name w:val="_Bold_Underline"/>
    <w:basedOn w:val="Bold"/>
    <w:uiPriority w:val="99"/>
    <w:rPr>
      <w:b/>
      <w:bCs/>
      <w:u w:val="thick"/>
    </w:rPr>
  </w:style>
  <w:style w:type="character" w:customStyle="1" w:styleId="Caps">
    <w:name w:val="_Caps"/>
    <w:uiPriority w:val="99"/>
    <w:rPr>
      <w:caps/>
    </w:rPr>
  </w:style>
  <w:style w:type="character" w:customStyle="1" w:styleId="BoldCaps">
    <w:name w:val="_Bold_Caps"/>
    <w:basedOn w:val="Bold"/>
    <w:uiPriority w:val="99"/>
    <w:rPr>
      <w:b/>
      <w:bCs/>
      <w:cap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3</Pages>
  <Words>1069</Words>
  <Characters>6355</Characters>
  <Application>Microsoft Office Word</Application>
  <DocSecurity>0</DocSecurity>
  <Lines>52</Lines>
  <Paragraphs>14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Laurent Wenkin (FOD Economie - SPF Economie)</dc:creator>
  <cp:keywords/>
  <dc:description/>
  <cp:lastModifiedBy>Diana STOICA</cp:lastModifiedBy>
  <cp:revision>2</cp:revision>
  <dcterms:created xsi:type="dcterms:W3CDTF">2020-09-04T09:56:00Z</dcterms:created>
  <dcterms:modified xsi:type="dcterms:W3CDTF">2020-09-04T10:01:00Z</dcterms:modified>
</cp:coreProperties>
</file>