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901FB" w14:textId="580CCA28" w:rsidR="008F5571" w:rsidRPr="008F5571" w:rsidRDefault="008F5571" w:rsidP="008F5571">
      <w:pPr>
        <w:spacing w:after="0" w:line="240" w:lineRule="auto"/>
        <w:rPr>
          <w:rFonts w:ascii="Courier New" w:hAnsi="Courier New" w:cs="Courier New"/>
          <w:sz w:val="20"/>
          <w:szCs w:val="20"/>
        </w:rPr>
      </w:pPr>
      <w:r>
        <w:rPr>
          <w:rFonts w:ascii="Courier New" w:hAnsi="Courier New"/>
          <w:sz w:val="20"/>
        </w:rPr>
        <w:t>1. ------IND- 2020 0549 B-- RO- ------ 20200911 --- --- PROJET</w:t>
      </w:r>
    </w:p>
    <w:p w14:paraId="72BFD6B2" w14:textId="77777777" w:rsidR="008F5571" w:rsidRPr="008F5571" w:rsidRDefault="008F5571" w:rsidP="008F5571">
      <w:pPr>
        <w:spacing w:after="0" w:line="240" w:lineRule="auto"/>
      </w:pPr>
    </w:p>
    <w:p w14:paraId="71744518" w14:textId="2E9DB1EE" w:rsidR="00994A23" w:rsidRDefault="00224C6A">
      <w:pPr>
        <w:pStyle w:val="centeredARTICLE"/>
        <w:rPr>
          <w:rFonts w:ascii="Arial" w:hAnsi="Arial" w:cs="Arial"/>
        </w:rPr>
      </w:pPr>
      <w:r>
        <w:rPr>
          <w:rFonts w:ascii="Arial" w:hAnsi="Arial"/>
        </w:rPr>
        <w:t>Articolul 1</w:t>
      </w:r>
    </w:p>
    <w:p w14:paraId="148B8B34" w14:textId="77777777" w:rsidR="00994A23" w:rsidRDefault="00224C6A">
      <w:pPr>
        <w:pStyle w:val="BodyTextNL"/>
        <w:rPr>
          <w:rFonts w:ascii="Arial" w:hAnsi="Arial" w:cs="Arial"/>
        </w:rPr>
      </w:pPr>
      <w:r>
        <w:rPr>
          <w:rFonts w:ascii="Arial" w:hAnsi="Arial"/>
        </w:rPr>
        <w:t>Prezenta lege reglementează un aspect menționat la articolul 74 din Constituția Belgiei.</w:t>
      </w:r>
    </w:p>
    <w:p w14:paraId="48680981" w14:textId="77777777" w:rsidR="00994A23" w:rsidRDefault="00224C6A">
      <w:pPr>
        <w:pStyle w:val="centeredARTICLE"/>
        <w:rPr>
          <w:rFonts w:ascii="Arial" w:hAnsi="Arial" w:cs="Arial"/>
        </w:rPr>
      </w:pPr>
      <w:r>
        <w:rPr>
          <w:rFonts w:ascii="Arial" w:hAnsi="Arial"/>
          <w:u w:val="thick"/>
        </w:rPr>
        <w:t>Articolul 2</w:t>
      </w:r>
      <w:r>
        <w:rPr>
          <w:rFonts w:ascii="Arial" w:hAnsi="Arial"/>
        </w:rPr>
        <w:t xml:space="preserve"> </w:t>
      </w:r>
      <w:r>
        <w:rPr>
          <w:rFonts w:ascii="Arial" w:hAnsi="Arial"/>
          <w:i/>
        </w:rPr>
        <w:t>(nou)</w:t>
      </w:r>
    </w:p>
    <w:p w14:paraId="5A417BDE" w14:textId="77777777" w:rsidR="00994A23" w:rsidRDefault="00224C6A">
      <w:pPr>
        <w:pStyle w:val="BodyTextNL"/>
        <w:rPr>
          <w:rFonts w:ascii="Arial" w:hAnsi="Arial" w:cs="Arial"/>
        </w:rPr>
      </w:pPr>
      <w:r>
        <w:rPr>
          <w:rFonts w:ascii="Arial" w:hAnsi="Arial"/>
        </w:rPr>
        <w:t>Prezenta lege prevede transpunerea parțială a Directivei (UE) 2019/904 a Parlamentului European și a Consiliului din 5 iunie 2019 privind reducerea impactului anumitor produse din plastic asupra mediului și a Directivei (UE) 2015/720 a Parlamentului European și a Consiliului din 29 aprilie 2015 de modificare a Directivei 94/62/CE în ceea ce privește reducerea consumului de pungi de transport din plastic subțire.</w:t>
      </w:r>
    </w:p>
    <w:p w14:paraId="1D39E3F8" w14:textId="77777777" w:rsidR="00994A23" w:rsidRDefault="00224C6A">
      <w:pPr>
        <w:pStyle w:val="centeredARTICLE"/>
        <w:rPr>
          <w:rFonts w:ascii="Arial" w:hAnsi="Arial" w:cs="Arial"/>
        </w:rPr>
      </w:pPr>
      <w:r>
        <w:rPr>
          <w:rFonts w:ascii="Arial" w:hAnsi="Arial"/>
        </w:rPr>
        <w:t>Articolul </w:t>
      </w:r>
      <w:r>
        <w:rPr>
          <w:rFonts w:ascii="Arial" w:hAnsi="Arial"/>
          <w:u w:val="thick"/>
        </w:rPr>
        <w:t>3</w:t>
      </w:r>
      <w:r>
        <w:rPr>
          <w:rFonts w:ascii="Arial" w:hAnsi="Arial"/>
        </w:rPr>
        <w:t xml:space="preserve"> (anterior, articolul 2)</w:t>
      </w:r>
    </w:p>
    <w:p w14:paraId="50EB5F49" w14:textId="77777777" w:rsidR="00994A23" w:rsidRDefault="00224C6A">
      <w:pPr>
        <w:pStyle w:val="BodyTextNL"/>
        <w:rPr>
          <w:rFonts w:ascii="Arial" w:hAnsi="Arial" w:cs="Arial"/>
        </w:rPr>
      </w:pPr>
      <w:r>
        <w:rPr>
          <w:rFonts w:ascii="Arial" w:hAnsi="Arial"/>
        </w:rPr>
        <w:t xml:space="preserve">Articolul 2 din Legea din 21 decembrie 1998 privind standardele referitoare la produse pentru promovarea unor modele de producție și consum durabile și pentru protejarea mediului, a sănătății publice și a angajaților, modificată </w:t>
      </w:r>
      <w:r>
        <w:rPr>
          <w:rFonts w:ascii="Arial" w:hAnsi="Arial"/>
          <w:u w:val="thick"/>
        </w:rPr>
        <w:t>ultima dată</w:t>
      </w:r>
      <w:r>
        <w:rPr>
          <w:rFonts w:ascii="Arial" w:hAnsi="Arial"/>
        </w:rPr>
        <w:t xml:space="preserve"> prin Legea din 16 decembrie 2015, se completează prin prezenta cu următoarele dispoziții de la punctele 23-26, cu formularea următoare:</w:t>
      </w:r>
    </w:p>
    <w:p w14:paraId="70B34437" w14:textId="77777777" w:rsidR="00994A23" w:rsidRDefault="00224C6A">
      <w:pPr>
        <w:pStyle w:val="BodyTextNL"/>
        <w:rPr>
          <w:rFonts w:ascii="Arial" w:hAnsi="Arial" w:cs="Arial"/>
        </w:rPr>
      </w:pPr>
      <w:r>
        <w:rPr>
          <w:rFonts w:ascii="Arial" w:hAnsi="Arial"/>
        </w:rPr>
        <w:t xml:space="preserve">„23. «plastic» înseamnă un material constând într-un polimer definit la articolul 3 alineatul (5) din </w:t>
      </w:r>
      <w:r>
        <w:rPr>
          <w:rFonts w:ascii="Arial" w:hAnsi="Arial"/>
          <w:u w:val="thick"/>
        </w:rPr>
        <w:t>REACH</w:t>
      </w:r>
      <w:r>
        <w:rPr>
          <w:rFonts w:ascii="Arial" w:hAnsi="Arial"/>
        </w:rPr>
        <w:t>, la care pot fi adăugați aditivi sau alte substanțe și care poate funcționa ca o componentă structurală principală a produselor finite, cu excepția polimerilor naturali care nu au fost modificați chimic;</w:t>
      </w:r>
    </w:p>
    <w:p w14:paraId="284CE3E0" w14:textId="77777777" w:rsidR="00994A23" w:rsidRDefault="00224C6A">
      <w:pPr>
        <w:pStyle w:val="BodyTextNL"/>
        <w:rPr>
          <w:rFonts w:ascii="Arial" w:hAnsi="Arial" w:cs="Arial"/>
        </w:rPr>
      </w:pPr>
      <w:r>
        <w:rPr>
          <w:rFonts w:ascii="Arial" w:hAnsi="Arial"/>
        </w:rPr>
        <w:t>24. «produs din plastic de unică folosință» înseamnă un produs care este fabricat în întregime sau parțial din plastic și care nu este conceput, proiectat sau introdus pe piață pentru a realiza, în cadrul duratei sale de viață, mai multe cicluri sau rotații prin returnare la producător pentru a fi reumplut sau reutilizat în același scop în care a fost conceput;</w:t>
      </w:r>
    </w:p>
    <w:p w14:paraId="28CEBF73" w14:textId="77777777" w:rsidR="00994A23" w:rsidRDefault="00224C6A">
      <w:pPr>
        <w:pStyle w:val="BodyTextNL"/>
        <w:rPr>
          <w:rFonts w:ascii="Arial" w:hAnsi="Arial" w:cs="Arial"/>
        </w:rPr>
      </w:pPr>
      <w:r>
        <w:rPr>
          <w:rFonts w:ascii="Arial" w:hAnsi="Arial"/>
        </w:rPr>
        <w:t>25. „plastic oxodegradabil” înseamnă materiale din plastic care conțin aditivi care, prin oxidare, duc la fragmentarea materialelor plastice în microfragmente sau la descompunere chimică;</w:t>
      </w:r>
    </w:p>
    <w:p w14:paraId="1E9365A9" w14:textId="77777777" w:rsidR="00994A23" w:rsidRDefault="00224C6A">
      <w:pPr>
        <w:pStyle w:val="BodyTextNL"/>
        <w:rPr>
          <w:rFonts w:ascii="Arial" w:hAnsi="Arial" w:cs="Arial"/>
        </w:rPr>
      </w:pPr>
      <w:r>
        <w:rPr>
          <w:rStyle w:val="Underline"/>
          <w:rFonts w:ascii="Arial" w:hAnsi="Arial"/>
        </w:rPr>
        <w:t>26. «pungă de transport din plastic de unică folosință» înseamnă o pungă de transport din plastic subțire sau o pungă de transport din plastic foarte subțire, în sensul Directivei 94/62/CE a Parlamentului European și a Consiliului din 20 decembrie 1994 privind ambalajele și deșeurile de ambalaje, care este fabricată în întregime sau parțial din plastic și care nu a fost proiectată, produsă sau introdusă pe piață pentru a fi reutilizată, pe durata vieții sale, în același scop pentru care a fost proiectată.”.</w:t>
      </w:r>
    </w:p>
    <w:p w14:paraId="17AFD7CB" w14:textId="77777777" w:rsidR="00994A23" w:rsidRDefault="00224C6A">
      <w:pPr>
        <w:pStyle w:val="centeredARTICLE"/>
        <w:rPr>
          <w:rFonts w:ascii="Arial" w:hAnsi="Arial" w:cs="Arial"/>
        </w:rPr>
      </w:pPr>
      <w:r>
        <w:rPr>
          <w:rFonts w:ascii="Arial" w:hAnsi="Arial"/>
        </w:rPr>
        <w:t>Articolul </w:t>
      </w:r>
      <w:r>
        <w:rPr>
          <w:rFonts w:ascii="Arial" w:hAnsi="Arial"/>
          <w:u w:val="thick"/>
        </w:rPr>
        <w:t>4</w:t>
      </w:r>
      <w:r>
        <w:rPr>
          <w:rFonts w:ascii="Arial" w:hAnsi="Arial"/>
        </w:rPr>
        <w:t xml:space="preserve"> (anterior, articolul 3)</w:t>
      </w:r>
    </w:p>
    <w:p w14:paraId="4FF64097" w14:textId="77777777" w:rsidR="00994A23" w:rsidRDefault="00224C6A" w:rsidP="008F5571">
      <w:pPr>
        <w:pStyle w:val="BodyTextNL"/>
        <w:keepNext/>
        <w:keepLines/>
        <w:rPr>
          <w:rFonts w:ascii="Arial" w:hAnsi="Arial" w:cs="Arial"/>
        </w:rPr>
      </w:pPr>
      <w:r>
        <w:rPr>
          <w:rFonts w:ascii="Arial" w:hAnsi="Arial"/>
        </w:rPr>
        <w:t>Un capitol IV</w:t>
      </w:r>
      <w:r>
        <w:rPr>
          <w:rStyle w:val="Italic"/>
          <w:rFonts w:ascii="Arial" w:hAnsi="Arial"/>
        </w:rPr>
        <w:t xml:space="preserve">a </w:t>
      </w:r>
      <w:r>
        <w:rPr>
          <w:rFonts w:ascii="Arial" w:hAnsi="Arial"/>
        </w:rPr>
        <w:t>se introduce acum în aceeași lege, cu formularea următoare:</w:t>
      </w:r>
    </w:p>
    <w:p w14:paraId="3518C363" w14:textId="77777777" w:rsidR="00994A23" w:rsidRDefault="00224C6A">
      <w:pPr>
        <w:pStyle w:val="BodyTextNL"/>
        <w:rPr>
          <w:rFonts w:ascii="Arial" w:hAnsi="Arial" w:cs="Arial"/>
        </w:rPr>
      </w:pPr>
      <w:r>
        <w:rPr>
          <w:rFonts w:ascii="Arial" w:hAnsi="Arial"/>
        </w:rPr>
        <w:t>„Capitolul IV</w:t>
      </w:r>
      <w:r>
        <w:rPr>
          <w:rStyle w:val="Italic"/>
          <w:rFonts w:ascii="Arial" w:hAnsi="Arial"/>
        </w:rPr>
        <w:t>a</w:t>
      </w:r>
      <w:r>
        <w:rPr>
          <w:rFonts w:ascii="Arial" w:hAnsi="Arial"/>
        </w:rPr>
        <w:t xml:space="preserve">. Dispoziții speciale privind </w:t>
      </w:r>
      <w:r>
        <w:rPr>
          <w:rFonts w:ascii="Arial" w:hAnsi="Arial"/>
          <w:u w:val="thick"/>
        </w:rPr>
        <w:t>produsele din plastic</w:t>
      </w:r>
      <w:r>
        <w:rPr>
          <w:rFonts w:ascii="Arial" w:hAnsi="Arial"/>
        </w:rPr>
        <w:t>”.</w:t>
      </w:r>
    </w:p>
    <w:p w14:paraId="120C8156" w14:textId="77777777" w:rsidR="00994A23" w:rsidRDefault="00224C6A">
      <w:pPr>
        <w:pStyle w:val="centeredARTICLE"/>
        <w:rPr>
          <w:rFonts w:ascii="Arial" w:hAnsi="Arial" w:cs="Arial"/>
        </w:rPr>
      </w:pPr>
      <w:r>
        <w:rPr>
          <w:rFonts w:ascii="Arial" w:hAnsi="Arial"/>
        </w:rPr>
        <w:t>Articolul </w:t>
      </w:r>
      <w:r>
        <w:rPr>
          <w:rFonts w:ascii="Arial" w:hAnsi="Arial"/>
          <w:u w:val="thick"/>
        </w:rPr>
        <w:t>5</w:t>
      </w:r>
      <w:r>
        <w:rPr>
          <w:rFonts w:ascii="Arial" w:hAnsi="Arial"/>
        </w:rPr>
        <w:t xml:space="preserve"> (anterior, articolul 4)</w:t>
      </w:r>
    </w:p>
    <w:p w14:paraId="04CA87F4" w14:textId="77777777" w:rsidR="00994A23" w:rsidRDefault="00224C6A" w:rsidP="008F5571">
      <w:pPr>
        <w:pStyle w:val="BodyTextNL"/>
        <w:keepNext/>
        <w:keepLines/>
        <w:rPr>
          <w:rFonts w:ascii="Arial" w:hAnsi="Arial" w:cs="Arial"/>
        </w:rPr>
      </w:pPr>
      <w:r>
        <w:rPr>
          <w:rFonts w:ascii="Arial" w:hAnsi="Arial"/>
        </w:rPr>
        <w:t>În capitolul IV</w:t>
      </w:r>
      <w:r>
        <w:rPr>
          <w:rStyle w:val="Italic"/>
          <w:rFonts w:ascii="Arial" w:hAnsi="Arial"/>
        </w:rPr>
        <w:t>a</w:t>
      </w:r>
      <w:r>
        <w:rPr>
          <w:rFonts w:ascii="Arial" w:hAnsi="Arial"/>
        </w:rPr>
        <w:t xml:space="preserve"> menționat anterior se introduce un articol </w:t>
      </w:r>
      <w:r>
        <w:rPr>
          <w:rFonts w:ascii="Arial" w:hAnsi="Arial"/>
          <w:u w:val="thick"/>
        </w:rPr>
        <w:t>9a</w:t>
      </w:r>
      <w:r>
        <w:rPr>
          <w:rFonts w:ascii="Arial" w:hAnsi="Arial"/>
        </w:rPr>
        <w:t>, cu formularea următoare:</w:t>
      </w:r>
    </w:p>
    <w:p w14:paraId="68CE4898" w14:textId="77777777" w:rsidR="00994A23" w:rsidRDefault="00224C6A">
      <w:pPr>
        <w:pStyle w:val="BodyTextNL"/>
        <w:rPr>
          <w:rFonts w:ascii="Arial" w:hAnsi="Arial" w:cs="Arial"/>
        </w:rPr>
      </w:pPr>
      <w:r>
        <w:rPr>
          <w:rFonts w:ascii="Arial" w:hAnsi="Arial"/>
        </w:rPr>
        <w:t>„Articolul </w:t>
      </w:r>
      <w:r>
        <w:rPr>
          <w:rFonts w:ascii="Arial" w:hAnsi="Arial"/>
          <w:u w:val="thick"/>
        </w:rPr>
        <w:t>9a</w:t>
      </w:r>
      <w:r>
        <w:rPr>
          <w:rFonts w:ascii="Arial" w:hAnsi="Arial"/>
        </w:rPr>
        <w:t>. Este interzisă introducerea pe piață a produselor pe bază de plastic oxodegradabil.”.</w:t>
      </w:r>
    </w:p>
    <w:p w14:paraId="4CC3EED2" w14:textId="77777777" w:rsidR="00994A23" w:rsidRDefault="00224C6A">
      <w:pPr>
        <w:pStyle w:val="centeredARTICLE"/>
        <w:rPr>
          <w:rFonts w:ascii="Arial" w:hAnsi="Arial" w:cs="Arial"/>
        </w:rPr>
      </w:pPr>
      <w:r>
        <w:rPr>
          <w:rFonts w:ascii="Arial" w:hAnsi="Arial"/>
        </w:rPr>
        <w:lastRenderedPageBreak/>
        <w:t>Articolul </w:t>
      </w:r>
      <w:r>
        <w:rPr>
          <w:rFonts w:ascii="Arial" w:hAnsi="Arial"/>
          <w:u w:val="thick"/>
        </w:rPr>
        <w:t>6</w:t>
      </w:r>
      <w:r>
        <w:rPr>
          <w:rFonts w:ascii="Arial" w:hAnsi="Arial"/>
        </w:rPr>
        <w:t xml:space="preserve"> (anterior, articolul 5)</w:t>
      </w:r>
    </w:p>
    <w:p w14:paraId="13ADD4F2" w14:textId="77777777" w:rsidR="00994A23" w:rsidRDefault="00224C6A" w:rsidP="008F5571">
      <w:pPr>
        <w:pStyle w:val="BodyTextNL"/>
        <w:keepNext/>
        <w:keepLines/>
        <w:rPr>
          <w:rFonts w:ascii="Arial" w:hAnsi="Arial" w:cs="Arial"/>
        </w:rPr>
      </w:pPr>
      <w:r>
        <w:rPr>
          <w:rFonts w:ascii="Arial" w:hAnsi="Arial"/>
        </w:rPr>
        <w:t>În capitolul IV</w:t>
      </w:r>
      <w:r>
        <w:rPr>
          <w:rStyle w:val="Italic"/>
          <w:rFonts w:ascii="Arial" w:hAnsi="Arial"/>
        </w:rPr>
        <w:t>a</w:t>
      </w:r>
      <w:r>
        <w:rPr>
          <w:rFonts w:ascii="Arial" w:hAnsi="Arial"/>
        </w:rPr>
        <w:t xml:space="preserve"> menționat anterior se introduce un articol </w:t>
      </w:r>
      <w:r>
        <w:rPr>
          <w:rFonts w:ascii="Arial" w:hAnsi="Arial"/>
          <w:u w:val="thick"/>
        </w:rPr>
        <w:t>9b</w:t>
      </w:r>
      <w:r>
        <w:rPr>
          <w:rFonts w:ascii="Arial" w:hAnsi="Arial"/>
        </w:rPr>
        <w:t>, cu formularea următoare:</w:t>
      </w:r>
    </w:p>
    <w:p w14:paraId="0ECEF58C" w14:textId="77777777" w:rsidR="00994A23" w:rsidRDefault="00224C6A" w:rsidP="008F5571">
      <w:pPr>
        <w:pStyle w:val="BodyTextNL"/>
        <w:keepNext/>
        <w:keepLines/>
        <w:rPr>
          <w:rFonts w:ascii="Arial" w:hAnsi="Arial" w:cs="Arial"/>
        </w:rPr>
      </w:pPr>
      <w:r>
        <w:rPr>
          <w:rFonts w:ascii="Arial" w:hAnsi="Arial"/>
        </w:rPr>
        <w:t>„Articolul 9b. Este interzisă introducerea pe piață a următoarelor produse din plastic de unică folosință:</w:t>
      </w:r>
    </w:p>
    <w:p w14:paraId="34AEC717" w14:textId="77777777" w:rsidR="00994A23" w:rsidRDefault="00224C6A">
      <w:pPr>
        <w:pStyle w:val="BodyTextNL"/>
        <w:rPr>
          <w:rFonts w:ascii="Arial" w:hAnsi="Arial" w:cs="Arial"/>
        </w:rPr>
      </w:pPr>
      <w:r>
        <w:rPr>
          <w:rFonts w:ascii="Arial" w:hAnsi="Arial"/>
        </w:rPr>
        <w:t xml:space="preserve">1. bețișoare de urechi, cu excepția cazului în care intră în domeniul de aplicare al Directivei 90/385/CEE a Consiliului </w:t>
      </w:r>
      <w:r>
        <w:rPr>
          <w:rFonts w:ascii="Arial" w:hAnsi="Arial"/>
          <w:u w:val="thick"/>
        </w:rPr>
        <w:t>din 20 iunie 1990 privind apropierea legislațiilor statelor membre referitoare la dispozitivele medicale active implantabile</w:t>
      </w:r>
      <w:r>
        <w:rPr>
          <w:rFonts w:ascii="Arial" w:hAnsi="Arial"/>
        </w:rPr>
        <w:t xml:space="preserve"> sau a Directivei 93/42/CEE a Consiliului </w:t>
      </w:r>
      <w:r>
        <w:rPr>
          <w:rFonts w:ascii="Arial" w:hAnsi="Arial"/>
          <w:u w:val="thick"/>
        </w:rPr>
        <w:t>din 14 iunie 1993 privind dispozitivele medicale</w:t>
      </w:r>
      <w:r>
        <w:rPr>
          <w:rFonts w:ascii="Arial" w:hAnsi="Arial"/>
        </w:rPr>
        <w:t>;</w:t>
      </w:r>
    </w:p>
    <w:p w14:paraId="30187EEB" w14:textId="77777777" w:rsidR="00994A23" w:rsidRDefault="00224C6A">
      <w:pPr>
        <w:pStyle w:val="BodyTextNL"/>
        <w:rPr>
          <w:rFonts w:ascii="Arial" w:hAnsi="Arial" w:cs="Arial"/>
        </w:rPr>
      </w:pPr>
      <w:r>
        <w:rPr>
          <w:rFonts w:ascii="Arial" w:hAnsi="Arial"/>
        </w:rPr>
        <w:t>2. tacâmuri (furculițe, cuțite, linguri, bețișoare chinezești);</w:t>
      </w:r>
    </w:p>
    <w:p w14:paraId="36C9D4BD" w14:textId="77777777" w:rsidR="00994A23" w:rsidRDefault="00224C6A">
      <w:pPr>
        <w:pStyle w:val="BodyTextNL"/>
        <w:spacing w:before="240"/>
        <w:rPr>
          <w:rFonts w:ascii="Arial" w:hAnsi="Arial" w:cs="Arial"/>
        </w:rPr>
      </w:pPr>
      <w:r>
        <w:rPr>
          <w:rFonts w:ascii="Arial" w:hAnsi="Arial"/>
        </w:rPr>
        <w:t>3. farfurii;</w:t>
      </w:r>
    </w:p>
    <w:p w14:paraId="77F3288E" w14:textId="77777777" w:rsidR="00994A23" w:rsidRDefault="00224C6A">
      <w:pPr>
        <w:pStyle w:val="BodyTextNL"/>
        <w:rPr>
          <w:rFonts w:ascii="Arial" w:hAnsi="Arial" w:cs="Arial"/>
        </w:rPr>
      </w:pPr>
      <w:r>
        <w:rPr>
          <w:rFonts w:ascii="Arial" w:hAnsi="Arial"/>
        </w:rPr>
        <w:t xml:space="preserve">4. paie, cu excepția cazului în care acestea intră în domeniul de aplicare al Directivei 90/385/CEE a Consiliului </w:t>
      </w:r>
      <w:r>
        <w:rPr>
          <w:rFonts w:ascii="Arial" w:hAnsi="Arial"/>
          <w:u w:val="thick"/>
        </w:rPr>
        <w:t>din 20 iunie 1990 privind apropierea legislațiilor statelor membre referitoare la dispozitivele medicale active implantabile</w:t>
      </w:r>
      <w:r>
        <w:rPr>
          <w:rFonts w:ascii="Arial" w:hAnsi="Arial"/>
        </w:rPr>
        <w:t xml:space="preserve"> sau a Directivei 93/42/CEE a Consiliului </w:t>
      </w:r>
      <w:r>
        <w:rPr>
          <w:rFonts w:ascii="Arial" w:hAnsi="Arial"/>
          <w:u w:val="thick"/>
        </w:rPr>
        <w:t>din 14 iunie 1993 privind dispozitivele medicale</w:t>
      </w:r>
      <w:r>
        <w:rPr>
          <w:rFonts w:ascii="Arial" w:hAnsi="Arial"/>
        </w:rPr>
        <w:t>;</w:t>
      </w:r>
    </w:p>
    <w:p w14:paraId="4667BDE1" w14:textId="77777777" w:rsidR="00994A23" w:rsidRDefault="00224C6A">
      <w:pPr>
        <w:pStyle w:val="BodyTextNL"/>
        <w:rPr>
          <w:rFonts w:ascii="Arial" w:hAnsi="Arial" w:cs="Arial"/>
        </w:rPr>
      </w:pPr>
      <w:r>
        <w:rPr>
          <w:rFonts w:ascii="Arial" w:hAnsi="Arial"/>
        </w:rPr>
        <w:t>5. agitatoare pentru băuturi;</w:t>
      </w:r>
    </w:p>
    <w:p w14:paraId="14EC48F7" w14:textId="77777777" w:rsidR="00994A23" w:rsidRDefault="00224C6A">
      <w:pPr>
        <w:pStyle w:val="BodyTextNL"/>
        <w:rPr>
          <w:rFonts w:ascii="Arial" w:hAnsi="Arial" w:cs="Arial"/>
        </w:rPr>
      </w:pPr>
      <w:r>
        <w:rPr>
          <w:rFonts w:ascii="Arial" w:hAnsi="Arial"/>
        </w:rPr>
        <w:t>6. bețe care se atașează baloanelor sau care sprijină baloane, cu excepția baloanelor de uz industrial sau pentru alte utilizări și aplicații profesionale, care nu sunt distribuite consumatorilor, inclusiv mecanismele acestor bețe;</w:t>
      </w:r>
    </w:p>
    <w:p w14:paraId="47B7F89B" w14:textId="77777777" w:rsidR="00994A23" w:rsidRDefault="00224C6A" w:rsidP="008F5571">
      <w:pPr>
        <w:pStyle w:val="BodyTextNL"/>
        <w:keepNext/>
        <w:keepLines/>
        <w:rPr>
          <w:rFonts w:ascii="Arial" w:hAnsi="Arial" w:cs="Arial"/>
        </w:rPr>
      </w:pPr>
      <w:r>
        <w:rPr>
          <w:rFonts w:ascii="Arial" w:hAnsi="Arial"/>
        </w:rPr>
        <w:t xml:space="preserve">7. recipiente pentru alimente fabricate din polistiren expandat, cum ar fi </w:t>
      </w:r>
      <w:r>
        <w:rPr>
          <w:rFonts w:ascii="Arial" w:hAnsi="Arial"/>
          <w:u w:val="thick"/>
        </w:rPr>
        <w:t>recipientele</w:t>
      </w:r>
      <w:r>
        <w:rPr>
          <w:rFonts w:ascii="Arial" w:hAnsi="Arial"/>
        </w:rPr>
        <w:t xml:space="preserve"> precum cutiile cu sau fără capac, utilizate pentru a conține produse alimentare care:</w:t>
      </w:r>
    </w:p>
    <w:p w14:paraId="77C93A15" w14:textId="77777777" w:rsidR="00994A23" w:rsidRDefault="00224C6A">
      <w:pPr>
        <w:pStyle w:val="BodyTextNL"/>
        <w:spacing w:before="240"/>
        <w:rPr>
          <w:rFonts w:ascii="Arial" w:hAnsi="Arial" w:cs="Arial"/>
        </w:rPr>
      </w:pPr>
      <w:r>
        <w:rPr>
          <w:rFonts w:ascii="Arial" w:hAnsi="Arial"/>
        </w:rPr>
        <w:t>(a) sunt destinate consumului imediat, fie pe loc, fie la pachet;</w:t>
      </w:r>
    </w:p>
    <w:p w14:paraId="7DC6276B" w14:textId="77777777" w:rsidR="00994A23" w:rsidRDefault="00224C6A">
      <w:pPr>
        <w:pStyle w:val="BodyTextNL"/>
        <w:rPr>
          <w:rFonts w:ascii="Arial" w:hAnsi="Arial" w:cs="Arial"/>
        </w:rPr>
      </w:pPr>
      <w:r>
        <w:rPr>
          <w:rFonts w:ascii="Arial" w:hAnsi="Arial"/>
        </w:rPr>
        <w:t xml:space="preserve">(b) sunt </w:t>
      </w:r>
      <w:r>
        <w:rPr>
          <w:rFonts w:ascii="Arial" w:hAnsi="Arial"/>
          <w:u w:val="thick"/>
        </w:rPr>
        <w:t>de regulă</w:t>
      </w:r>
      <w:r>
        <w:rPr>
          <w:rFonts w:ascii="Arial" w:hAnsi="Arial"/>
        </w:rPr>
        <w:t xml:space="preserve"> consumate din </w:t>
      </w:r>
      <w:r>
        <w:rPr>
          <w:rFonts w:ascii="Arial" w:hAnsi="Arial"/>
          <w:u w:val="thick"/>
        </w:rPr>
        <w:t>recipient</w:t>
      </w:r>
      <w:r>
        <w:rPr>
          <w:rFonts w:ascii="Arial" w:hAnsi="Arial"/>
        </w:rPr>
        <w:t>; și</w:t>
      </w:r>
    </w:p>
    <w:p w14:paraId="35E33460" w14:textId="77777777" w:rsidR="00994A23" w:rsidRDefault="00224C6A">
      <w:pPr>
        <w:pStyle w:val="BodyTextNL"/>
        <w:rPr>
          <w:rFonts w:ascii="Arial" w:hAnsi="Arial" w:cs="Arial"/>
        </w:rPr>
      </w:pPr>
      <w:r>
        <w:rPr>
          <w:rFonts w:ascii="Arial" w:hAnsi="Arial"/>
        </w:rPr>
        <w:t>(c) sunt gata de consum fără a necesita o preparare suplimentară, precum gătirea, fierberea sau încălzirea;</w:t>
      </w:r>
    </w:p>
    <w:p w14:paraId="685D0E21" w14:textId="77777777" w:rsidR="00994A23" w:rsidRDefault="00224C6A">
      <w:pPr>
        <w:pStyle w:val="BodyTextNL"/>
        <w:spacing w:before="240"/>
        <w:rPr>
          <w:rFonts w:ascii="Arial" w:hAnsi="Arial" w:cs="Arial"/>
        </w:rPr>
      </w:pPr>
      <w:r>
        <w:rPr>
          <w:rFonts w:ascii="Arial" w:hAnsi="Arial"/>
        </w:rPr>
        <w:t>inclusiv recipiente pentru alimente utilizate pentru meniuri de tip fast food sau alte meniuri gata pentru consum imediat, cu excepția recipientelor pentru băuturi, a farfuriilor, a pachetelor și foliilor din material flexibil care conțin produsele alimentare;</w:t>
      </w:r>
    </w:p>
    <w:p w14:paraId="54F3FE39" w14:textId="77777777" w:rsidR="00994A23" w:rsidRDefault="00224C6A">
      <w:pPr>
        <w:pStyle w:val="BodyTextNL"/>
        <w:spacing w:before="240"/>
        <w:rPr>
          <w:rFonts w:ascii="Arial" w:hAnsi="Arial" w:cs="Arial"/>
        </w:rPr>
      </w:pPr>
      <w:r>
        <w:rPr>
          <w:rFonts w:ascii="Arial" w:hAnsi="Arial"/>
        </w:rPr>
        <w:t>8. recipiente pentru băuturi fabricate din polistiren expandat, inclusiv dopurile și capacele acestora;</w:t>
      </w:r>
    </w:p>
    <w:p w14:paraId="2F6CC2AD" w14:textId="77777777" w:rsidR="00994A23" w:rsidRDefault="00224C6A">
      <w:pPr>
        <w:pStyle w:val="BodyTextNL"/>
        <w:rPr>
          <w:rFonts w:ascii="Arial" w:hAnsi="Arial" w:cs="Arial"/>
        </w:rPr>
      </w:pPr>
      <w:r>
        <w:rPr>
          <w:rFonts w:ascii="Arial" w:hAnsi="Arial"/>
        </w:rPr>
        <w:t>9. pahare pentru băuturi fabricate din polistiren expandat, inclusiv capacele acestora.”.</w:t>
      </w:r>
    </w:p>
    <w:p w14:paraId="7A7524E3" w14:textId="77777777" w:rsidR="00994A23" w:rsidRDefault="00224C6A">
      <w:pPr>
        <w:pStyle w:val="centeredARTICLE"/>
        <w:rPr>
          <w:rFonts w:ascii="Arial" w:hAnsi="Arial" w:cs="Arial"/>
        </w:rPr>
      </w:pPr>
      <w:r>
        <w:rPr>
          <w:rFonts w:ascii="Arial" w:hAnsi="Arial"/>
        </w:rPr>
        <w:t>Articolul </w:t>
      </w:r>
      <w:r>
        <w:rPr>
          <w:rFonts w:ascii="Arial" w:hAnsi="Arial"/>
          <w:u w:val="thick"/>
        </w:rPr>
        <w:t>7</w:t>
      </w:r>
      <w:r>
        <w:rPr>
          <w:rFonts w:ascii="Arial" w:hAnsi="Arial"/>
        </w:rPr>
        <w:t xml:space="preserve"> (anterior, articolul 6)</w:t>
      </w:r>
    </w:p>
    <w:p w14:paraId="7B150196" w14:textId="77777777" w:rsidR="00994A23" w:rsidRDefault="00224C6A" w:rsidP="008F5571">
      <w:pPr>
        <w:pStyle w:val="BodyTextNL"/>
        <w:keepNext/>
        <w:keepLines/>
        <w:rPr>
          <w:rFonts w:ascii="Arial" w:hAnsi="Arial" w:cs="Arial"/>
        </w:rPr>
      </w:pPr>
      <w:r>
        <w:rPr>
          <w:rFonts w:ascii="Arial" w:hAnsi="Arial"/>
        </w:rPr>
        <w:t>În capitolul IV</w:t>
      </w:r>
      <w:r>
        <w:rPr>
          <w:rStyle w:val="Italic"/>
          <w:rFonts w:ascii="Arial" w:hAnsi="Arial"/>
        </w:rPr>
        <w:t>a</w:t>
      </w:r>
      <w:r>
        <w:rPr>
          <w:rFonts w:ascii="Arial" w:hAnsi="Arial"/>
        </w:rPr>
        <w:t xml:space="preserve"> se adaugă </w:t>
      </w:r>
      <w:r>
        <w:rPr>
          <w:rFonts w:ascii="Arial" w:hAnsi="Arial"/>
          <w:u w:val="thick"/>
        </w:rPr>
        <w:t>articolul 9c</w:t>
      </w:r>
      <w:r>
        <w:rPr>
          <w:rFonts w:ascii="Arial" w:hAnsi="Arial"/>
        </w:rPr>
        <w:t>, cu formularea următoare:</w:t>
      </w:r>
    </w:p>
    <w:p w14:paraId="6FEAD1B3" w14:textId="77777777" w:rsidR="00994A23" w:rsidRPr="00621DDA" w:rsidRDefault="00224C6A" w:rsidP="008F5571">
      <w:pPr>
        <w:pStyle w:val="BodyTextNL"/>
        <w:keepNext/>
        <w:keepLines/>
        <w:rPr>
          <w:rFonts w:ascii="Arial" w:hAnsi="Arial" w:cs="Arial"/>
          <w:spacing w:val="-4"/>
        </w:rPr>
      </w:pPr>
      <w:r w:rsidRPr="00621DDA">
        <w:rPr>
          <w:rFonts w:ascii="Arial" w:hAnsi="Arial"/>
          <w:spacing w:val="-4"/>
        </w:rPr>
        <w:t xml:space="preserve">„Articolul </w:t>
      </w:r>
      <w:r w:rsidRPr="00621DDA">
        <w:rPr>
          <w:rFonts w:ascii="Arial" w:hAnsi="Arial"/>
          <w:spacing w:val="-4"/>
          <w:u w:val="thick"/>
        </w:rPr>
        <w:t>9c</w:t>
      </w:r>
      <w:r w:rsidRPr="00621DDA">
        <w:rPr>
          <w:rFonts w:ascii="Arial" w:hAnsi="Arial"/>
          <w:spacing w:val="-4"/>
        </w:rPr>
        <w:t>. Este interzisă introducerea pe piață a pungilor din plastic de unică folosință, concepute pentru ambalarea și/sau transportarea bunurilor achiziționate de la punctele de vânzare interioare sau exterioare, cu excepția cazului în care:</w:t>
      </w:r>
    </w:p>
    <w:p w14:paraId="1E7BA3C2" w14:textId="77777777" w:rsidR="00994A23" w:rsidRDefault="00224C6A">
      <w:pPr>
        <w:pStyle w:val="BodyTextNL"/>
        <w:rPr>
          <w:rFonts w:ascii="Arial" w:hAnsi="Arial" w:cs="Arial"/>
        </w:rPr>
      </w:pPr>
      <w:r>
        <w:rPr>
          <w:rFonts w:ascii="Arial" w:hAnsi="Arial"/>
        </w:rPr>
        <w:t>1. acestea sunt aeroporturi și pungile sunt prevăzute cu o clemă adezivă de înaltă securitate și/sau cusături durabile;</w:t>
      </w:r>
    </w:p>
    <w:p w14:paraId="08461A54" w14:textId="46343887" w:rsidR="00994A23" w:rsidRDefault="00224C6A">
      <w:pPr>
        <w:pStyle w:val="BodyTextNL"/>
        <w:rPr>
          <w:rFonts w:ascii="Arial" w:hAnsi="Arial" w:cs="Arial"/>
        </w:rPr>
      </w:pPr>
      <w:r>
        <w:rPr>
          <w:rFonts w:ascii="Arial" w:hAnsi="Arial"/>
        </w:rPr>
        <w:t>2. pungile sunt destinate colectării deșeurilor;</w:t>
      </w:r>
    </w:p>
    <w:p w14:paraId="046CBB9F" w14:textId="77777777" w:rsidR="00994A23" w:rsidRDefault="00224C6A">
      <w:pPr>
        <w:pStyle w:val="BodyTextNL"/>
        <w:rPr>
          <w:rFonts w:ascii="Arial" w:hAnsi="Arial" w:cs="Arial"/>
        </w:rPr>
      </w:pPr>
      <w:r>
        <w:rPr>
          <w:rFonts w:ascii="Arial" w:hAnsi="Arial"/>
        </w:rPr>
        <w:t>3. pungile sunt destinate uzului medical;</w:t>
      </w:r>
    </w:p>
    <w:p w14:paraId="5A667197" w14:textId="77777777" w:rsidR="00994A23" w:rsidRDefault="00224C6A" w:rsidP="00621DDA">
      <w:pPr>
        <w:pStyle w:val="BodyTextNL"/>
        <w:keepLines/>
        <w:rPr>
          <w:rFonts w:ascii="Arial" w:hAnsi="Arial" w:cs="Arial"/>
        </w:rPr>
      </w:pPr>
      <w:r>
        <w:rPr>
          <w:rFonts w:ascii="Arial" w:hAnsi="Arial"/>
        </w:rPr>
        <w:lastRenderedPageBreak/>
        <w:t>4. pungile sunt destinate ambalării produselor alimentare vândute în cantități mici, care sunt umede sau lichide sau care conțin lichide care ar putea curge, cu condiția ca punga de transport să aibă o bază biologică și să fie adecvată pentru compostare la domiciliu;</w:t>
      </w:r>
    </w:p>
    <w:p w14:paraId="27209BDA" w14:textId="77777777" w:rsidR="00994A23" w:rsidRDefault="00224C6A">
      <w:pPr>
        <w:pStyle w:val="BodyTextNL"/>
        <w:rPr>
          <w:rFonts w:ascii="Arial" w:hAnsi="Arial" w:cs="Arial"/>
        </w:rPr>
      </w:pPr>
      <w:r>
        <w:rPr>
          <w:rFonts w:ascii="Arial" w:hAnsi="Arial"/>
        </w:rPr>
        <w:t xml:space="preserve">5. pungile sunt foarte subțiri și sunt destinate ambalării primare a plantelor și a animalelor acvatice. </w:t>
      </w:r>
    </w:p>
    <w:p w14:paraId="2907C68D" w14:textId="77777777" w:rsidR="00994A23" w:rsidRDefault="00224C6A">
      <w:pPr>
        <w:pStyle w:val="BodyTextNL"/>
        <w:spacing w:before="240"/>
        <w:rPr>
          <w:rFonts w:ascii="Arial" w:hAnsi="Arial" w:cs="Arial"/>
        </w:rPr>
      </w:pPr>
      <w:r>
        <w:rPr>
          <w:rFonts w:ascii="Arial" w:hAnsi="Arial"/>
          <w:u w:val="thick"/>
        </w:rPr>
        <w:t xml:space="preserve">La șase luni de la publicarea Legii din ... de modificare a Legii din 21 decembrie 1998 privind standardele referitoare la produse pentru promovarea unor modele de producție și consum durabile și pentru protejarea mediului, a sănătății publice și a angajaților, pentru a interzice utilizarea produselor din plastic oxodegradabil și anumite alte produse din plastic de unică folosință în </w:t>
      </w:r>
      <w:r>
        <w:rPr>
          <w:rFonts w:ascii="Arial" w:hAnsi="Arial"/>
          <w:i/>
          <w:u w:val="thick"/>
        </w:rPr>
        <w:t>Monitorul Oficial al Belgiei</w:t>
      </w:r>
      <w:r>
        <w:rPr>
          <w:rFonts w:ascii="Arial" w:hAnsi="Arial"/>
        </w:rPr>
        <w:t xml:space="preserve">, pungile de transport menționate la alineatul (1) punctul 4 trebuie să conțină cel puțin 40 % biomaterial și, până la 1 ianuarie 2025, trebuie să conțină 60 % biomaterial. </w:t>
      </w:r>
    </w:p>
    <w:p w14:paraId="2A58C639" w14:textId="77777777" w:rsidR="00994A23" w:rsidRDefault="00224C6A">
      <w:pPr>
        <w:pStyle w:val="BodyTextNL"/>
        <w:rPr>
          <w:rFonts w:ascii="Arial" w:hAnsi="Arial" w:cs="Arial"/>
        </w:rPr>
      </w:pPr>
      <w:r>
        <w:rPr>
          <w:rFonts w:ascii="Arial" w:hAnsi="Arial"/>
          <w:u w:val="thick"/>
        </w:rPr>
        <w:t xml:space="preserve">Regelui i se va permite să adauge alte derogări la interdicția prevăzută la alineatul (1) numai dacă circumstanțele impun acest lucru și nu există alternative disponibile pentru materialele plastice de unică folosință, ținând seama de dispozițiile privind proporționalitatea și </w:t>
      </w:r>
      <w:r>
        <w:rPr>
          <w:rStyle w:val="ItalicUnderline"/>
          <w:rFonts w:ascii="Arial" w:hAnsi="Arial"/>
          <w:i w:val="0"/>
        </w:rPr>
        <w:t>nediscriminarea prevăzute în Directiva 94/62/CE a Parlamentului European și a Consiliului din 20 decembrie 1994 privind ambalajele și deșeurile de ambalaje.”.</w:t>
      </w:r>
    </w:p>
    <w:p w14:paraId="2AB9389F" w14:textId="77777777" w:rsidR="00994A23" w:rsidRDefault="00224C6A">
      <w:pPr>
        <w:pStyle w:val="centeredARTICLE"/>
        <w:rPr>
          <w:rFonts w:ascii="Arial" w:hAnsi="Arial" w:cs="Arial"/>
        </w:rPr>
      </w:pPr>
      <w:r>
        <w:rPr>
          <w:rStyle w:val="Underline"/>
          <w:rFonts w:ascii="Arial" w:hAnsi="Arial"/>
          <w:u w:val="none"/>
        </w:rPr>
        <w:t>Articolul </w:t>
      </w:r>
      <w:r>
        <w:rPr>
          <w:rStyle w:val="Underline"/>
          <w:rFonts w:ascii="Arial" w:hAnsi="Arial"/>
        </w:rPr>
        <w:t>8</w:t>
      </w:r>
      <w:r>
        <w:rPr>
          <w:rStyle w:val="Underline"/>
          <w:rFonts w:ascii="Arial" w:hAnsi="Arial"/>
          <w:u w:val="none"/>
        </w:rPr>
        <w:t xml:space="preserve"> </w:t>
      </w:r>
      <w:r>
        <w:rPr>
          <w:rFonts w:ascii="Arial" w:hAnsi="Arial"/>
        </w:rPr>
        <w:t>(anterior, articolul 7)</w:t>
      </w:r>
    </w:p>
    <w:p w14:paraId="1EBE0348" w14:textId="77777777" w:rsidR="00994A23" w:rsidRDefault="00224C6A">
      <w:pPr>
        <w:pStyle w:val="BodyTextNL"/>
        <w:rPr>
          <w:rFonts w:ascii="Arial" w:hAnsi="Arial" w:cs="Arial"/>
        </w:rPr>
      </w:pPr>
      <w:r>
        <w:rPr>
          <w:rFonts w:ascii="Arial" w:hAnsi="Arial"/>
        </w:rPr>
        <w:t xml:space="preserve">La articolul 17 alineatul (2) punctul 2 din aceeași lege din 21 decembrie 1998, textul „articolele 10-14” se înlocuiește cu textul „articolele </w:t>
      </w:r>
      <w:r>
        <w:rPr>
          <w:rFonts w:ascii="Arial" w:hAnsi="Arial"/>
          <w:u w:val="thick"/>
        </w:rPr>
        <w:t>9a</w:t>
      </w:r>
      <w:r>
        <w:rPr>
          <w:rFonts w:ascii="Arial" w:hAnsi="Arial"/>
        </w:rPr>
        <w:t>-14”.</w:t>
      </w:r>
    </w:p>
    <w:p w14:paraId="7A909A9F" w14:textId="77777777" w:rsidR="00994A23" w:rsidRDefault="00224C6A">
      <w:pPr>
        <w:pStyle w:val="centeredARTICLE"/>
        <w:rPr>
          <w:rFonts w:ascii="Arial" w:hAnsi="Arial" w:cs="Arial"/>
        </w:rPr>
      </w:pPr>
      <w:r>
        <w:rPr>
          <w:rStyle w:val="Underline"/>
          <w:rFonts w:ascii="Arial" w:hAnsi="Arial"/>
        </w:rPr>
        <w:t>Articolul 9</w:t>
      </w:r>
      <w:r>
        <w:rPr>
          <w:rFonts w:ascii="Arial" w:hAnsi="Arial"/>
        </w:rPr>
        <w:t xml:space="preserve"> (</w:t>
      </w:r>
      <w:r>
        <w:rPr>
          <w:rFonts w:ascii="Arial" w:hAnsi="Arial"/>
          <w:i/>
        </w:rPr>
        <w:t>nou</w:t>
      </w:r>
      <w:r>
        <w:rPr>
          <w:rFonts w:ascii="Arial" w:hAnsi="Arial"/>
        </w:rPr>
        <w:t>)</w:t>
      </w:r>
    </w:p>
    <w:p w14:paraId="1888D22E" w14:textId="77777777" w:rsidR="00994A23" w:rsidRDefault="00224C6A">
      <w:pPr>
        <w:pStyle w:val="BodyTextNL"/>
        <w:rPr>
          <w:rStyle w:val="Italic"/>
          <w:rFonts w:ascii="Arial" w:hAnsi="Arial" w:cs="Arial"/>
        </w:rPr>
      </w:pPr>
      <w:r>
        <w:rPr>
          <w:rFonts w:ascii="Arial" w:hAnsi="Arial"/>
        </w:rPr>
        <w:t>Pungile de transport din plastic, a căror introducere pe piață este interzisă în temeiul articolului </w:t>
      </w:r>
      <w:r>
        <w:rPr>
          <w:rFonts w:ascii="Arial" w:hAnsi="Arial"/>
          <w:u w:val="thick"/>
        </w:rPr>
        <w:t>9c</w:t>
      </w:r>
      <w:r>
        <w:rPr>
          <w:rFonts w:ascii="Arial" w:hAnsi="Arial"/>
        </w:rPr>
        <w:t xml:space="preserve"> din aceeași lege și pentru care un comerciant cu amănuntul a plătit deja înainte de data intrării în vigoare în conformitate cu articolul </w:t>
      </w:r>
      <w:r>
        <w:rPr>
          <w:rStyle w:val="Underline"/>
          <w:rFonts w:ascii="Arial" w:hAnsi="Arial"/>
        </w:rPr>
        <w:t>10</w:t>
      </w:r>
      <w:r>
        <w:rPr>
          <w:rFonts w:ascii="Arial" w:hAnsi="Arial"/>
        </w:rPr>
        <w:t xml:space="preserve">alineatul (2) din prezenta lege poate fi în continuare distribuit </w:t>
      </w:r>
      <w:r>
        <w:rPr>
          <w:rStyle w:val="Italic"/>
          <w:rFonts w:ascii="Arial" w:hAnsi="Arial"/>
          <w:i w:val="0"/>
        </w:rPr>
        <w:t>timp de șase luni după data respectivă.</w:t>
      </w:r>
      <w:r>
        <w:rPr>
          <w:rStyle w:val="Italic"/>
          <w:rFonts w:ascii="Arial" w:hAnsi="Arial"/>
        </w:rPr>
        <w:t xml:space="preserve"> </w:t>
      </w:r>
    </w:p>
    <w:p w14:paraId="53F3F179" w14:textId="77777777" w:rsidR="00994A23" w:rsidRDefault="00224C6A">
      <w:pPr>
        <w:pStyle w:val="centeredARTICLE"/>
        <w:rPr>
          <w:rStyle w:val="Underline"/>
          <w:rFonts w:ascii="Arial" w:hAnsi="Arial" w:cs="Arial"/>
        </w:rPr>
      </w:pPr>
      <w:r>
        <w:rPr>
          <w:rStyle w:val="Underline"/>
          <w:rFonts w:ascii="Arial" w:hAnsi="Arial"/>
          <w:u w:val="none"/>
        </w:rPr>
        <w:t>Articolul </w:t>
      </w:r>
      <w:r>
        <w:rPr>
          <w:rStyle w:val="Underline"/>
          <w:rFonts w:ascii="Arial" w:hAnsi="Arial"/>
        </w:rPr>
        <w:t>10</w:t>
      </w:r>
      <w:r>
        <w:rPr>
          <w:rStyle w:val="Underline"/>
          <w:rFonts w:ascii="Arial" w:hAnsi="Arial"/>
          <w:u w:val="none"/>
        </w:rPr>
        <w:t xml:space="preserve"> </w:t>
      </w:r>
      <w:r>
        <w:rPr>
          <w:rFonts w:ascii="Arial" w:hAnsi="Arial"/>
        </w:rPr>
        <w:t>(anterior, articolul 8)</w:t>
      </w:r>
    </w:p>
    <w:p w14:paraId="508382BA" w14:textId="77777777" w:rsidR="00994A23" w:rsidRDefault="00224C6A" w:rsidP="008F5571">
      <w:pPr>
        <w:pStyle w:val="BodyTextNL"/>
        <w:keepNext/>
        <w:keepLines/>
        <w:rPr>
          <w:rFonts w:ascii="Arial" w:hAnsi="Arial" w:cs="Arial"/>
        </w:rPr>
      </w:pPr>
      <w:r>
        <w:rPr>
          <w:rFonts w:ascii="Arial" w:hAnsi="Arial"/>
        </w:rPr>
        <w:t>Prezenta lege intră în vigoare la 3 iulie 2021.</w:t>
      </w:r>
    </w:p>
    <w:p w14:paraId="603AF641" w14:textId="77777777" w:rsidR="00994A23" w:rsidRDefault="00224C6A">
      <w:pPr>
        <w:pStyle w:val="BodyTextNL"/>
        <w:rPr>
          <w:rFonts w:ascii="Arial" w:hAnsi="Arial" w:cs="Arial"/>
        </w:rPr>
      </w:pPr>
      <w:r>
        <w:rPr>
          <w:rFonts w:ascii="Arial" w:hAnsi="Arial"/>
        </w:rPr>
        <w:t>Regele poate dispune o dată de intrare în vigoare înainte de data indicată la alineatul (1).</w:t>
      </w:r>
    </w:p>
    <w:p w14:paraId="51060FE7" w14:textId="77777777" w:rsidR="00994A23" w:rsidRDefault="00224C6A">
      <w:pPr>
        <w:pStyle w:val="BodyTextNL"/>
      </w:pPr>
      <w:r>
        <w:rPr>
          <w:rFonts w:ascii="Arial" w:hAnsi="Arial"/>
        </w:rPr>
        <w:t xml:space="preserve">Contrar alineatelor (1) și (2), </w:t>
      </w:r>
      <w:r>
        <w:rPr>
          <w:rFonts w:ascii="Arial" w:hAnsi="Arial"/>
          <w:u w:val="thick"/>
        </w:rPr>
        <w:t>articolele 3, 4, 7 și 8</w:t>
      </w:r>
      <w:r>
        <w:rPr>
          <w:rFonts w:ascii="Arial" w:hAnsi="Arial"/>
        </w:rPr>
        <w:t xml:space="preserve"> intră în vigoare la șase luni de la publicarea prezentei legi în </w:t>
      </w:r>
      <w:r>
        <w:rPr>
          <w:rStyle w:val="Italic"/>
          <w:rFonts w:ascii="Arial" w:hAnsi="Arial"/>
          <w:u w:val="thick"/>
        </w:rPr>
        <w:t>Monitorul</w:t>
      </w:r>
      <w:r>
        <w:rPr>
          <w:rStyle w:val="Italic"/>
          <w:rFonts w:ascii="Arial" w:hAnsi="Arial"/>
        </w:rPr>
        <w:t xml:space="preserve"> Oficial al Belgiei</w:t>
      </w:r>
      <w:r>
        <w:rPr>
          <w:rFonts w:ascii="Arial" w:hAnsi="Arial"/>
        </w:rPr>
        <w:t>.</w:t>
      </w:r>
    </w:p>
    <w:sectPr w:rsidR="00994A23">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LT Std">
    <w:altName w:val="Arial"/>
    <w:panose1 w:val="020B0504020202020204"/>
    <w:charset w:val="00"/>
    <w:family w:val="swiss"/>
    <w:notTrueType/>
    <w:pitch w:val="variable"/>
    <w:sig w:usb0="800002AF" w:usb1="5000204A" w:usb2="00000000" w:usb3="00000000" w:csb0="00000005"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C6A"/>
    <w:rsid w:val="00224C6A"/>
    <w:rsid w:val="00272AB1"/>
    <w:rsid w:val="00621DDA"/>
    <w:rsid w:val="008F5571"/>
    <w:rsid w:val="00994A23"/>
    <w:rsid w:val="00B611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CEC5B"/>
  <w14:defaultImageDpi w14:val="0"/>
  <w15:docId w15:val="{C6B2BA8E-28E1-4DE1-8A66-0220D7F87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Helvetica LT Std" w:hAnsi="Helvetica LT Std" w:cs="Helvetica LT Std"/>
      <w:color w:val="000000"/>
      <w:sz w:val="24"/>
      <w:szCs w:val="24"/>
    </w:rPr>
  </w:style>
  <w:style w:type="paragraph" w:customStyle="1" w:styleId="BodyTextNL">
    <w:name w:val="BodyText_NL"/>
    <w:basedOn w:val="NoParagraphStyle"/>
    <w:uiPriority w:val="99"/>
    <w:pPr>
      <w:spacing w:after="240"/>
      <w:ind w:firstLine="227"/>
      <w:jc w:val="both"/>
    </w:pPr>
    <w:rPr>
      <w:sz w:val="20"/>
      <w:szCs w:val="20"/>
    </w:rPr>
  </w:style>
  <w:style w:type="paragraph" w:customStyle="1" w:styleId="centeredARTICLE">
    <w:name w:val="centered ARTICLE"/>
    <w:basedOn w:val="BodyTextNL"/>
    <w:next w:val="NoParagraphStyle"/>
    <w:uiPriority w:val="99"/>
    <w:pPr>
      <w:keepNext/>
      <w:keepLines/>
      <w:suppressAutoHyphens/>
      <w:spacing w:before="240"/>
      <w:ind w:firstLine="0"/>
      <w:jc w:val="center"/>
    </w:pPr>
  </w:style>
  <w:style w:type="character" w:customStyle="1" w:styleId="Underline">
    <w:name w:val="_Underline"/>
    <w:uiPriority w:val="99"/>
    <w:rPr>
      <w:u w:val="thick"/>
    </w:rPr>
  </w:style>
  <w:style w:type="character" w:customStyle="1" w:styleId="Italic">
    <w:name w:val="_Italic"/>
    <w:uiPriority w:val="99"/>
    <w:rPr>
      <w:i/>
      <w:iCs/>
    </w:rPr>
  </w:style>
  <w:style w:type="character" w:customStyle="1" w:styleId="ItalicUnderline">
    <w:name w:val="_Italic_Underline"/>
    <w:basedOn w:val="Italic"/>
    <w:uiPriority w:val="99"/>
    <w:rPr>
      <w:i/>
      <w:iCs/>
      <w:u w:val="thick"/>
    </w:rPr>
  </w:style>
  <w:style w:type="character" w:customStyle="1" w:styleId="Sup">
    <w:name w:val="_Sup"/>
    <w:uiPriority w:val="99"/>
    <w:rPr>
      <w:vertAlign w:val="superscript"/>
    </w:rPr>
  </w:style>
  <w:style w:type="character" w:customStyle="1" w:styleId="Bold">
    <w:name w:val="_Bold"/>
    <w:uiPriority w:val="99"/>
    <w:rPr>
      <w:b/>
      <w:bCs/>
    </w:rPr>
  </w:style>
  <w:style w:type="character" w:customStyle="1" w:styleId="BoldUnderline">
    <w:name w:val="_Bold_Underline"/>
    <w:basedOn w:val="Bold"/>
    <w:uiPriority w:val="99"/>
    <w:rPr>
      <w:b/>
      <w:bCs/>
      <w:u w:val="thick"/>
    </w:rPr>
  </w:style>
  <w:style w:type="character" w:customStyle="1" w:styleId="Caps">
    <w:name w:val="_Caps"/>
    <w:uiPriority w:val="99"/>
    <w:rPr>
      <w:caps/>
    </w:rPr>
  </w:style>
  <w:style w:type="character" w:customStyle="1" w:styleId="BoldCaps">
    <w:name w:val="_Bold_Caps"/>
    <w:basedOn w:val="Bold"/>
    <w:uiPriority w:val="99"/>
    <w:rPr>
      <w:b/>
      <w:bCs/>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1142</Words>
  <Characters>6587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Wenkin (FOD Economie - SPF Economie)</dc:creator>
  <cp:keywords/>
  <dc:description/>
  <cp:lastModifiedBy>Diana STOICA</cp:lastModifiedBy>
  <cp:revision>3</cp:revision>
  <dcterms:created xsi:type="dcterms:W3CDTF">2020-09-04T09:56:00Z</dcterms:created>
  <dcterms:modified xsi:type="dcterms:W3CDTF">2020-09-11T12:00:00Z</dcterms:modified>
</cp:coreProperties>
</file>