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2865" w14:textId="1A688931" w:rsidR="0029241A" w:rsidRPr="0029241A" w:rsidRDefault="0029241A" w:rsidP="0029241A">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Bekendtgørelse af 16. april 2020, som supplerer bekendtgørelse af 23. marts 2020 om fastsættelse af foranstaltninger vedrørende sundhedsvæsenets indretning og funktionsmåde, som er nødvendige for at imødegå covid-19-epidemien under den sundhedsmæssige undtagelsestilstand</w:t>
      </w:r>
    </w:p>
    <w:p w14:paraId="13C295EB" w14:textId="77777777" w:rsidR="0029241A" w:rsidRPr="0029241A" w:rsidRDefault="0029241A" w:rsidP="0029241A">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Oprindelig version</w:t>
      </w:r>
    </w:p>
    <w:p w14:paraId="2AFE0913" w14:textId="77777777" w:rsidR="0029241A" w:rsidRPr="0029241A" w:rsidRDefault="0029241A" w:rsidP="0029241A">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Ministeren for solidaritet og sundhed har</w:t>
      </w:r>
      <w:r>
        <w:rPr>
          <w:rFonts w:ascii="Times New Roman" w:hAnsi="Times New Roman"/>
          <w:color w:val="000000"/>
          <w:sz w:val="27"/>
        </w:rPr>
        <w:br/>
        <w:t>under henvisning til Europa-Parlamentets og Rådets direktiv (EU) 2015/1535 af 9. september 2015 om en informationsprocedure med hensyn til tekniske forskrifter samt forskrifter for informationssamfundets tjenester, og særlig notifikation nr. 2020/230/F;</w:t>
      </w:r>
      <w:r>
        <w:rPr>
          <w:rFonts w:ascii="Times New Roman" w:hAnsi="Times New Roman"/>
          <w:color w:val="000000"/>
          <w:sz w:val="27"/>
        </w:rPr>
        <w:br/>
      </w:r>
      <w:r>
        <w:rPr>
          <w:rFonts w:ascii="Times New Roman" w:hAnsi="Times New Roman"/>
          <w:color w:val="000000"/>
          <w:sz w:val="27"/>
        </w:rPr>
        <w:br/>
        <w:t>under henvisning til lov om folkesundhed, særlig artikel L. 3131-16, L. 6316-2 og R. 6134-2</w:t>
      </w:r>
      <w:r>
        <w:rPr>
          <w:rFonts w:ascii="Times New Roman" w:hAnsi="Times New Roman"/>
          <w:color w:val="000000"/>
          <w:sz w:val="27"/>
        </w:rPr>
        <w:br/>
        <w:t>under henvisning til lov om socialsikring, særlig artikel L. 162-1-7, L. 161-9 og L. 162-14-1</w:t>
      </w:r>
      <w:r>
        <w:rPr>
          <w:rFonts w:ascii="Times New Roman" w:hAnsi="Times New Roman"/>
          <w:color w:val="000000"/>
          <w:sz w:val="27"/>
        </w:rPr>
        <w:br/>
        <w:t>under henvisning til hastelov nr. 2020-290 af 23. marts 2020 til imødegåelse af covid-19-epidemien, særlig artikel 4</w:t>
      </w:r>
      <w:r>
        <w:rPr>
          <w:rFonts w:ascii="Times New Roman" w:hAnsi="Times New Roman"/>
          <w:color w:val="000000"/>
          <w:sz w:val="27"/>
        </w:rPr>
        <w:br/>
        <w:t>under henvisning til dekret nr. 2020-293 af 23. marts 2020, som ændret, om fastsættelse af almindelige foranstaltninger, som er nødvendige for at imødegå covid-19-epidemien under den sundhedsmæssige undtagelsestilstand</w:t>
      </w:r>
      <w:r>
        <w:rPr>
          <w:rFonts w:ascii="Times New Roman" w:hAnsi="Times New Roman"/>
          <w:color w:val="000000"/>
          <w:sz w:val="27"/>
        </w:rPr>
        <w:br/>
        <w:t>under henvisning til bekendtgørelse af 16. maj 2011, som ændret, om associerede praktikanter som omhandlet i nr. 1 i artikel R. 6134-2 i lov om folkesundhed</w:t>
      </w:r>
      <w:r>
        <w:rPr>
          <w:rFonts w:ascii="Times New Roman" w:hAnsi="Times New Roman"/>
          <w:color w:val="000000"/>
          <w:sz w:val="27"/>
        </w:rPr>
        <w:br/>
        <w:t>under henvisning til bekendtgørelse af 23. marts 2020, som ændret, om fastsættelse af foranstaltninger vedrørende sundhedsvæsenets indretning og funktionsmåde, som er nødvendige for at imødegå covid-19-epidemien under den sundhedsmæssige undtagelsestilstand</w:t>
      </w:r>
      <w:r>
        <w:rPr>
          <w:rFonts w:ascii="Times New Roman" w:hAnsi="Times New Roman"/>
          <w:color w:val="000000"/>
          <w:sz w:val="27"/>
        </w:rPr>
        <w:br/>
        <w:t>under henvisning til den nationale overenskomst om tilrettelæggelse af forholdet mellem selvstændige massører/fysioterapeuter og sygeforsikringen, som blev indgået den 3. april 2007, og de seks tillæg hertil</w:t>
      </w:r>
      <w:r>
        <w:rPr>
          <w:rFonts w:ascii="Times New Roman" w:hAnsi="Times New Roman"/>
          <w:color w:val="000000"/>
          <w:sz w:val="27"/>
        </w:rPr>
        <w:br/>
        <w:t>under henvisning til fortegnelsen over behandlinger og ydelser, som blev godkendt af den franske sygekassesammenslutning den 11. marts 2005, som ændret</w:t>
      </w:r>
      <w:r>
        <w:rPr>
          <w:rFonts w:ascii="Times New Roman" w:hAnsi="Times New Roman"/>
          <w:color w:val="000000"/>
          <w:sz w:val="27"/>
        </w:rPr>
        <w:br/>
        <w:t>i betragtning af, at Verdenssundhedsorganisationen (WHO) den 30. januar 2020 erklærede, at udbruddet af en ny coronavirus (covid-19) udgør en folkesundhedskrise af internationalt omfang</w:t>
      </w:r>
      <w:r>
        <w:rPr>
          <w:rFonts w:ascii="Times New Roman" w:hAnsi="Times New Roman"/>
          <w:color w:val="000000"/>
          <w:sz w:val="27"/>
        </w:rPr>
        <w:br/>
        <w:t xml:space="preserve">i betragtning af, at det er nødvendigt at mobilisere alle lægelige ressourcer i sundhedsplejeinstitutionerne for at imødegå covid-19-epidemien, og at der i dette øjemed er behov for at forlænge overenskomsterne for associerede praktikanter i disse institutioner </w:t>
      </w:r>
      <w:r>
        <w:rPr>
          <w:rFonts w:ascii="Times New Roman" w:hAnsi="Times New Roman"/>
          <w:color w:val="000000"/>
          <w:sz w:val="27"/>
        </w:rPr>
        <w:br/>
      </w:r>
      <w:r>
        <w:rPr>
          <w:rFonts w:ascii="Times New Roman" w:hAnsi="Times New Roman"/>
          <w:color w:val="000000"/>
          <w:sz w:val="27"/>
        </w:rPr>
        <w:lastRenderedPageBreak/>
        <w:t>i betragtning af, at telesundhed åbner mulighed for at varetage medicinsk hjemmebehandling og -pleje af patienter, som har symptomer på eller har fået konstateret covid-19-infektion, og dermed beskytte de erhvervsudøvende i sundhedssektoren såvel som de behandlede patienter, og at det er nødvendigt at træffe de fornødne foranstaltninger med henblik på at udvide denne ordning til at omfatte massørers/fysioterapeuters aktiviteter</w:t>
      </w:r>
      <w:r>
        <w:rPr>
          <w:rFonts w:ascii="Times New Roman" w:hAnsi="Times New Roman"/>
          <w:color w:val="000000"/>
          <w:sz w:val="27"/>
        </w:rPr>
        <w:br/>
        <w:t>udstedt følgende bekendtgørelse:</w:t>
      </w:r>
    </w:p>
    <w:p w14:paraId="6EAEFA49" w14:textId="77777777" w:rsidR="0029241A" w:rsidRPr="0029241A" w:rsidRDefault="0029241A" w:rsidP="0029241A">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w:t>
      </w:r>
    </w:p>
    <w:p w14:paraId="49C4C14C" w14:textId="77777777" w:rsidR="0029241A" w:rsidRPr="0029241A" w:rsidRDefault="0029241A" w:rsidP="0029241A">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Ovennævnte bekendtgørelse af 23. marts 2020 ændres som følger:</w:t>
      </w:r>
      <w:r>
        <w:rPr>
          <w:rFonts w:ascii="Times New Roman" w:hAnsi="Times New Roman"/>
          <w:color w:val="000000"/>
          <w:sz w:val="27"/>
        </w:rPr>
        <w:br/>
        <w:t>1. Efter artikel 7 indføjes en artikel 7-1 med følgende ordlyd:</w:t>
      </w:r>
    </w:p>
    <w:p w14:paraId="1C386757" w14:textId="77777777" w:rsidR="0029241A" w:rsidRPr="0029241A" w:rsidRDefault="0029241A" w:rsidP="0029241A">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7-1. Som undtagelse fra bestemmelserne i artikel R6134-2 i lov om folkesundhed og i bekendtgørelse af 16. maj 2011 om associerede praktikanter som omhandlet i nr. 1 i artikel R6134-2 i lov om folkesundhed kan overenskomsterne for associerede praktikanter forlænges, indtil den sundhedsmæssige undtagelsestilstand ophæves."</w:t>
      </w:r>
    </w:p>
    <w:p w14:paraId="3AE12935" w14:textId="77777777" w:rsidR="0029241A" w:rsidRPr="0029241A" w:rsidRDefault="0029241A" w:rsidP="0029241A">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2. Stk. VIII i artikel 8 bliver stk. IX, og der indsættes et nyt stk. VIII med følgende ordlyd:</w:t>
      </w:r>
      <w:r>
        <w:rPr>
          <w:rFonts w:ascii="Times New Roman" w:hAnsi="Times New Roman"/>
          <w:color w:val="000000"/>
          <w:sz w:val="27"/>
        </w:rPr>
        <w:br/>
        <w:t>"VII. – Bortset fra indledende vurderinger og fornyede vurderinger kan massage- og fysioterapibehandlinger som omhandlet i bilaget til denne artikel finde sted via telehjemmepleje. Massøren/fysioterapeuten afgør, hvorvidt det er relevant at anvende telehjemmepleje. Telehjemmeplejebehandlingerne finder sted via videotransmission. De er betinget af, at massøren/fysioterapeuten forudgående har gennemført en første behandling, hvor patienten var fysisk til stede. Ved mindreårige under 18 år er det påkrævet, at en myndig forælder eller en godkendt myndig person er til stede. Ved patienter, som ikke er selvhjulpne, kræves, at en omsorgsperson er til stede.</w:t>
      </w:r>
      <w:r>
        <w:rPr>
          <w:rFonts w:ascii="Times New Roman" w:hAnsi="Times New Roman"/>
          <w:color w:val="000000"/>
          <w:sz w:val="27"/>
        </w:rPr>
        <w:br/>
        <w:t>Som undtagelse fra artikel L. 162-1-7, L. 162-9 og L. 162-14-1 i lov om socialsikring kan selvstændige massører/fysioterapeuter eller andre institutioner omhandlet i artikel L. 162-1-7 i samme lov fakturere udførte behandlinger, som nævnt i bilaget, til sygeforsikringen. ".</w:t>
      </w:r>
      <w:r>
        <w:rPr>
          <w:rFonts w:ascii="Times New Roman" w:hAnsi="Times New Roman"/>
          <w:color w:val="000000"/>
          <w:sz w:val="27"/>
        </w:rPr>
        <w:br/>
        <w:t>3. Artikel 10-2, 10-3 og 10-4 ændres til henholdsvis artikel 10-3, 10-4 og 10-5, og bilagene til artikel 10-3 og 10-4 ændres til bilag til henholdsvis artikel 10-4 og 10-5.</w:t>
      </w:r>
    </w:p>
    <w:p w14:paraId="6AF69D5C" w14:textId="77777777" w:rsidR="0029241A" w:rsidRPr="0029241A" w:rsidRDefault="0029241A" w:rsidP="005E054E">
      <w:pPr>
        <w:keepNext/>
        <w:spacing w:before="100" w:beforeAutospacing="1" w:after="100" w:afterAutospacing="1" w:line="240" w:lineRule="auto"/>
        <w:ind w:left="448"/>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Artikel 2</w:t>
      </w:r>
    </w:p>
    <w:p w14:paraId="11FFBABA" w14:textId="77777777" w:rsidR="0029241A" w:rsidRPr="0029241A" w:rsidRDefault="0029241A" w:rsidP="0029241A">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Denne bekendtgørelse offentliggøres i Journal officiel, Den Franske Republiks statstidende.</w:t>
      </w:r>
    </w:p>
    <w:p w14:paraId="1AAB1F0E" w14:textId="77777777" w:rsidR="0029241A" w:rsidRPr="0029241A" w:rsidRDefault="0029241A" w:rsidP="0029241A">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Bilag</w:t>
      </w:r>
    </w:p>
    <w:p w14:paraId="31D31961" w14:textId="77777777" w:rsidR="0029241A" w:rsidRPr="0029241A" w:rsidRDefault="0029241A" w:rsidP="0029241A">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w:t>
      </w:r>
    </w:p>
    <w:p w14:paraId="0A81680C" w14:textId="097F2FF5" w:rsidR="0029241A" w:rsidRPr="0029241A" w:rsidRDefault="0029241A" w:rsidP="0029241A">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r>
      <w:r>
        <w:rPr>
          <w:rFonts w:ascii="Times New Roman" w:hAnsi="Times New Roman"/>
          <w:caps/>
          <w:color w:val="000000"/>
          <w:sz w:val="27"/>
        </w:rPr>
        <w:t>Bilag</w:t>
      </w:r>
      <w:r>
        <w:rPr>
          <w:rFonts w:ascii="Times New Roman" w:hAnsi="Times New Roman"/>
          <w:caps/>
          <w:color w:val="000000"/>
          <w:sz w:val="27"/>
        </w:rPr>
        <w:br/>
        <w:t xml:space="preserve"> til artikel 8 (VIII)</w:t>
      </w:r>
      <w:r>
        <w:rPr>
          <w:rFonts w:ascii="Times New Roman" w:hAnsi="Times New Roman"/>
          <w:color w:val="000000"/>
          <w:sz w:val="27"/>
        </w:rPr>
        <w:br/>
        <w:t>Fysioterapibehandlinger, som kan faktureres sygeforsikringen, når de gennemføres via telehjemmepleje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61"/>
        <w:gridCol w:w="390"/>
        <w:gridCol w:w="1905"/>
      </w:tblGrid>
      <w:tr w:rsidR="0029241A" w:rsidRPr="0029241A" w14:paraId="2D635A36"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81449E"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en af kropsdel og dennes rod, uanset den behandlede patologis art og lokalisering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213F9"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52899"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2155BF02"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88A148"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en hel kropsdel eller flere kropsdele eller af torso inklusive en eller flere kropsdele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034ED"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B45E9"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2952FA1B"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8D6E84"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rygsøjlen og/eller lænderegioner, uanset den behandlede patologis art og lokalisering (klassificeringen er den samme, når rygsøjlepatologien ledsages af sammentrykt nerverod ved rygsøjlen uden at medføre nedsat bevægelsesevne)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5A008"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94A44"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48D15EB5"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51AAC2"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børn eller unge med sideværts eller sagittal skævhed i rygsøjlen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0C339"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E272B"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3E94CF10"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2B278A"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patienter med inflammatorisk gigtsygdom (pelvospondylitis, rheumatoid arthritis m.fl.):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88E2F"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36BA0"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4A55A6DF"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D86F0D"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i en kropsdel eller torso</w:t>
            </w:r>
            <w:r>
              <w:rPr>
                <w:rFonts w:ascii="Times New Roman" w:hAnsi="Times New Roman"/>
                <w:sz w:val="24"/>
              </w:rPr>
              <w:br/>
              <w:t>– Genoptræning af en hel kropsdel eller flere kropsdele eller af torso inklusive en eller flere kropsdele</w:t>
            </w:r>
          </w:p>
        </w:tc>
        <w:tc>
          <w:tcPr>
            <w:tcW w:w="0" w:type="auto"/>
            <w:tcBorders>
              <w:top w:val="outset" w:sz="6" w:space="0" w:color="auto"/>
              <w:left w:val="outset" w:sz="6" w:space="0" w:color="auto"/>
              <w:bottom w:val="outset" w:sz="6" w:space="0" w:color="auto"/>
              <w:right w:val="outset" w:sz="6" w:space="0" w:color="auto"/>
            </w:tcBorders>
            <w:vAlign w:val="bottom"/>
            <w:hideMark/>
          </w:tcPr>
          <w:p w14:paraId="2329488D"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9</w:t>
            </w:r>
          </w:p>
        </w:tc>
        <w:tc>
          <w:tcPr>
            <w:tcW w:w="0" w:type="auto"/>
            <w:tcBorders>
              <w:top w:val="outset" w:sz="6" w:space="0" w:color="auto"/>
              <w:left w:val="outset" w:sz="6" w:space="0" w:color="auto"/>
              <w:bottom w:val="outset" w:sz="6" w:space="0" w:color="auto"/>
              <w:right w:val="outset" w:sz="6" w:space="0" w:color="auto"/>
            </w:tcBorders>
            <w:vAlign w:val="bottom"/>
            <w:hideMark/>
          </w:tcPr>
          <w:p w14:paraId="01D10266"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76E0340A"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EF8C1C"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abdomen før eller efter operation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EE982"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10A2C"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234823A1"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395FB8"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abdomen efter fødsel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9C187"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22DE8"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22629165"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8BA531"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kæbe-ansigt ud over ansigtslammelse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D0A24"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AC989"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5ACBD828"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096A6"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Genoptræning af underekstremiteter for veneinsufficiens med ledsmerter og/eller ernæringsvanskeligheder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038AC"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AD434"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1210D4F1"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306DBE"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underekstremiteter ved arteriopati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EEB7D"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CEF9B"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6A34E00E"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C5EDE8"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halvsidig lammelse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49448"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94E13"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63BC1273"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8458EC"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af stabile eller tiltagende neurologiske lidelser, som kan omfatte diverse funktionshæmninger (muskelstyring, tonus, følsomhed, balance, koordination m.v.) ud over halvsidig lammelse og dobbeltsidig lammelse:</w:t>
            </w:r>
            <w:r>
              <w:rPr>
                <w:rFonts w:ascii="Times New Roman" w:hAnsi="Times New Roman"/>
                <w:sz w:val="24"/>
              </w:rPr>
              <w:br/>
              <w:t>– Lokalisering af funktionshæmninger i en kropsdel og dennes rod</w:t>
            </w:r>
            <w:r>
              <w:rPr>
                <w:rFonts w:ascii="Times New Roman" w:hAnsi="Times New Roman"/>
                <w:sz w:val="24"/>
              </w:rPr>
              <w:br/>
              <w:t>– Lokalisering af funktionshæmninger i to eller flere kropsdele eller en kropsdel og hele eller dele af torso og ansigt</w:t>
            </w:r>
          </w:p>
        </w:tc>
        <w:tc>
          <w:tcPr>
            <w:tcW w:w="0" w:type="auto"/>
            <w:tcBorders>
              <w:top w:val="outset" w:sz="6" w:space="0" w:color="auto"/>
              <w:left w:val="outset" w:sz="6" w:space="0" w:color="auto"/>
              <w:bottom w:val="outset" w:sz="6" w:space="0" w:color="auto"/>
              <w:right w:val="outset" w:sz="6" w:space="0" w:color="auto"/>
            </w:tcBorders>
            <w:vAlign w:val="bottom"/>
            <w:hideMark/>
          </w:tcPr>
          <w:p w14:paraId="3554156D"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8,3</w:t>
            </w:r>
            <w:r>
              <w:rPr>
                <w:rFonts w:ascii="Times New Roman" w:hAnsi="Times New Roman"/>
                <w:sz w:val="24"/>
              </w:rPr>
              <w:b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6B935"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r w:rsidR="0029241A" w:rsidRPr="0029241A" w14:paraId="57C827B2" w14:textId="77777777" w:rsidTr="0029241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1CAAB5"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 Genoptræning for obstruktive, restriktive eller blandede åndedrætssygdomme (ud over akutte situationer)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DAEEF"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CBDC0" w14:textId="77777777" w:rsidR="0029241A" w:rsidRPr="0029241A" w:rsidRDefault="0029241A" w:rsidP="0029241A">
            <w:pPr>
              <w:spacing w:after="0" w:line="240" w:lineRule="auto"/>
              <w:rPr>
                <w:rFonts w:ascii="Times New Roman" w:eastAsia="Times New Roman" w:hAnsi="Times New Roman" w:cs="Times New Roman"/>
                <w:sz w:val="24"/>
                <w:szCs w:val="24"/>
              </w:rPr>
            </w:pPr>
            <w:r>
              <w:rPr>
                <w:rFonts w:ascii="Times New Roman" w:hAnsi="Times New Roman"/>
                <w:sz w:val="24"/>
              </w:rPr>
              <w:br/>
              <w:t>AMK (lovpligtig sygeforsikring)</w:t>
            </w:r>
          </w:p>
        </w:tc>
      </w:tr>
    </w:tbl>
    <w:p w14:paraId="34A7B34D" w14:textId="77777777" w:rsidR="0029241A" w:rsidRPr="0029241A" w:rsidRDefault="0029241A" w:rsidP="0029241A">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Udfærdiget den 16. april 2020</w:t>
      </w:r>
    </w:p>
    <w:p w14:paraId="2096706F" w14:textId="77777777" w:rsidR="0029241A" w:rsidRPr="0029241A" w:rsidRDefault="0029241A" w:rsidP="0029241A">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Olivier Véran</w:t>
      </w:r>
    </w:p>
    <w:p w14:paraId="46641589" w14:textId="77777777" w:rsidR="00800EA0" w:rsidRDefault="00800EA0"/>
    <w:sectPr w:rsidR="0080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1A"/>
    <w:rsid w:val="0029241A"/>
    <w:rsid w:val="005E054E"/>
    <w:rsid w:val="00800EA0"/>
    <w:rsid w:val="00F84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50DF"/>
  <w15:chartTrackingRefBased/>
  <w15:docId w15:val="{BF422102-CB25-441A-BC1D-1C457317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0683">
      <w:bodyDiv w:val="1"/>
      <w:marLeft w:val="0"/>
      <w:marRight w:val="0"/>
      <w:marTop w:val="0"/>
      <w:marBottom w:val="0"/>
      <w:divBdr>
        <w:top w:val="none" w:sz="0" w:space="0" w:color="auto"/>
        <w:left w:val="none" w:sz="0" w:space="0" w:color="auto"/>
        <w:bottom w:val="none" w:sz="0" w:space="0" w:color="auto"/>
        <w:right w:val="none" w:sz="0" w:space="0" w:color="auto"/>
      </w:divBdr>
      <w:divsChild>
        <w:div w:id="430207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1038</Words>
  <Characters>5920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4</cp:revision>
  <dcterms:created xsi:type="dcterms:W3CDTF">2021-04-27T14:56:00Z</dcterms:created>
  <dcterms:modified xsi:type="dcterms:W3CDTF">2021-10-25T14:29:00Z</dcterms:modified>
</cp:coreProperties>
</file>