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5"/>
        <w:tblW w:w="4879" w:type="dxa"/>
        <w:tblInd w:w="-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9"/>
      </w:tblGrid>
      <w:tr w:rsidR="007A1C0C" w:rsidRPr="007A1C0C" w14:paraId="6385156C" w14:textId="77777777" w:rsidTr="007A1C0C">
        <w:tc>
          <w:tcPr>
            <w:tcW w:w="4879" w:type="dxa"/>
          </w:tcPr>
          <w:p w14:paraId="6A36C80A" w14:textId="2578441D" w:rsidR="007A1C0C" w:rsidRPr="00172C9D" w:rsidRDefault="007A1C0C" w:rsidP="00F75712">
            <w:pPr>
              <w:jc w:val="center"/>
              <w:rPr>
                <w:b/>
                <w:rFonts w:ascii="Arial" w:hAnsi="Arial" w:cs="Arial"/>
              </w:rPr>
            </w:pPr>
            <w:r>
              <w:rPr>
                <w:b/>
                <w:caps/>
                <w:rFonts w:ascii="Arial" w:hAnsi="Arial"/>
              </w:rPr>
              <w:t xml:space="preserve">FORELØBIGT UDKAST til lov, der fastsætter forskellige bestemmelser om sundhed</w:t>
            </w:r>
          </w:p>
        </w:tc>
      </w:tr>
      <w:tr w:rsidR="007A1C0C" w:rsidRPr="007A1C0C" w14:paraId="6A3DE168" w14:textId="77777777" w:rsidTr="007A1C0C">
        <w:tc>
          <w:tcPr>
            <w:tcW w:w="4879" w:type="dxa"/>
          </w:tcPr>
          <w:p w14:paraId="0393B5FE" w14:textId="77777777" w:rsidR="007A1C0C" w:rsidRPr="007A1C0C" w:rsidRDefault="007A1C0C" w:rsidP="00F75712">
            <w:pPr>
              <w:jc w:val="both"/>
              <w:rPr>
                <w:rFonts w:ascii="Arial" w:hAnsi="Arial" w:cs="Arial"/>
                <w:b/>
                <w:caps/>
                <w:lang w:val="nl-NL"/>
              </w:rPr>
            </w:pPr>
          </w:p>
        </w:tc>
      </w:tr>
      <w:tr w:rsidR="007A1C0C" w:rsidRPr="00172C9D" w14:paraId="0163EAB9" w14:textId="77777777" w:rsidTr="007A1C0C">
        <w:tc>
          <w:tcPr>
            <w:tcW w:w="4879" w:type="dxa"/>
          </w:tcPr>
          <w:p w14:paraId="62FD3636" w14:textId="77777777" w:rsidR="007A1C0C" w:rsidRPr="00172C9D" w:rsidRDefault="007A1C0C" w:rsidP="00F75712">
            <w:pPr>
              <w:jc w:val="center"/>
              <w:rPr>
                <w:b/>
                <w:rFonts w:ascii="Arial" w:hAnsi="Arial" w:cs="Arial"/>
              </w:rPr>
            </w:pPr>
            <w:r>
              <w:rPr>
                <w:caps/>
                <w:rFonts w:ascii="Arial" w:hAnsi="Arial"/>
              </w:rPr>
              <w:t xml:space="preserve">Philippe, belgiernes konge</w:t>
            </w:r>
          </w:p>
        </w:tc>
      </w:tr>
      <w:tr w:rsidR="007A1C0C" w:rsidRPr="00172C9D" w14:paraId="54B687D7" w14:textId="77777777" w:rsidTr="007A1C0C">
        <w:tc>
          <w:tcPr>
            <w:tcW w:w="4879" w:type="dxa"/>
          </w:tcPr>
          <w:p w14:paraId="71306CA8" w14:textId="77777777" w:rsidR="007A1C0C" w:rsidRPr="00172C9D" w:rsidRDefault="007A1C0C" w:rsidP="00F75712">
            <w:pPr>
              <w:jc w:val="center"/>
              <w:rPr>
                <w:rFonts w:ascii="Arial" w:hAnsi="Arial" w:cs="Arial"/>
                <w:b/>
                <w:lang w:val="nl-BE"/>
              </w:rPr>
            </w:pPr>
          </w:p>
        </w:tc>
      </w:tr>
      <w:tr w:rsidR="007A1C0C" w:rsidRPr="007A1C0C" w14:paraId="3ED8720C" w14:textId="77777777" w:rsidTr="007A1C0C">
        <w:tc>
          <w:tcPr>
            <w:tcW w:w="4879" w:type="dxa"/>
          </w:tcPr>
          <w:p w14:paraId="7986337F" w14:textId="77777777" w:rsidR="007A1C0C" w:rsidRPr="00172C9D" w:rsidRDefault="007A1C0C" w:rsidP="00F75712">
            <w:pPr>
              <w:jc w:val="center"/>
              <w:rPr>
                <w:b/>
                <w:rFonts w:ascii="Arial" w:hAnsi="Arial" w:cs="Arial"/>
              </w:rPr>
            </w:pPr>
            <w:r>
              <w:rPr>
                <w:rFonts w:ascii="Arial" w:hAnsi="Arial"/>
              </w:rPr>
              <w:t xml:space="preserve">Til alle, nu og i fremtiden,</w:t>
            </w:r>
          </w:p>
        </w:tc>
      </w:tr>
      <w:tr w:rsidR="007A1C0C" w:rsidRPr="007A1C0C" w14:paraId="1DCB7416" w14:textId="77777777" w:rsidTr="007A1C0C">
        <w:tc>
          <w:tcPr>
            <w:tcW w:w="4879" w:type="dxa"/>
          </w:tcPr>
          <w:p w14:paraId="109C093C" w14:textId="77777777" w:rsidR="007A1C0C" w:rsidRPr="007A1C0C" w:rsidRDefault="007A1C0C" w:rsidP="00F75712">
            <w:pPr>
              <w:jc w:val="center"/>
              <w:rPr>
                <w:rFonts w:ascii="Arial" w:hAnsi="Arial" w:cs="Arial"/>
                <w:b/>
                <w:lang w:val="nl-NL"/>
              </w:rPr>
            </w:pPr>
          </w:p>
        </w:tc>
      </w:tr>
      <w:tr w:rsidR="007A1C0C" w:rsidRPr="00172C9D" w14:paraId="024019ED" w14:textId="77777777" w:rsidTr="007A1C0C">
        <w:tc>
          <w:tcPr>
            <w:tcW w:w="4879" w:type="dxa"/>
          </w:tcPr>
          <w:p w14:paraId="213141BE" w14:textId="77777777" w:rsidR="007A1C0C" w:rsidRPr="00172C9D" w:rsidRDefault="007A1C0C" w:rsidP="00F75712">
            <w:pPr>
              <w:jc w:val="center"/>
              <w:rPr>
                <w:b/>
                <w:rFonts w:ascii="Arial" w:hAnsi="Arial" w:cs="Arial"/>
              </w:rPr>
            </w:pPr>
            <w:r>
              <w:rPr>
                <w:caps/>
                <w:rFonts w:ascii="Arial" w:hAnsi="Arial"/>
              </w:rPr>
              <w:t xml:space="preserve">vær hilset.</w:t>
            </w:r>
          </w:p>
        </w:tc>
      </w:tr>
      <w:tr w:rsidR="007A1C0C" w:rsidRPr="00172C9D" w14:paraId="711E0244" w14:textId="77777777" w:rsidTr="007A1C0C">
        <w:tc>
          <w:tcPr>
            <w:tcW w:w="4879" w:type="dxa"/>
          </w:tcPr>
          <w:p w14:paraId="702F3EEF" w14:textId="77777777" w:rsidR="007A1C0C" w:rsidRPr="00172C9D" w:rsidRDefault="007A1C0C" w:rsidP="00F75712">
            <w:pPr>
              <w:jc w:val="both"/>
              <w:rPr>
                <w:rFonts w:ascii="Arial" w:hAnsi="Arial" w:cs="Arial"/>
                <w:b/>
                <w:lang w:val="nl-BE"/>
              </w:rPr>
            </w:pPr>
          </w:p>
        </w:tc>
      </w:tr>
      <w:tr w:rsidR="007A1C0C" w:rsidRPr="007A1C0C" w14:paraId="3F6F020D" w14:textId="77777777" w:rsidTr="007A1C0C">
        <w:tc>
          <w:tcPr>
            <w:tcW w:w="4879" w:type="dxa"/>
          </w:tcPr>
          <w:p w14:paraId="2749E5BD" w14:textId="77777777" w:rsidR="007A1C0C" w:rsidRPr="00342454" w:rsidRDefault="007A1C0C" w:rsidP="00F75712">
            <w:pPr>
              <w:tabs>
                <w:tab w:val="left" w:pos="4468"/>
                <w:tab w:val="left" w:pos="5643"/>
                <w:tab w:val="left" w:pos="9747"/>
              </w:tabs>
              <w:spacing w:line="264" w:lineRule="auto"/>
              <w:jc w:val="both"/>
              <w:rPr>
                <w:rFonts w:ascii="Arial" w:hAnsi="Arial" w:cs="Arial"/>
              </w:rPr>
            </w:pPr>
            <w:r>
              <w:rPr>
                <w:rFonts w:ascii="Arial" w:hAnsi="Arial"/>
              </w:rPr>
              <w:t xml:space="preserve">Efter forslag fra social- og sundhedsministeren og efter råd fra ministerrådet</w:t>
            </w:r>
          </w:p>
          <w:p w14:paraId="58FF4106" w14:textId="77777777" w:rsidR="007A1C0C" w:rsidRPr="00172C9D" w:rsidRDefault="007A1C0C" w:rsidP="00F75712">
            <w:pPr>
              <w:jc w:val="both"/>
              <w:rPr>
                <w:rFonts w:ascii="Arial" w:hAnsi="Arial" w:cs="Arial"/>
                <w:b/>
                <w:lang w:val="nl-BE"/>
              </w:rPr>
            </w:pPr>
          </w:p>
        </w:tc>
      </w:tr>
      <w:tr w:rsidR="007A1C0C" w:rsidRPr="007A1C0C" w14:paraId="4978AA20" w14:textId="77777777" w:rsidTr="007A1C0C">
        <w:tc>
          <w:tcPr>
            <w:tcW w:w="4879" w:type="dxa"/>
          </w:tcPr>
          <w:p w14:paraId="5FA4340E" w14:textId="7A234A55" w:rsidR="007A1C0C" w:rsidRPr="007A26C6" w:rsidRDefault="007A1C0C" w:rsidP="007A26C6">
            <w:pPr>
              <w:tabs>
                <w:tab w:val="left" w:pos="4221"/>
                <w:tab w:val="left" w:pos="4468"/>
                <w:tab w:val="left" w:pos="5643"/>
                <w:tab w:val="left" w:pos="9747"/>
              </w:tabs>
              <w:spacing w:line="264" w:lineRule="auto"/>
              <w:jc w:val="both"/>
              <w:rPr>
                <w:b/>
                <w:caps/>
                <w:rFonts w:ascii="Arial" w:hAnsi="Arial" w:cs="Arial"/>
              </w:rPr>
            </w:pPr>
            <w:r>
              <w:rPr>
                <w:b/>
                <w:caps/>
                <w:rFonts w:ascii="Arial" w:hAnsi="Arial"/>
              </w:rPr>
              <w:t xml:space="preserve">har vi besluttet og dekreterer herved:</w:t>
            </w:r>
          </w:p>
        </w:tc>
      </w:tr>
      <w:tr w:rsidR="007A1C0C" w:rsidRPr="007A1C0C" w14:paraId="0498224B" w14:textId="77777777" w:rsidTr="007A1C0C">
        <w:tc>
          <w:tcPr>
            <w:tcW w:w="4879" w:type="dxa"/>
          </w:tcPr>
          <w:p w14:paraId="352376C0" w14:textId="2D901081" w:rsidR="007A1C0C" w:rsidRPr="00172C9D" w:rsidRDefault="007A1C0C" w:rsidP="00F75712">
            <w:pPr>
              <w:jc w:val="both"/>
              <w:rPr>
                <w:b/>
                <w:rFonts w:ascii="Arial" w:hAnsi="Arial" w:cs="Arial"/>
              </w:rPr>
            </w:pPr>
            <w:r>
              <w:rPr>
                <w:b/>
                <w:rFonts w:ascii="Arial" w:hAnsi="Arial"/>
              </w:rPr>
              <w:t xml:space="preserve">Sundhedsministeren er ansvarlig for på vores vegne at forelægge følgende lovforslag for Repræsentanternes Hus:</w:t>
            </w:r>
          </w:p>
        </w:tc>
      </w:tr>
      <w:tr w:rsidR="007A1C0C" w:rsidRPr="007A1C0C" w14:paraId="287318FB" w14:textId="77777777" w:rsidTr="007A1C0C">
        <w:tc>
          <w:tcPr>
            <w:tcW w:w="4879" w:type="dxa"/>
          </w:tcPr>
          <w:p w14:paraId="4D3B7785" w14:textId="77777777" w:rsidR="007A1C0C" w:rsidRPr="007A1C0C" w:rsidRDefault="007A1C0C" w:rsidP="00F75712">
            <w:pPr>
              <w:jc w:val="both"/>
              <w:rPr>
                <w:rFonts w:ascii="Arial" w:hAnsi="Arial" w:cs="Arial"/>
                <w:b/>
                <w:lang w:val="nl-NL"/>
              </w:rPr>
            </w:pPr>
          </w:p>
        </w:tc>
      </w:tr>
      <w:tr w:rsidR="007A1C0C" w:rsidRPr="00172C9D" w14:paraId="0CB91C55" w14:textId="77777777" w:rsidTr="007A1C0C">
        <w:tc>
          <w:tcPr>
            <w:tcW w:w="4879" w:type="dxa"/>
          </w:tcPr>
          <w:p w14:paraId="53E34825" w14:textId="59453D83" w:rsidR="007A1C0C" w:rsidRPr="003B74FE" w:rsidRDefault="007A1C0C" w:rsidP="00BB4BA3">
            <w:pPr>
              <w:jc w:val="both"/>
              <w:rPr>
                <w:b/>
                <w:rFonts w:ascii="Arial" w:hAnsi="Arial" w:cs="Arial"/>
              </w:rPr>
            </w:pPr>
            <w:r>
              <w:rPr>
                <w:b/>
                <w:rFonts w:ascii="Arial" w:hAnsi="Arial"/>
              </w:rPr>
              <w:t xml:space="preserve">Kapitel 1 — Foreløbig bestemmelse</w:t>
            </w:r>
          </w:p>
        </w:tc>
      </w:tr>
      <w:tr w:rsidR="007A1C0C" w:rsidRPr="00172C9D" w14:paraId="7E232EB9" w14:textId="77777777" w:rsidTr="007A1C0C">
        <w:tc>
          <w:tcPr>
            <w:tcW w:w="4879" w:type="dxa"/>
          </w:tcPr>
          <w:p w14:paraId="0203C351" w14:textId="77777777" w:rsidR="007A1C0C" w:rsidRPr="003B74FE" w:rsidRDefault="007A1C0C" w:rsidP="00BB4BA3">
            <w:pPr>
              <w:jc w:val="both"/>
              <w:rPr>
                <w:rFonts w:ascii="Arial" w:hAnsi="Arial" w:cs="Arial"/>
                <w:b/>
                <w:lang w:val="fr-BE"/>
              </w:rPr>
            </w:pPr>
          </w:p>
        </w:tc>
      </w:tr>
      <w:tr w:rsidR="007A1C0C" w:rsidRPr="00172C9D" w14:paraId="776BCCF0" w14:textId="77777777" w:rsidTr="007A1C0C">
        <w:tc>
          <w:tcPr>
            <w:tcW w:w="4879" w:type="dxa"/>
          </w:tcPr>
          <w:p w14:paraId="1BC67FB4" w14:textId="5E5F274C" w:rsidR="007A1C0C" w:rsidRPr="00172C9D" w:rsidRDefault="007A1C0C" w:rsidP="00BB4BA3">
            <w:pPr>
              <w:jc w:val="both"/>
              <w:rPr>
                <w:rFonts w:ascii="Arial" w:hAnsi="Arial" w:cs="Arial"/>
              </w:rPr>
            </w:pPr>
            <w:r>
              <w:rPr>
                <w:b/>
                <w:rFonts w:ascii="Arial" w:hAnsi="Arial"/>
              </w:rPr>
              <w:t xml:space="preserve">Artikel 1</w:t>
            </w:r>
            <w:r>
              <w:rPr>
                <w:b/>
                <w:rFonts w:ascii="Arial" w:hAnsi="Arial"/>
              </w:rPr>
              <w:t xml:space="preserve">.</w:t>
            </w:r>
            <w:r>
              <w:rPr>
                <w:b/>
                <w:rFonts w:ascii="Arial" w:hAnsi="Arial"/>
              </w:rPr>
              <w:t xml:space="preserve"> </w:t>
            </w:r>
            <w:r>
              <w:rPr>
                <w:rFonts w:ascii="Arial" w:hAnsi="Arial"/>
              </w:rPr>
              <w:t xml:space="preserve">Denne lov regulerer et spørgsmål, der er omhandlet i artikel 74 i den belgiske forfatning.</w:t>
            </w:r>
          </w:p>
        </w:tc>
      </w:tr>
      <w:tr w:rsidR="007A1C0C" w:rsidRPr="00172C9D" w14:paraId="3178A68E" w14:textId="77777777" w:rsidTr="007A1C0C">
        <w:tc>
          <w:tcPr>
            <w:tcW w:w="4879" w:type="dxa"/>
          </w:tcPr>
          <w:p w14:paraId="7DA2133D" w14:textId="77777777" w:rsidR="007A1C0C" w:rsidRPr="00172C9D" w:rsidRDefault="007A1C0C" w:rsidP="00BB4BA3">
            <w:pPr>
              <w:jc w:val="both"/>
              <w:rPr>
                <w:rFonts w:ascii="Arial" w:hAnsi="Arial" w:cs="Arial"/>
                <w:lang w:val="fr-BE"/>
              </w:rPr>
            </w:pPr>
          </w:p>
        </w:tc>
      </w:tr>
      <w:tr w:rsidR="007A1C0C" w:rsidRPr="00BB4BA3" w14:paraId="30FEBBA9" w14:textId="77777777" w:rsidTr="007A1C0C">
        <w:tc>
          <w:tcPr>
            <w:tcW w:w="4879" w:type="dxa"/>
          </w:tcPr>
          <w:p w14:paraId="24897CA3" w14:textId="25F4598A" w:rsidR="007A1C0C" w:rsidRPr="00BB4BA3" w:rsidRDefault="007A1C0C" w:rsidP="00BB4BA3">
            <w:pPr>
              <w:jc w:val="both"/>
              <w:rPr>
                <w:b/>
                <w:bCs/>
                <w:rFonts w:ascii="Arial" w:hAnsi="Arial" w:cs="Arial"/>
              </w:rPr>
            </w:pPr>
            <w:r>
              <w:rPr>
                <w:b/>
                <w:rFonts w:ascii="Arial" w:hAnsi="Arial"/>
              </w:rPr>
              <w:t xml:space="preserve">Kapitel 2.</w:t>
            </w:r>
            <w:r>
              <w:rPr>
                <w:b/>
                <w:rFonts w:ascii="Arial" w:hAnsi="Arial"/>
              </w:rPr>
              <w:t xml:space="preserve"> </w:t>
            </w:r>
            <w:r>
              <w:rPr>
                <w:b/>
                <w:rFonts w:ascii="Arial" w:hAnsi="Arial"/>
              </w:rPr>
              <w:t xml:space="preserve">Ændring af lov af 25. marts 1964 om lægemidler</w:t>
            </w:r>
          </w:p>
        </w:tc>
      </w:tr>
      <w:tr w:rsidR="007A1C0C" w:rsidRPr="00172C9D" w14:paraId="3A784FBE" w14:textId="77777777" w:rsidTr="007A1C0C">
        <w:tc>
          <w:tcPr>
            <w:tcW w:w="4879" w:type="dxa"/>
          </w:tcPr>
          <w:p w14:paraId="34D0A802" w14:textId="77777777" w:rsidR="007A1C0C" w:rsidRPr="00172C9D" w:rsidRDefault="007A1C0C" w:rsidP="00BB4BA3">
            <w:pPr>
              <w:jc w:val="both"/>
              <w:rPr>
                <w:rFonts w:ascii="Arial" w:hAnsi="Arial" w:cs="Arial"/>
                <w:lang w:val="nl-NL"/>
              </w:rPr>
            </w:pPr>
          </w:p>
        </w:tc>
      </w:tr>
      <w:tr w:rsidR="007A1C0C" w:rsidRPr="00172C9D" w14:paraId="45AD45DA" w14:textId="77777777" w:rsidTr="007A1C0C">
        <w:tc>
          <w:tcPr>
            <w:tcW w:w="4879" w:type="dxa"/>
          </w:tcPr>
          <w:p w14:paraId="62671ECF" w14:textId="34A80A95" w:rsidR="007A1C0C" w:rsidRPr="00172C9D" w:rsidRDefault="007A1C0C" w:rsidP="00D911E4">
            <w:pPr>
              <w:jc w:val="both"/>
              <w:rPr>
                <w:rFonts w:ascii="Arial" w:hAnsi="Arial" w:cs="Arial"/>
              </w:rPr>
            </w:pPr>
            <w:r>
              <w:rPr>
                <w:b/>
                <w:rFonts w:ascii="Arial" w:hAnsi="Arial"/>
              </w:rPr>
              <w:t xml:space="preserve">Artikel 2</w:t>
            </w:r>
            <w:r>
              <w:rPr>
                <w:rFonts w:ascii="Arial" w:hAnsi="Arial"/>
              </w:rPr>
              <w:t xml:space="preserve">. Artikel 1 i lov af 25. marts 1964 om humanmedicinske lægemidler suppleres med stk. 3, der har følgende ordlyd:</w:t>
            </w:r>
          </w:p>
        </w:tc>
      </w:tr>
      <w:tr w:rsidR="007A1C0C" w:rsidRPr="00172C9D" w14:paraId="0C48EE45" w14:textId="77777777" w:rsidTr="007A1C0C">
        <w:tc>
          <w:tcPr>
            <w:tcW w:w="4879" w:type="dxa"/>
          </w:tcPr>
          <w:p w14:paraId="6D395F8F" w14:textId="77777777" w:rsidR="007A1C0C" w:rsidRPr="00D911E4" w:rsidRDefault="007A1C0C" w:rsidP="00D911E4">
            <w:pPr>
              <w:jc w:val="both"/>
              <w:rPr>
                <w:rFonts w:ascii="Arial" w:hAnsi="Arial" w:cs="Arial"/>
                <w:lang w:val="fr-BE"/>
              </w:rPr>
            </w:pPr>
          </w:p>
        </w:tc>
      </w:tr>
      <w:tr w:rsidR="007A1C0C" w:rsidRPr="007A1C0C" w14:paraId="3DBDFA6B" w14:textId="77777777" w:rsidTr="007A1C0C">
        <w:tc>
          <w:tcPr>
            <w:tcW w:w="4879" w:type="dxa"/>
          </w:tcPr>
          <w:p w14:paraId="7C9A65E8" w14:textId="77777777" w:rsidR="007A1C0C" w:rsidRPr="00172C9D" w:rsidRDefault="007A1C0C" w:rsidP="00D911E4">
            <w:pPr>
              <w:jc w:val="both"/>
              <w:rPr>
                <w:rFonts w:ascii="Arial" w:hAnsi="Arial" w:cs="Arial"/>
              </w:rPr>
            </w:pPr>
            <w:r>
              <w:rPr>
                <w:rFonts w:ascii="Arial" w:hAnsi="Arial"/>
              </w:rPr>
              <w:t xml:space="preserve">”§ 3.</w:t>
            </w:r>
            <w:r>
              <w:rPr>
                <w:rFonts w:ascii="Arial" w:hAnsi="Arial"/>
              </w:rPr>
              <w:t xml:space="preserve"> </w:t>
            </w:r>
            <w:r>
              <w:rPr>
                <w:rFonts w:ascii="Arial" w:hAnsi="Arial"/>
              </w:rPr>
              <w:t xml:space="preserve">Med forbehold af lovgivningen om beskyttelse af industriel og kommerciel ejendomsret må et opfindelsesnavn på et lægemiddel ikke give anledning til forveksling med andre lægemidler, medicinsk udstyr eller kosttilskud og med det pågældende lægemiddels kvalitet og/eller egenskaber.</w:t>
            </w:r>
          </w:p>
        </w:tc>
      </w:tr>
      <w:tr w:rsidR="007A1C0C" w:rsidRPr="007A1C0C" w14:paraId="23D04800" w14:textId="77777777" w:rsidTr="007A1C0C">
        <w:tc>
          <w:tcPr>
            <w:tcW w:w="4879" w:type="dxa"/>
          </w:tcPr>
          <w:p w14:paraId="3C3CA6D9" w14:textId="77777777" w:rsidR="007A1C0C" w:rsidRPr="007A1C0C" w:rsidRDefault="007A1C0C" w:rsidP="00D911E4">
            <w:pPr>
              <w:jc w:val="both"/>
              <w:rPr>
                <w:rFonts w:ascii="Arial" w:hAnsi="Arial" w:cs="Arial"/>
                <w:lang w:val="nl-NL"/>
              </w:rPr>
            </w:pPr>
          </w:p>
        </w:tc>
      </w:tr>
      <w:tr w:rsidR="007A1C0C" w:rsidRPr="007A1C0C" w14:paraId="6E128FCE" w14:textId="77777777" w:rsidTr="007A1C0C">
        <w:tc>
          <w:tcPr>
            <w:tcW w:w="4879" w:type="dxa"/>
          </w:tcPr>
          <w:p w14:paraId="0866FDA6" w14:textId="77D9E78B" w:rsidR="007A1C0C" w:rsidRPr="00172C9D" w:rsidRDefault="007A1C0C" w:rsidP="00D911E4">
            <w:pPr>
              <w:jc w:val="both"/>
              <w:rPr>
                <w:rFonts w:ascii="Arial" w:hAnsi="Arial" w:cs="Arial"/>
              </w:rPr>
            </w:pPr>
            <w:r>
              <w:rPr>
                <w:rFonts w:ascii="Arial" w:hAnsi="Arial"/>
              </w:rPr>
              <w:t xml:space="preserve">§ 1 finder anvendelse på lægemidler, for hvilke der på tidspunktet for ikrafttrædelsen af artikel 2 i lov af XX XX XX om forskellige bestemmelser om sundhed endnu ikke er udstedt markedsføringstilladelse, og for lægemidler, for hvilke der er udstedt en markedsføringstilladelse for en periode på fem år eller med ubegrænset gyldighed, og for hvilke indehaveren af markedsføringstilladelsen har indgivet en ansøgning om navneændring."</w:t>
            </w:r>
          </w:p>
        </w:tc>
      </w:tr>
      <w:tr w:rsidR="007A1C0C" w:rsidRPr="007A1C0C" w14:paraId="1F285E56" w14:textId="77777777" w:rsidTr="007A1C0C">
        <w:tc>
          <w:tcPr>
            <w:tcW w:w="4879" w:type="dxa"/>
          </w:tcPr>
          <w:p w14:paraId="495D5CA1" w14:textId="77777777" w:rsidR="007A1C0C" w:rsidRPr="00810082" w:rsidRDefault="007A1C0C" w:rsidP="00D911E4">
            <w:pPr>
              <w:jc w:val="both"/>
              <w:rPr>
                <w:rFonts w:ascii="Arial" w:hAnsi="Arial" w:cs="Arial"/>
                <w:lang w:val="nl-NL"/>
              </w:rPr>
            </w:pPr>
          </w:p>
        </w:tc>
      </w:tr>
      <w:tr w:rsidR="007A1C0C" w:rsidRPr="00810082" w14:paraId="5CEA788B" w14:textId="77777777" w:rsidTr="007A1C0C">
        <w:tc>
          <w:tcPr>
            <w:tcW w:w="4879" w:type="dxa"/>
          </w:tcPr>
          <w:p w14:paraId="1424FA3E" w14:textId="7A6F783D" w:rsidR="007A1C0C" w:rsidRPr="00810082" w:rsidRDefault="007A1C0C" w:rsidP="007A26C6">
            <w:pPr>
              <w:jc w:val="both"/>
              <w:rPr>
                <w:rFonts w:ascii="Arial" w:hAnsi="Arial" w:cs="Arial"/>
              </w:rPr>
            </w:pPr>
            <w:r>
              <w:rPr>
                <w:rFonts w:ascii="Arial" w:hAnsi="Arial"/>
              </w:rPr>
              <w:t xml:space="preserve">…………………………,…………………………..</w:t>
            </w:r>
          </w:p>
        </w:tc>
      </w:tr>
      <w:tr w:rsidR="007A1C0C" w:rsidRPr="00810082" w14:paraId="703296E9" w14:textId="77777777" w:rsidTr="007A1C0C">
        <w:tc>
          <w:tcPr>
            <w:tcW w:w="4879" w:type="dxa"/>
          </w:tcPr>
          <w:p w14:paraId="2A6253D6" w14:textId="77777777" w:rsidR="007A1C0C" w:rsidRPr="00810082" w:rsidRDefault="007A1C0C" w:rsidP="007A26C6">
            <w:pPr>
              <w:jc w:val="both"/>
              <w:rPr>
                <w:rFonts w:ascii="Arial" w:hAnsi="Arial" w:cs="Arial"/>
                <w:bCs/>
                <w:lang w:val="nl-NL"/>
              </w:rPr>
            </w:pPr>
          </w:p>
        </w:tc>
      </w:tr>
      <w:tr w:rsidR="007A1C0C" w:rsidRPr="00810082" w14:paraId="750E9378" w14:textId="77777777" w:rsidTr="007A1C0C">
        <w:tc>
          <w:tcPr>
            <w:tcW w:w="4879" w:type="dxa"/>
          </w:tcPr>
          <w:p w14:paraId="593784A0" w14:textId="77777777" w:rsidR="007A1C0C" w:rsidRPr="00810082" w:rsidRDefault="007A1C0C" w:rsidP="007A26C6">
            <w:pPr>
              <w:jc w:val="both"/>
              <w:rPr>
                <w:rFonts w:ascii="Arial" w:hAnsi="Arial" w:cs="Arial"/>
                <w:bCs/>
                <w:lang w:val="nl-NL"/>
              </w:rPr>
            </w:pPr>
          </w:p>
        </w:tc>
      </w:tr>
      <w:tr w:rsidR="007A1C0C" w:rsidRPr="00810082" w14:paraId="59DF0072" w14:textId="77777777" w:rsidTr="007A1C0C">
        <w:tc>
          <w:tcPr>
            <w:tcW w:w="4879" w:type="dxa"/>
          </w:tcPr>
          <w:p w14:paraId="075BE7CB" w14:textId="77777777" w:rsidR="007A1C0C" w:rsidRPr="00810082" w:rsidRDefault="007A1C0C" w:rsidP="007A26C6">
            <w:pPr>
              <w:jc w:val="both"/>
              <w:rPr>
                <w:rFonts w:ascii="Arial" w:hAnsi="Arial" w:cs="Arial"/>
                <w:bCs/>
                <w:lang w:val="nl-NL"/>
              </w:rPr>
            </w:pPr>
          </w:p>
        </w:tc>
      </w:tr>
      <w:tr w:rsidR="007A1C0C" w:rsidRPr="00810082" w14:paraId="53CD0414" w14:textId="77777777" w:rsidTr="007A1C0C">
        <w:tc>
          <w:tcPr>
            <w:tcW w:w="4879" w:type="dxa"/>
          </w:tcPr>
          <w:p w14:paraId="45F0F41C" w14:textId="77777777" w:rsidR="007A1C0C" w:rsidRPr="00810082" w:rsidRDefault="007A1C0C" w:rsidP="007A26C6">
            <w:pPr>
              <w:jc w:val="both"/>
              <w:rPr>
                <w:rFonts w:ascii="Arial" w:hAnsi="Arial" w:cs="Arial"/>
                <w:bCs/>
                <w:lang w:val="nl-NL"/>
              </w:rPr>
            </w:pPr>
          </w:p>
        </w:tc>
      </w:tr>
      <w:tr w:rsidR="007A1C0C" w:rsidRPr="00810082" w14:paraId="7BB9F3C9" w14:textId="77777777" w:rsidTr="007A1C0C">
        <w:tc>
          <w:tcPr>
            <w:tcW w:w="4879" w:type="dxa"/>
          </w:tcPr>
          <w:p w14:paraId="5E2D31BE" w14:textId="77777777" w:rsidR="007A1C0C" w:rsidRPr="00810082" w:rsidRDefault="007A1C0C" w:rsidP="007A26C6">
            <w:pPr>
              <w:jc w:val="both"/>
              <w:rPr>
                <w:rFonts w:ascii="Arial" w:hAnsi="Arial" w:cs="Arial"/>
                <w:bCs/>
                <w:lang w:val="nl-NL"/>
              </w:rPr>
            </w:pPr>
          </w:p>
        </w:tc>
      </w:tr>
      <w:tr w:rsidR="007A1C0C" w:rsidRPr="00810082" w14:paraId="579CC639" w14:textId="77777777" w:rsidTr="007A1C0C">
        <w:tc>
          <w:tcPr>
            <w:tcW w:w="4879" w:type="dxa"/>
          </w:tcPr>
          <w:p w14:paraId="4142BCD3" w14:textId="77777777" w:rsidR="007A1C0C" w:rsidRPr="00810082" w:rsidRDefault="007A1C0C" w:rsidP="007A26C6">
            <w:pPr>
              <w:jc w:val="both"/>
              <w:rPr>
                <w:rFonts w:ascii="Arial" w:hAnsi="Arial" w:cs="Arial"/>
                <w:bCs/>
                <w:lang w:val="nl-NL"/>
              </w:rPr>
            </w:pPr>
          </w:p>
        </w:tc>
      </w:tr>
      <w:tr w:rsidR="007A1C0C" w:rsidRPr="00810082" w14:paraId="1C0747CF" w14:textId="77777777" w:rsidTr="007A1C0C">
        <w:tc>
          <w:tcPr>
            <w:tcW w:w="4879" w:type="dxa"/>
          </w:tcPr>
          <w:p w14:paraId="1F312181" w14:textId="5E45E3A6" w:rsidR="007A1C0C" w:rsidRPr="00810082" w:rsidRDefault="007A1C0C" w:rsidP="007A26C6">
            <w:pPr>
              <w:jc w:val="both"/>
              <w:rPr>
                <w:bCs/>
                <w:rFonts w:ascii="Arial" w:hAnsi="Arial" w:cs="Arial"/>
              </w:rPr>
            </w:pPr>
            <w:r>
              <w:rPr>
                <w:rFonts w:ascii="Arial" w:hAnsi="Arial"/>
              </w:rPr>
              <w:t xml:space="preserve">For kongen:</w:t>
            </w:r>
          </w:p>
        </w:tc>
      </w:tr>
      <w:tr w:rsidR="007A1C0C" w:rsidRPr="00810082" w14:paraId="4EFFE94C" w14:textId="77777777" w:rsidTr="007A1C0C">
        <w:tc>
          <w:tcPr>
            <w:tcW w:w="4879" w:type="dxa"/>
          </w:tcPr>
          <w:p w14:paraId="371AE9C8" w14:textId="1E667BF8" w:rsidR="007A1C0C" w:rsidRPr="00810082" w:rsidRDefault="007A1C0C" w:rsidP="007A26C6">
            <w:pPr>
              <w:jc w:val="both"/>
              <w:rPr>
                <w:bCs/>
                <w:rFonts w:ascii="Arial" w:hAnsi="Arial" w:cs="Arial"/>
              </w:rPr>
            </w:pPr>
            <w:r>
              <w:rPr>
                <w:rFonts w:ascii="Arial" w:hAnsi="Arial"/>
              </w:rPr>
              <w:t xml:space="preserve">Ministeren for offentlig sundhed</w:t>
            </w:r>
            <w:r>
              <w:rPr>
                <w:rFonts w:ascii="Arial" w:hAnsi="Arial"/>
              </w:rPr>
              <w:t xml:space="preserve"> </w:t>
            </w:r>
          </w:p>
        </w:tc>
      </w:tr>
      <w:tr w:rsidR="007A1C0C" w:rsidRPr="00810082" w14:paraId="185EEFAC" w14:textId="77777777" w:rsidTr="007A1C0C">
        <w:tc>
          <w:tcPr>
            <w:tcW w:w="4879" w:type="dxa"/>
          </w:tcPr>
          <w:p w14:paraId="6F199183" w14:textId="77777777" w:rsidR="007A1C0C" w:rsidRPr="00810082" w:rsidRDefault="007A1C0C" w:rsidP="007A26C6">
            <w:pPr>
              <w:jc w:val="both"/>
              <w:rPr>
                <w:rFonts w:ascii="Arial" w:hAnsi="Arial" w:cs="Arial"/>
                <w:bCs/>
                <w:lang w:val="fr-BE"/>
              </w:rPr>
            </w:pPr>
          </w:p>
        </w:tc>
      </w:tr>
      <w:tr w:rsidR="003714C3" w:rsidRPr="00810082" w14:paraId="7949E049" w14:textId="77777777" w:rsidTr="007A1C0C">
        <w:tc>
          <w:tcPr>
            <w:tcW w:w="4879" w:type="dxa"/>
          </w:tcPr>
          <w:p w14:paraId="0199832C" w14:textId="77777777" w:rsidR="003714C3" w:rsidRPr="00810082" w:rsidRDefault="003714C3" w:rsidP="007A26C6">
            <w:pPr>
              <w:jc w:val="both"/>
              <w:rPr>
                <w:rFonts w:ascii="Arial" w:hAnsi="Arial" w:cs="Arial"/>
                <w:bCs/>
                <w:lang w:val="fr-BE"/>
              </w:rPr>
            </w:pPr>
          </w:p>
        </w:tc>
      </w:tr>
      <w:tr w:rsidR="007A1C0C" w:rsidRPr="00810082" w14:paraId="75C850CB" w14:textId="77777777" w:rsidTr="007A1C0C">
        <w:tc>
          <w:tcPr>
            <w:tcW w:w="4879" w:type="dxa"/>
          </w:tcPr>
          <w:p w14:paraId="4D68CFC9" w14:textId="77777777" w:rsidR="007A1C0C" w:rsidRPr="00810082" w:rsidRDefault="007A1C0C" w:rsidP="007A26C6">
            <w:pPr>
              <w:jc w:val="both"/>
              <w:rPr>
                <w:rFonts w:ascii="Arial" w:hAnsi="Arial" w:cs="Arial"/>
                <w:bCs/>
                <w:lang w:val="fr-BE"/>
              </w:rPr>
            </w:pPr>
          </w:p>
        </w:tc>
      </w:tr>
      <w:tr w:rsidR="007A1C0C" w:rsidRPr="00810082" w14:paraId="1A206EA0" w14:textId="77777777" w:rsidTr="007A1C0C">
        <w:tc>
          <w:tcPr>
            <w:tcW w:w="4879" w:type="dxa"/>
          </w:tcPr>
          <w:p w14:paraId="7D50B520" w14:textId="5185FF4B" w:rsidR="007A1C0C" w:rsidRPr="00810082" w:rsidRDefault="007A1C0C" w:rsidP="007A26C6">
            <w:pPr>
              <w:jc w:val="both"/>
              <w:rPr>
                <w:bCs/>
                <w:rFonts w:ascii="Arial" w:hAnsi="Arial" w:cs="Arial"/>
              </w:rPr>
            </w:pPr>
            <w:r>
              <w:rPr>
                <w:rFonts w:ascii="Arial" w:hAnsi="Arial"/>
              </w:rPr>
              <w:t xml:space="preserve">Frank VANDENBROUCKE</w:t>
            </w:r>
          </w:p>
        </w:tc>
      </w:tr>
    </w:tbl>
    <w:p w14:paraId="6F6F085E" w14:textId="77777777" w:rsidR="00B530DB" w:rsidRPr="00810082" w:rsidRDefault="00475772">
      <w:pPr>
        <w:rPr>
          <w:rFonts w:ascii="Arial" w:hAnsi="Arial" w:cs="Arial"/>
          <w:lang w:val="fr-BE"/>
        </w:rPr>
      </w:pPr>
    </w:p>
    <w:sectPr w:rsidR="00B530DB" w:rsidRPr="008100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FE"/>
    <w:rsid w:val="00132058"/>
    <w:rsid w:val="003714C3"/>
    <w:rsid w:val="003B74FE"/>
    <w:rsid w:val="00475772"/>
    <w:rsid w:val="00553E05"/>
    <w:rsid w:val="006B3226"/>
    <w:rsid w:val="007A1C0C"/>
    <w:rsid w:val="007A26C6"/>
    <w:rsid w:val="00810082"/>
    <w:rsid w:val="00BB4BA3"/>
    <w:rsid w:val="00CC10F1"/>
    <w:rsid w:val="00D17A11"/>
    <w:rsid w:val="00D911E4"/>
    <w:rsid w:val="00DC471E"/>
    <w:rsid w:val="00F0032D"/>
    <w:rsid w:val="00FE3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EF99"/>
  <w15:chartTrackingRefBased/>
  <w15:docId w15:val="{82654687-C861-40E8-A132-342D4352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F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elraster5">
    <w:name w:val="Tabelraster5"/>
    <w:basedOn w:val="TableauNormal"/>
    <w:next w:val="Grilledutableau"/>
    <w:uiPriority w:val="39"/>
    <w:rsid w:val="003B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3B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B74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74FE"/>
    <w:rPr>
      <w:rFonts w:ascii="Segoe UI" w:hAnsi="Segoe UI" w:cs="Segoe UI"/>
      <w:sz w:val="18"/>
      <w:szCs w:val="18"/>
    </w:rPr>
  </w:style>
  <w:style w:type="character" w:styleId="Marquedecommentaire">
    <w:name w:val="annotation reference"/>
    <w:basedOn w:val="Policepardfaut"/>
    <w:uiPriority w:val="99"/>
    <w:unhideWhenUsed/>
    <w:rsid w:val="003B74FE"/>
    <w:rPr>
      <w:sz w:val="16"/>
      <w:szCs w:val="16"/>
    </w:rPr>
  </w:style>
  <w:style w:type="paragraph" w:styleId="Commentaire">
    <w:name w:val="annotation text"/>
    <w:basedOn w:val="Normal"/>
    <w:link w:val="CommentaireCar"/>
    <w:uiPriority w:val="99"/>
    <w:unhideWhenUsed/>
    <w:rsid w:val="003B74FE"/>
    <w:pPr>
      <w:spacing w:line="240" w:lineRule="auto"/>
    </w:pPr>
    <w:rPr>
      <w:sz w:val="20"/>
      <w:szCs w:val="20"/>
    </w:rPr>
  </w:style>
  <w:style w:type="character" w:customStyle="1" w:styleId="CommentaireCar">
    <w:name w:val="Commentaire Car"/>
    <w:basedOn w:val="Policepardfaut"/>
    <w:link w:val="Commentaire"/>
    <w:uiPriority w:val="99"/>
    <w:rsid w:val="003B74FE"/>
    <w:rPr>
      <w:sz w:val="20"/>
      <w:szCs w:val="20"/>
    </w:rPr>
  </w:style>
  <w:style w:type="paragraph" w:styleId="PrformatHTML">
    <w:name w:val="HTML Preformatted"/>
    <w:basedOn w:val="Normal"/>
    <w:link w:val="PrformatHTMLCar"/>
    <w:uiPriority w:val="99"/>
    <w:semiHidden/>
    <w:unhideWhenUsed/>
    <w:rsid w:val="00132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a-DK" w:eastAsia="fr-BE"/>
    </w:rPr>
  </w:style>
  <w:style w:type="character" w:customStyle="1" w:styleId="PrformatHTMLCar">
    <w:name w:val="Préformaté HTML Car"/>
    <w:basedOn w:val="Policepardfaut"/>
    <w:link w:val="PrformatHTML"/>
    <w:uiPriority w:val="99"/>
    <w:semiHidden/>
    <w:rsid w:val="00132058"/>
    <w:rPr>
      <w:rFonts w:ascii="Courier New" w:eastAsia="Times New Roman" w:hAnsi="Courier New" w:cs="Courier New"/>
      <w:sz w:val="20"/>
      <w:szCs w:val="20"/>
      <w:lang w:val="da-DK"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59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1444</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Goossens (FAGG - AFMPS)</dc:creator>
  <cp:keywords/>
  <dc:description/>
  <cp:lastModifiedBy>Laurent Wenkin (FOD Economie - SPF Economie)</cp:lastModifiedBy>
  <cp:revision>2</cp:revision>
  <dcterms:created xsi:type="dcterms:W3CDTF">2022-03-17T15:47:00Z</dcterms:created>
  <dcterms:modified xsi:type="dcterms:W3CDTF">2022-03-17T15:47:00Z</dcterms:modified>
</cp:coreProperties>
</file>