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D499" w14:textId="77777777" w:rsidR="001D3DA3" w:rsidRDefault="00AD598F" w:rsidP="008D3E19">
      <w:pPr>
        <w:pStyle w:val="NoSpacing"/>
        <w:spacing w:line="276" w:lineRule="auto"/>
      </w:pPr>
      <w:r>
        <w:t>Minister Opieki Medycznej,</w:t>
      </w:r>
    </w:p>
    <w:p w14:paraId="4277AAE7" w14:textId="0746FA92" w:rsidR="001D3DA3" w:rsidRDefault="00AD598F" w:rsidP="008D3E19">
      <w:pPr>
        <w:pStyle w:val="NoSpacing"/>
        <w:spacing w:line="276" w:lineRule="auto"/>
        <w:rPr>
          <w:color w:val="000000" w:themeColor="text1"/>
        </w:rPr>
      </w:pPr>
      <w:r>
        <w:t xml:space="preserve"> </w:t>
      </w:r>
      <w:r>
        <w:br/>
        <w:t xml:space="preserve">uwzględniając: </w:t>
      </w:r>
      <w:r>
        <w:br/>
      </w:r>
    </w:p>
    <w:p w14:paraId="5EC1E4DA" w14:textId="77777777" w:rsidR="00BD77BD" w:rsidRDefault="00BD77BD" w:rsidP="00BD77BD">
      <w:pPr>
        <w:pStyle w:val="ListParagraph"/>
        <w:numPr>
          <w:ilvl w:val="0"/>
          <w:numId w:val="26"/>
        </w:numPr>
        <w:autoSpaceDN/>
        <w:spacing w:line="276" w:lineRule="auto"/>
        <w:textAlignment w:val="auto"/>
      </w:pPr>
      <w:r>
        <w:t>artykuły 36 i 38 rozporządzenia Parlamentu Europejskiego i Rady (UE) nr 1169/2011 z dnia 25 października 2011 r. w sprawie przekazywania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 (Dz.U. 2011 L 304);</w:t>
      </w:r>
    </w:p>
    <w:p w14:paraId="4F7579B4" w14:textId="00829AA7" w:rsidR="00BD77BD" w:rsidRDefault="00BD77BD" w:rsidP="00BD77BD">
      <w:pPr>
        <w:pStyle w:val="ListParagraph"/>
        <w:numPr>
          <w:ilvl w:val="0"/>
          <w:numId w:val="26"/>
        </w:numPr>
        <w:autoSpaceDN/>
        <w:spacing w:line="276" w:lineRule="auto"/>
        <w:textAlignment w:val="auto"/>
      </w:pPr>
      <w:r>
        <w:t>artykuły 8 i 23 rozporządzenia (WE) nr 1924/2006 Parlamentu Europejskiego i Rady z dnia 20 grudnia 2006 r. w sprawie oświadczeń żywieniowych i zdrowotnych dotyczących żywności (Dz.U. 2006 L 404);</w:t>
      </w:r>
    </w:p>
    <w:p w14:paraId="2D73B211" w14:textId="2E98BB2D" w:rsidR="00BD77BD" w:rsidRPr="00BD77BD" w:rsidRDefault="00BD77BD" w:rsidP="00BD77BD">
      <w:pPr>
        <w:pStyle w:val="NoSpacing"/>
        <w:numPr>
          <w:ilvl w:val="0"/>
          <w:numId w:val="26"/>
        </w:numPr>
        <w:spacing w:line="276" w:lineRule="auto"/>
        <w:rPr>
          <w:color w:val="000000" w:themeColor="text1"/>
        </w:rPr>
      </w:pPr>
      <w:r>
        <w:t>art. 11; akapity pierwszy i trzeci dekretu do ustawy o towarach w zakresie informacji o żywności;</w:t>
      </w:r>
    </w:p>
    <w:p w14:paraId="4A14CCD7" w14:textId="77777777" w:rsidR="00BD77BD" w:rsidRDefault="00BD77BD" w:rsidP="008D3E19">
      <w:pPr>
        <w:pStyle w:val="NoSpacing"/>
        <w:spacing w:line="276" w:lineRule="auto"/>
      </w:pPr>
    </w:p>
    <w:p w14:paraId="03E4380A" w14:textId="77777777" w:rsidR="001D3DA3" w:rsidRDefault="00AD598F" w:rsidP="008D3E19">
      <w:pPr>
        <w:pStyle w:val="NoSpacing"/>
        <w:spacing w:line="276" w:lineRule="auto"/>
      </w:pPr>
      <w:r>
        <w:t> </w:t>
      </w:r>
    </w:p>
    <w:p w14:paraId="65467C1F" w14:textId="77777777" w:rsidR="001D3DA3" w:rsidRDefault="00AD598F" w:rsidP="008D3E19">
      <w:pPr>
        <w:pStyle w:val="NoSpacing"/>
        <w:spacing w:line="276" w:lineRule="auto"/>
      </w:pPr>
      <w:r>
        <w:t>niniejszym zarządza, co następuje:</w:t>
      </w:r>
    </w:p>
    <w:p w14:paraId="5C149CB5" w14:textId="77777777" w:rsidR="001D3DA3" w:rsidRDefault="00AD598F" w:rsidP="008D3E19">
      <w:pPr>
        <w:pStyle w:val="NoSpacing"/>
        <w:spacing w:line="276" w:lineRule="auto"/>
      </w:pPr>
      <w:r>
        <w:t> </w:t>
      </w:r>
    </w:p>
    <w:p w14:paraId="1DCCB7BA" w14:textId="77777777" w:rsidR="00EE25A3" w:rsidRDefault="00CB0E9D" w:rsidP="008D3E19">
      <w:pPr>
        <w:pStyle w:val="NoSpacing"/>
        <w:spacing w:line="276" w:lineRule="auto"/>
        <w:rPr>
          <w:color w:val="000000" w:themeColor="text1"/>
        </w:rPr>
      </w:pPr>
      <w:r>
        <w:rPr>
          <w:b/>
        </w:rPr>
        <w:t>Artykuł 1</w:t>
      </w:r>
    </w:p>
    <w:p w14:paraId="51B12A98" w14:textId="77777777" w:rsidR="00EE25A3" w:rsidRDefault="00EE25A3" w:rsidP="008D3E19">
      <w:pPr>
        <w:pStyle w:val="NoSpacing"/>
        <w:spacing w:line="276" w:lineRule="auto"/>
        <w:rPr>
          <w:color w:val="000000" w:themeColor="text1"/>
        </w:rPr>
      </w:pPr>
    </w:p>
    <w:p w14:paraId="14BBE2C3" w14:textId="77777777" w:rsidR="00CB0E9D" w:rsidRPr="00EE25A3" w:rsidRDefault="00CB0E9D" w:rsidP="008D3E19">
      <w:pPr>
        <w:pStyle w:val="NoSpacing"/>
        <w:spacing w:line="276" w:lineRule="auto"/>
      </w:pPr>
      <w:r>
        <w:rPr>
          <w:color w:val="000000" w:themeColor="text1"/>
        </w:rPr>
        <w:t>W niniejszym rozporządzeniu stosuje się następujące terminy i definicje:</w:t>
      </w:r>
    </w:p>
    <w:p w14:paraId="5CF05977" w14:textId="38C5D6EC" w:rsidR="00EE25A3" w:rsidRDefault="004126C3" w:rsidP="00D83FCC">
      <w:pPr>
        <w:pStyle w:val="NoSpacing"/>
        <w:spacing w:line="276" w:lineRule="auto"/>
        <w:rPr>
          <w:color w:val="000000" w:themeColor="text1"/>
        </w:rPr>
      </w:pPr>
      <w:r>
        <w:rPr>
          <w:i/>
          <w:color w:val="000000" w:themeColor="text1"/>
        </w:rPr>
        <w:br/>
        <w:t xml:space="preserve">Nutri-Score: </w:t>
      </w:r>
      <w:r>
        <w:rPr>
          <w:color w:val="000000" w:themeColor="text1"/>
        </w:rPr>
        <w:t>Unijny znak towarowy zarejestrowany w Urzędzie Unii Europejskiej ds. Własności Intelektualnej przez Santé publique France (l’agence nationale de santé publique);</w:t>
      </w:r>
      <w:r>
        <w:rPr>
          <w:i/>
          <w:color w:val="000000" w:themeColor="text1"/>
        </w:rPr>
        <w:br/>
      </w:r>
      <w:r>
        <w:rPr>
          <w:i/>
          <w:iCs/>
        </w:rPr>
        <w:t>warunki stosowania</w:t>
      </w:r>
      <w:r>
        <w:t xml:space="preserve">: zasady korzystania z Nutri-Score, opublikowane dnia </w:t>
      </w:r>
      <w:r>
        <w:rPr>
          <w:b/>
        </w:rPr>
        <w:t>P.M</w:t>
      </w:r>
      <w:r>
        <w:t>, zatytułowane „Warunki korzystania z logo Nutri-Score, wersja z 10 lipca 2020 r.“.</w:t>
      </w:r>
    </w:p>
    <w:p w14:paraId="5A2C51D8" w14:textId="77777777" w:rsidR="008E3830" w:rsidRPr="00F00BDC" w:rsidRDefault="008E3830" w:rsidP="008D3E19">
      <w:pPr>
        <w:pStyle w:val="NoSpacing"/>
        <w:spacing w:line="276" w:lineRule="auto"/>
        <w:rPr>
          <w:color w:val="000000" w:themeColor="text1"/>
        </w:rPr>
      </w:pPr>
    </w:p>
    <w:p w14:paraId="59206417" w14:textId="77777777" w:rsidR="00CB0E9D" w:rsidRPr="00F00BDC" w:rsidRDefault="00CB0E9D" w:rsidP="008D3E19">
      <w:pPr>
        <w:pStyle w:val="NoSpacing"/>
        <w:spacing w:line="276" w:lineRule="auto"/>
        <w:rPr>
          <w:b/>
          <w:color w:val="000000" w:themeColor="text1"/>
          <w:kern w:val="2"/>
        </w:rPr>
      </w:pPr>
      <w:r>
        <w:rPr>
          <w:b/>
          <w:color w:val="000000" w:themeColor="text1"/>
        </w:rPr>
        <w:t>Artykuł 2</w:t>
      </w:r>
    </w:p>
    <w:p w14:paraId="3122E91A" w14:textId="48F9899F" w:rsidR="00EE25A3" w:rsidRDefault="00A17BBC" w:rsidP="008D3E19">
      <w:pPr>
        <w:pStyle w:val="NoSpacing"/>
        <w:spacing w:line="276" w:lineRule="auto"/>
        <w:rPr>
          <w:color w:val="000000" w:themeColor="text1"/>
          <w:kern w:val="2"/>
        </w:rPr>
      </w:pPr>
      <w:r>
        <w:rPr>
          <w:color w:val="000000" w:themeColor="text1"/>
        </w:rPr>
        <w:br/>
        <w:t>Logo Nutri-Score i warunki jego stosowania powinny być oznaczone jako logo ułatwiające wybór żywności.</w:t>
      </w:r>
      <w:r>
        <w:rPr>
          <w:color w:val="000000" w:themeColor="text1"/>
        </w:rPr>
        <w:br/>
      </w:r>
    </w:p>
    <w:p w14:paraId="235544F7" w14:textId="77777777" w:rsidR="0040278F" w:rsidRPr="003B06DE" w:rsidRDefault="0040278F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19438C41" w14:textId="77777777" w:rsidR="00CB0E9D" w:rsidRPr="003B06DE" w:rsidRDefault="00087490" w:rsidP="008D3E19">
      <w:pPr>
        <w:pStyle w:val="NoSpacing"/>
        <w:spacing w:line="276" w:lineRule="auto"/>
        <w:rPr>
          <w:color w:val="000000" w:themeColor="text1"/>
          <w:kern w:val="2"/>
        </w:rPr>
      </w:pPr>
      <w:r>
        <w:rPr>
          <w:b/>
          <w:color w:val="000000" w:themeColor="text1"/>
        </w:rPr>
        <w:t>Artykuł 3</w:t>
      </w:r>
    </w:p>
    <w:p w14:paraId="4F6848E4" w14:textId="77777777" w:rsidR="00CB0E9D" w:rsidRPr="003B06DE" w:rsidRDefault="00CB0E9D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6EC14444" w14:textId="00E19AD1" w:rsidR="008D3E19" w:rsidRDefault="008D3E19" w:rsidP="008D3E19">
      <w:pPr>
        <w:pStyle w:val="NoSpacing"/>
        <w:spacing w:line="276" w:lineRule="auto"/>
        <w:rPr>
          <w:color w:val="000000" w:themeColor="text1"/>
          <w:kern w:val="2"/>
        </w:rPr>
      </w:pPr>
      <w:r>
        <w:t xml:space="preserve">Niniejsze porozumienie wchodzi w życie ze skutkiem od dnia </w:t>
      </w:r>
      <w:r>
        <w:rPr>
          <w:b/>
        </w:rPr>
        <w:t>P.M.</w:t>
      </w:r>
    </w:p>
    <w:p w14:paraId="0764E50F" w14:textId="77777777" w:rsidR="00EE25A3" w:rsidRDefault="00EE25A3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44B429C5" w14:textId="77777777" w:rsidR="0040278F" w:rsidRDefault="0040278F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4EB342AE" w14:textId="77777777" w:rsidR="008D3E19" w:rsidRPr="00EE25A3" w:rsidRDefault="008D3E19" w:rsidP="008D3E19">
      <w:pPr>
        <w:pStyle w:val="NoSpacing"/>
        <w:spacing w:line="276" w:lineRule="auto"/>
        <w:rPr>
          <w:b/>
          <w:color w:val="000000" w:themeColor="text1"/>
          <w:kern w:val="2"/>
        </w:rPr>
      </w:pPr>
      <w:r>
        <w:rPr>
          <w:b/>
          <w:color w:val="000000" w:themeColor="text1"/>
        </w:rPr>
        <w:t>Artykuł 4</w:t>
      </w:r>
    </w:p>
    <w:p w14:paraId="4E11FE6D" w14:textId="77777777" w:rsidR="00EE25A3" w:rsidRDefault="00EE25A3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235A870C" w14:textId="77777777" w:rsidR="00CB0E9D" w:rsidRDefault="008D3E19" w:rsidP="008D3E19">
      <w:pPr>
        <w:pStyle w:val="NoSpacing"/>
        <w:spacing w:line="276" w:lineRule="auto"/>
        <w:rPr>
          <w:color w:val="000000" w:themeColor="text1"/>
          <w:kern w:val="2"/>
        </w:rPr>
      </w:pPr>
      <w:r>
        <w:rPr>
          <w:color w:val="000000" w:themeColor="text1"/>
        </w:rPr>
        <w:t>Niniejsza decyzja ma być przywoływana jako: Przepisy prawa towarowego w sprawie przyjęcia logo ułatwiającego wybór żywności.</w:t>
      </w:r>
    </w:p>
    <w:p w14:paraId="62FB9CF7" w14:textId="77777777" w:rsidR="00A86455" w:rsidRDefault="00A86455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69C1A61D" w14:textId="77777777" w:rsidR="00CB0E9D" w:rsidRPr="003B06DE" w:rsidRDefault="00A86455" w:rsidP="008D3E19">
      <w:pPr>
        <w:pStyle w:val="NoSpacing"/>
        <w:spacing w:line="276" w:lineRule="auto"/>
        <w:rPr>
          <w:color w:val="000000" w:themeColor="text1"/>
          <w:kern w:val="2"/>
        </w:rPr>
      </w:pPr>
      <w:r>
        <w:rPr>
          <w:color w:val="000000" w:themeColor="text1"/>
        </w:rPr>
        <w:t>Niniejsze przepisy i noty wyjaśniające zostaną opublikowane w Dzienniku Urzędowym.</w:t>
      </w:r>
    </w:p>
    <w:p w14:paraId="450EA670" w14:textId="77777777" w:rsidR="00CB0E9D" w:rsidRPr="003B06DE" w:rsidRDefault="00CB0E9D" w:rsidP="008D3E19">
      <w:pPr>
        <w:pStyle w:val="NoSpacing"/>
        <w:spacing w:line="276" w:lineRule="auto"/>
        <w:rPr>
          <w:color w:val="000000" w:themeColor="text1"/>
          <w:kern w:val="2"/>
        </w:rPr>
      </w:pPr>
    </w:p>
    <w:p w14:paraId="5E13F2D9" w14:textId="77777777" w:rsidR="00CB0E9D" w:rsidRDefault="00CB0E9D" w:rsidP="008D3E19">
      <w:pPr>
        <w:pStyle w:val="NoSpacing"/>
        <w:spacing w:line="276" w:lineRule="auto"/>
      </w:pPr>
    </w:p>
    <w:p w14:paraId="3E5858B5" w14:textId="77777777" w:rsidR="0040278F" w:rsidRDefault="0040278F" w:rsidP="008D3E19">
      <w:pPr>
        <w:pStyle w:val="NoSpacing"/>
        <w:spacing w:line="276" w:lineRule="auto"/>
      </w:pPr>
    </w:p>
    <w:p w14:paraId="5E4FE47B" w14:textId="77777777" w:rsidR="001D3DA3" w:rsidRDefault="00972418" w:rsidP="008D3E19">
      <w:pPr>
        <w:pStyle w:val="NoSpacing"/>
        <w:spacing w:line="276" w:lineRule="auto"/>
      </w:pPr>
      <w:r>
        <w:t>Minister Opieki Medycznej,</w:t>
      </w:r>
    </w:p>
    <w:p w14:paraId="39FD1C86" w14:textId="77777777" w:rsidR="001D3DA3" w:rsidRDefault="001D3DA3" w:rsidP="008D3E19">
      <w:pPr>
        <w:pStyle w:val="NoSpacing"/>
        <w:spacing w:line="276" w:lineRule="auto"/>
      </w:pPr>
    </w:p>
    <w:p w14:paraId="3E3C125A" w14:textId="77777777" w:rsidR="001D3DA3" w:rsidRDefault="001D3DA3" w:rsidP="008D3E19">
      <w:pPr>
        <w:pStyle w:val="NoSpacing"/>
        <w:spacing w:line="276" w:lineRule="auto"/>
      </w:pPr>
    </w:p>
    <w:p w14:paraId="2198E016" w14:textId="77777777" w:rsidR="001D3DA3" w:rsidRDefault="001D3DA3" w:rsidP="008D3E19">
      <w:pPr>
        <w:pStyle w:val="NoSpacing"/>
        <w:spacing w:line="276" w:lineRule="auto"/>
      </w:pPr>
    </w:p>
    <w:p w14:paraId="00D97A39" w14:textId="77777777" w:rsidR="001D3DA3" w:rsidRDefault="001D3DA3" w:rsidP="008D3E19">
      <w:pPr>
        <w:pStyle w:val="NoSpacing"/>
        <w:spacing w:line="276" w:lineRule="auto"/>
      </w:pPr>
    </w:p>
    <w:p w14:paraId="32328219" w14:textId="77777777" w:rsidR="001D3DA3" w:rsidRDefault="00922266" w:rsidP="008D3E19">
      <w:pPr>
        <w:pStyle w:val="NoSpacing"/>
        <w:spacing w:line="276" w:lineRule="auto"/>
      </w:pPr>
      <w:r>
        <w:t>T. van Ark</w:t>
      </w:r>
    </w:p>
    <w:p w14:paraId="56B5C50F" w14:textId="77777777" w:rsidR="0068359E" w:rsidRDefault="0068359E" w:rsidP="008D3E19">
      <w:pPr>
        <w:pStyle w:val="NoSpacing"/>
        <w:spacing w:line="276" w:lineRule="auto"/>
      </w:pPr>
    </w:p>
    <w:p w14:paraId="1655BCD6" w14:textId="77777777" w:rsidR="003670DB" w:rsidRDefault="003670DB" w:rsidP="008D3E19">
      <w:pPr>
        <w:pStyle w:val="NoSpacing"/>
        <w:spacing w:line="276" w:lineRule="auto"/>
        <w:rPr>
          <w:b/>
          <w:bCs/>
        </w:rPr>
      </w:pPr>
      <w:r>
        <w:br w:type="page"/>
      </w:r>
    </w:p>
    <w:p w14:paraId="7A0310FC" w14:textId="77777777" w:rsidR="007374B7" w:rsidRDefault="00CE650A" w:rsidP="008D3E19">
      <w:pPr>
        <w:pStyle w:val="NoSpacing"/>
        <w:spacing w:line="276" w:lineRule="auto"/>
        <w:rPr>
          <w:b/>
          <w:bCs/>
        </w:rPr>
      </w:pPr>
      <w:r>
        <w:rPr>
          <w:b/>
        </w:rPr>
        <w:lastRenderedPageBreak/>
        <w:t>NOTA WYJAŚNIAJĄCA</w:t>
      </w:r>
      <w:r>
        <w:rPr>
          <w:b/>
        </w:rPr>
        <w:br/>
      </w:r>
    </w:p>
    <w:p w14:paraId="62AF9EB0" w14:textId="77777777" w:rsidR="007374B7" w:rsidRPr="007374B7" w:rsidRDefault="007374B7" w:rsidP="008D3E19">
      <w:pPr>
        <w:pStyle w:val="NoSpacing"/>
        <w:spacing w:line="276" w:lineRule="auto"/>
        <w:rPr>
          <w:b/>
          <w:bCs/>
        </w:rPr>
      </w:pPr>
      <w:r>
        <w:rPr>
          <w:b/>
        </w:rPr>
        <w:t>1. Informacje ogólne</w:t>
      </w:r>
    </w:p>
    <w:p w14:paraId="522F9288" w14:textId="42F9642B" w:rsidR="00CE650A" w:rsidRDefault="00D83FCC" w:rsidP="00D83FCC">
      <w:pPr>
        <w:pStyle w:val="NoSpacing"/>
        <w:spacing w:line="276" w:lineRule="auto"/>
        <w:rPr>
          <w:i/>
        </w:rPr>
      </w:pPr>
      <w:r>
        <w:rPr>
          <w:i/>
        </w:rPr>
        <w:br/>
        <w:t>Uzasadnienie</w:t>
      </w:r>
    </w:p>
    <w:p w14:paraId="061545D9" w14:textId="77777777" w:rsidR="00CE650A" w:rsidRDefault="00CE650A" w:rsidP="008D3E19">
      <w:pPr>
        <w:pStyle w:val="NoSpacing"/>
        <w:spacing w:line="276" w:lineRule="auto"/>
        <w:rPr>
          <w:i/>
        </w:rPr>
      </w:pPr>
    </w:p>
    <w:p w14:paraId="79255285" w14:textId="29306F1B" w:rsidR="007374B7" w:rsidRDefault="000E5170" w:rsidP="008D3E19">
      <w:pPr>
        <w:pStyle w:val="NoSpacing"/>
        <w:spacing w:line="276" w:lineRule="auto"/>
      </w:pPr>
      <w:r>
        <w:t>W dniu 23 listopada 2018 r. przyjęto krajowe porozumienie o zapobieganiu</w:t>
      </w:r>
      <w:r w:rsidR="00125CD6">
        <w:rPr>
          <w:rStyle w:val="FootnoteReference"/>
        </w:rPr>
        <w:footnoteReference w:id="1"/>
      </w:r>
      <w:r>
        <w:t xml:space="preserve">. Obejmuje to porozumienia zawarte przez rząd i ponad 70 stron w celu wprowadzenia środków mających na celu zwalczanie nadwagi, palenia tytoniu i problematycznego spożywania alkoholu. Sygnatariuszami są organizacje patronackie zajmujące się opieką, organizacje pacjentów, przedsiębiorstwa, gminy i instytucje edukacyjne. Krajowe porozumienie o zapobieganiu zawiera szereg środków w zakresie zdrowego odżywiania. Zdrowa dieta jest ważna dla każdego, nie tylko dla osób z nadwagą. Aby zwiększyć świadomość konsumentów na temat zdrowszych wyborów, w krajowym porozumieniu o zapobieganiu uzgodniono, że rząd Niderlandów w 2020 r. wprowadzi nowe, powszechnie nadawane logo ułatwiające wybór żywności. </w:t>
      </w:r>
    </w:p>
    <w:p w14:paraId="27DBBD77" w14:textId="77777777" w:rsidR="007374B7" w:rsidRDefault="007374B7" w:rsidP="008D3E19">
      <w:pPr>
        <w:pStyle w:val="NoSpacing"/>
        <w:spacing w:line="276" w:lineRule="auto"/>
      </w:pPr>
    </w:p>
    <w:p w14:paraId="34004F87" w14:textId="77777777" w:rsidR="000E5170" w:rsidRPr="001110B2" w:rsidRDefault="00CE650A" w:rsidP="008D3E19">
      <w:pPr>
        <w:pStyle w:val="NoSpacing"/>
        <w:spacing w:line="276" w:lineRule="auto"/>
      </w:pPr>
      <w:r>
        <w:t>Wymagano, aby wybór logo opierał się na rzetelnych i niezależnych badaniach konsumenckich. Uznano również, że bardzo ważne jest, aby wybrane logo było spójne ze sposobem wybierania produktów: zrozumienie konsumentów musiało być wiodące. Dokonując wyboru, należy również wziąć pod uwagę Pięcioskładnikowe Koło Żywieniowe i wreszcie uwzględnić zmiany w europejskich logo wyboru żywności.</w:t>
      </w:r>
    </w:p>
    <w:p w14:paraId="0AF7CAF5" w14:textId="77777777" w:rsidR="000E5170" w:rsidRPr="001110B2" w:rsidRDefault="000E5170" w:rsidP="008D3E19">
      <w:pPr>
        <w:pStyle w:val="NoSpacing"/>
        <w:spacing w:line="276" w:lineRule="auto"/>
      </w:pPr>
    </w:p>
    <w:p w14:paraId="5F31D578" w14:textId="77777777" w:rsidR="000E5170" w:rsidRPr="008D3E19" w:rsidRDefault="000E5170" w:rsidP="008D3E19">
      <w:pPr>
        <w:pStyle w:val="NoSpacing"/>
        <w:spacing w:line="276" w:lineRule="auto"/>
        <w:rPr>
          <w:i/>
        </w:rPr>
      </w:pPr>
      <w:r>
        <w:rPr>
          <w:i/>
        </w:rPr>
        <w:t>Proces</w:t>
      </w:r>
      <w:r>
        <w:rPr>
          <w:i/>
        </w:rPr>
        <w:br/>
      </w:r>
    </w:p>
    <w:p w14:paraId="15D74CD7" w14:textId="77777777" w:rsidR="004F54A5" w:rsidRDefault="004F54A5" w:rsidP="008D3E19">
      <w:pPr>
        <w:pStyle w:val="NoSpacing"/>
        <w:spacing w:line="276" w:lineRule="auto"/>
      </w:pPr>
      <w:r>
        <w:t>W listopadzie 2018 r. rozpoczęto prace nad realizacją wyżej wymienionego porozumienia zawartego w krajowym porozumieniu o zapobieganiu.</w:t>
      </w:r>
    </w:p>
    <w:p w14:paraId="7FAB8B53" w14:textId="77777777" w:rsidR="001110B2" w:rsidRDefault="0029125D" w:rsidP="008D3E19">
      <w:pPr>
        <w:pStyle w:val="NoSpacing"/>
        <w:spacing w:line="276" w:lineRule="auto"/>
      </w:pPr>
      <w:r>
        <w:t>Przy opracowywaniu warunków wyboru logo ułatwiającego wybór żywności skonsultowano się z różnymi stronami. W proces decyzyjny zaangażowane są: Stowarzyszenie Konsumentów, Spółdzielcze Fundusze Zdrowia (Hartstichting, Nierstichting, Diabetesfonds), Centraal Bureau Levensmiddelenhandel (CBL), Federacja Holenderskiego Przemysłu Spożywczego (FNLI), Koninklijke Horeca Nederland (KHN), Vereniging Nederlandse Cateraars (Veneca), Centrum Żywienia, RIVM i Ministerstwo Rolnictwa.</w:t>
      </w:r>
    </w:p>
    <w:p w14:paraId="730CEA55" w14:textId="77777777" w:rsidR="001110B2" w:rsidRDefault="001110B2" w:rsidP="008D3E19">
      <w:pPr>
        <w:pStyle w:val="NoSpacing"/>
        <w:spacing w:line="276" w:lineRule="auto"/>
      </w:pPr>
    </w:p>
    <w:p w14:paraId="5186B065" w14:textId="16D64986" w:rsidR="00672904" w:rsidRDefault="001110B2" w:rsidP="008D3E19">
      <w:pPr>
        <w:pStyle w:val="NoSpacing"/>
        <w:spacing w:line="276" w:lineRule="auto"/>
      </w:pPr>
      <w:r>
        <w:t>Niezależne badania konsumenckie</w:t>
      </w:r>
      <w:r w:rsidR="00A978BD">
        <w:rPr>
          <w:rStyle w:val="FootnoteReference"/>
        </w:rPr>
        <w:footnoteReference w:id="2"/>
      </w:r>
      <w:r>
        <w:t xml:space="preserve"> porównały trzy logo ułatwiające wybór żywności stosowane obecnie w krajach europejskich. Zbadano zakres, w jakim logo te pomagają konsumentom dokonać zdrowszego wyboru. Badanie konsumenckie pokazuje, że w przypadku Nutri-Score może najlepiej nakierować konsumentów na zdrowsze wybory. Na półkach sklepowych podobne produkty można łatwo i szybko porównać: na pierwszy rzut oka konsumenci widzą, który produkt jest zdrowszy. Ułatwia to dokonywanie wyboru korzystniejszego dla zdrowia. </w:t>
      </w:r>
    </w:p>
    <w:p w14:paraId="3729F3B9" w14:textId="77777777" w:rsidR="00672904" w:rsidRDefault="00672904" w:rsidP="008D3E19">
      <w:pPr>
        <w:pStyle w:val="NoSpacing"/>
        <w:spacing w:line="276" w:lineRule="auto"/>
      </w:pPr>
    </w:p>
    <w:p w14:paraId="5F77E2A9" w14:textId="70D4DAE7" w:rsidR="00672904" w:rsidRDefault="00672904" w:rsidP="008D3E19">
      <w:pPr>
        <w:pStyle w:val="NoSpacing"/>
        <w:spacing w:line="276" w:lineRule="auto"/>
      </w:pPr>
      <w:r>
        <w:lastRenderedPageBreak/>
        <w:t>Jednak badanie konsumenckie pokazuje również, że niektórzy respondenci nie są już w stanie dokonać zdrowszego wyboru w przypadku niezgodnych informacji z Pięcioskładnikowego Koła Żywieniowego i logo. RIVM i Centrum Żywienia przeprowadziły badanie Nutri-Score,&amp;LT</w:t>
      </w:r>
      <w:r w:rsidR="00A978BD">
        <w:rPr>
          <w:rStyle w:val="FootnoteReference"/>
        </w:rPr>
        <w:footnoteReference w:id="3"/>
      </w:r>
      <w:r>
        <w:t xml:space="preserve">; w którym stwierdzono, że w odniesieniu do szeregu produktów należących do różnych kategorii zalecenia żywieniowe Nutri-Score i Pięcioskładnikowego Koła Żywieniowego nie są ekwiwalentne. </w:t>
      </w:r>
    </w:p>
    <w:p w14:paraId="153F6129" w14:textId="77777777" w:rsidR="00672904" w:rsidRDefault="00672904" w:rsidP="008D3E19">
      <w:pPr>
        <w:pStyle w:val="NoSpacing"/>
        <w:spacing w:line="276" w:lineRule="auto"/>
      </w:pPr>
    </w:p>
    <w:p w14:paraId="3B7F2DB9" w14:textId="6C31260B" w:rsidR="00A31F7A" w:rsidRDefault="00672904" w:rsidP="00A31F7A">
      <w:pPr>
        <w:pStyle w:val="NoSpacing"/>
        <w:spacing w:line="276" w:lineRule="auto"/>
      </w:pPr>
      <w:r>
        <w:t>Na podstawie wyników badań i we współpracy z wyżej wymienionymi stronami, Sekretarz Stanu ds. Zdrowia, Opieki Społecznej i Sportu wybrał oznaczenie Nutri-Score jako logo wyboru żywności&amp;LT</w:t>
      </w:r>
      <w:r w:rsidR="00125CD6">
        <w:rPr>
          <w:rStyle w:val="FootnoteReference"/>
        </w:rPr>
        <w:footnoteReference w:id="4"/>
      </w:r>
      <w:r>
        <w:t xml:space="preserve">. Należy jednak dostosować podstawowe obliczenia Nutri-Score w taki sposób, aby logo mogło powodować jak najmniejsze zamieszanie wśród niderlandzkich konsumentów odniesieniu do zdrowszego wyboru. </w:t>
      </w:r>
    </w:p>
    <w:p w14:paraId="1909E528" w14:textId="77777777" w:rsidR="00A31F7A" w:rsidRDefault="00A31F7A" w:rsidP="00A31F7A">
      <w:pPr>
        <w:pStyle w:val="NoSpacing"/>
        <w:spacing w:line="276" w:lineRule="auto"/>
      </w:pPr>
    </w:p>
    <w:p w14:paraId="2BA8E5EE" w14:textId="77777777" w:rsidR="00A31F7A" w:rsidRDefault="00A31F7A" w:rsidP="00A31F7A">
      <w:pPr>
        <w:pStyle w:val="NoSpacing"/>
        <w:spacing w:line="276" w:lineRule="auto"/>
      </w:pPr>
      <w:r>
        <w:t xml:space="preserve">Na początku 2020 r. Sekretarz Stanu poinformował francuski rząd o wyborze Nutri-Score. Niderlandy uczestniczą w międzynarodowych konsultacjach, w ramach których zawierane są porozumienia w zakresie wdrażania i organizacji. Niezależny komitet naukowy bada obliczenia leżące u podstaw oceny Nutri-Score i ma za zadanie zapewnić zgodność kryteriów żywieniowych Nutri-Score z wytycznymi żywieniowymi krajów uczestniczących. </w:t>
      </w:r>
    </w:p>
    <w:p w14:paraId="0989B05C" w14:textId="4C61DF1D" w:rsidR="00672904" w:rsidRDefault="00672904" w:rsidP="008D3E19">
      <w:pPr>
        <w:pStyle w:val="NoSpacing"/>
        <w:spacing w:line="276" w:lineRule="auto"/>
      </w:pPr>
    </w:p>
    <w:p w14:paraId="409ED4BF" w14:textId="20A36412" w:rsidR="00D83FCC" w:rsidRDefault="00D83FCC" w:rsidP="00D83FCC">
      <w:pPr>
        <w:pStyle w:val="NoSpacing"/>
        <w:spacing w:line="276" w:lineRule="auto"/>
        <w:rPr>
          <w:rFonts w:eastAsia="Times New Roman" w:cs="Arial"/>
          <w:color w:val="333333"/>
        </w:rPr>
      </w:pPr>
      <w:r>
        <w:rPr>
          <w:i/>
        </w:rPr>
        <w:t>Wskazanie Nutri-Score</w:t>
      </w:r>
    </w:p>
    <w:p w14:paraId="0A5AD5FA" w14:textId="77777777" w:rsidR="00D83FCC" w:rsidRPr="008D3E19" w:rsidRDefault="00D83FCC" w:rsidP="00D83FCC">
      <w:pPr>
        <w:pStyle w:val="NoSpacing"/>
        <w:spacing w:line="276" w:lineRule="auto"/>
        <w:rPr>
          <w:i/>
        </w:rPr>
      </w:pPr>
    </w:p>
    <w:p w14:paraId="39E7DC9E" w14:textId="73E0D864" w:rsidR="00D83FCC" w:rsidRDefault="00D83FCC" w:rsidP="00D83FCC">
      <w:pPr>
        <w:pStyle w:val="NoSpacing"/>
        <w:spacing w:line="276" w:lineRule="auto"/>
      </w:pPr>
      <w:r>
        <w:t>Nutri-Score to dobrowolne logo wyboru żywności, które pomaga konsumentom w dokonywaniu zdrowszych wyborów podczas zakupów w ramach grupy produktów. Logo Nutri-Score jest przypisywane poprzez ustalenie punktów za ilość białka, błonnika, owoców, warzyw, roślin strączkowych i orzechów zawartych w produkcie spożywczym. Od tego wyniku odejmuje się punkty za wartość energetyczną (kilokalorie), ilości cukrów, tłuszczów nasyconych i soli. Na podstawie całkowitego wyniku produkt otrzymuje ocenę A, B, C, D lub E. Ciemnozielony A oznacza zdrowszy skład. Produkty o mniej zdrowym składzie otrzymują ocenę ciemnopomarańczową E. Jeśli przedsiębiorstwa spożywcze stosują Nutri-Score, muszą spełniać warunki stosowania i umieścić logo na przedniej części swojej żywności. Pomaga to konsumentom zobaczyć na pierwszy rzut oka, który produkt jest zdrowszym wyborem.</w:t>
      </w:r>
      <w:r>
        <w:br/>
      </w:r>
    </w:p>
    <w:p w14:paraId="023F652F" w14:textId="3742B79E" w:rsidR="00DC7A50" w:rsidRDefault="00D83FCC" w:rsidP="008D3E19">
      <w:pPr>
        <w:pStyle w:val="NoSpacing"/>
        <w:spacing w:line="276" w:lineRule="auto"/>
      </w:pPr>
      <w:r>
        <w:rPr>
          <w:color w:val="333333"/>
        </w:rPr>
        <w:t xml:space="preserve">Ten schemat określa Nutri-Score jako logo ułatwiające wybór żywności. </w:t>
      </w:r>
      <w:r>
        <w:rPr>
          <w:color w:val="000000" w:themeColor="text1"/>
        </w:rPr>
        <w:t>Warunki stosowania są publikowane na stronie internetowej dostępnej dla przedsiębiorców i ogółu społeczeństwa.</w:t>
      </w:r>
      <w:r>
        <w:rPr>
          <w:color w:val="333333"/>
        </w:rPr>
        <w:t xml:space="preserve"> Warunki stosowania stanowią, że używając logo Nutri-Score należy przestrzegać wymogów projektu graficznego. Projekt graficzny nakłada wymogi dotyczące wymiarów logo, stosowania koloru i umieszczania logo na opakowaniach i nośnikach komunikacyjnych. </w:t>
      </w:r>
    </w:p>
    <w:p w14:paraId="736891C2" w14:textId="77777777" w:rsidR="0040278F" w:rsidRDefault="0040278F" w:rsidP="008D3E19">
      <w:pPr>
        <w:pStyle w:val="NoSpacing"/>
        <w:spacing w:line="276" w:lineRule="auto"/>
      </w:pPr>
    </w:p>
    <w:p w14:paraId="7394EBF4" w14:textId="2C420781" w:rsidR="00602B7B" w:rsidRPr="00311799" w:rsidRDefault="00E8090B" w:rsidP="008D3E19">
      <w:pPr>
        <w:pStyle w:val="NoSpacing"/>
        <w:spacing w:line="276" w:lineRule="auto"/>
      </w:pPr>
      <w:r>
        <w:t xml:space="preserve">Ponieważ logo nie jest obowiązkowe, przedsiębiorstwa spożywcze mogą rozważyć użycie Nutri-Score jako logo ułatwiającego wybór żywności. Jeżeli przedsiębiorstwo spożywcze zdecyduje się na to, musi spełniać wymogi określone </w:t>
      </w:r>
      <w:r>
        <w:lastRenderedPageBreak/>
        <w:t xml:space="preserve">w warunkach stosowania. </w:t>
      </w:r>
      <w:r>
        <w:rPr>
          <w:rStyle w:val="Marker"/>
          <w:color w:val="000000" w:themeColor="text1"/>
        </w:rPr>
        <w:t xml:space="preserve">Nutri-Score jest unijnym znakiem towarowym zarejestrowanym przez właściciela Santé publique France (l’agence nationale de santé publique) w Urzędzie Unii Europejskiej ds. Własności Intelektualnej (EUIPO). Stosując logo Nutri-Score należy przestrzegać nie tylko warunków użytkowania znaku towarowego przez właściciela znaku towarowego, ale także uwzględnić </w:t>
      </w:r>
      <w:r>
        <w:t>ogólne zasady ochrony znaków towarowych, których należy przestrzegać w dziedzinie prawa znaków towarowych, prawa sprawiedliwego handlu i prawa karnego.</w:t>
      </w:r>
    </w:p>
    <w:p w14:paraId="332CDBD7" w14:textId="77777777" w:rsidR="00820C71" w:rsidRDefault="00820C71" w:rsidP="008D3E19">
      <w:pPr>
        <w:pStyle w:val="NoSpacing"/>
        <w:spacing w:line="276" w:lineRule="auto"/>
        <w:rPr>
          <w:i/>
        </w:rPr>
      </w:pPr>
    </w:p>
    <w:p w14:paraId="5AFA85AB" w14:textId="7C26A1A6" w:rsidR="00602B7B" w:rsidRPr="008D3E19" w:rsidRDefault="00BC191E" w:rsidP="008D3E19">
      <w:pPr>
        <w:pStyle w:val="NoSpacing"/>
        <w:spacing w:line="276" w:lineRule="auto"/>
        <w:rPr>
          <w:i/>
        </w:rPr>
      </w:pPr>
      <w:r>
        <w:rPr>
          <w:i/>
        </w:rPr>
        <w:t>Krajowe ramy prawne</w:t>
      </w:r>
    </w:p>
    <w:p w14:paraId="57E6E4A9" w14:textId="230342F8" w:rsidR="00D8085E" w:rsidRPr="00A92440" w:rsidRDefault="004336A6" w:rsidP="008D3E19">
      <w:pPr>
        <w:pStyle w:val="NoSpacing"/>
        <w:spacing w:line="276" w:lineRule="auto"/>
      </w:pPr>
      <w:r>
        <w:rPr>
          <w:i/>
        </w:rPr>
        <w:br/>
      </w:r>
      <w:r>
        <w:rPr>
          <w:color w:val="000000" w:themeColor="text1"/>
        </w:rPr>
        <w:t xml:space="preserve">Artykuł 1 dekretu do ustawy o towarach spożywczych definiuje logo ułatwiające wybór żywności jako logo, które ułatwia konsumentom wybór zdrowszej żywności w porównaniu z podobną żywnością w danej kategorii produktów. Zgodnie z art. 11 dekretu do ustawy o towarach spożywczych przy wprowadzaniu do obrotu żywności można stosować logo ułatwiające wybór żywności, pod warunkiem że spełnione są warunki określone w tym artykule. </w:t>
      </w:r>
      <w:r>
        <w:t>W 2021 r. przewiduje się zmianę dekretu do ustawy o towarach spożywczych w zakresie informacji na temat żywności, która nie wymaga już od przemysłu ubiegania się o zatwierdzenie logo wyboru żywności.</w:t>
      </w:r>
      <w:r>
        <w:rPr>
          <w:color w:val="333333"/>
        </w:rPr>
        <w:t xml:space="preserve"> </w:t>
      </w:r>
      <w:r>
        <w:t xml:space="preserve">W chwili wydania niniejszej noty wyjaśniającej, </w:t>
      </w:r>
      <w:r>
        <w:rPr>
          <w:color w:val="333333"/>
        </w:rPr>
        <w:t xml:space="preserve">nowelizacja dekretu do ustawy o towarach spożywczych w zakresie informacji o produktach spożywczych </w:t>
      </w:r>
      <w:r>
        <w:t>nie została jeszcze opublikowana w Dzienniku Urzędowym. Zasada wzajemnego uznawania oznacza, że państwo członkowskie nie zakazuje sprzedaży towarów, które zostały legalnie wprowadzone na rynek w innym państwie członkowskim na jego terytorium, ponieważ towary te nie spełniają własnych przepisów krajowych. Ważne jest jednak, aby towary z innego państwa członkowskiego zapewniały co najmniej równoważny poziom ochrony. Klauzula wzajemnego uznawania zawarta jest w art. 13d ustawy o towarach. Wprowadzanie do obrotu towarów pochodzących z innych państw członkowskich Unii Europejskiej nie jest zakazane na podstawie wymogów ustanowionych w tym systemie.</w:t>
      </w:r>
    </w:p>
    <w:p w14:paraId="4FDF04AE" w14:textId="77777777" w:rsidR="0073118A" w:rsidRPr="00CA0B75" w:rsidRDefault="0073118A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39C36685" w14:textId="77777777" w:rsidR="007E23BC" w:rsidRPr="00CA0B75" w:rsidRDefault="007E23BC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rPr>
          <w:b/>
          <w:color w:val="333333"/>
        </w:rPr>
        <w:t xml:space="preserve">2. Wpływ na obciążenia regulacyjne </w:t>
      </w:r>
    </w:p>
    <w:p w14:paraId="1840D7F5" w14:textId="77777777" w:rsidR="007E23BC" w:rsidRDefault="007E23BC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0AA98B1A" w14:textId="3A78736A" w:rsidR="00130455" w:rsidRPr="00B4175F" w:rsidRDefault="00B4175F" w:rsidP="008D3E19">
      <w:pPr>
        <w:pStyle w:val="NoSpacing"/>
        <w:spacing w:line="276" w:lineRule="auto"/>
        <w:rPr>
          <w:rFonts w:eastAsia="Times New Roman" w:cs="Arial"/>
          <w:color w:val="333333"/>
        </w:rPr>
      </w:pPr>
      <w:r>
        <w:rPr>
          <w:color w:val="333333"/>
        </w:rPr>
        <w:t>Rada ds. Przeglądu Obciążeń Regulacyjnych (ATR) nie wydała formalnej opinii, ponieważ nie ma ona wpływu na obciążenia regulacyjne obywateli i przedsiębiorstw.</w:t>
      </w:r>
      <w:r>
        <w:rPr>
          <w:color w:val="333333"/>
        </w:rPr>
        <w:br/>
      </w:r>
    </w:p>
    <w:p w14:paraId="254A27A8" w14:textId="77777777" w:rsidR="009D6971" w:rsidRDefault="007E23BC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rPr>
          <w:b/>
          <w:color w:val="333333"/>
        </w:rPr>
        <w:t>3. Ustawa o regularnych konsultacjach dotyczących towarów</w:t>
      </w:r>
    </w:p>
    <w:p w14:paraId="28E02F40" w14:textId="77777777" w:rsidR="0069144E" w:rsidRDefault="0069144E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3B816E36" w14:textId="77777777" w:rsidR="00CA0B75" w:rsidRPr="00CA0B75" w:rsidRDefault="009D6971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t>Niniejszy projekt zarządzenia został przedłożony uczestnikom grupy konsultacyjnej ds. ustawy o towarach [ROW]</w:t>
      </w:r>
      <w:r w:rsidRPr="00B658D6">
        <w:rPr>
          <w:bCs/>
          <w:vertAlign w:val="superscript"/>
        </w:rPr>
        <w:footnoteReference w:id="5"/>
      </w:r>
      <w:r>
        <w:t xml:space="preserve">. </w:t>
      </w:r>
      <w:r>
        <w:rPr>
          <w:b/>
        </w:rPr>
        <w:t>P.M.</w:t>
      </w:r>
    </w:p>
    <w:p w14:paraId="6F6DDDCA" w14:textId="77777777" w:rsidR="00CA0B75" w:rsidRPr="00CA0B75" w:rsidRDefault="00CA0B75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64E275DB" w14:textId="77777777" w:rsidR="0069144E" w:rsidRDefault="007E23BC" w:rsidP="008E3830">
      <w:pPr>
        <w:pStyle w:val="NoSpacing"/>
        <w:keepNext/>
        <w:spacing w:line="276" w:lineRule="auto"/>
        <w:rPr>
          <w:rFonts w:eastAsia="Times New Roman" w:cs="Arial"/>
          <w:b/>
          <w:color w:val="333333"/>
        </w:rPr>
      </w:pPr>
      <w:r>
        <w:rPr>
          <w:b/>
          <w:color w:val="333333"/>
        </w:rPr>
        <w:t>4. Wykonalność</w:t>
      </w:r>
    </w:p>
    <w:p w14:paraId="5ED04CEA" w14:textId="77777777" w:rsidR="00CA0B75" w:rsidRPr="00CA0B75" w:rsidRDefault="002A0E04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rPr>
          <w:b/>
          <w:color w:val="333333"/>
        </w:rPr>
        <w:br/>
      </w:r>
      <w:r>
        <w:rPr>
          <w:color w:val="333333"/>
        </w:rPr>
        <w:t>Projekt tego programu został oceniony przez NVWA pod kątem wykonalności i zabezpieczenia przed nadużyciami finansowymi.</w:t>
      </w:r>
      <w:r>
        <w:rPr>
          <w:b/>
          <w:color w:val="333333"/>
        </w:rPr>
        <w:t xml:space="preserve"> P.M. </w:t>
      </w:r>
    </w:p>
    <w:p w14:paraId="78239E99" w14:textId="77777777" w:rsidR="00CA0B75" w:rsidRPr="00CA0B75" w:rsidRDefault="00CA0B75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09883B83" w14:textId="77777777" w:rsidR="00CA0B75" w:rsidRDefault="007E23BC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rPr>
          <w:b/>
          <w:color w:val="333333"/>
        </w:rPr>
        <w:t xml:space="preserve">5. Powiadomienie </w:t>
      </w:r>
    </w:p>
    <w:p w14:paraId="4A5FC1AB" w14:textId="77777777" w:rsidR="008E7EEA" w:rsidRDefault="008E7EEA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569595FC" w14:textId="77777777" w:rsidR="006C4D06" w:rsidRDefault="006C4D06" w:rsidP="006C4D06">
      <w:pPr>
        <w:pStyle w:val="NoSpacing"/>
        <w:spacing w:line="276" w:lineRule="auto"/>
        <w:rPr>
          <w:rFonts w:eastAsia="Times New Roman" w:cs="Arial"/>
          <w:color w:val="333333"/>
        </w:rPr>
      </w:pPr>
      <w:r>
        <w:rPr>
          <w:color w:val="333333"/>
        </w:rPr>
        <w:t>Rozporządzenie (WE) nr 1924/2006 Parlamentu Europejskiego i Rady z dnia 20 grudnia 2006 r. w zakresie oświadczeń żywieniowych i zdrowotnych dotyczących żywności (Dz.U. 2006 L 404) (zwane dalej rozporządzeniem w sprawie oświadczeń) ustanowiło ogólne zasady dla wszystkich oświadczeń dotyczących środków spożywczych. Logo ułatwiające wybór żywności Nutri-Score uznaje się za oświadczenie żywieniowe, o którym mowa w art. 2 ust. 2 pkt 4 niniejszego rozporządzenia. Art. 8 ust. 1 rozporządzenia w sprawie oświadczeń dopuszcza wyłącznie oświadczenia żywieniowe wymienione w załączniku do niniejszego rozporządzenia. Te oświadczenia żywieniowe zawsze odnoszą się wyłącznie do ilości energii żywności lub ilości jednej substancji lub składnika odżywczego. Logo ułatwiające wybór żywności Nutri-Score nie jest odpowiednie do tego celu do dodania do niniejszego załącznika: przy obliczaniu Nutri-Score bierze się pod uwagę cały skład żywności. Art. 23 rozporządzenia w sprawie oświadczeń nakłada na państwo członkowskie obowiązek powiadamiania o stosowaniu oświadczeń na jego terytorium, jeżeli takie oświadczenia nie są zgodne z rozporządzeniem w sprawie oświadczeń.</w:t>
      </w:r>
    </w:p>
    <w:p w14:paraId="43A7CEB8" w14:textId="77777777" w:rsidR="006C4D06" w:rsidRDefault="006C4D06" w:rsidP="006C4D06">
      <w:pPr>
        <w:pStyle w:val="NoSpacing"/>
        <w:spacing w:line="276" w:lineRule="auto"/>
        <w:rPr>
          <w:rFonts w:eastAsia="Times New Roman" w:cs="Arial"/>
          <w:color w:val="333333"/>
        </w:rPr>
      </w:pPr>
    </w:p>
    <w:p w14:paraId="17B25172" w14:textId="77777777" w:rsidR="006C4D06" w:rsidRDefault="006C4D06" w:rsidP="006C4D06">
      <w:pPr>
        <w:pStyle w:val="NoSpacing"/>
        <w:spacing w:line="276" w:lineRule="auto"/>
        <w:rPr>
          <w:rFonts w:eastAsia="Times New Roman" w:cs="Arial"/>
          <w:color w:val="333333"/>
        </w:rPr>
      </w:pPr>
      <w:r>
        <w:rPr>
          <w:color w:val="333333"/>
        </w:rPr>
        <w:t>W celu ochrony właściwych informacji dla konsumentów art. 36 rozporządzenia Parlamentu Europejskiego i Rady (UE) nr 1169/2011 z dnia 25 października 2011 r. w sprawie przekazywania konsumentom informacji na temat żywności</w:t>
      </w:r>
      <w:r>
        <w:rPr>
          <w:rStyle w:val="FootnoteReference"/>
          <w:rFonts w:eastAsia="Times New Roman" w:cs="Arial"/>
          <w:color w:val="333333"/>
        </w:rPr>
        <w:footnoteReference w:id="6"/>
      </w:r>
      <w:r>
        <w:rPr>
          <w:color w:val="333333"/>
        </w:rPr>
        <w:t xml:space="preserve"> powinien spełniać szereg wymogów. Komisja została poinformowana o tekście tego projektu również w tym kontekście. </w:t>
      </w:r>
    </w:p>
    <w:p w14:paraId="2EEB4BC5" w14:textId="77777777" w:rsidR="006C4D06" w:rsidRDefault="006C4D06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</w:p>
    <w:p w14:paraId="13C697BD" w14:textId="77777777" w:rsidR="008E7EEA" w:rsidRPr="00CA0B75" w:rsidRDefault="008E7EEA" w:rsidP="008D3E19">
      <w:pPr>
        <w:pStyle w:val="NoSpacing"/>
        <w:spacing w:line="276" w:lineRule="auto"/>
        <w:rPr>
          <w:rFonts w:eastAsia="Times New Roman" w:cs="Arial"/>
          <w:b/>
          <w:color w:val="333333"/>
        </w:rPr>
      </w:pPr>
      <w:r>
        <w:t xml:space="preserve">Projekt programu został zgłoszony Komisji Europejskiej w dniu... w celu spełnienia wymagań </w:t>
      </w:r>
      <w:r>
        <w:rPr>
          <w:b/>
        </w:rPr>
        <w:t>P.M.</w:t>
      </w:r>
      <w:r>
        <w:t xml:space="preserve"> Po zgłoszeniu </w:t>
      </w:r>
      <w:r>
        <w:rPr>
          <w:b/>
        </w:rPr>
        <w:t>P.M.</w:t>
      </w:r>
    </w:p>
    <w:p w14:paraId="1EB1823F" w14:textId="1C1F97BC" w:rsidR="008C7083" w:rsidRPr="00B658D6" w:rsidRDefault="00915D8D">
      <w:pPr>
        <w:pStyle w:val="NoSpacing"/>
        <w:spacing w:line="276" w:lineRule="auto"/>
        <w:rPr>
          <w:b/>
          <w:bCs/>
        </w:rPr>
      </w:pPr>
      <w:r>
        <w:rPr>
          <w:color w:val="333333"/>
        </w:rPr>
        <w:br/>
      </w:r>
    </w:p>
    <w:p w14:paraId="1ADE6D80" w14:textId="77777777" w:rsidR="00647286" w:rsidRDefault="00647286" w:rsidP="008D3E19">
      <w:pPr>
        <w:pStyle w:val="NoSpacing"/>
        <w:spacing w:line="276" w:lineRule="auto"/>
        <w:rPr>
          <w:bCs/>
        </w:rPr>
      </w:pPr>
    </w:p>
    <w:p w14:paraId="621B8D55" w14:textId="77777777" w:rsidR="003670DB" w:rsidRDefault="003670DB" w:rsidP="008D3E19">
      <w:pPr>
        <w:pStyle w:val="NoSpacing"/>
        <w:spacing w:line="276" w:lineRule="auto"/>
        <w:rPr>
          <w:b/>
          <w:bCs/>
        </w:rPr>
      </w:pPr>
    </w:p>
    <w:sectPr w:rsidR="003670DB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F464" w14:textId="77777777" w:rsidR="00156170" w:rsidRDefault="00156170">
      <w:pPr>
        <w:spacing w:line="240" w:lineRule="auto"/>
      </w:pPr>
      <w:r>
        <w:separator/>
      </w:r>
    </w:p>
  </w:endnote>
  <w:endnote w:type="continuationSeparator" w:id="0">
    <w:p w14:paraId="3DF82A8F" w14:textId="77777777" w:rsidR="00156170" w:rsidRDefault="00156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7460" w14:textId="77777777" w:rsidR="00156170" w:rsidRDefault="00156170">
      <w:pPr>
        <w:spacing w:line="240" w:lineRule="auto"/>
      </w:pPr>
      <w:r>
        <w:separator/>
      </w:r>
    </w:p>
  </w:footnote>
  <w:footnote w:type="continuationSeparator" w:id="0">
    <w:p w14:paraId="0BF22151" w14:textId="77777777" w:rsidR="00156170" w:rsidRDefault="00156170">
      <w:pPr>
        <w:spacing w:line="240" w:lineRule="auto"/>
      </w:pPr>
      <w:r>
        <w:continuationSeparator/>
      </w:r>
    </w:p>
  </w:footnote>
  <w:footnote w:id="1">
    <w:p w14:paraId="08612ED2" w14:textId="77777777" w:rsidR="00125CD6" w:rsidRDefault="00125C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</w:rPr>
        <w:t>Załącznik do dokumentów Izby II, 2018/19, 32793, nr 339.</w:t>
      </w:r>
    </w:p>
  </w:footnote>
  <w:footnote w:id="2">
    <w:p w14:paraId="134DD927" w14:textId="0F382223" w:rsidR="00A978BD" w:rsidRDefault="00A978BD">
      <w:pPr>
        <w:pStyle w:val="FootnoteText"/>
      </w:pPr>
      <w:r>
        <w:rPr>
          <w:rStyle w:val="FootnoteReference"/>
        </w:rPr>
        <w:foot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Motivaction, </w:t>
      </w:r>
      <w:r>
        <w:rPr>
          <w:rFonts w:ascii="Verdana" w:hAnsi="Verdana"/>
          <w:sz w:val="16"/>
        </w:rPr>
        <w:t xml:space="preserve">„Efektywność graficznych znaków towarowych trzech logo ułatwiających wybór żywności“, 30 października 2019 r., Polecane przez </w:t>
      </w:r>
      <w:hyperlink r:id="rId1" w:history="1">
        <w:r>
          <w:rPr>
            <w:rStyle w:val="Hyperlink"/>
            <w:rFonts w:ascii="Verdana" w:hAnsi="Verdana"/>
            <w:sz w:val="16"/>
          </w:rPr>
          <w:t>https://www.rijksoverheid.nl/</w:t>
        </w:r>
      </w:hyperlink>
      <w:r>
        <w:rPr>
          <w:rFonts w:ascii="Verdana" w:hAnsi="Verdana"/>
          <w:sz w:val="16"/>
        </w:rPr>
        <w:t>.</w:t>
      </w:r>
      <w:r>
        <w:t xml:space="preserve"> </w:t>
      </w:r>
    </w:p>
  </w:footnote>
  <w:footnote w:id="3">
    <w:p w14:paraId="2C905CC0" w14:textId="778258C7" w:rsidR="00A978BD" w:rsidRDefault="00A978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</w:rPr>
        <w:t xml:space="preserve">Narodowy Instytut Zdrowia Publicznego i Środowiska (RIVM) i Centrum Żywienia, „Identyfikacja problemu w zakresie logo ułatwiającego wybór żywienia pod lupą“, 28 listopada 2019 r. Podgląd za pośrednictwem </w:t>
      </w:r>
      <w:hyperlink r:id="rId2" w:history="1">
        <w:r>
          <w:rPr>
            <w:rStyle w:val="Hyperlink"/>
            <w:rFonts w:ascii="Verdana" w:hAnsi="Verdana"/>
            <w:sz w:val="16"/>
          </w:rPr>
          <w:t>https://www.rijksoverheid.nl/</w:t>
        </w:r>
      </w:hyperlink>
      <w:r>
        <w:rPr>
          <w:rFonts w:ascii="Verdana" w:hAnsi="Verdana"/>
          <w:sz w:val="16"/>
        </w:rPr>
        <w:t>.</w:t>
      </w:r>
      <w:r>
        <w:t xml:space="preserve"> </w:t>
      </w:r>
    </w:p>
  </w:footnote>
  <w:footnote w:id="4">
    <w:p w14:paraId="3942F257" w14:textId="77777777" w:rsidR="00125CD6" w:rsidRDefault="00125C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</w:rPr>
        <w:t>Dokumenty parlamentarne II 2019/20, 32793, nr 459.</w:t>
      </w:r>
    </w:p>
  </w:footnote>
  <w:footnote w:id="5">
    <w:p w14:paraId="5857BD1C" w14:textId="77777777" w:rsidR="009D6971" w:rsidRPr="006B20B3" w:rsidRDefault="009D6971" w:rsidP="009D6971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ROW </w:t>
      </w:r>
      <w:r>
        <w:rPr>
          <w:rFonts w:ascii="Verdana" w:hAnsi="Verdana"/>
          <w:sz w:val="16"/>
        </w:rPr>
        <w:t>składa się z przedstawicieli przedsiębiorstw (przemysłu i handlu), konsumentów, ministerstw (zwłaszcza Ministerstwa Zdrowia Publicznego, Opieki Społecznej i Sportu oraz Ministerstwa Rolnictwa, Przyrody i Jakości Żywności) oraz Niderlandzkiego Urzędu ds. Bezpieczeństwa Żywności i Produktów Konsumenckich [NVWA].</w:t>
      </w:r>
    </w:p>
  </w:footnote>
  <w:footnote w:id="6">
    <w:p w14:paraId="38FEBC48" w14:textId="77777777" w:rsidR="006C4D06" w:rsidRDefault="006C4D06" w:rsidP="006C4D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</w:rPr>
        <w:t xml:space="preserve">Pełny </w:t>
      </w:r>
      <w:r>
        <w:rPr>
          <w:rFonts w:ascii="Verdana" w:hAnsi="Verdana"/>
          <w:sz w:val="16"/>
        </w:rPr>
        <w:t xml:space="preserve">tytuł </w:t>
      </w:r>
      <w:r>
        <w:rPr>
          <w:rFonts w:ascii="Verdana" w:hAnsi="Verdana"/>
          <w:color w:val="333333"/>
          <w:sz w:val="16"/>
        </w:rPr>
        <w:t>Rozporządzenie Parlamentu Europejskiego i Rady (UE) nr 1169/2011 z dnia 25 października 2011 r. w sprawie przekazywania konsumentom informacji na temat żywności, zmiany rozporządzeń Parlamentu Europejskiego i Rady (WE) nr 1924/2006 i (WE) nr 1925/2006 oraz uchylenia dyrektywy Komisji 87/250/EWG, dyrektywy Rady 90/496/EWG, dyrektywa Komisji 1999/10/WE, dyrektywa 2000/13/WE Parlamentu Europejskiego i Rady, dyrektywy Komisji 2002/67/WE i 2008/5/WE oraz rozporządzenie Komisji (WE) nr 608/2004 (Dz.U. 2011 L 304).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3F9A" w14:textId="77777777" w:rsidR="001D3DA3" w:rsidRDefault="00AD598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4C7470" wp14:editId="321BAFE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F02A1" w14:textId="77777777" w:rsidR="002A39A6" w:rsidRDefault="002A39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C747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Cfz+uP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14:paraId="065F02A1" w14:textId="77777777" w:rsidR="002A39A6" w:rsidRDefault="002A39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B37E1C5" wp14:editId="59DD2CE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BE5F1" w14:textId="559A626A" w:rsidR="001D3DA3" w:rsidRDefault="00AD598F">
                          <w:pPr>
                            <w:pStyle w:val="StandaardReferentiegegevens"/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4E62"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z 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4E62"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37E1C5" id="Paginanummer_3" o:spid="_x0000_s1027" type="#_x0000_t202" style="position:absolute;margin-left:464.85pt;margin-top:805pt;width:99.2pt;height:14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Rt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F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O2ehG2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0FEBE5F1" w14:textId="559A626A" w:rsidR="001D3DA3" w:rsidRDefault="00AD598F">
                    <w:pPr>
                      <w:pStyle w:val="StandaardReferentiegegevens"/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4E62">
                      <w:t>4</w:t>
                    </w:r>
                    <w:r>
                      <w:fldChar w:fldCharType="end"/>
                    </w:r>
                    <w:r>
                      <w:t xml:space="preserve"> z </w:t>
                    </w:r>
                    <w:r>
                      <w:fldChar w:fldCharType="begin" w:dirty="true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4E62"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B68C" w14:textId="4E299139" w:rsidR="001D3DA3" w:rsidRDefault="008E3830">
    <w:pPr>
      <w:spacing w:after="6746"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BB507A8" wp14:editId="53CEA3CA">
              <wp:simplePos x="0" y="0"/>
              <wp:positionH relativeFrom="column">
                <wp:posOffset>3018345</wp:posOffset>
              </wp:positionH>
              <wp:positionV relativeFrom="paragraph">
                <wp:posOffset>832513</wp:posOffset>
              </wp:positionV>
              <wp:extent cx="2299335" cy="749907"/>
              <wp:effectExtent l="0" t="0" r="571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9335" cy="7499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69891" w14:textId="5BFF1079" w:rsidR="008E3830" w:rsidRPr="008E3830" w:rsidRDefault="008E383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>Ministerstwo Zdrowia Publicznego, Opieki Społecznej i Sportu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07A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237.65pt;margin-top:65.55pt;width:181.05pt;height:59.0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" fillcolor="white [3201]" stroked="f" strokeweight=".5pt">
              <v:textbox>
                <w:txbxContent>
                  <w:p w14:paraId="79769891" w14:textId="5BFF1079" w:rsidR="008E3830" w:rsidRPr="008E3830" w:rsidRDefault="008E3830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</w:rPr>
                      <w:t>Ministerstwo Zdrowia Publicznego, Opieki Społecznej i Sportu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50FF714" wp14:editId="20868259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0F485" w14:textId="77777777" w:rsidR="001D3DA3" w:rsidRDefault="00AD59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4353B" wp14:editId="50BAEBFA">
                                <wp:extent cx="467995" cy="1583865"/>
                                <wp:effectExtent l="0" t="0" r="0" b="0"/>
                                <wp:docPr id="2" name="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FF714" id="Logo_2" o:spid="_x0000_s1029" type="#_x0000_t202" style="position:absolute;margin-left:277.75pt;margin-top:0;width:36.85pt;height:124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j45A7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130F485" w14:textId="77777777" w:rsidR="001D3DA3" w:rsidRDefault="00AD598F">
                    <w:pPr>
                      <w:spacing w:line="240" w:lineRule="auto"/>
                    </w:pPr>
                    <w:r>
                      <w:drawing>
                        <wp:inline distT="0" distB="0" distL="0" distR="0" wp14:anchorId="2144353B" wp14:editId="50BAEBFA">
                          <wp:extent cx="467995" cy="1583865"/>
                          <wp:effectExtent l="0" t="0" r="0" b="0"/>
                          <wp:docPr id="2" name="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3436021" wp14:editId="2ACBBCF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3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335B4" w14:textId="77777777" w:rsidR="001D3DA3" w:rsidRDefault="00AD59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FBC3F7" wp14:editId="2E99B505">
                                <wp:extent cx="2339975" cy="1582834"/>
                                <wp:effectExtent l="0" t="0" r="0" b="0"/>
                                <wp:docPr id="4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VWS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436021" id="Woordmerk_2" o:spid="_x0000_s1030" type="#_x0000_t202" style="position:absolute;margin-left:314.6pt;margin-top:0;width:184.25pt;height:140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" filled="f" stroked="f">
              <v:textbox inset="0,0,0,0">
                <w:txbxContent>
                  <w:p w14:paraId="353335B4" w14:textId="77777777" w:rsidR="001D3DA3" w:rsidRDefault="00AD598F">
                    <w:pPr>
                      <w:spacing w:line="240" w:lineRule="auto"/>
                    </w:pPr>
                    <w:r>
                      <w:drawing>
                        <wp:inline distT="0" distB="0" distL="0" distR="0" wp14:anchorId="2DFBC3F7" wp14:editId="2E99B505">
                          <wp:extent cx="2339975" cy="1582834"/>
                          <wp:effectExtent l="0" t="0" r="0" b="0"/>
                          <wp:docPr id="4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VWS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1DF812" wp14:editId="49C2B3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A1BA9" w14:textId="77777777" w:rsidR="002A39A6" w:rsidRDefault="002A39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1DF812" id="Retourregel_2" o:spid="_x0000_s1031" type="#_x0000_t202" style="position:absolute;margin-left:79.35pt;margin-top:133.2pt;width:280.45pt;height:1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GwjH3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14:paraId="7C2A1BA9" w14:textId="77777777" w:rsidR="002A39A6" w:rsidRDefault="002A39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64F52C" wp14:editId="351E8A4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BEFD4" w14:textId="77777777" w:rsidR="004A705B" w:rsidRDefault="00B838BB" w:rsidP="004A705B">
                          <w:r>
                            <w:t xml:space="preserve">Rozporządzenie </w:t>
                          </w:r>
                          <w:r>
                            <w:t>Ministra Opieki Medycznej (VGP)</w:t>
                          </w:r>
                        </w:p>
                        <w:p w14:paraId="6DDC92F8" w14:textId="77777777" w:rsidR="001D3DA3" w:rsidRDefault="00AD598F">
                          <w:r>
                            <w:t>w sprawie przyjęcia Nutri-Score jako logo ułatwiającego wybór żywności oraz warunków jego stosowania (rozporządzenie w sprawie przyjęcia logo ułatwiającego wybór żywności)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4F52C" id="Toezendgegevens_2" o:spid="_x0000_s1032" type="#_x0000_t202" style="position:absolute;margin-left:79.35pt;margin-top:153.05pt;width:274.95pt;height: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AR5/N4sQEAAEEDAAAOAAAAAAAAAAAAAAAAAC4CAABkcnMvZTJvRG9j&#10;LnhtbFBLAQItABQABgAIAAAAIQCW7QUW4AAAAAsBAAAPAAAAAAAAAAAAAAAAAAsEAABkcnMvZG93&#10;bnJldi54bWxQSwUGAAAAAAQABADzAAAAGAUAAAAA&#10;" filled="f" stroked="f">
              <v:textbox inset="0,0,0,0">
                <w:txbxContent>
                  <w:p w14:paraId="5E6BEFD4" w14:textId="77777777" w:rsidR="004A705B" w:rsidRDefault="00B838BB" w:rsidP="004A705B">
                    <w:r>
                      <w:t xml:space="preserve">Rozporządzenie Ministra Opieki Medycznej (VGP)</w:t>
                    </w:r>
                  </w:p>
                  <w:p w14:paraId="6DDC92F8" w14:textId="77777777" w:rsidR="001D3DA3" w:rsidRDefault="00AD598F">
                    <w:r>
                      <w:t xml:space="preserve">w sprawie przyjęcia Nutri-Score jako logo ułatwiającego wybór żywności oraz warunków jego stosowania (rozporządzenie w sprawie przyjęcia logo ułatwiającego wybór żywności)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AB91D8" wp14:editId="2406F35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0747E" w14:textId="77777777" w:rsidR="002A39A6" w:rsidRDefault="002A39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AB91D8" id="Colofon_2" o:spid="_x0000_s1033" type="#_x0000_t202" style="position:absolute;margin-left:466.25pt;margin-top:153.05pt;width:99.2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Dz456z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76F0747E" w14:textId="77777777" w:rsidR="002A39A6" w:rsidRDefault="002A39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9B16156" wp14:editId="64F0043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8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038BD" w14:textId="77777777" w:rsidR="002A39A6" w:rsidRDefault="002A39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16156" id="Documentgegevens" o:spid="_x0000_s1034" type="#_x0000_t202" style="position:absolute;margin-left:79.35pt;margin-top:286.25pt;width:323.25pt;height:49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BurUUe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p w14:paraId="25B038BD" w14:textId="77777777" w:rsidR="002A39A6" w:rsidRDefault="002A39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DDD7D7" wp14:editId="67AE3F9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3C5B1" w14:textId="77777777" w:rsidR="002A39A6" w:rsidRDefault="002A39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DD7D7" id="Rubricering onder vervolgpagina" o:spid="_x0000_s1035" type="#_x0000_t202" style="position:absolute;margin-left:79.35pt;margin-top:805pt;width:141.7pt;height:14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2C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GvOvHTUou+7&#10;FokVkp0MfG4P9XcPdghyMF5my6YQG6p8DlSb5g8wU+uXfKRkdmLu0eUvaWR0TuYfzobrOTGVi27X&#10;65s7elnRGW1u65sMU71VB4zpSYNjORAcqaHFZ7n/HNPx6nIlP+bh0Vib85nikUqO0tzOJ5Un+i10&#10;B2JP0gh2BPzJ2URjIHh83UnUnNlPnnzOM7MEuATtEkivqFTwxNkx/JjKbC0EqGlFzWnA8lT8vi80&#10;336D7S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gFL9g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14:paraId="0C03C5B1" w14:textId="77777777" w:rsidR="002A39A6" w:rsidRDefault="002A39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2CAD163" wp14:editId="59CF7FA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994F7" w14:textId="3F98A9E6" w:rsidR="001D3DA3" w:rsidRDefault="00AD598F">
                          <w:pPr>
                            <w:pStyle w:val="StandaardReferentiegegevens"/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4E62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 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4E62"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AD163" id="Paginanummer_2" o:spid="_x0000_s1036" type="#_x0000_t202" style="position:absolute;margin-left:466.25pt;margin-top:805pt;width:99.2pt;height:14.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" filled="f" stroked="f">
              <v:textbox inset="0,0,0,0">
                <w:txbxContent>
                  <w:p w14:paraId="7BF994F7" w14:textId="3F98A9E6" w:rsidR="001D3DA3" w:rsidRDefault="00AD598F">
                    <w:pPr>
                      <w:pStyle w:val="StandaardReferentiegegevens"/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4E62">
                      <w:t>1</w:t>
                    </w:r>
                    <w:r>
                      <w:fldChar w:fldCharType="end"/>
                    </w:r>
                    <w:r>
                      <w:t xml:space="preserve"> z </w:t>
                    </w:r>
                    <w:r>
                      <w:fldChar w:fldCharType="begin" w:dirty="true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4E62"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8EB1"/>
    <w:multiLevelType w:val="multilevel"/>
    <w:tmpl w:val="B68C1749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9F78B0"/>
    <w:multiLevelType w:val="multilevel"/>
    <w:tmpl w:val="056E134F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F67178F"/>
    <w:multiLevelType w:val="multilevel"/>
    <w:tmpl w:val="0D384133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B4F845B"/>
    <w:multiLevelType w:val="multilevel"/>
    <w:tmpl w:val="5975836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B326273"/>
    <w:multiLevelType w:val="multilevel"/>
    <w:tmpl w:val="0F4DEF7B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CB0576"/>
    <w:multiLevelType w:val="hybridMultilevel"/>
    <w:tmpl w:val="A568F126"/>
    <w:lvl w:ilvl="0" w:tplc="F8242666">
      <w:start w:val="1"/>
      <w:numFmt w:val="lowerLetter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4F02C"/>
    <w:multiLevelType w:val="multilevel"/>
    <w:tmpl w:val="4D06B33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21354C"/>
    <w:multiLevelType w:val="multilevel"/>
    <w:tmpl w:val="CC2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6A485"/>
    <w:multiLevelType w:val="multilevel"/>
    <w:tmpl w:val="626A65D8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2628A"/>
    <w:multiLevelType w:val="hybridMultilevel"/>
    <w:tmpl w:val="A1EEB4C2"/>
    <w:lvl w:ilvl="0" w:tplc="06B0CA34">
      <w:start w:val="2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3AE8"/>
    <w:multiLevelType w:val="multilevel"/>
    <w:tmpl w:val="2D2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A0500"/>
    <w:multiLevelType w:val="multilevel"/>
    <w:tmpl w:val="DE04C887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4C4937"/>
    <w:multiLevelType w:val="multilevel"/>
    <w:tmpl w:val="120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84E59"/>
    <w:multiLevelType w:val="multilevel"/>
    <w:tmpl w:val="B6BE33F7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1D6F5C"/>
    <w:multiLevelType w:val="multilevel"/>
    <w:tmpl w:val="F54C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30F6E"/>
    <w:multiLevelType w:val="multilevel"/>
    <w:tmpl w:val="ECC4E471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D0AE5"/>
    <w:multiLevelType w:val="hybridMultilevel"/>
    <w:tmpl w:val="E3E8E01A"/>
    <w:lvl w:ilvl="0" w:tplc="25048684">
      <w:start w:val="1"/>
      <w:numFmt w:val="decimal"/>
      <w:lvlText w:val="%1."/>
      <w:lvlJc w:val="left"/>
      <w:pPr>
        <w:ind w:left="720" w:hanging="360"/>
      </w:pPr>
      <w:rPr>
        <w:rFonts w:eastAsia="DejaVu Sans" w:cs="Lohit Hindi" w:hint="default"/>
        <w:i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4B0"/>
    <w:multiLevelType w:val="hybridMultilevel"/>
    <w:tmpl w:val="9496EB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2754F"/>
    <w:multiLevelType w:val="multilevel"/>
    <w:tmpl w:val="345E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808F8"/>
    <w:multiLevelType w:val="multilevel"/>
    <w:tmpl w:val="A8C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5CA64"/>
    <w:multiLevelType w:val="multilevel"/>
    <w:tmpl w:val="B34E25D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B521B"/>
    <w:multiLevelType w:val="hybridMultilevel"/>
    <w:tmpl w:val="36CEC976"/>
    <w:lvl w:ilvl="0" w:tplc="4EF20B6A">
      <w:start w:val="1"/>
      <w:numFmt w:val="decimal"/>
      <w:lvlText w:val="%1."/>
      <w:lvlJc w:val="left"/>
      <w:pPr>
        <w:ind w:left="720" w:hanging="360"/>
      </w:pPr>
      <w:rPr>
        <w:rFonts w:eastAsia="DejaVu Sans" w:cs="Lohit Hindi" w:hint="default"/>
        <w:i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0370"/>
    <w:multiLevelType w:val="hybridMultilevel"/>
    <w:tmpl w:val="41C45572"/>
    <w:lvl w:ilvl="0" w:tplc="DCECCE5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D7643"/>
    <w:multiLevelType w:val="multilevel"/>
    <w:tmpl w:val="4E55278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640978"/>
    <w:multiLevelType w:val="multilevel"/>
    <w:tmpl w:val="FD5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E5FB6"/>
    <w:multiLevelType w:val="multilevel"/>
    <w:tmpl w:val="29F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23"/>
  </w:num>
  <w:num w:numId="9">
    <w:abstractNumId w:val="3"/>
  </w:num>
  <w:num w:numId="10">
    <w:abstractNumId w:val="0"/>
  </w:num>
  <w:num w:numId="11">
    <w:abstractNumId w:val="13"/>
  </w:num>
  <w:num w:numId="12">
    <w:abstractNumId w:val="11"/>
  </w:num>
  <w:num w:numId="13">
    <w:abstractNumId w:val="5"/>
  </w:num>
  <w:num w:numId="14">
    <w:abstractNumId w:val="10"/>
  </w:num>
  <w:num w:numId="15">
    <w:abstractNumId w:val="7"/>
  </w:num>
  <w:num w:numId="16">
    <w:abstractNumId w:val="14"/>
  </w:num>
  <w:num w:numId="17">
    <w:abstractNumId w:val="12"/>
  </w:num>
  <w:num w:numId="18">
    <w:abstractNumId w:val="24"/>
  </w:num>
  <w:num w:numId="19">
    <w:abstractNumId w:val="25"/>
  </w:num>
  <w:num w:numId="20">
    <w:abstractNumId w:val="9"/>
  </w:num>
  <w:num w:numId="21">
    <w:abstractNumId w:val="18"/>
  </w:num>
  <w:num w:numId="22">
    <w:abstractNumId w:val="19"/>
  </w:num>
  <w:num w:numId="23">
    <w:abstractNumId w:val="16"/>
  </w:num>
  <w:num w:numId="24">
    <w:abstractNumId w:val="21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B"/>
    <w:rsid w:val="00002054"/>
    <w:rsid w:val="0000238B"/>
    <w:rsid w:val="00003D21"/>
    <w:rsid w:val="000069F4"/>
    <w:rsid w:val="000201E5"/>
    <w:rsid w:val="00032061"/>
    <w:rsid w:val="00056E4F"/>
    <w:rsid w:val="00073CDC"/>
    <w:rsid w:val="00087490"/>
    <w:rsid w:val="00091CAD"/>
    <w:rsid w:val="00092AD0"/>
    <w:rsid w:val="00093790"/>
    <w:rsid w:val="000B6DD5"/>
    <w:rsid w:val="000C0D4F"/>
    <w:rsid w:val="000C20F0"/>
    <w:rsid w:val="000C3C08"/>
    <w:rsid w:val="000C5F37"/>
    <w:rsid w:val="000E5170"/>
    <w:rsid w:val="000F3600"/>
    <w:rsid w:val="000F7DA6"/>
    <w:rsid w:val="001110B2"/>
    <w:rsid w:val="001138E4"/>
    <w:rsid w:val="00125CD6"/>
    <w:rsid w:val="00130455"/>
    <w:rsid w:val="001318E0"/>
    <w:rsid w:val="001411A4"/>
    <w:rsid w:val="00156170"/>
    <w:rsid w:val="0015731D"/>
    <w:rsid w:val="0016417C"/>
    <w:rsid w:val="001645BA"/>
    <w:rsid w:val="00173BE7"/>
    <w:rsid w:val="001773F0"/>
    <w:rsid w:val="0018665B"/>
    <w:rsid w:val="001926CF"/>
    <w:rsid w:val="001A6DE3"/>
    <w:rsid w:val="001D3DA3"/>
    <w:rsid w:val="001E6094"/>
    <w:rsid w:val="001F7164"/>
    <w:rsid w:val="002137C3"/>
    <w:rsid w:val="00222C7D"/>
    <w:rsid w:val="00225B04"/>
    <w:rsid w:val="00234127"/>
    <w:rsid w:val="0029125D"/>
    <w:rsid w:val="00295818"/>
    <w:rsid w:val="002A0E04"/>
    <w:rsid w:val="002A1E8B"/>
    <w:rsid w:val="002A39A6"/>
    <w:rsid w:val="002A4E62"/>
    <w:rsid w:val="002A6EAE"/>
    <w:rsid w:val="002A729E"/>
    <w:rsid w:val="002B5B58"/>
    <w:rsid w:val="002C14F0"/>
    <w:rsid w:val="002C2BDC"/>
    <w:rsid w:val="002E406B"/>
    <w:rsid w:val="002E6BBA"/>
    <w:rsid w:val="002F452C"/>
    <w:rsid w:val="002F7161"/>
    <w:rsid w:val="0031145A"/>
    <w:rsid w:val="00311799"/>
    <w:rsid w:val="0032000B"/>
    <w:rsid w:val="00342B94"/>
    <w:rsid w:val="00354642"/>
    <w:rsid w:val="00356387"/>
    <w:rsid w:val="003670DB"/>
    <w:rsid w:val="003764D1"/>
    <w:rsid w:val="00380B6B"/>
    <w:rsid w:val="003A1990"/>
    <w:rsid w:val="003B6D53"/>
    <w:rsid w:val="0040278F"/>
    <w:rsid w:val="00410870"/>
    <w:rsid w:val="0041194B"/>
    <w:rsid w:val="004126C3"/>
    <w:rsid w:val="00417775"/>
    <w:rsid w:val="004336A6"/>
    <w:rsid w:val="00442EB9"/>
    <w:rsid w:val="0044500C"/>
    <w:rsid w:val="00445B54"/>
    <w:rsid w:val="004A4147"/>
    <w:rsid w:val="004A6521"/>
    <w:rsid w:val="004A705B"/>
    <w:rsid w:val="004C6188"/>
    <w:rsid w:val="004D1294"/>
    <w:rsid w:val="004E6CE8"/>
    <w:rsid w:val="004F13EE"/>
    <w:rsid w:val="004F54A5"/>
    <w:rsid w:val="004F6FBB"/>
    <w:rsid w:val="00515A37"/>
    <w:rsid w:val="0054329A"/>
    <w:rsid w:val="00550565"/>
    <w:rsid w:val="005539D0"/>
    <w:rsid w:val="00583A2E"/>
    <w:rsid w:val="005853E0"/>
    <w:rsid w:val="005854A3"/>
    <w:rsid w:val="0059735F"/>
    <w:rsid w:val="005B411C"/>
    <w:rsid w:val="005C164B"/>
    <w:rsid w:val="005C3011"/>
    <w:rsid w:val="005E020A"/>
    <w:rsid w:val="005E0A76"/>
    <w:rsid w:val="005E6870"/>
    <w:rsid w:val="005F7494"/>
    <w:rsid w:val="00602B7B"/>
    <w:rsid w:val="0060779A"/>
    <w:rsid w:val="00631A11"/>
    <w:rsid w:val="006343E2"/>
    <w:rsid w:val="00647286"/>
    <w:rsid w:val="006500B2"/>
    <w:rsid w:val="00657D09"/>
    <w:rsid w:val="00672904"/>
    <w:rsid w:val="0068359E"/>
    <w:rsid w:val="0069144E"/>
    <w:rsid w:val="006A1888"/>
    <w:rsid w:val="006B58CF"/>
    <w:rsid w:val="006C4D06"/>
    <w:rsid w:val="00722709"/>
    <w:rsid w:val="0073118A"/>
    <w:rsid w:val="007374B7"/>
    <w:rsid w:val="007410CE"/>
    <w:rsid w:val="007477D4"/>
    <w:rsid w:val="007B2222"/>
    <w:rsid w:val="007C5CEB"/>
    <w:rsid w:val="007E23BC"/>
    <w:rsid w:val="007E7AA4"/>
    <w:rsid w:val="00820C71"/>
    <w:rsid w:val="00825935"/>
    <w:rsid w:val="00827498"/>
    <w:rsid w:val="00832798"/>
    <w:rsid w:val="0084066C"/>
    <w:rsid w:val="00844C95"/>
    <w:rsid w:val="00847DB7"/>
    <w:rsid w:val="008540DE"/>
    <w:rsid w:val="0086208F"/>
    <w:rsid w:val="00865636"/>
    <w:rsid w:val="008819B1"/>
    <w:rsid w:val="008A1456"/>
    <w:rsid w:val="008C7083"/>
    <w:rsid w:val="008D3E19"/>
    <w:rsid w:val="008E00E1"/>
    <w:rsid w:val="008E3830"/>
    <w:rsid w:val="008E7EEA"/>
    <w:rsid w:val="008F7DC6"/>
    <w:rsid w:val="00903408"/>
    <w:rsid w:val="00912F2D"/>
    <w:rsid w:val="00915D8D"/>
    <w:rsid w:val="00922266"/>
    <w:rsid w:val="00960A53"/>
    <w:rsid w:val="00972418"/>
    <w:rsid w:val="0097542A"/>
    <w:rsid w:val="00975BC7"/>
    <w:rsid w:val="00985F0D"/>
    <w:rsid w:val="009A2163"/>
    <w:rsid w:val="009A2707"/>
    <w:rsid w:val="009B120B"/>
    <w:rsid w:val="009D0081"/>
    <w:rsid w:val="009D56E6"/>
    <w:rsid w:val="009D6971"/>
    <w:rsid w:val="009E2ED4"/>
    <w:rsid w:val="00A05B97"/>
    <w:rsid w:val="00A06BBD"/>
    <w:rsid w:val="00A17BBC"/>
    <w:rsid w:val="00A20C01"/>
    <w:rsid w:val="00A31F7A"/>
    <w:rsid w:val="00A478A5"/>
    <w:rsid w:val="00A5198C"/>
    <w:rsid w:val="00A55A02"/>
    <w:rsid w:val="00A80B59"/>
    <w:rsid w:val="00A81303"/>
    <w:rsid w:val="00A86455"/>
    <w:rsid w:val="00A92440"/>
    <w:rsid w:val="00A978BD"/>
    <w:rsid w:val="00AB3C6B"/>
    <w:rsid w:val="00AB4316"/>
    <w:rsid w:val="00AB690C"/>
    <w:rsid w:val="00AD0F88"/>
    <w:rsid w:val="00AD13A3"/>
    <w:rsid w:val="00AD598F"/>
    <w:rsid w:val="00AE3978"/>
    <w:rsid w:val="00AF381B"/>
    <w:rsid w:val="00AF5380"/>
    <w:rsid w:val="00AF7CFF"/>
    <w:rsid w:val="00B0354D"/>
    <w:rsid w:val="00B06D38"/>
    <w:rsid w:val="00B26812"/>
    <w:rsid w:val="00B318C5"/>
    <w:rsid w:val="00B4164D"/>
    <w:rsid w:val="00B4175F"/>
    <w:rsid w:val="00B47EB5"/>
    <w:rsid w:val="00B51511"/>
    <w:rsid w:val="00B551A8"/>
    <w:rsid w:val="00B658D6"/>
    <w:rsid w:val="00B722CE"/>
    <w:rsid w:val="00B73326"/>
    <w:rsid w:val="00B838BB"/>
    <w:rsid w:val="00B8560F"/>
    <w:rsid w:val="00B942E3"/>
    <w:rsid w:val="00BA4030"/>
    <w:rsid w:val="00BB27FD"/>
    <w:rsid w:val="00BC191E"/>
    <w:rsid w:val="00BD77BD"/>
    <w:rsid w:val="00BF0CBB"/>
    <w:rsid w:val="00C17BC6"/>
    <w:rsid w:val="00C21A25"/>
    <w:rsid w:val="00C34790"/>
    <w:rsid w:val="00C37714"/>
    <w:rsid w:val="00C45077"/>
    <w:rsid w:val="00C46947"/>
    <w:rsid w:val="00C6036F"/>
    <w:rsid w:val="00CA0B75"/>
    <w:rsid w:val="00CA72B7"/>
    <w:rsid w:val="00CB0E9D"/>
    <w:rsid w:val="00CE56A3"/>
    <w:rsid w:val="00CE650A"/>
    <w:rsid w:val="00D075B6"/>
    <w:rsid w:val="00D308B3"/>
    <w:rsid w:val="00D40FA0"/>
    <w:rsid w:val="00D4113B"/>
    <w:rsid w:val="00D8085E"/>
    <w:rsid w:val="00D83FCC"/>
    <w:rsid w:val="00DA7887"/>
    <w:rsid w:val="00DB0C47"/>
    <w:rsid w:val="00DC7A50"/>
    <w:rsid w:val="00DD19AA"/>
    <w:rsid w:val="00DE13B4"/>
    <w:rsid w:val="00DF62F0"/>
    <w:rsid w:val="00E12674"/>
    <w:rsid w:val="00E3309F"/>
    <w:rsid w:val="00E8090B"/>
    <w:rsid w:val="00E9001A"/>
    <w:rsid w:val="00EA0AE5"/>
    <w:rsid w:val="00EB0438"/>
    <w:rsid w:val="00ED4A6F"/>
    <w:rsid w:val="00EE25A3"/>
    <w:rsid w:val="00EF18D5"/>
    <w:rsid w:val="00F00BDC"/>
    <w:rsid w:val="00F46049"/>
    <w:rsid w:val="00F71B2E"/>
    <w:rsid w:val="00F74B52"/>
    <w:rsid w:val="00F81810"/>
    <w:rsid w:val="00F86F42"/>
    <w:rsid w:val="00F92495"/>
    <w:rsid w:val="00F95E33"/>
    <w:rsid w:val="00F97220"/>
    <w:rsid w:val="00FB1A2B"/>
    <w:rsid w:val="00FB514C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798DB"/>
  <w15:docId w15:val="{AA7816C2-04C9-4FE6-92AD-B47609E9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pl-P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BGAdviesaanvraagLijst">
    <w:name w:val="CIBG Adviesaanvraag Lijst"/>
    <w:basedOn w:val="Normal"/>
    <w:next w:val="Normal"/>
    <w:pPr>
      <w:spacing w:after="60"/>
    </w:pPr>
    <w:rPr>
      <w:b/>
    </w:rPr>
  </w:style>
  <w:style w:type="paragraph" w:customStyle="1" w:styleId="CIBGAdviesaanvraagLijstKop1">
    <w:name w:val="CIBG Adviesaanvraag Lijst Kop 1"/>
    <w:basedOn w:val="Normal"/>
    <w:next w:val="Normal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Normal"/>
    <w:next w:val="Normal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Normal"/>
    <w:next w:val="Normal"/>
    <w:pPr>
      <w:spacing w:before="240"/>
    </w:pPr>
  </w:style>
  <w:style w:type="paragraph" w:customStyle="1" w:styleId="CIBGBezwaarschriftenbrief">
    <w:name w:val="CIBG Bezwaarschriftenbrief"/>
    <w:basedOn w:val="Normal"/>
    <w:next w:val="Normal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Normal"/>
    <w:next w:val="Normal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Normal"/>
    <w:next w:val="Normal"/>
    <w:rPr>
      <w:color w:val="EF0A0A"/>
    </w:rPr>
  </w:style>
  <w:style w:type="paragraph" w:customStyle="1" w:styleId="CIBGVoorlegmemoitalicV10">
    <w:name w:val="CIBG Voorlegmemo italic V10"/>
    <w:basedOn w:val="Normal"/>
    <w:next w:val="Normal"/>
    <w:rPr>
      <w:i/>
      <w:sz w:val="20"/>
      <w:szCs w:val="20"/>
    </w:rPr>
  </w:style>
  <w:style w:type="paragraph" w:customStyle="1" w:styleId="CIBGVoorlegmemoTitel">
    <w:name w:val="CIBG Voorlegmemo Titel"/>
    <w:basedOn w:val="Normal"/>
    <w:next w:val="Normal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Normal"/>
    <w:next w:val="Normal"/>
    <w:rPr>
      <w:b/>
      <w:i/>
      <w:sz w:val="13"/>
      <w:szCs w:val="13"/>
    </w:rPr>
  </w:style>
  <w:style w:type="paragraph" w:customStyle="1" w:styleId="CIBGDocumentnaamv14vet">
    <w:name w:val="CIBG_Documentnaam v14 vet"/>
    <w:basedOn w:val="Normal"/>
    <w:next w:val="Normal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Normal"/>
    <w:next w:val="Normal"/>
    <w:pPr>
      <w:spacing w:after="720" w:line="300" w:lineRule="exact"/>
    </w:p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Normal"/>
    <w:next w:val="Normal"/>
  </w:style>
  <w:style w:type="paragraph" w:customStyle="1" w:styleId="Huisstijlnummering">
    <w:name w:val="Huisstijl nummering"/>
    <w:basedOn w:val="Normal"/>
    <w:next w:val="Normal"/>
    <w:pPr>
      <w:tabs>
        <w:tab w:val="left" w:pos="0"/>
      </w:tabs>
      <w:ind w:left="-1120"/>
    </w:pPr>
  </w:style>
  <w:style w:type="paragraph" w:customStyle="1" w:styleId="IGJAgenda">
    <w:name w:val="IGJ Agenda"/>
    <w:basedOn w:val="Normal"/>
    <w:next w:val="Normal"/>
  </w:style>
  <w:style w:type="paragraph" w:customStyle="1" w:styleId="IGJMinuteVerdana7">
    <w:name w:val="IGJ Minute Verdana 7"/>
    <w:basedOn w:val="Normal"/>
    <w:next w:val="Normal"/>
    <w:rPr>
      <w:sz w:val="14"/>
      <w:szCs w:val="14"/>
    </w:rPr>
  </w:style>
  <w:style w:type="paragraph" w:customStyle="1" w:styleId="IGJNotaterbesluitvorming">
    <w:name w:val="IGJ Nota ter besluitvorming"/>
    <w:basedOn w:val="Normal"/>
    <w:next w:val="Normal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Normal"/>
    <w:next w:val="Normal"/>
    <w:pPr>
      <w:numPr>
        <w:numId w:val="5"/>
      </w:numPr>
    </w:pPr>
  </w:style>
  <w:style w:type="paragraph" w:customStyle="1" w:styleId="IGJNotaterbesluitvorminglijst">
    <w:name w:val="IGJ Nota ter besluitvorming lijst"/>
    <w:basedOn w:val="Normal"/>
    <w:next w:val="Normal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Normal"/>
    <w:next w:val="Normal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Normal"/>
    <w:next w:val="Normal"/>
  </w:style>
  <w:style w:type="paragraph" w:customStyle="1" w:styleId="IGJVoorhangv7">
    <w:name w:val="IGJ Voorhang v7"/>
    <w:basedOn w:val="Normal"/>
    <w:next w:val="Normal"/>
    <w:rPr>
      <w:sz w:val="14"/>
      <w:szCs w:val="14"/>
    </w:rPr>
  </w:style>
  <w:style w:type="paragraph" w:customStyle="1" w:styleId="IGJVoorhangv7b">
    <w:name w:val="IGJ Voorhang v7 b"/>
    <w:basedOn w:val="Normal"/>
    <w:next w:val="Normal"/>
    <w:rPr>
      <w:b/>
      <w:sz w:val="14"/>
      <w:szCs w:val="14"/>
    </w:rPr>
  </w:style>
  <w:style w:type="paragraph" w:customStyle="1" w:styleId="IGJVoorhangnota">
    <w:name w:val="IGJ Voorhangnota"/>
    <w:basedOn w:val="Normal"/>
    <w:next w:val="Normal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Normal"/>
    <w:next w:val="Normal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Normal"/>
    <w:next w:val="Normal"/>
    <w:pPr>
      <w:spacing w:before="200"/>
    </w:pPr>
    <w:rPr>
      <w:b/>
    </w:rPr>
  </w:style>
  <w:style w:type="paragraph" w:customStyle="1" w:styleId="IJZPlanvanAanpaknummer">
    <w:name w:val="IJZ Plan van Aanpak nummer"/>
    <w:basedOn w:val="Normal"/>
    <w:next w:val="Normal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Normal"/>
    <w:next w:val="Normal"/>
    <w:pPr>
      <w:spacing w:before="240"/>
    </w:pPr>
    <w:rPr>
      <w:b/>
    </w:rPr>
  </w:style>
  <w:style w:type="paragraph" w:customStyle="1" w:styleId="IJZRapportA">
    <w:name w:val="IJZ Rapport A"/>
    <w:basedOn w:val="Normal"/>
    <w:next w:val="Normal"/>
    <w:pPr>
      <w:spacing w:before="240"/>
    </w:pPr>
    <w:rPr>
      <w:b/>
    </w:rPr>
  </w:style>
  <w:style w:type="paragraph" w:customStyle="1" w:styleId="IJZUitvoeringsplan">
    <w:name w:val="IJZ Uitvoeringsplan"/>
    <w:basedOn w:val="Normal"/>
    <w:next w:val="Normal"/>
    <w:pPr>
      <w:numPr>
        <w:ilvl w:val="1"/>
        <w:numId w:val="7"/>
      </w:numPr>
      <w:spacing w:before="240"/>
    </w:pPr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ind w:left="-1120"/>
    </w:pPr>
  </w:style>
  <w:style w:type="paragraph" w:styleId="TOC2">
    <w:name w:val="toc 2"/>
    <w:basedOn w:val="TOC1"/>
    <w:next w:val="Normal"/>
    <w:pPr>
      <w:spacing w:before="240"/>
    </w:pPr>
    <w:rPr>
      <w:b/>
    </w:rPr>
  </w:style>
  <w:style w:type="paragraph" w:styleId="TOC3">
    <w:name w:val="toc 3"/>
    <w:basedOn w:val="TOC2"/>
    <w:next w:val="Normal"/>
    <w:pPr>
      <w:spacing w:before="0"/>
    </w:pPr>
    <w:rPr>
      <w:b w:val="0"/>
    </w:rPr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8"/>
      </w:numPr>
    </w:pPr>
  </w:style>
  <w:style w:type="paragraph" w:customStyle="1" w:styleId="Lijstniveau2">
    <w:name w:val="Lijst niveau 2"/>
    <w:basedOn w:val="Normal"/>
    <w:pPr>
      <w:numPr>
        <w:ilvl w:val="1"/>
        <w:numId w:val="8"/>
      </w:numPr>
    </w:pPr>
  </w:style>
  <w:style w:type="paragraph" w:customStyle="1" w:styleId="Lijstniveau3">
    <w:name w:val="Lijst niveau 3"/>
    <w:basedOn w:val="Normal"/>
    <w:pPr>
      <w:numPr>
        <w:ilvl w:val="2"/>
        <w:numId w:val="8"/>
      </w:numPr>
    </w:p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Normal"/>
    <w:next w:val="Normal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Normal"/>
    <w:next w:val="Normal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Normal"/>
    <w:next w:val="Normal"/>
    <w:pPr>
      <w:spacing w:before="100" w:after="240"/>
    </w:pPr>
  </w:style>
  <w:style w:type="paragraph" w:customStyle="1" w:styleId="StandaardAfzendgegevens">
    <w:name w:val="Standaard_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Normal"/>
    <w:next w:val="Normal"/>
    <w:rPr>
      <w:i/>
      <w:sz w:val="13"/>
      <w:szCs w:val="13"/>
    </w:rPr>
  </w:style>
  <w:style w:type="paragraph" w:customStyle="1" w:styleId="StandaardAfzendgegevenskop">
    <w:name w:val="Standaard_Afzend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Normal"/>
    <w:next w:val="Normal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Normal"/>
    <w:rPr>
      <w:i/>
    </w:rPr>
  </w:style>
  <w:style w:type="paragraph" w:customStyle="1" w:styleId="StandaardReferentiegegevenskop">
    <w:name w:val="Standaard_Referentiegegevens_kop"/>
    <w:basedOn w:val="Normal"/>
    <w:next w:val="Normal"/>
    <w:rPr>
      <w:b/>
      <w:sz w:val="13"/>
      <w:szCs w:val="13"/>
    </w:rPr>
  </w:style>
  <w:style w:type="paragraph" w:customStyle="1" w:styleId="StandaardSlotzin">
    <w:name w:val="Standaard_Slotzin"/>
    <w:basedOn w:val="Normal"/>
    <w:next w:val="Normal"/>
    <w:pPr>
      <w:spacing w:before="240"/>
    </w:pPr>
  </w:style>
  <w:style w:type="paragraph" w:customStyle="1" w:styleId="StandaardV9Italic">
    <w:name w:val="Standaard_V9_Italic"/>
    <w:basedOn w:val="Normal"/>
    <w:next w:val="Normal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Normal"/>
    <w:next w:val="Normal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Normal"/>
    <w:next w:val="Normal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Normal"/>
    <w:next w:val="Normal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Normal"/>
    <w:next w:val="Normal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Normal"/>
    <w:next w:val="Normal"/>
    <w:rPr>
      <w:b/>
    </w:rPr>
  </w:style>
  <w:style w:type="paragraph" w:customStyle="1" w:styleId="VWSAMvB">
    <w:name w:val="VWS AMvB"/>
    <w:basedOn w:val="Normal"/>
    <w:next w:val="Normal"/>
    <w:pPr>
      <w:spacing w:before="480"/>
    </w:pPr>
  </w:style>
  <w:style w:type="paragraph" w:customStyle="1" w:styleId="VWSBlauweBrief">
    <w:name w:val="VWS Blauwe Brief"/>
    <w:basedOn w:val="Normal"/>
    <w:next w:val="Normal"/>
    <w:pPr>
      <w:spacing w:before="760" w:after="240"/>
    </w:pPr>
  </w:style>
  <w:style w:type="paragraph" w:customStyle="1" w:styleId="VWSColofonItalic65Bold">
    <w:name w:val="VWS Colofon Italic 6;5 Bold"/>
    <w:basedOn w:val="Normal"/>
    <w:next w:val="Normal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Normal"/>
    <w:next w:val="Normal"/>
    <w:pPr>
      <w:jc w:val="right"/>
    </w:pPr>
  </w:style>
  <w:style w:type="paragraph" w:customStyle="1" w:styleId="VWSNtb">
    <w:name w:val="VWS Ntb"/>
    <w:basedOn w:val="Normal"/>
    <w:next w:val="Normal"/>
    <w:pPr>
      <w:numPr>
        <w:ilvl w:val="1"/>
        <w:numId w:val="11"/>
      </w:numPr>
    </w:pPr>
  </w:style>
  <w:style w:type="paragraph" w:customStyle="1" w:styleId="VWSNtb-inspringen">
    <w:name w:val="VWS Ntb - inspringen"/>
    <w:basedOn w:val="Normal"/>
    <w:next w:val="Normal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Normal"/>
    <w:next w:val="Normal"/>
  </w:style>
  <w:style w:type="paragraph" w:customStyle="1" w:styleId="VWSNtbinspringenklik">
    <w:name w:val="VWS Ntb inspringen klik"/>
    <w:basedOn w:val="Normal"/>
    <w:next w:val="Normal"/>
    <w:pPr>
      <w:numPr>
        <w:numId w:val="10"/>
      </w:numPr>
    </w:pPr>
  </w:style>
  <w:style w:type="paragraph" w:customStyle="1" w:styleId="VWSNtbKop">
    <w:name w:val="VWS Ntb Kop"/>
    <w:basedOn w:val="Normal"/>
    <w:next w:val="Normal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Normal"/>
    <w:next w:val="Normal"/>
  </w:style>
  <w:style w:type="paragraph" w:customStyle="1" w:styleId="VWSStartnota">
    <w:name w:val="VWS Startnota"/>
    <w:basedOn w:val="Normal"/>
    <w:next w:val="Normal"/>
  </w:style>
  <w:style w:type="paragraph" w:customStyle="1" w:styleId="VWSStartnotaKop1">
    <w:name w:val="VWS Startnota Kop 1"/>
    <w:basedOn w:val="Normal"/>
    <w:next w:val="Normal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Normal"/>
    <w:next w:val="Normal"/>
    <w:rPr>
      <w:sz w:val="20"/>
      <w:szCs w:val="20"/>
    </w:rPr>
  </w:style>
  <w:style w:type="paragraph" w:customStyle="1" w:styleId="VWSStartnotaV8italic">
    <w:name w:val="VWS Startnota V8 italic"/>
    <w:basedOn w:val="Normal"/>
    <w:next w:val="Normal"/>
    <w:rPr>
      <w:i/>
      <w:sz w:val="16"/>
      <w:szCs w:val="16"/>
    </w:rPr>
  </w:style>
  <w:style w:type="paragraph" w:customStyle="1" w:styleId="VWSToespraakbodytekstV14">
    <w:name w:val="VWS Toespraak bodytekst V14"/>
    <w:basedOn w:val="Normal"/>
    <w:next w:val="Normal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Normal"/>
    <w:next w:val="Normal"/>
    <w:rPr>
      <w:sz w:val="13"/>
      <w:szCs w:val="13"/>
    </w:rPr>
  </w:style>
  <w:style w:type="paragraph" w:customStyle="1" w:styleId="VWSVoordrachtDatum">
    <w:name w:val="VWS Voordracht Datum"/>
    <w:basedOn w:val="Normal"/>
    <w:next w:val="Normal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A705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70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5B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5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87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87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9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98"/>
    <w:rPr>
      <w:rFonts w:ascii="Verdana" w:hAnsi="Verdana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8F7DC6"/>
    <w:rPr>
      <w:i/>
      <w:iCs/>
    </w:rPr>
  </w:style>
  <w:style w:type="paragraph" w:styleId="NormalWeb">
    <w:name w:val="Normal (Web)"/>
    <w:basedOn w:val="Normal"/>
    <w:uiPriority w:val="99"/>
    <w:unhideWhenUsed/>
    <w:rsid w:val="008F7DC6"/>
    <w:pPr>
      <w:autoSpaceDN/>
      <w:spacing w:after="15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658D6"/>
    <w:pPr>
      <w:autoSpaceDN/>
      <w:spacing w:line="240" w:lineRule="auto"/>
      <w:textAlignment w:val="auto"/>
    </w:pPr>
    <w:rPr>
      <w:rFonts w:ascii="Univers" w:eastAsia="Times New Roman" w:hAnsi="Univers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8D6"/>
    <w:rPr>
      <w:rFonts w:ascii="Univers" w:eastAsia="Times New Roman" w:hAnsi="Univers" w:cs="Times New Roman"/>
    </w:rPr>
  </w:style>
  <w:style w:type="character" w:styleId="FootnoteReference">
    <w:name w:val="footnote reference"/>
    <w:basedOn w:val="DefaultParagraphFont"/>
    <w:uiPriority w:val="99"/>
    <w:semiHidden/>
    <w:rsid w:val="00B658D6"/>
    <w:rPr>
      <w:vertAlign w:val="superscript"/>
    </w:rPr>
  </w:style>
  <w:style w:type="character" w:styleId="Strong">
    <w:name w:val="Strong"/>
    <w:basedOn w:val="DefaultParagraphFont"/>
    <w:uiPriority w:val="22"/>
    <w:qFormat/>
    <w:rsid w:val="002A729E"/>
    <w:rPr>
      <w:b/>
      <w:bCs/>
    </w:rPr>
  </w:style>
  <w:style w:type="paragraph" w:customStyle="1" w:styleId="tussenkop">
    <w:name w:val="tussenkop"/>
    <w:basedOn w:val="Normal"/>
    <w:rsid w:val="002A729E"/>
    <w:pPr>
      <w:autoSpaceDN/>
      <w:spacing w:after="15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21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2137C3"/>
    <w:pPr>
      <w:autoSpaceDN/>
      <w:spacing w:before="120" w:after="120" w:line="240" w:lineRule="auto"/>
      <w:jc w:val="both"/>
      <w:textAlignment w:val="auto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Marker">
    <w:name w:val="Marker"/>
    <w:basedOn w:val="DefaultParagraphFont"/>
    <w:rsid w:val="002137C3"/>
    <w:rPr>
      <w:color w:val="0000FF"/>
      <w:shd w:val="clear" w:color="auto" w:fill="auto"/>
    </w:rPr>
  </w:style>
  <w:style w:type="paragraph" w:customStyle="1" w:styleId="Default">
    <w:name w:val="Default"/>
    <w:rsid w:val="00672904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E7EEA"/>
    <w:rPr>
      <w:rFonts w:ascii="Verdana" w:hAnsi="Verdana"/>
      <w:color w:val="000000"/>
      <w:sz w:val="18"/>
      <w:szCs w:val="18"/>
    </w:rPr>
  </w:style>
  <w:style w:type="paragraph" w:customStyle="1" w:styleId="ti-art">
    <w:name w:val="ti-art"/>
    <w:basedOn w:val="Normal"/>
    <w:rsid w:val="00D40FA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i-art">
    <w:name w:val="sti-art"/>
    <w:basedOn w:val="Normal"/>
    <w:rsid w:val="00D40FA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ard1">
    <w:name w:val="Standaard1"/>
    <w:basedOn w:val="Normal"/>
    <w:rsid w:val="00D40FA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1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0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87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5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jksoverheid.nl/" TargetMode="External"/><Relationship Id="rId1" Type="http://schemas.openxmlformats.org/officeDocument/2006/relationships/hyperlink" Target="https://www.rijksoverheid.n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MSGJJ\AppData\Local\Microsoft\Windows\INetCache\IE\BUYRAFI3\Beslui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2307-48C5-4E10-9E1E-10B17B6F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Besluit.dotx</Template>
  <TotalTime>5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Willems, G.J.J. (Anna)</dc:creator>
  <cp:lastModifiedBy>Dimitris Dimitriadis</cp:lastModifiedBy>
  <cp:revision>6</cp:revision>
  <cp:lastPrinted>2019-05-15T13:40:00Z</cp:lastPrinted>
  <dcterms:created xsi:type="dcterms:W3CDTF">2021-07-27T20:03:00Z</dcterms:created>
  <dcterms:modified xsi:type="dcterms:W3CDTF">2021-08-11T16:12:00Z</dcterms:modified>
</cp:coreProperties>
</file>