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42FC770C" w:rsidR="00DF230E" w:rsidRDefault="00F85DA0" w:rsidP="003478A4">
      <w:pPr>
        <w:pStyle w:val="Titel"/>
        <w:tabs>
          <w:tab w:val="clear" w:pos="6804"/>
          <w:tab w:val="right" w:pos="7655"/>
        </w:tabs>
      </w:pPr>
      <w:r w:rsidRPr="003478A4">
        <w:rPr>
          <w:noProof/>
        </w:rPr>
        <mc:AlternateContent>
          <mc:Choice Requires="wps">
            <w:drawing>
              <wp:anchor distT="0" distB="0" distL="114300" distR="114300" simplePos="0" relativeHeight="251659265" behindDoc="0" locked="0" layoutInCell="1" allowOverlap="1" wp14:anchorId="438AC7CC" wp14:editId="3D6D732B">
                <wp:simplePos x="0" y="0"/>
                <wp:positionH relativeFrom="column">
                  <wp:posOffset>4051935</wp:posOffset>
                </wp:positionH>
                <wp:positionV relativeFrom="paragraph">
                  <wp:posOffset>166370</wp:posOffset>
                </wp:positionV>
                <wp:extent cx="1085850" cy="495300"/>
                <wp:effectExtent l="0" t="0" r="0" b="0"/>
                <wp:wrapNone/>
                <wp:docPr id="799183960" name="Text Box 1"/>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SZWEDZKI URZĄD TRANSPORTU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9.05pt;margin-top:13.1pt;width:85.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ebIAIAAEQEAAAOAAAAZHJzL2Uyb0RvYy54bWysU11v0zAUfUfiP1h+p0k3OpWo6VQ6FSFV&#10;26QO7dl1nCaS42uu3Sbl13PtJC0MnhAvznXu9znHi/uu0eyk0NVgcj6dpJwpI6GozSHn3142H+ac&#10;OS9MITQYlfOzcvx++f7dorWZuoEKdKGQURHjstbmvPLeZkniZKUa4SZglSFnCdgIT1c8JAWKlqo3&#10;OrlJ07ukBSwsglTO0d+H3smXsX5ZKumfytIpz3TOaTYfT4znPpzJciGyAwpb1XIYQ/zDFI2oDTW9&#10;lHoQXrAj1n+UamqJ4KD0EwlNAmVZSxV3oG2m6ZttdpWwKu5C4Dh7gcn9v7Ly8bSzz8h89xk6IjAA&#10;0lqXOfoZ9ulKbMKXJmXkJwjPF9hU55kMSel8Np+RS5Lv46fZbRpxTa7ZFp3/oqBhwcg5Ei0RLXHa&#10;Ok8dKXQMCc0c6LrY1FrHS5CCWmtkJ0Ekah9npIzforRhbc7vbmmMkGQgpPeVtaEG152C5bt9Nyy6&#10;h+JM+yP00nBWbmoaciucfxZIWqC9SN/+iY5SAzWBweKsAvzxt/8hnigiL2ctaSvn7vtRoOJMfzVE&#10;XhDiaOBo7EfDHJs10KZTejlWRpMS0OvRLBGaV5L9KnQhlzCSeuXcj+ba9wqnZyPVahWDSG5W+K3Z&#10;WRlKB5AC5C/dq0A78OKJ0UcYVSeyN/T0sT28q6OHso7cBUB7FAecSaqR0uFZhbfw6z1GXR//8icA&#10;AAD//wMAUEsDBBQABgAIAAAAIQCzk2WP4QAAAAoBAAAPAAAAZHJzL2Rvd25yZXYueG1sTI/BTsMw&#10;DIbvSLxDZCQuaEtWplJK0wmQOCAxITa0c9aEpixxSpNtHU+POcHR9qff318tRu/YwQyxCyhhNhXA&#10;DDZBd9hKeF8/TQpgMSnUygU0Ek4mwqI+P6tUqcMR38xhlVpGIRhLJcGm1Jecx8Yar+I09Abp9hEG&#10;rxKNQ8v1oI4U7h3PhMi5Vx3SB6t682hNs1vtvYTiNF9ebfKbzad7fX6w3+0XvuyUlJcX4/0dsGTG&#10;9AfDrz6pQ01O27BHHZmTkF8XM0IlZHkGjIBC3NJiS6SYZ8Driv+vUP8AAAD//wMAUEsBAi0AFAAG&#10;AAgAAAAhALaDOJL+AAAA4QEAABMAAAAAAAAAAAAAAAAAAAAAAFtDb250ZW50X1R5cGVzXS54bWxQ&#10;SwECLQAUAAYACAAAACEAOP0h/9YAAACUAQAACwAAAAAAAAAAAAAAAAAvAQAAX3JlbHMvLnJlbHNQ&#10;SwECLQAUAAYACAAAACEAWy2XmyACAABEBAAADgAAAAAAAAAAAAAAAAAuAgAAZHJzL2Uyb0RvYy54&#10;bWxQSwECLQAUAAYACAAAACEAs5Nlj+EAAAAKAQAADwAAAAAAAAAAAAAAAAB6BAAAZHJzL2Rvd25y&#10;ZXYueG1sUEsFBgAAAAAEAAQA8wAAAIgFAAAAAA==&#10;" fillcolor="white [3201]" stroked="f" strokeweight=".5pt">
                <v:textbox inset="0,0,0,0">
                  <w:txbxContent>
                    <w:p w14:paraId="374CE7CB" w14:textId="164B17EE" w:rsidR="00F85DA0" w:rsidRPr="00F85DA0" w:rsidRDefault="00F85DA0">
                      <w:pPr>
                        <w:rPr>
                          <w:b/>
                          <w:bCs/>
                          <w:sz w:val="22"/>
                          <w:szCs w:val="22"/>
                        </w:rPr>
                      </w:pPr>
                      <w:r>
                        <w:rPr>
                          <w:b/>
                          <w:sz w:val="22"/>
                        </w:rPr>
                        <w:t>SZWEDZKI URZĄD TRANSPORTU</w:t>
                      </w:r>
                    </w:p>
                  </w:txbxContent>
                </v:textbox>
              </v:shape>
            </w:pict>
          </mc:Fallback>
        </mc:AlternateContent>
      </w:r>
      <w:r w:rsidRPr="003478A4">
        <w:t xml:space="preserve">Dziennik Urzędowy </w:t>
      </w:r>
      <w:r w:rsidR="003478A4">
        <w:br/>
      </w:r>
      <w:r w:rsidRPr="003478A4">
        <w:t>Szwedzkiego Urzędu Transportu</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Przepisy zmieniające przepisy i zalecenia ogólne (TSFS 2016:22) Szwedzkiego Urzędu Transportu dotyczące samochodów i przyczep samochodowych oddanych do użytku od dnia 1 lipca 2010 r.;</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219B5E2C">
                <wp:simplePos x="0" y="0"/>
                <wp:positionH relativeFrom="page">
                  <wp:posOffset>4457700</wp:posOffset>
                </wp:positionH>
                <wp:positionV relativeFrom="page">
                  <wp:posOffset>2284730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3478A4"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Rok"/>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Opublikowano</w:t>
                            </w:r>
                            <w:r>
                              <w:br/>
                              <w:t xml:space="preserve">dnia </w:t>
                            </w:r>
                            <w:sdt>
                              <w:sdtPr>
                                <w:alias w:val="Wybrać datę"/>
                                <w:tag w:val="Utkom datum"/>
                                <w:id w:val="1764647152"/>
                                <w:showingPlcHdr/>
                                <w:dataBinding w:prefixMappings="xmlns:ns0='consensis-fs'" w:xpath="/ns0:root[1]/ns0:fs-fields[1]/ns0:fs-date[1]" w:storeItemID="{F222B965-9C48-4AC7-962E-E2AF3EEF1550}"/>
                                <w:date>
                                  <w:dateFormat w:val="d MMMM yyyy"/>
                                  <w:lid w:val="pl-PL"/>
                                  <w:storeMappedDataAs w:val="dateTime"/>
                                  <w:calendar w:val="gregorian"/>
                                </w:date>
                              </w:sdtPr>
                              <w:sdtEndPr/>
                              <w:sdtContent>
                                <w:r>
                                  <w:rPr>
                                    <w:rStyle w:val="PlaceholderText"/>
                                  </w:rPr>
                                  <w:t>[Wybierz datę]</w:t>
                                </w:r>
                              </w:sdtContent>
                            </w:sdt>
                          </w:p>
                          <w:sdt>
                            <w:sdtPr>
                              <w:alias w:val="Wpisać serię"/>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RUCH DROGOWY</w:t>
                                </w:r>
                              </w:p>
                            </w:sdtContent>
                          </w:sdt>
                          <w:p w14:paraId="55142639" w14:textId="77777777" w:rsidR="00FC02EB" w:rsidRPr="007C403E" w:rsidRDefault="003478A4" w:rsidP="007C403E">
                            <w:pPr>
                              <w:pStyle w:val="Underserie"/>
                              <w:rPr>
                                <w:bCs/>
                              </w:rPr>
                            </w:pPr>
                            <w:sdt>
                              <w:sdtPr>
                                <w:alias w:val="Wpisać podserię"/>
                                <w:tag w:val="Userie"/>
                                <w:id w:val="1607690029"/>
                                <w:showingPlcHdr/>
                                <w:dataBinding w:prefixMappings="xmlns:ns0='consensis-fs'" w:xpath="/ns0:root[1]/ns0:fs-fields[1]/ns0:fs-subseries[1]" w:storeItemID="{F222B965-9C48-4AC7-962E-E2AF3EEF1550}"/>
                                <w:text/>
                              </w:sdtPr>
                              <w:sdtEndPr/>
                              <w:sdtContent>
                                <w:r w:rsidR="00DA20BB">
                                  <w:rPr>
                                    <w:rStyle w:val="PlaceholderText"/>
                                  </w:rPr>
                                  <w:t>[Wpisać podserię]</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9.9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JPP3MHiAAAACwEAAA8AAABk&#10;cnMvZG93bnJldi54bWxMj8tOwzAQRfdI/IM1SOyoQ4vTJmRSIVQWSCxKKXvXdh4Q21HspIGvZ1jB&#10;cjRX955TbGfbsckMofUO4XaRADNOed26GuH49nSzARaidFp23hmELxNgW15eFDLX/uxezXSINaMS&#10;F3KJ0MTY55wH1Rgrw8L3xtGv8oOVkc6h5nqQZyq3HV8mScqtbB0tNLI3j41Rn4fRIlTP72v7clft&#10;jrtRfH9MQs37WiFeX80P98CimeNfGH7xCR1KYjr50enAOoR1siSXiLASGTlQIluJFNgJQaSbDHhZ&#10;8P8O5Q8AAAD//wMAUEsBAi0AFAAGAAgAAAAhALaDOJL+AAAA4QEAABMAAAAAAAAAAAAAAAAAAAAA&#10;AFtDb250ZW50X1R5cGVzXS54bWxQSwECLQAUAAYACAAAACEAOP0h/9YAAACUAQAACwAAAAAAAAAA&#10;AAAAAAAvAQAAX3JlbHMvLnJlbHNQSwECLQAUAAYACAAAACEATEPvr/sBAADVAwAADgAAAAAAAAAA&#10;AAAAAAAuAgAAZHJzL2Uyb0RvYy54bWxQSwECLQAUAAYACAAAACEAk8/cweIAAAALAQAADwAAAAAA&#10;AAAAAAAAAABVBAAAZHJzL2Rvd25yZXYueG1sUEsFBgAAAAAEAAQA8wAAAGQFAAAAAA==&#10;" filled="f" stroked="f">
                <v:textbox>
                  <w:txbxContent>
                    <w:p w14:paraId="570F4F7F" w14:textId="77777777" w:rsidR="00FC02EB" w:rsidRPr="0024789E" w:rsidRDefault="003478A4"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Rok"/>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Opublikowano</w:t>
                      </w:r>
                      <w:r>
                        <w:br/>
                        <w:t xml:space="preserve">dnia </w:t>
                      </w:r>
                      <w:sdt>
                        <w:sdtPr>
                          <w:alias w:val="Wybrać datę"/>
                          <w:tag w:val="Utkom datum"/>
                          <w:id w:val="1764647152"/>
                          <w:showingPlcHdr/>
                          <w:dataBinding w:prefixMappings="xmlns:ns0='consensis-fs'" w:xpath="/ns0:root[1]/ns0:fs-fields[1]/ns0:fs-date[1]" w:storeItemID="{F222B965-9C48-4AC7-962E-E2AF3EEF1550}"/>
                          <w:date>
                            <w:dateFormat w:val="d MMMM yyyy"/>
                            <w:lid w:val="pl-PL"/>
                            <w:storeMappedDataAs w:val="dateTime"/>
                            <w:calendar w:val="gregorian"/>
                          </w:date>
                        </w:sdtPr>
                        <w:sdtEndPr/>
                        <w:sdtContent>
                          <w:r>
                            <w:rPr>
                              <w:rStyle w:val="PlaceholderText"/>
                            </w:rPr>
                            <w:t>[Wybierz datę]</w:t>
                          </w:r>
                        </w:sdtContent>
                      </w:sdt>
                    </w:p>
                    <w:sdt>
                      <w:sdtPr>
                        <w:alias w:val="Wpisać serię"/>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RUCH DROGOWY</w:t>
                          </w:r>
                        </w:p>
                      </w:sdtContent>
                    </w:sdt>
                    <w:p w14:paraId="55142639" w14:textId="77777777" w:rsidR="00FC02EB" w:rsidRPr="007C403E" w:rsidRDefault="003478A4" w:rsidP="007C403E">
                      <w:pPr>
                        <w:pStyle w:val="Underserie"/>
                        <w:rPr>
                          <w:bCs/>
                        </w:rPr>
                      </w:pPr>
                      <w:sdt>
                        <w:sdtPr>
                          <w:alias w:val="Wpisać podserię"/>
                          <w:tag w:val="Userie"/>
                          <w:id w:val="1607690029"/>
                          <w:showingPlcHdr/>
                          <w:dataBinding w:prefixMappings="xmlns:ns0='consensis-fs'" w:xpath="/ns0:root[1]/ns0:fs-fields[1]/ns0:fs-subseries[1]" w:storeItemID="{F222B965-9C48-4AC7-962E-E2AF3EEF1550}"/>
                          <w:text/>
                        </w:sdtPr>
                        <w:sdtEndPr/>
                        <w:sdtContent>
                          <w:r w:rsidR="00DA20BB">
                            <w:rPr>
                              <w:rStyle w:val="PlaceholderText"/>
                            </w:rPr>
                            <w:t>[Wpisać podserię]</w:t>
                          </w:r>
                        </w:sdtContent>
                      </w:sdt>
                    </w:p>
                  </w:txbxContent>
                </v:textbox>
                <w10:wrap anchorx="page" anchory="page"/>
                <w10:anchorlock/>
              </v:shape>
            </w:pict>
          </mc:Fallback>
        </mc:AlternateContent>
      </w:r>
      <w:r>
        <w:t xml:space="preserve">przyjęto dnia </w:t>
      </w:r>
      <w:sdt>
        <w:sdtPr>
          <w:rPr>
            <w:szCs w:val="22"/>
          </w:rPr>
          <w:alias w:val="Wybrać datę"/>
          <w:tag w:val="Välj ett datum"/>
          <w:id w:val="1438946608"/>
          <w:placeholder>
            <w:docPart w:val="E534B498335E4FF69B2409C76F31088A"/>
          </w:placeholder>
          <w:showingPlcHdr/>
          <w:date>
            <w:dateFormat w:val="d MMMM yyyy"/>
            <w:lid w:val="pl-PL"/>
            <w:storeMappedDataAs w:val="dateTime"/>
            <w:calendar w:val="gregorian"/>
          </w:date>
        </w:sdtPr>
        <w:sdtEndPr/>
        <w:sdtContent>
          <w:r>
            <w:rPr>
              <w:rStyle w:val="PlaceholderText"/>
            </w:rPr>
            <w:t>[Wybierz datę]</w:t>
          </w:r>
        </w:sdtContent>
      </w:sdt>
      <w:r>
        <w:t>.</w:t>
      </w:r>
    </w:p>
    <w:p w14:paraId="010B2956" w14:textId="21A435C8" w:rsidR="00E43EE1" w:rsidRDefault="008F31FC" w:rsidP="00B72887">
      <w:pPr>
        <w:pStyle w:val="Styckemedindrag"/>
      </w:pPr>
      <w:r>
        <w:t>Zgodnie z rozdziałem 8 par. 16 rozporządzenia w sprawie pojazdów (2009:211) Szwedzki Urząd Transportu nakazuje,</w:t>
      </w:r>
      <w:r w:rsidR="00A21E13">
        <w:rPr>
          <w:rStyle w:val="FootnoteReference"/>
        </w:rPr>
        <w:footnoteReference w:id="2"/>
      </w:r>
      <w:r>
        <w:t xml:space="preserve"> aby załącznik 1 do przepisów i zaleceń ogólnych (TSFS 2016:22) Urzędu dotyczących samochodów i przyczep samochodowych oddanych do użytku od dnia 1 lipca 2010 r. otrzymał następujące brzmienie.</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Niniejszy akt wchodzi w życie dnia 1 października 2023 r.</w:t>
      </w:r>
    </w:p>
    <w:p w14:paraId="05C0A8CC" w14:textId="0E015735" w:rsidR="00602C6F" w:rsidRDefault="00E4255A" w:rsidP="003478A4">
      <w:pPr>
        <w:pStyle w:val="Beslutandeochfredragande"/>
        <w:tabs>
          <w:tab w:val="clear" w:pos="3062"/>
          <w:tab w:val="left" w:pos="2127"/>
        </w:tabs>
      </w:pPr>
      <w:r>
        <w:t>W imieniu Szwedzkiego Urzędu Transportu</w:t>
      </w:r>
      <w:r>
        <w:br/>
      </w:r>
      <w:r>
        <w:br/>
        <w:t>JONAS BJELFVENSTAM</w:t>
      </w:r>
      <w:r>
        <w:br/>
      </w:r>
      <w:r>
        <w:tab/>
        <w:t>Elena Belkow</w:t>
      </w:r>
      <w:r>
        <w:br/>
      </w:r>
      <w:r>
        <w:tab/>
        <w:t>(Wydział Transportu Drogowego i Kolejowego)</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Załącznik 1. Wymagania dotyczące samochodów osobowych, autobusów, samochodów ciężarowych i ich przyczep</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Oświetlenie i urządzenia sygnalizacji świetlnej oraz ich instalacja </w:t>
      </w:r>
    </w:p>
    <w:p w14:paraId="110EEE08" w14:textId="77777777" w:rsidR="00F808A7" w:rsidRPr="00802803" w:rsidRDefault="00F808A7" w:rsidP="00F808A7">
      <w:pPr>
        <w:pStyle w:val="Stycke"/>
      </w:pPr>
      <w:r>
        <w:t>Samochód i przyczepa muszą posiadać oświetlenie i urządzenia sygnalizacji świetlnej określone w wierszach K1 lub K2 w poniższej tabeli. Należy je zainstalować w taki sposób, aby spełniały wymagania określone w wierszach K1 lub K2 oraz wierszach K3–K7.</w:t>
      </w:r>
    </w:p>
    <w:p w14:paraId="04CE732A" w14:textId="77777777" w:rsidR="00F808A7" w:rsidRPr="00802803" w:rsidRDefault="00F808A7" w:rsidP="00F808A7">
      <w:pPr>
        <w:pStyle w:val="Styckemedindrag"/>
      </w:pPr>
      <w:r>
        <w:t>Samochód kategorii M</w:t>
      </w:r>
      <w:r>
        <w:rPr>
          <w:vertAlign w:val="subscript"/>
        </w:rPr>
        <w:t>1</w:t>
      </w:r>
      <w:r>
        <w:t>, N</w:t>
      </w:r>
      <w:r>
        <w:rPr>
          <w:vertAlign w:val="subscript"/>
        </w:rPr>
        <w:t>1</w:t>
      </w:r>
      <w:r>
        <w:t xml:space="preserve"> i N</w:t>
      </w:r>
      <w:r>
        <w:rPr>
          <w:vertAlign w:val="subscript"/>
        </w:rPr>
        <w:t>2</w:t>
      </w:r>
      <w:r>
        <w:t xml:space="preserve"> o masie całkowitej do 4536 kg, produkowany w dużych seriach w państwach trzecich lub dla państw trzecich, może zamiast tego spełniać wymagania określone w wierszu T1.</w:t>
      </w:r>
    </w:p>
    <w:p w14:paraId="7F24C5F4" w14:textId="77777777" w:rsidR="00F808A7" w:rsidRPr="00802803" w:rsidRDefault="00F808A7" w:rsidP="00F808A7">
      <w:pPr>
        <w:pStyle w:val="Styckemedindrag"/>
      </w:pPr>
      <w:r>
        <w:t>Wózek typu „dolly” kategorii O</w:t>
      </w:r>
      <w:r>
        <w:rPr>
          <w:vertAlign w:val="subscript"/>
        </w:rPr>
        <w:t>3</w:t>
      </w:r>
      <w:r>
        <w:t xml:space="preserve"> i O</w:t>
      </w:r>
      <w:r>
        <w:rPr>
          <w:vertAlign w:val="subscript"/>
        </w:rPr>
        <w:t>4</w:t>
      </w:r>
      <w:r>
        <w:t xml:space="preserve"> nie musi spełniać wymagań dotyczących znakowania konturów określonych w wierszu K2.</w:t>
      </w:r>
    </w:p>
    <w:p w14:paraId="40CB2E95" w14:textId="77777777" w:rsidR="00F808A7" w:rsidRPr="00802803" w:rsidRDefault="00F808A7" w:rsidP="00F808A7">
      <w:pPr>
        <w:pStyle w:val="Styckemedindrag"/>
      </w:pPr>
      <w:r>
        <w:t>Przyczepa kempingowa, karetka pogotowia, karawan, pojazd opancerzony i dźwig samojezdny WE, w przypadkach określonych w wierszu S1, nie muszą spełniać wszystkich wymagań określonych w wierszu K1 lub K2.</w:t>
      </w:r>
    </w:p>
    <w:p w14:paraId="4DC6D73B" w14:textId="77777777" w:rsidR="00F808A7" w:rsidRPr="00802803" w:rsidRDefault="00F808A7" w:rsidP="00F808A7">
      <w:pPr>
        <w:pStyle w:val="Styckemedindrag"/>
      </w:pPr>
      <w:r>
        <w:t>Przyczepa kempingowa, karetka pogotowia i karawan, w przypadkach określonych w wierszu S2, mogą zamiast tego spełniać określone tam wymagania.</w:t>
      </w:r>
    </w:p>
    <w:p w14:paraId="603BC8C0" w14:textId="363F9792" w:rsidR="00F808A7" w:rsidRDefault="00F808A7" w:rsidP="007E0EC5">
      <w:pPr>
        <w:pStyle w:val="Styckemedindrag"/>
      </w:pPr>
      <w:r>
        <w:t>Samochód i przyczepa mogą być wyposażone zgodnie z wymaganiami określonymi w wierszach U1–U11 niezależnie od wymagań określonych w wierszach K1, K2 i T1.</w:t>
      </w:r>
    </w:p>
    <w:p w14:paraId="5E247C37" w14:textId="27AB0253" w:rsidR="00012970" w:rsidRDefault="00012970" w:rsidP="007E0EC5">
      <w:pPr>
        <w:pStyle w:val="StyckemedindragNDRAD"/>
      </w:pPr>
      <w:r>
        <w:t>Pojazdy ratunkowe organu policji mogą być wyposażone zgodnie z wymaganiami określonymi wierszu U12 niezależnie od wymagań określonych w wierszach K1, K2 i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1586"/>
        <w:gridCol w:w="1451"/>
        <w:gridCol w:w="1799"/>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Wiersz</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Przepisy</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Zastosowanie do pojazdów wprowadzonych do użytku</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Zgodność z wymaganiami dyrektywy</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76/756/EWG</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zmieniona dyrektywą</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97/28/WE</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2007/35/WE</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2008/89/WE</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Zgodność z wymaganiami</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 xml:space="preserve">regulaminu EKG nr </w:t>
            </w:r>
            <w:r>
              <w:rPr>
                <w:b/>
                <w:sz w:val="19"/>
              </w:rPr>
              <w:br/>
              <w:t>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seria zmian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Ograniczenie do kategorii N</w:t>
            </w:r>
            <w:r>
              <w:rPr>
                <w:sz w:val="19"/>
                <w:vertAlign w:val="subscript"/>
              </w:rPr>
              <w:t>2</w:t>
            </w:r>
            <w:r>
              <w:rPr>
                <w:sz w:val="19"/>
              </w:rPr>
              <w:t xml:space="preserve"> &gt; 7500 kg, N</w:t>
            </w:r>
            <w:r>
              <w:rPr>
                <w:sz w:val="19"/>
                <w:vertAlign w:val="subscript"/>
              </w:rPr>
              <w:t>3</w:t>
            </w:r>
            <w:r>
              <w:rPr>
                <w:sz w:val="19"/>
              </w:rPr>
              <w:t>, O</w:t>
            </w:r>
            <w:r>
              <w:rPr>
                <w:sz w:val="19"/>
                <w:vertAlign w:val="subscript"/>
              </w:rPr>
              <w:t>3</w:t>
            </w:r>
            <w:r>
              <w:rPr>
                <w:sz w:val="19"/>
              </w:rPr>
              <w:t xml:space="preserve"> i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seria zmian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2010-07-01 </w:t>
            </w:r>
            <w:r>
              <w:rPr>
                <w:sz w:val="19"/>
              </w:rPr>
              <w:br/>
              <w:t>lub nowsze</w:t>
            </w:r>
          </w:p>
          <w:p w14:paraId="5F0AE3FB" w14:textId="77777777" w:rsidR="00F808A7" w:rsidRPr="00802803" w:rsidRDefault="00F808A7" w:rsidP="00FC02EB">
            <w:pPr>
              <w:ind w:right="72"/>
              <w:rPr>
                <w:bCs/>
                <w:sz w:val="19"/>
                <w:szCs w:val="19"/>
                <w:vertAlign w:val="subscript"/>
              </w:rPr>
            </w:pPr>
            <w:r>
              <w:rPr>
                <w:sz w:val="19"/>
              </w:rPr>
              <w:t>Ograniczenie do kategorii M, N</w:t>
            </w:r>
            <w:r>
              <w:rPr>
                <w:sz w:val="19"/>
                <w:vertAlign w:val="subscript"/>
              </w:rPr>
              <w:t>1</w:t>
            </w:r>
            <w:r>
              <w:rPr>
                <w:sz w:val="19"/>
              </w:rPr>
              <w:t>, N</w:t>
            </w:r>
            <w:r>
              <w:rPr>
                <w:sz w:val="19"/>
                <w:vertAlign w:val="subscript"/>
              </w:rPr>
              <w:t>2</w:t>
            </w:r>
            <w:r>
              <w:rPr>
                <w:sz w:val="19"/>
              </w:rPr>
              <w:t xml:space="preserve"> ≤ 7500 kg, O</w:t>
            </w:r>
            <w:r>
              <w:rPr>
                <w:sz w:val="19"/>
                <w:vertAlign w:val="subscript"/>
              </w:rPr>
              <w:t>1</w:t>
            </w:r>
            <w:r>
              <w:rPr>
                <w:sz w:val="19"/>
              </w:rPr>
              <w:t xml:space="preserve"> i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seria zmian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2010-07-01 </w:t>
            </w:r>
            <w:r>
              <w:rPr>
                <w:sz w:val="19"/>
              </w:rPr>
              <w:br/>
              <w:t>lub nowsze</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seria zmian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2010-07-01 </w:t>
            </w:r>
            <w:r>
              <w:rPr>
                <w:sz w:val="19"/>
              </w:rPr>
              <w:br/>
              <w:t>lub nowsze</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seria zmian 05</w:t>
            </w:r>
          </w:p>
          <w:p w14:paraId="1FB931CF" w14:textId="77777777" w:rsidR="00F808A7" w:rsidRPr="00802803" w:rsidRDefault="00F808A7" w:rsidP="00FC02EB">
            <w:pPr>
              <w:spacing w:line="232" w:lineRule="exact"/>
              <w:jc w:val="right"/>
              <w:rPr>
                <w:sz w:val="19"/>
              </w:rPr>
            </w:pPr>
            <w:r>
              <w:rPr>
                <w:sz w:val="19"/>
              </w:rPr>
              <w:t>lub późniejsze zmiany</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2011-01-30 </w:t>
            </w:r>
            <w:r>
              <w:rPr>
                <w:sz w:val="19"/>
              </w:rPr>
              <w:br/>
              <w:t>lub nowsze</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Reflektory, światła, światła odblaskowe i światła żarnikowe nie mogą być pokryte farbą, bez względu na kolor.</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Pojazdy nie mogą posiadać reflektorów ani świateł innych niż określone w niniejszych przepisach lub innych przepisach wydanych przez Szwedzki Urząd Transportu.</w:t>
            </w:r>
          </w:p>
          <w:p w14:paraId="0BDE9AB0" w14:textId="77777777" w:rsidR="00F808A7" w:rsidRPr="00802803" w:rsidRDefault="00F808A7" w:rsidP="00FC02EB">
            <w:pPr>
              <w:pStyle w:val="Styckemedindrag"/>
              <w:rPr>
                <w:i/>
              </w:rPr>
            </w:pPr>
            <w:r>
              <w:t>Pojazdy mogą jednak być wyposażone w urządzenia oświetleniowe stanowiące opcjonalne wyposażenie oświetleniowe zgodnie z regulaminem EKG nr 48, pod warunkiem, że urządzenia te są instalowane zgodnie z wymogami regulaminem.</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Reflektory i światła umieszcza się na pojeździe w taki sposób, aby światło nie zakłócało pracy kierowcy pojazdu.</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Zabezpieczenie przed odpryskami obowiązkowych reflektorów lub świateł nie jest dozwolone w pojeździe, jeżeli znacznie zmniejsza ono intensywność świecenia reflektora lub światła. Dotyczy to również zabezpieczeń przed odpryskami wykonanych z materiału, który łatwo ulega uszkodzeniom, zmniejszając tym samym intensywność świecenia reflektora lub światła.</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lastRenderedPageBreak/>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Pojazdy nie mogą posiadać żadnego urządzenia, które może powodować zakłócające odbicia światła lub ryzyko oślepienia innego kierowcy.</w:t>
            </w:r>
          </w:p>
          <w:p w14:paraId="6A0836F4" w14:textId="77777777" w:rsidR="00F808A7" w:rsidRPr="00802803" w:rsidRDefault="00F808A7" w:rsidP="00FC02EB">
            <w:pPr>
              <w:pStyle w:val="Styckemedindrag"/>
              <w:rPr>
                <w:bCs/>
                <w:szCs w:val="19"/>
              </w:rPr>
            </w:pPr>
            <w:r>
              <w:t>Ponadto pojazdy nie mogą posiadać urządzenia, które podczas jazdy wyświetla przesuwające się lub ruchome obrazy, teksty lub grafiki, które są widoczne dla użytkowników dróg znajdujących się poza pojazdem. Autobusy w regularnym ruchu mogą, w związku z przystankami autobusowymi, posiadać tablice wskazujące przystanek docelowy oraz zmieniające się informacje o ruchu drogowym.</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Samochód musi posiadać urządzenia oświetleniowe i sygnalizacji świetlnej, które spełniają alternatywne wymagania techniczne określone w pkt 20 części I i II załącznika 2 do załącznika IV do dyrektywy 2007/46/WE w brzmieniu zgodnym z rozporządzeniem (UE) nr 183/2011. W przypadku samochodu kategorii N</w:t>
            </w:r>
            <w:r>
              <w:rPr>
                <w:vertAlign w:val="subscript"/>
              </w:rPr>
              <w:t>2</w:t>
            </w:r>
            <w:r>
              <w:t xml:space="preserve"> obowiązują te same wymagania, co w przypadku samochodu kategorii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Jeżeli specjalne zastosowanie pojazdu uniemożliwia spełnienie wszystkich wymagań określonych w wierszu K1 lub K2, zwolnienie z wymagań może zostać udzielone pod warunkiem zainstalowania wszystkich obowiązkowych urządzeń oświetleniowych. W przypadku przyczepy kempingowej, karetki pogotowia, karawanu i pojazdu opancerzonego widoczność geometryczna nie może być naruszona.</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Samochód osobowy o masie całkowitej powyżej 2500 kg, zbudowany na bazie samochodu ciężarowego lub autobusu, może spełniać wymagania mające zastosowanie do pojazdu podstawowego. To samo dotyczy autobusu zbudowanego na bazie samochodu ciężarowego lub samochodu osobowego.</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lastRenderedPageBreak/>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Pojazdy nie muszą spełniać następujących wymagań regulaminu EKG nr 48 i załącznika 2 do dyrektywy 76/756/EWG:</w:t>
            </w:r>
          </w:p>
          <w:p w14:paraId="0B6FFA58" w14:textId="77777777" w:rsidR="00F808A7" w:rsidRPr="00DC4B0A" w:rsidRDefault="00F808A7" w:rsidP="00FC02EB">
            <w:pPr>
              <w:pStyle w:val="Styckemedindrag"/>
            </w:pPr>
            <w:r>
              <w:t>1. 6.1.2. dotyczących ograniczenia do czterech reflektorów drogowych.</w:t>
            </w:r>
          </w:p>
          <w:p w14:paraId="61E3C0AF" w14:textId="77777777" w:rsidR="00F808A7" w:rsidRPr="00DC4B0A" w:rsidRDefault="00F808A7" w:rsidP="00FC02EB">
            <w:pPr>
              <w:pStyle w:val="Styckemedindrag"/>
            </w:pPr>
            <w:r>
              <w:t>2. 6.1.9. (zagregowana maksymalna intensywność wiązek).</w:t>
            </w:r>
          </w:p>
          <w:p w14:paraId="7963D4AF" w14:textId="77777777" w:rsidR="00F808A7" w:rsidRPr="00DC4B0A" w:rsidRDefault="00F808A7" w:rsidP="00FC02EB">
            <w:pPr>
              <w:pStyle w:val="Styckemedindrag"/>
            </w:pPr>
            <w:r>
              <w:t>3. 6.10.2. dotyczących ograniczenia do dwóch tylnych świateł pozycyjnych. Jednak liczba świateł powinna być parzysta.</w:t>
            </w:r>
          </w:p>
          <w:p w14:paraId="05E338FC" w14:textId="77777777" w:rsidR="00F808A7" w:rsidRPr="00DC4B0A" w:rsidRDefault="00F808A7" w:rsidP="00FC02EB">
            <w:pPr>
              <w:pStyle w:val="Styckemedindrag"/>
            </w:pPr>
            <w:r>
              <w:t>4. 6.4.2. dotyczących ograniczenia do dwóch świateł cofania. Liczba świateł nie może przekraczać czterech.</w:t>
            </w:r>
          </w:p>
          <w:p w14:paraId="790DD550" w14:textId="77777777" w:rsidR="00F808A7" w:rsidRPr="00DC4B0A" w:rsidRDefault="00F808A7" w:rsidP="00FC02EB">
            <w:pPr>
              <w:pStyle w:val="Styckemedindrag"/>
            </w:pPr>
            <w:r>
              <w:t>5. 6.5.3. dotyczących ograniczenia do dwóch tylnych świateł kierunkowskazów kategorii 2a lub 2b. Liczba świateł nie może przekraczać czterech.</w:t>
            </w:r>
          </w:p>
          <w:p w14:paraId="22BD5FFE" w14:textId="77777777" w:rsidR="00F808A7" w:rsidRPr="00DC4B0A" w:rsidRDefault="00F808A7" w:rsidP="00FC02EB">
            <w:pPr>
              <w:pStyle w:val="Styckemedindrag"/>
            </w:pPr>
            <w:r>
              <w:t>6. 6.6.7.2. dotyczących ograniczenia do dwóch świateł stopu kategorii S1 lub S2. Liczba świateł nie może przekraczać czterech.</w:t>
            </w:r>
          </w:p>
          <w:p w14:paraId="5618458D" w14:textId="77777777" w:rsidR="00F808A7" w:rsidRPr="00802803" w:rsidRDefault="00F808A7" w:rsidP="00FC02EB">
            <w:pPr>
              <w:pStyle w:val="Styckemedindrag"/>
              <w:rPr>
                <w:szCs w:val="19"/>
              </w:rPr>
            </w:pPr>
            <w:r>
              <w:t>7. 6.9.2. dotyczących ograniczenia do dwóch przednich świateł pozycyjnych. Liczba świateł nie może przekraczać czterech.</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Pojazd może posiadać światła przeznaczone do użytku jako dodatkowe oświetlenie podczas pracy przy pojeździe, znane jako oświetlenie robocze, emitujące światło białe. Światła wyszukiwania są również uważane za oświetlenie robocze.</w:t>
            </w:r>
          </w:p>
          <w:p w14:paraId="7C92BB7C" w14:textId="77777777" w:rsidR="00F808A7" w:rsidRPr="00121825" w:rsidRDefault="00F808A7" w:rsidP="00FC02EB">
            <w:pPr>
              <w:pStyle w:val="Styckemedindrag"/>
              <w:rPr>
                <w:szCs w:val="19"/>
              </w:rPr>
            </w:pPr>
            <w:r>
              <w:t>Musi występować lampka kontrolna, która świeci na pomarańczowo lub czerwono po podłączeniu oświetlenia roboczego, i lampka ta musi być widoczna z siedzenia kierowcy.</w:t>
            </w:r>
          </w:p>
          <w:p w14:paraId="242F9004" w14:textId="77777777" w:rsidR="00F808A7" w:rsidRPr="00254CD4" w:rsidRDefault="00F808A7" w:rsidP="00FC02EB">
            <w:pPr>
              <w:pStyle w:val="Styckemedindrag"/>
              <w:rPr>
                <w:szCs w:val="19"/>
              </w:rPr>
            </w:pPr>
            <w:r>
              <w:t>Oświetlenie musi być zainstalowane w taki sposób, aby nie wibrowało ani nie zmieniało położenia podczas normalnej jazdy.</w:t>
            </w:r>
          </w:p>
          <w:p w14:paraId="4FB4A89E" w14:textId="77777777" w:rsidR="00F808A7" w:rsidRPr="00121825" w:rsidRDefault="00F808A7" w:rsidP="00FC02EB">
            <w:pPr>
              <w:pStyle w:val="Styckemedindrag"/>
              <w:rPr>
                <w:szCs w:val="19"/>
              </w:rPr>
            </w:pPr>
            <w:r>
              <w:t>Oświetlenie robocze nie może:</w:t>
            </w:r>
          </w:p>
          <w:p w14:paraId="60B593F5" w14:textId="77777777" w:rsidR="00F808A7" w:rsidRPr="00254CD4" w:rsidRDefault="00F808A7" w:rsidP="00FC02EB">
            <w:pPr>
              <w:pStyle w:val="Styckemedindrag"/>
              <w:rPr>
                <w:szCs w:val="19"/>
              </w:rPr>
            </w:pPr>
            <w:r>
              <w:t>1. być zgrupowane z innymi lampami oświetleniowymi lub światłami;</w:t>
            </w:r>
          </w:p>
          <w:p w14:paraId="30FA00B0" w14:textId="77777777" w:rsidR="00F808A7" w:rsidRPr="00254CD4" w:rsidRDefault="00F808A7" w:rsidP="00FC02EB">
            <w:pPr>
              <w:pStyle w:val="Styckemedindrag"/>
              <w:rPr>
                <w:szCs w:val="19"/>
              </w:rPr>
            </w:pPr>
            <w:r>
              <w:t>2. być łączone z innymi lampami oświetleniowymi lub światłami; oraz</w:t>
            </w:r>
          </w:p>
          <w:p w14:paraId="01F91BE2" w14:textId="77777777" w:rsidR="00F808A7" w:rsidRPr="00802803" w:rsidRDefault="00F808A7" w:rsidP="00FC02EB">
            <w:pPr>
              <w:pStyle w:val="Styckemedindrag"/>
              <w:rPr>
                <w:szCs w:val="19"/>
              </w:rPr>
            </w:pPr>
            <w:r>
              <w:t>3. tworzyć wzajemnie sprzężonych lamp oświetleniowych lub świateł.</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Autobusy mogą posiadać światła do oświetlania obszaru na zewnątrz drzwi wejściowych, tzw. oświetlenie do wysiadania, w sąsiedztwie drzwi wejściowych dla pasażerów.</w:t>
            </w:r>
          </w:p>
          <w:p w14:paraId="762E573B" w14:textId="77777777" w:rsidR="00F808A7" w:rsidRPr="00802803" w:rsidRDefault="00F808A7" w:rsidP="00FC02EB">
            <w:pPr>
              <w:pStyle w:val="Styckemedindrag"/>
            </w:pPr>
            <w:r>
              <w:t>Wysokość instalacji oświetlenia do wysiadania musi wynosić co najmniej 2000 mm.</w:t>
            </w:r>
          </w:p>
          <w:p w14:paraId="6AD55676" w14:textId="77777777" w:rsidR="00F808A7" w:rsidRPr="00802803" w:rsidRDefault="00F808A7" w:rsidP="00FC02EB">
            <w:pPr>
              <w:pStyle w:val="Styckemedindrag"/>
              <w:rPr>
                <w:szCs w:val="19"/>
              </w:rPr>
            </w:pPr>
            <w:r>
              <w:t>Oświetlenie do wysiadania nie może wystawać na więcej niż 50 mm poza najszerszą szerokość nadwozia.</w:t>
            </w:r>
          </w:p>
          <w:p w14:paraId="1562D997" w14:textId="77777777" w:rsidR="00F808A7" w:rsidRPr="00802803" w:rsidRDefault="00F808A7" w:rsidP="00FC02EB">
            <w:pPr>
              <w:pStyle w:val="Styckemedindrag"/>
              <w:rPr>
                <w:szCs w:val="19"/>
              </w:rPr>
            </w:pPr>
            <w:r>
              <w:t>Oświetlenie do wysiadania powinno być ustawione i osłonięte w taki sposób, aby nie emitowało światła, które mogłoby oślepiać innych użytkowników dróg na zewnątrz promienia 10 metrów od światła.</w:t>
            </w:r>
          </w:p>
          <w:p w14:paraId="0C423EEA" w14:textId="77777777" w:rsidR="00F808A7" w:rsidRPr="00802803" w:rsidRDefault="00F808A7" w:rsidP="00FC02EB">
            <w:pPr>
              <w:pStyle w:val="Styckemedindrag"/>
              <w:rPr>
                <w:szCs w:val="19"/>
              </w:rPr>
            </w:pPr>
            <w:r>
              <w:t>Oświetlenie musi być zainstalowane w taki sposób, aby nie wibrowało ani nie zmieniało położenia podczas normalnej jazdy.</w:t>
            </w:r>
          </w:p>
          <w:p w14:paraId="64744E4E" w14:textId="77777777" w:rsidR="00F808A7" w:rsidRDefault="00F808A7" w:rsidP="00FC02EB">
            <w:pPr>
              <w:pStyle w:val="Styckemedindrag"/>
            </w:pPr>
            <w:r>
              <w:t>Oświetlenie do wysiadania nie może:</w:t>
            </w:r>
          </w:p>
          <w:p w14:paraId="5CECE21F" w14:textId="77777777" w:rsidR="00F808A7" w:rsidRPr="00DC4B0A" w:rsidRDefault="00F808A7" w:rsidP="00FC02EB">
            <w:pPr>
              <w:pStyle w:val="Styckemedindrag"/>
              <w:rPr>
                <w:szCs w:val="19"/>
              </w:rPr>
            </w:pPr>
            <w:r>
              <w:t>1. być zgrupowane z innymi lampami oświetleniowymi lub światłami;</w:t>
            </w:r>
          </w:p>
          <w:p w14:paraId="06ABACA9" w14:textId="77777777" w:rsidR="00F808A7" w:rsidRPr="00DC4B0A" w:rsidRDefault="00F808A7" w:rsidP="00FC02EB">
            <w:pPr>
              <w:pStyle w:val="Styckemedindrag"/>
              <w:rPr>
                <w:szCs w:val="19"/>
              </w:rPr>
            </w:pPr>
            <w:r>
              <w:t>2. być łączone z innymi lampami oświetleniowymi lub światłami; oraz</w:t>
            </w:r>
          </w:p>
          <w:p w14:paraId="030B8A5E" w14:textId="77777777" w:rsidR="00F808A7" w:rsidRPr="00121825" w:rsidRDefault="00F808A7" w:rsidP="00FC02EB">
            <w:pPr>
              <w:pStyle w:val="Styckemedindrag"/>
              <w:rPr>
                <w:szCs w:val="19"/>
              </w:rPr>
            </w:pPr>
            <w:r>
              <w:t>3. tworzyć wzajemnie sprzężonych lamp oświetleniowych lub świateł.</w:t>
            </w:r>
          </w:p>
          <w:p w14:paraId="6CC7E9C0" w14:textId="77777777" w:rsidR="00F808A7" w:rsidRPr="00802803" w:rsidRDefault="00F808A7" w:rsidP="00FC02EB">
            <w:pPr>
              <w:pStyle w:val="Styckemedindrag"/>
            </w:pPr>
            <w:r>
              <w:t>Oświetlenie do wysiadania musi być podłączone do systemu elektrycznego pojazdu w taki sposób, aby świeciło się tylko w związku z otwarciem drzwi wejściowych dla pasażerów i nie mogło się świecić, gdy pojazd osiągnie prędkość 5 km/h lub wyższą.</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Pojazdy, które ze względu na swoje użytkowanie są wyposażone w chowane światła mijania, mogą być wyposażone w cztery światła mijania. Jest to ograniczone warunkiem, że światła są połączone w taki sposób, że obie pary nie mogą świecić się w tym samym czasie.</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Samochody użytkowane jako taksówki mogą być wyposażone w lampy emitujące zielone światło do przodu (w celu zasygnalizowania, że taksówka jest dostępna).</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Pojazdy policyjne mogą być wyposażone w urządzenia świetlne wyświetlające policyjny sygnał P11 – zjechać na pobocze i zatrzymać się przed pojazdem policji – zgodnie z rozdziałem 7, par. 2 rozporządzenia w sprawie znaków drogowych (2007:90), które emitują niebieskie i czerwone światło.</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Dodatkowe światła odblaskowe w pojeździe ratunkowym mogą emitować białe światło do tyłu.</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lastRenderedPageBreak/>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Samochody ciężarowe kategorii N</w:t>
            </w:r>
            <w:r>
              <w:rPr>
                <w:vertAlign w:val="subscript"/>
              </w:rPr>
              <w:t>2</w:t>
            </w:r>
            <w:r>
              <w:t xml:space="preserve"> i N</w:t>
            </w:r>
            <w:r>
              <w:rPr>
                <w:vertAlign w:val="subscript"/>
              </w:rPr>
              <w:t>3</w:t>
            </w:r>
            <w:r>
              <w:t xml:space="preserve"> oraz przyczepy kategorii O</w:t>
            </w:r>
            <w:r>
              <w:rPr>
                <w:vertAlign w:val="subscript"/>
              </w:rPr>
              <w:t>3</w:t>
            </w:r>
            <w:r>
              <w:t xml:space="preserve"> i O</w:t>
            </w:r>
            <w:r>
              <w:rPr>
                <w:vertAlign w:val="subscript"/>
              </w:rPr>
              <w:t>4</w:t>
            </w:r>
            <w:r>
              <w:t xml:space="preserve"> mogą być wyposażone w znaki oznaczające pojazd ciężki lub długi. Znaki te muszą posiadać homologację typu i należy je instalować zgodnie z regulaminem EKG nr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Przepisy dotyczące wyłączeń dla znaków nauki jazdy w pojazdach używanych przez szkoły jazdy znajdują się w par. 6 przepisów Szwedzkiego Urzędu Transportu (TSFS 2010:81) dotyczących znaków nauki jazdy i szkolenia kierowców oraz nadzoru nad nauką jazdy w szkołach jazdy.</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Pojazd pomocy drogowej może być wyposażony w dodatkowe światło pozycyjne, światło stopu i światło kierunkowskazu z każdej strony z tyłu, znajdujące się w pobliżu tylnej ściany kabiny pojazdu. Rozmieszczenie świateł może różnić się w zależności od odległości niezbędnej do tego, aby oświetlenie pojazdu było wyraźnie widoczne z tyłu podczas prac związanych z holowaniem.</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Przyczepa o wysokości do 1,4 metra nie musi być wyposażona w światła obrysowe. Dotyczy to również samochodu o wysokości do 1,4 metra, obliczonej od tyłu do tylnej ściany kabiny.</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Pojazdy ratunkowe organu policji mogą być wyposażone w światła emitujące stałe, niebieskie światło o małej intensywności. Intensywność światła musi być na tyle mała, aby światła nie można było pomylić z niebieskim światłem z urządzenia alarmowego pojazdu. Światło nie może być oślepiające ani przyciemniane.</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Światła odblaskowe</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622B41F0" w:rsidR="00FC02EB" w:rsidRDefault="00FC02EB" w:rsidP="00D104F7">
                          <w:pPr>
                            <w:pStyle w:val="FSnr-sidhuvud"/>
                            <w:ind w:left="0" w:right="0"/>
                          </w:pPr>
                          <w:r>
                            <w:fldChar w:fldCharType="begin"/>
                          </w:r>
                          <w:r>
                            <w:instrText xml:space="preserve"> STYLEREF  FS-nr  \* MERGEFORMAT </w:instrText>
                          </w:r>
                          <w:r>
                            <w:fldChar w:fldCharType="separate"/>
                          </w:r>
                          <w:r w:rsidR="003478A4">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622B41F0" w:rsidR="00FC02EB" w:rsidRDefault="00FC02EB" w:rsidP="00D104F7">
                    <w:pPr>
                      <w:pStyle w:val="FSnr-sidhuvud"/>
                      <w:ind w:left="0" w:right="0"/>
                    </w:pPr>
                    <w:r>
                      <w:fldChar w:fldCharType="begin"/>
                    </w:r>
                    <w:r>
                      <w:instrText xml:space="preserve"> STYLEREF  FS-nr  \* MERGEFORMAT </w:instrText>
                    </w:r>
                    <w:r>
                      <w:fldChar w:fldCharType="separate"/>
                    </w:r>
                    <w:r w:rsidR="003478A4">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Patrz dyrektywa (UE) 2015/1535 Parlamentu Europejskiego</w:t>
      </w:r>
      <w:r>
        <w:rPr>
          <w:i/>
        </w:rPr>
        <w:t xml:space="preserve"> </w:t>
      </w:r>
      <w:r>
        <w:t>i Rady z dnia 9 września 2015 r. ustanawiająca procedurę udzielania informacji w dziedzinie przepisów technicznych oraz zasad dotyczących usług społeczeństwa informacyjnego.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3478A4" w:rsidP="00641EF3">
    <w:pPr>
      <w:pStyle w:val="FSnr-sidhuvud"/>
      <w:ind w:left="3345" w:firstLine="1871"/>
    </w:pPr>
    <w:sdt>
      <w:sdtPr>
        <w:alias w:val="Dziennik Urzędowy"/>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Załącznik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3478A4" w:rsidP="00A41C32">
    <w:pPr>
      <w:pStyle w:val="FSnr-sidhuvud"/>
      <w:jc w:val="right"/>
    </w:pPr>
    <w:sdt>
      <w:sdtPr>
        <w:alias w:val="Dziennik Urzędowy"/>
        <w:id w:val="1150257239"/>
        <w:text/>
      </w:sdtPr>
      <w:sdtEndPr/>
      <w:sdtContent>
        <w:r w:rsidR="00DA20BB">
          <w:t>TSFS 20</w:t>
        </w:r>
      </w:sdtContent>
    </w:sdt>
    <w:sdt>
      <w:sdtPr>
        <w:alias w:val="Rok"/>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478A4"/>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16BF"/>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pl-PL"/>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pl-PL"/>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pl-PL"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[Wybierz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xmlns="consensis-fs">
  <fs-fields>
    <fs-no-prefix/>
    <fs-year>23</fs-year>
    <fs-no>XX</fs-no>
    <fs-date/>
    <fs-series>RUCH DROGOWY</fs-series>
    <fs-subseries/>
    <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2.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6.xml><?xml version="1.0" encoding="utf-8"?>
<ds:datastoreItem xmlns:ds="http://schemas.openxmlformats.org/officeDocument/2006/customXml" ds:itemID="{29A26CBF-49DB-42CB-869A-9ED62029ED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Föreskrift.dotm</Template>
  <TotalTime>7</TotalTime>
  <Pages>8</Pages>
  <Words>1429</Words>
  <Characters>9009</Characters>
  <Application>Microsoft Office Word</Application>
  <DocSecurity>0</DocSecurity>
  <Lines>75</Lines>
  <Paragraphs>20</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