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3EAE78" w14:textId="776B8299" w:rsidR="0056336D" w:rsidRDefault="0056336D"/>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A0611F" w:rsidRPr="00C16AC7" w14:paraId="779E3D90" w14:textId="77777777" w:rsidTr="00E86B51">
        <w:trPr>
          <w:cantSplit/>
        </w:trPr>
        <w:tc>
          <w:tcPr>
            <w:tcW w:w="3982" w:type="dxa"/>
            <w:gridSpan w:val="3"/>
            <w:shd w:val="clear" w:color="auto" w:fill="auto"/>
          </w:tcPr>
          <w:p w14:paraId="7AD279F9" w14:textId="542C7984" w:rsidR="00A0611F" w:rsidRPr="00C16AC7" w:rsidRDefault="00A0611F" w:rsidP="00E86B51">
            <w:pPr>
              <w:pStyle w:val="SNREPUBLIQUE"/>
            </w:pPr>
            <w:r>
              <w:t xml:space="preserve">REPÚBLICA FRANCESA</w:t>
            </w:r>
          </w:p>
        </w:tc>
      </w:tr>
      <w:tr w:rsidR="00A0611F" w:rsidRPr="00C16AC7" w14:paraId="7DEA0AE9" w14:textId="77777777" w:rsidTr="00E86B51">
        <w:trPr>
          <w:cantSplit/>
          <w:trHeight w:hRule="exact" w:val="113"/>
        </w:trPr>
        <w:tc>
          <w:tcPr>
            <w:tcW w:w="1527" w:type="dxa"/>
            <w:shd w:val="clear" w:color="auto" w:fill="auto"/>
          </w:tcPr>
          <w:p w14:paraId="0CACC41D" w14:textId="77777777" w:rsidR="00A0611F" w:rsidRPr="00C16AC7" w:rsidRDefault="00A0611F" w:rsidP="00E86B51">
            <w:pPr>
              <w:snapToGrid w:val="0"/>
              <w:rPr>
                <w:rFonts w:cs="Tahoma"/>
              </w:rPr>
            </w:pPr>
          </w:p>
        </w:tc>
        <w:tc>
          <w:tcPr>
            <w:tcW w:w="968" w:type="dxa"/>
            <w:shd w:val="clear" w:color="auto" w:fill="auto"/>
          </w:tcPr>
          <w:p w14:paraId="5AEC3751" w14:textId="77777777" w:rsidR="00A0611F" w:rsidRPr="00C16AC7" w:rsidRDefault="00A0611F" w:rsidP="00E86B51">
            <w:pPr>
              <w:snapToGrid w:val="0"/>
              <w:rPr>
                <w:rFonts w:cs="Tahoma"/>
              </w:rPr>
            </w:pPr>
          </w:p>
        </w:tc>
        <w:tc>
          <w:tcPr>
            <w:tcW w:w="1487" w:type="dxa"/>
            <w:shd w:val="clear" w:color="auto" w:fill="auto"/>
          </w:tcPr>
          <w:p w14:paraId="331313C4" w14:textId="77777777" w:rsidR="00A0611F" w:rsidRPr="00C16AC7" w:rsidRDefault="00A0611F" w:rsidP="00E86B51">
            <w:pPr>
              <w:snapToGrid w:val="0"/>
              <w:rPr>
                <w:rFonts w:cs="Tahoma"/>
              </w:rPr>
            </w:pPr>
          </w:p>
        </w:tc>
      </w:tr>
      <w:tr w:rsidR="00A0611F" w:rsidRPr="00C16AC7" w14:paraId="7FC91AA2" w14:textId="77777777" w:rsidTr="00E86B51">
        <w:trPr>
          <w:cantSplit/>
        </w:trPr>
        <w:tc>
          <w:tcPr>
            <w:tcW w:w="3982" w:type="dxa"/>
            <w:gridSpan w:val="3"/>
            <w:shd w:val="clear" w:color="auto" w:fill="auto"/>
          </w:tcPr>
          <w:p w14:paraId="16B17C24" w14:textId="77777777" w:rsidR="00A0611F" w:rsidRPr="00C16AC7" w:rsidRDefault="00A0611F" w:rsidP="00E86B51">
            <w:pPr>
              <w:pStyle w:val="SNTimbre"/>
            </w:pPr>
            <w:r>
              <w:t xml:space="preserve">Ministerio de la Transición Ecológica</w:t>
            </w:r>
          </w:p>
          <w:p w14:paraId="31F42F58" w14:textId="77777777" w:rsidR="00A0611F" w:rsidRPr="00C16AC7" w:rsidRDefault="00A0611F" w:rsidP="00E86B51">
            <w:pPr>
              <w:pStyle w:val="SNTimbre"/>
            </w:pPr>
          </w:p>
        </w:tc>
      </w:tr>
      <w:tr w:rsidR="00A0611F" w:rsidRPr="00C16AC7" w14:paraId="758A20E1" w14:textId="77777777" w:rsidTr="00E86B51">
        <w:trPr>
          <w:cantSplit/>
          <w:trHeight w:hRule="exact" w:val="227"/>
        </w:trPr>
        <w:tc>
          <w:tcPr>
            <w:tcW w:w="1527" w:type="dxa"/>
            <w:shd w:val="clear" w:color="auto" w:fill="auto"/>
          </w:tcPr>
          <w:p w14:paraId="610FA69F" w14:textId="77777777" w:rsidR="00A0611F" w:rsidRPr="00C16AC7" w:rsidRDefault="00A0611F" w:rsidP="00E86B51">
            <w:pPr>
              <w:snapToGrid w:val="0"/>
            </w:pPr>
          </w:p>
        </w:tc>
        <w:tc>
          <w:tcPr>
            <w:tcW w:w="968" w:type="dxa"/>
            <w:shd w:val="clear" w:color="auto" w:fill="auto"/>
          </w:tcPr>
          <w:p w14:paraId="3077FFA6" w14:textId="77777777" w:rsidR="00A0611F" w:rsidRPr="00C16AC7" w:rsidRDefault="00A0611F" w:rsidP="00E86B51">
            <w:pPr>
              <w:snapToGrid w:val="0"/>
            </w:pPr>
          </w:p>
        </w:tc>
        <w:tc>
          <w:tcPr>
            <w:tcW w:w="1487" w:type="dxa"/>
            <w:shd w:val="clear" w:color="auto" w:fill="auto"/>
          </w:tcPr>
          <w:p w14:paraId="06974DA3" w14:textId="77777777" w:rsidR="00A0611F" w:rsidRPr="00C16AC7" w:rsidRDefault="00A0611F" w:rsidP="00E86B51">
            <w:pPr>
              <w:snapToGrid w:val="0"/>
            </w:pPr>
          </w:p>
        </w:tc>
      </w:tr>
      <w:tr w:rsidR="00A0611F" w:rsidRPr="00C16AC7" w14:paraId="25E71669" w14:textId="77777777" w:rsidTr="00E86B51">
        <w:trPr>
          <w:cantSplit/>
          <w:trHeight w:hRule="exact" w:val="227"/>
        </w:trPr>
        <w:tc>
          <w:tcPr>
            <w:tcW w:w="1527" w:type="dxa"/>
            <w:shd w:val="clear" w:color="auto" w:fill="auto"/>
          </w:tcPr>
          <w:p w14:paraId="4F1C608F" w14:textId="77777777" w:rsidR="00A0611F" w:rsidRPr="00C16AC7" w:rsidRDefault="00A0611F" w:rsidP="00E86B51">
            <w:pPr>
              <w:snapToGrid w:val="0"/>
            </w:pPr>
          </w:p>
        </w:tc>
        <w:tc>
          <w:tcPr>
            <w:tcW w:w="968" w:type="dxa"/>
            <w:shd w:val="clear" w:color="auto" w:fill="auto"/>
          </w:tcPr>
          <w:p w14:paraId="0EB11B81" w14:textId="77777777" w:rsidR="00A0611F" w:rsidRPr="00C16AC7" w:rsidRDefault="00A0611F" w:rsidP="00E86B51">
            <w:pPr>
              <w:snapToGrid w:val="0"/>
            </w:pPr>
          </w:p>
        </w:tc>
        <w:tc>
          <w:tcPr>
            <w:tcW w:w="1487" w:type="dxa"/>
            <w:shd w:val="clear" w:color="auto" w:fill="auto"/>
          </w:tcPr>
          <w:p w14:paraId="3B78D744" w14:textId="77777777" w:rsidR="00A0611F" w:rsidRPr="00C16AC7" w:rsidRDefault="00A0611F" w:rsidP="00E86B51">
            <w:pPr>
              <w:snapToGrid w:val="0"/>
            </w:pPr>
          </w:p>
        </w:tc>
      </w:tr>
    </w:tbl>
    <w:p w14:paraId="2D53714B" w14:textId="02565373" w:rsidR="00A0611F" w:rsidRPr="00C16AC7" w:rsidRDefault="00A0611F" w:rsidP="00A0611F">
      <w:pPr>
        <w:pStyle w:val="SNNature"/>
      </w:pPr>
      <w:r>
        <w:t xml:space="preserve">Decreto n.º </w:t>
      </w:r>
      <w:r>
        <w:br/>
      </w:r>
      <w:r>
        <w:t xml:space="preserve">sobre información al consumidor sobre las cualidades y características medioambientales de los productos generadores de residuos</w:t>
      </w:r>
      <w:r>
        <w:t xml:space="preserve">  </w:t>
      </w:r>
    </w:p>
    <w:p w14:paraId="752E1818" w14:textId="77777777" w:rsidR="00A0611F" w:rsidRPr="00C16AC7" w:rsidRDefault="00A0611F" w:rsidP="00A0611F">
      <w:pPr>
        <w:pStyle w:val="SNNORCentr"/>
        <w:rPr>
          <w:i/>
        </w:rPr>
      </w:pPr>
      <w:r>
        <w:t xml:space="preserve">NOR:</w:t>
      </w:r>
      <w:r>
        <w:t xml:space="preserve"> </w:t>
      </w:r>
    </w:p>
    <w:p w14:paraId="045F465C" w14:textId="598F1059" w:rsidR="00A0611F" w:rsidRDefault="00A0611F" w:rsidP="00D51CEF">
      <w:pPr>
        <w:pStyle w:val="SNAutorit"/>
        <w:ind w:firstLine="709"/>
        <w:jc w:val="both"/>
        <w:rPr>
          <w:b w:val="0"/>
          <w:i/>
        </w:rPr>
      </w:pPr>
      <w:r>
        <w:rPr>
          <w:i/>
        </w:rPr>
        <w:t xml:space="preserve"> </w:t>
      </w:r>
      <w:r>
        <w:rPr>
          <w:i/>
        </w:rPr>
        <w:t xml:space="preserve">Personas a las que afecta: </w:t>
      </w:r>
      <w:r>
        <w:rPr>
          <w:i/>
          <w:b w:val="0"/>
        </w:rPr>
        <w:t xml:space="preserve">productores, importadores, distribuidores u otras partes que comercialicen productos generadores de residuos destinados a los consumidores, incluidos los que utilizan un sitio web, una plataforma o cualquier otro canal de distribución en línea como parte de su actividad comercial en Francia, y los consumidores de estos productos.</w:t>
      </w:r>
    </w:p>
    <w:p w14:paraId="561AF1CA" w14:textId="77777777" w:rsidR="00A0611F" w:rsidRPr="00C16AC7" w:rsidRDefault="00A0611F" w:rsidP="00A0611F">
      <w:pPr>
        <w:pStyle w:val="SNAutorit"/>
        <w:spacing w:before="120"/>
        <w:jc w:val="both"/>
        <w:rPr>
          <w:i/>
        </w:rPr>
      </w:pPr>
      <w:r>
        <w:rPr>
          <w:i/>
        </w:rPr>
        <w:t xml:space="preserve">Objeto: </w:t>
      </w:r>
      <w:r>
        <w:rPr>
          <w:i/>
          <w:b w:val="0"/>
        </w:rPr>
        <w:t xml:space="preserve">aplicación de la obligación establecida en el artículo L. 541-9-1 del Código de Medio Ambiente relativo a la información al consumidor</w:t>
      </w:r>
      <w:r>
        <w:rPr>
          <w:i/>
        </w:rPr>
        <w:t xml:space="preserve"> </w:t>
      </w:r>
      <w:r>
        <w:rPr>
          <w:i/>
          <w:b w:val="0"/>
        </w:rPr>
        <w:t xml:space="preserve">sobre las cualidades y características medioambientales</w:t>
      </w:r>
      <w:r>
        <w:rPr>
          <w:i/>
        </w:rPr>
        <w:t xml:space="preserve"> </w:t>
      </w:r>
      <w:r>
        <w:rPr>
          <w:i/>
          <w:b w:val="0"/>
        </w:rPr>
        <w:t xml:space="preserve">de los productos generadores de residuos.</w:t>
      </w:r>
      <w:r>
        <w:rPr>
          <w:i/>
          <w:b w:val="0"/>
        </w:rPr>
        <w:t xml:space="preserve"> </w:t>
      </w:r>
    </w:p>
    <w:p w14:paraId="62BABF54" w14:textId="77777777" w:rsidR="00A0611F" w:rsidRPr="00C16AC7" w:rsidRDefault="00A0611F" w:rsidP="00A0611F">
      <w:pPr>
        <w:pStyle w:val="SNAutorit"/>
        <w:spacing w:before="120"/>
        <w:rPr>
          <w:i/>
        </w:rPr>
      </w:pPr>
      <w:r>
        <w:rPr>
          <w:i/>
        </w:rPr>
        <w:t xml:space="preserve">Entrada en vigor: </w:t>
      </w:r>
      <w:r>
        <w:rPr>
          <w:i/>
          <w:b w:val="false"/>
          <w:bCs w:val="false"/>
        </w:rPr>
        <w:t xml:space="preserve">el texto entrará en vigor el 1 de enero de 2022.</w:t>
      </w:r>
    </w:p>
    <w:p w14:paraId="314AD767" w14:textId="5FEC2270" w:rsidR="00A0611F" w:rsidRPr="000A37F2" w:rsidRDefault="00A0611F" w:rsidP="00A0611F">
      <w:pPr>
        <w:pStyle w:val="SNAutorit"/>
        <w:spacing w:before="120"/>
        <w:jc w:val="both"/>
        <w:rPr>
          <w:b w:val="0"/>
        </w:rPr>
      </w:pPr>
      <w:r>
        <w:t xml:space="preserve">Nota explicativa: </w:t>
      </w:r>
      <w:r>
        <w:rPr>
          <w:b w:val="0"/>
        </w:rPr>
        <w:t xml:space="preserve">el Decreto define los términos de aplicación del artículo L. 541-9-1 del Código de Medio Ambiente, que prevé la debida información a los consumidores, por parte de productores e importadores, sobre las cualidades y características medioambientales de los productos generadores de residuos, conceptos que se definen en este texto.</w:t>
      </w:r>
      <w:r>
        <w:rPr>
          <w:b w:val="0"/>
        </w:rPr>
        <w:t xml:space="preserve"> </w:t>
      </w:r>
      <w:r>
        <w:rPr>
          <w:b w:val="0"/>
        </w:rPr>
        <w:t xml:space="preserve">Esta información se facilitará por vía electrónica y, en su caso, de conformidad con los procedimientos establecidos por orden; presentación, etiquetado o cualquier otro dispositivo legible y comprensible en el momento de la compra.</w:t>
      </w:r>
      <w:r>
        <w:rPr>
          <w:b w:val="0"/>
        </w:rPr>
        <w:t xml:space="preserve"> </w:t>
      </w:r>
      <w:r>
        <w:rPr>
          <w:b w:val="0"/>
        </w:rPr>
        <w:t xml:space="preserve">Estas cualidades y características medioambientales incluyen, en función de las categorías de productos de que se trate, la incorporación de materiales reciclados, el uso de recursos renovables, la sostenibilidad, la compostabilidad, la reparabilidad, las posibilidades de reutilización, la reciclabilidad, la presencia de sustancias peligrosas, metales preciosos o metales de tierras raras, la trazabilidad y la presencia de microfibras de plástico.</w:t>
      </w:r>
      <w:r>
        <w:rPr>
          <w:b w:val="0"/>
        </w:rPr>
        <w:t xml:space="preserve"> </w:t>
      </w:r>
      <w:r>
        <w:rPr>
          <w:b w:val="0"/>
        </w:rPr>
        <w:t xml:space="preserve">El formato de la puesta a disposición para los consumidores de datos sobre estas cualidades y características medioambientales debe ser fácilmente reutilizable y utilizable mediante un sistema de tratamiento automatizado en forma agregada.</w:t>
      </w:r>
      <w:r>
        <w:rPr>
          <w:b w:val="0"/>
        </w:rPr>
        <w:t xml:space="preserve"> </w:t>
      </w:r>
    </w:p>
    <w:p w14:paraId="1F3654C0" w14:textId="77777777" w:rsidR="00A0611F" w:rsidRPr="00C16AC7" w:rsidRDefault="00A0611F" w:rsidP="00A0611F">
      <w:pPr>
        <w:pStyle w:val="SNAutorit"/>
        <w:spacing w:before="120"/>
        <w:jc w:val="both"/>
      </w:pPr>
      <w:r>
        <w:rPr>
          <w:i/>
        </w:rPr>
        <w:t xml:space="preserve">Referencias: </w:t>
      </w:r>
      <w:r>
        <w:rPr>
          <w:i/>
          <w:b w:val="0"/>
        </w:rPr>
        <w:t xml:space="preserve">el presente Decreto puede consultarse en el sitio web de Légifrance (</w:t>
      </w:r>
      <w:hyperlink r:id="rId8">
        <w:r>
          <w:rPr>
            <w:rStyle w:val="LienInternet"/>
            <w:b w:val="0"/>
            <w:i/>
            <w:color w:val="auto"/>
          </w:rPr>
          <w:t xml:space="preserve">http://www.legifrance.gouv.fr</w:t>
        </w:r>
      </w:hyperlink>
      <w:r>
        <w:rPr>
          <w:b w:val="0"/>
          <w:i/>
        </w:rPr>
        <w:t xml:space="preserve">).]</w:t>
      </w:r>
    </w:p>
    <w:p w14:paraId="025E046C" w14:textId="77777777" w:rsidR="00A0611F" w:rsidRPr="00C16AC7" w:rsidRDefault="00A0611F" w:rsidP="00A0611F">
      <w:pPr>
        <w:pStyle w:val="SNAutorit"/>
        <w:spacing w:before="120"/>
        <w:jc w:val="both"/>
      </w:pPr>
      <w:r>
        <w:br w:type="page"/>
      </w:r>
      <w:r>
        <w:t xml:space="preserve">El Primer Ministro,</w:t>
      </w:r>
    </w:p>
    <w:p w14:paraId="6BDC5F53" w14:textId="77777777" w:rsidR="00A0611F" w:rsidRDefault="00A0611F" w:rsidP="00A0611F">
      <w:pPr>
        <w:pStyle w:val="SNConsultation"/>
      </w:pPr>
      <w:r>
        <w:t xml:space="preserve">Sobre el informe del Ministro de la Transición Ecológica y del Ministro de Economía, Hacienda y Recuperación;</w:t>
      </w:r>
    </w:p>
    <w:p w14:paraId="0041E6EC" w14:textId="5BE41CC7" w:rsidR="00A0611F" w:rsidRDefault="00A0611F" w:rsidP="00A0611F">
      <w:pPr>
        <w:pStyle w:val="SNConsultation"/>
      </w:pPr>
      <w:r>
        <w:t xml:space="preserve">Visto el 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w:t>
      </w:r>
    </w:p>
    <w:p w14:paraId="5930E205" w14:textId="701290A8" w:rsidR="00A761D3" w:rsidRPr="00C16AC7" w:rsidRDefault="00A761D3" w:rsidP="00A0611F">
      <w:pPr>
        <w:pStyle w:val="SNConsultation"/>
      </w:pPr>
      <w:r>
        <w:t xml:space="preserve">Vista la Directiva 94/62/CE del Parlamento Europeo y del Consejo, de 20 de diciembre de 1994, relativa a los envases y residuos de envases, en su versión modificada;</w:t>
      </w:r>
    </w:p>
    <w:p w14:paraId="7B44A833" w14:textId="7A5E5858" w:rsidR="00A0611F" w:rsidRPr="00C16AC7" w:rsidRDefault="00A0611F" w:rsidP="00A0611F">
      <w:pPr>
        <w:pStyle w:val="SNConsultation"/>
      </w:pPr>
      <w:r>
        <w:t xml:space="preserve">Vista la Directiva (UE) 2018/851 del Parlamento Europeo y del Consejo, de 30 de mayo de 2018, por la que se modifica la Directiva 2008/98/CE sobre los residuos;</w:t>
      </w:r>
    </w:p>
    <w:p w14:paraId="13F59CC6" w14:textId="3A902BF1" w:rsidR="00A0611F" w:rsidRDefault="00A0611F" w:rsidP="00A0611F">
      <w:pPr>
        <w:pStyle w:val="SNConsultation"/>
      </w:pPr>
      <w:r>
        <w:t xml:space="preserve">Vista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47F284B5" w14:textId="5839C8F9" w:rsidR="008B2B99" w:rsidRDefault="008B2B99" w:rsidP="00A0611F">
      <w:pPr>
        <w:pStyle w:val="SNConsultation"/>
      </w:pPr>
      <w:r>
        <w:t xml:space="preserve">Visto el Código del Consumo, en particular el artículo introductorio;</w:t>
      </w:r>
    </w:p>
    <w:p w14:paraId="508C1D8A" w14:textId="512931AA" w:rsidR="00A0611F" w:rsidRPr="00C16AC7" w:rsidRDefault="00A0611F" w:rsidP="00A0611F">
      <w:pPr>
        <w:pStyle w:val="SNConsultation"/>
      </w:pPr>
      <w:r>
        <w:t xml:space="preserve">Visto el Código de la construcción y la vivienda y, en particular el artículo L. 111-9-2;</w:t>
      </w:r>
    </w:p>
    <w:p w14:paraId="2A560728" w14:textId="77777777" w:rsidR="00A0611F" w:rsidRDefault="00A0611F" w:rsidP="00A0611F">
      <w:pPr>
        <w:pStyle w:val="SNConsultation"/>
      </w:pPr>
      <w:r>
        <w:t xml:space="preserve">Visto el Código de Medio Ambiente;</w:t>
      </w:r>
    </w:p>
    <w:p w14:paraId="415D6312" w14:textId="385EEBF1" w:rsidR="00A0611F" w:rsidRDefault="00A0611F" w:rsidP="00A0611F">
      <w:pPr>
        <w:pStyle w:val="SNConsultation"/>
      </w:pPr>
      <w:r>
        <w:t xml:space="preserve">Visto el dictamen emitido el [X] por el Consejo superior de la construcción y la eficiencia energética;</w:t>
      </w:r>
    </w:p>
    <w:p w14:paraId="36AE85B4" w14:textId="77777777" w:rsidR="00A0611F" w:rsidRPr="00C16AC7" w:rsidRDefault="00A0611F" w:rsidP="00A0611F">
      <w:pPr>
        <w:pStyle w:val="SNConsultation"/>
      </w:pPr>
      <w:r>
        <w:t xml:space="preserve">Vistas las observaciones formuladas durante la consulta pública realizada entre el XX y el XX, de conformidad con el artículo L. 123-19-1 del Código de Medio Ambiente;</w:t>
      </w:r>
    </w:p>
    <w:p w14:paraId="604C0DE6" w14:textId="43974623" w:rsidR="00A0611F" w:rsidRPr="00C16AC7" w:rsidRDefault="00A0611F" w:rsidP="00A0611F">
      <w:pPr>
        <w:pStyle w:val="SNConsultation"/>
      </w:pPr>
      <w:r>
        <w:t xml:space="preserve">Vista la notificación enviada el XX a la Comisión Europea de conformidad con la Directiva (UE) 2015/1535 y la Directiva (UE) 94/62/CE;</w:t>
      </w:r>
    </w:p>
    <w:p w14:paraId="60BE23A5" w14:textId="77777777" w:rsidR="00A0611F" w:rsidRDefault="00A0611F" w:rsidP="00A0611F">
      <w:pPr>
        <w:pStyle w:val="SNConsultation"/>
      </w:pPr>
      <w:r>
        <w:t xml:space="preserve">Previa consulta al Consejo de Estado (sección de obras públicas),</w:t>
      </w:r>
    </w:p>
    <w:p w14:paraId="56B6EC0E" w14:textId="77777777" w:rsidR="00A0611F" w:rsidRDefault="00A0611F" w:rsidP="00A0611F">
      <w:pPr>
        <w:pStyle w:val="Corpsdetexte"/>
        <w:keepNext/>
        <w:keepLines/>
        <w:jc w:val="center"/>
        <w:rPr>
          <w:b/>
        </w:rPr>
      </w:pPr>
      <w:r>
        <w:rPr>
          <w:b/>
        </w:rPr>
        <w:t xml:space="preserve">Decreta:</w:t>
      </w:r>
    </w:p>
    <w:p w14:paraId="428AB153" w14:textId="77777777" w:rsidR="00A0611F" w:rsidRDefault="00A0611F" w:rsidP="00A0611F">
      <w:pPr>
        <w:pStyle w:val="Corpsdetexte"/>
        <w:keepNext/>
        <w:keepLines/>
        <w:jc w:val="center"/>
        <w:rPr>
          <w:b/>
        </w:rPr>
      </w:pPr>
      <w:r>
        <w:rPr>
          <w:b/>
        </w:rPr>
        <w:t xml:space="preserve">Artículo 1</w:t>
      </w:r>
    </w:p>
    <w:p w14:paraId="5DC187A1" w14:textId="313CD2F5"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La sección 9 del capítulo I del título IV del libro V de la parte reglamentaria del Código de Medio Ambiente se completa con una subsección 3 como sigue:</w:t>
      </w:r>
    </w:p>
    <w:p w14:paraId="647D1A75" w14:textId="254D6A26"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 </w:t>
      </w:r>
      <w:r>
        <w:rPr>
          <w:color w:val="000000"/>
        </w:rPr>
        <w:t xml:space="preserve">«Subsección 3.</w:t>
      </w:r>
    </w:p>
    <w:p w14:paraId="2E6CD4B8" w14:textId="23850E9E"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Información al consumidor sobre las cualidades y características medioambientales de los productos generadores de residuos</w:t>
      </w:r>
    </w:p>
    <w:p w14:paraId="202964FF" w14:textId="77777777" w:rsidR="00A0611F" w:rsidRDefault="00A0611F" w:rsidP="00A0611F">
      <w:pPr>
        <w:keepNext/>
        <w:keepLines/>
        <w:pBdr>
          <w:top w:val="nil"/>
          <w:left w:val="nil"/>
          <w:bottom w:val="nil"/>
          <w:right w:val="nil"/>
          <w:between w:val="nil"/>
        </w:pBdr>
        <w:spacing w:after="120"/>
        <w:jc w:val="both"/>
        <w:rPr>
          <w:color w:val="000000"/>
        </w:rPr>
      </w:pPr>
    </w:p>
    <w:p w14:paraId="6F144F6B" w14:textId="2DFFB193" w:rsidR="00A0611F" w:rsidRDefault="00A0611F" w:rsidP="00A0611F">
      <w:pPr>
        <w:pStyle w:val="Corpsdetexte"/>
        <w:keepNext/>
        <w:keepLines/>
      </w:pPr>
      <w:bookmarkStart w:id="1" w:name="_heading=h.gjdgxs"/>
      <w:bookmarkEnd w:id="1"/>
      <w:r>
        <w:t xml:space="preserve">Artículo R. 541-220.-Las cualidades y características medioambientales de los productos generadores de residuos se entenderán como aquellas destinadas a informar al consumidor de las condiciones relativas a una mejor prevención y gestión de residuos.</w:t>
      </w:r>
      <w:r>
        <w:t xml:space="preserve"> </w:t>
      </w:r>
    </w:p>
    <w:p w14:paraId="5F88AAEC" w14:textId="396A898B" w:rsidR="000C090F" w:rsidRDefault="000C090F" w:rsidP="000C090F">
      <w:pPr>
        <w:pStyle w:val="Corpsdetexte"/>
        <w:keepNext/>
        <w:keepLines/>
      </w:pPr>
      <w:r>
        <w:t xml:space="preserve">Los productos comercializados a que se refiere el artículo R. 541-221, destinados al consumidor, entran en el ámbito de la información sobre las cualidades y características medioambientales de la presente subsección.</w:t>
      </w:r>
      <w:r>
        <w:t xml:space="preserve"> </w:t>
      </w:r>
    </w:p>
    <w:p w14:paraId="286C1C3E" w14:textId="77777777" w:rsidR="000C090F" w:rsidRDefault="000C090F" w:rsidP="000C090F">
      <w:pPr>
        <w:pStyle w:val="Corpsdetexte"/>
        <w:keepNext/>
        <w:keepLines/>
      </w:pPr>
    </w:p>
    <w:p w14:paraId="68C14776" w14:textId="124BA328" w:rsidR="00A0611F" w:rsidRPr="00246797" w:rsidRDefault="00A0611F" w:rsidP="00A0611F">
      <w:pPr>
        <w:pStyle w:val="Corpsdetexte"/>
        <w:keepNext/>
        <w:keepLines/>
      </w:pPr>
      <w:r>
        <w:t xml:space="preserve">Artículo R. 541-221.- I.-Los aparatos eléctricos o electrónicos a los que se aplica el índice de reparabilidad y el índice de durabilidad definidos con arreglo al artículo L. 541-9-2 entran en el ámbito de la información de los consumidores sobre </w:t>
      </w:r>
      <w:r>
        <w:rPr>
          <w:b/>
        </w:rPr>
        <w:t xml:space="preserve">reparabilidad</w:t>
      </w:r>
      <w:r>
        <w:t xml:space="preserve"> y </w:t>
      </w:r>
      <w:r>
        <w:rPr>
          <w:b/>
        </w:rPr>
        <w:t xml:space="preserve">durabilidad</w:t>
      </w:r>
      <w:r>
        <w:t xml:space="preserve">.</w:t>
      </w:r>
    </w:p>
    <w:p w14:paraId="59DF58F3" w14:textId="60685F35" w:rsidR="00A0611F" w:rsidRDefault="00A0611F" w:rsidP="00A0611F">
      <w:pPr>
        <w:pStyle w:val="Corpsdetexte"/>
        <w:keepNext/>
        <w:keepLines/>
      </w:pPr>
      <w:r>
        <w:t xml:space="preserve">Esta información se expresa en forma de presentación de un índice de reparación y, a partir del 1 de enero de 2024, de un índice de durabilidad.</w:t>
      </w:r>
    </w:p>
    <w:p w14:paraId="68644F5F" w14:textId="43B22F85" w:rsidR="00A0611F" w:rsidRPr="00613C5F" w:rsidRDefault="00A0611F" w:rsidP="00A0611F">
      <w:pPr>
        <w:pStyle w:val="Corpsdetexte"/>
        <w:keepNext/>
        <w:keepLines/>
        <w:rPr>
          <w:color w:val="000000" w:themeColor="text1"/>
        </w:rPr>
      </w:pPr>
      <w:r>
        <w:t xml:space="preserve">II.-</w:t>
      </w:r>
      <w:r>
        <w:rPr>
          <w:color w:val="000000" w:themeColor="text1"/>
        </w:rPr>
        <w:t xml:space="preserve">Los tipos y las categorías de envases compostables en el sentido del artículo R. 543-226, párrafo cuarto, tal como se definen en la Orden de XX por la que se enumeran los envases compostables, metanizables y biodegradables que pueden recogerse conjuntamente con los biorresiduos clasificados en origen,</w:t>
      </w:r>
      <w:r>
        <w:t xml:space="preserve"> entran en el ámbito de la información de los consumidores sobre </w:t>
      </w:r>
      <w:r>
        <w:rPr>
          <w:b/>
        </w:rPr>
        <w:t xml:space="preserve">compostabildad</w:t>
      </w:r>
      <w:r>
        <w:t xml:space="preserve">.</w:t>
      </w:r>
    </w:p>
    <w:p w14:paraId="6B45DB55" w14:textId="0F71581A" w:rsidR="00A0611F" w:rsidRDefault="00A0611F" w:rsidP="00A0611F">
      <w:pPr>
        <w:pStyle w:val="Corpsdetexte"/>
        <w:keepNext/>
        <w:keepLines/>
        <w:rPr>
          <w:color w:val="000000" w:themeColor="text1"/>
        </w:rPr>
      </w:pPr>
      <w:r>
        <w:rPr>
          <w:color w:val="000000" w:themeColor="text1"/>
        </w:rPr>
        <w:t xml:space="preserve">Esta información se expresará con la indicación “envase compostable”.</w:t>
      </w:r>
    </w:p>
    <w:p w14:paraId="61E2D05B" w14:textId="651D147C" w:rsidR="008B2B99" w:rsidRPr="00A92A15" w:rsidRDefault="008B2B99" w:rsidP="00A0611F">
      <w:pPr>
        <w:pStyle w:val="Corpsdetexte"/>
        <w:keepNext/>
        <w:keepLines/>
        <w:rPr>
          <w:color w:val="000000" w:themeColor="text1"/>
        </w:rPr>
      </w:pPr>
      <w:r>
        <w:t xml:space="preserve">Los productos de plástico y los envases cuya compostabilidad solo puede lograrse en una unidad industrial no podrán llevar la indicación “compostable”.</w:t>
      </w:r>
      <w:r>
        <w:t xml:space="preserve"> </w:t>
      </w:r>
      <w:r>
        <w:t xml:space="preserve">Aquellos que sean compostables en compostaje doméstico o industrial llevarán la indicación “no tirar a la naturaleza”.</w:t>
      </w:r>
    </w:p>
    <w:p w14:paraId="71FC3454" w14:textId="010DA849" w:rsidR="00A0611F" w:rsidRPr="00613C5F" w:rsidRDefault="00A0611F" w:rsidP="00A0611F">
      <w:pPr>
        <w:pStyle w:val="SNConsultation"/>
        <w:ind w:firstLine="0"/>
        <w:rPr>
          <w:color w:val="000000" w:themeColor="text1"/>
        </w:rPr>
      </w:pPr>
      <w:r>
        <w:rPr>
          <w:color w:val="000000" w:themeColor="text1"/>
        </w:rPr>
        <w:t xml:space="preserve">III.-</w:t>
      </w:r>
      <w:r>
        <w:rPr>
          <w:color w:val="000000" w:themeColor="text1"/>
          <w:b/>
        </w:rPr>
        <w:t xml:space="preserve">La incorporación de material reciclado</w:t>
      </w:r>
      <w:r>
        <w:rPr>
          <w:color w:val="000000" w:themeColor="text1"/>
        </w:rPr>
        <w:t xml:space="preserve"> se medirá como la proporción global de la masa de materiales derivados del reciclado en el sentido del artículo L. 541-1-1.</w:t>
      </w:r>
    </w:p>
    <w:p w14:paraId="73705C72" w14:textId="19067C16" w:rsidR="00A0611F" w:rsidRDefault="00A0611F" w:rsidP="00A0611F">
      <w:pPr>
        <w:pStyle w:val="SNConsultation"/>
        <w:ind w:firstLine="0"/>
        <w:rPr>
          <w:highlight w:val="yellow"/>
        </w:rPr>
      </w:pPr>
      <w:r>
        <w:t xml:space="preserve">Las categorías de productos mencionadas en el punto 3 [papel impreso, excepto libros y papel con fines gráficos], el punto 5 [aparatos y eléctricos </w:t>
      </w:r>
      <w:r>
        <w:rPr>
          <w:rFonts w:ascii="Times New Roman ,serif" w:hAnsi="Times New Roman ,serif"/>
        </w:rPr>
        <w:t xml:space="preserve">y electrónicos</w:t>
      </w:r>
      <w:r>
        <w:t xml:space="preserve">], el punto 6 [pilas y acumuladores], el punto 7 [recipientes y contenido de productos químicos], el punto 10 [muebles], el punto 11 [productos textiles], con excepción de los artículos de cuero, el punto 13 [artículos deportivos y de ocio], el punto 14 [artículos de bricolaje y jardinería] y el punto 15 [vehículos] del artículo L. 541-10-1 entran en el ámbito de la información de los consumidores sobre la incorporación de material reciclado.</w:t>
      </w:r>
    </w:p>
    <w:p w14:paraId="7A9EF18F" w14:textId="22DE6F1B" w:rsidR="008F2569" w:rsidRDefault="00A0611F" w:rsidP="00A0611F">
      <w:pPr>
        <w:pStyle w:val="SNConsultation"/>
        <w:ind w:firstLine="0"/>
      </w:pPr>
      <w:r>
        <w:t xml:space="preserve">La información relativa a estos productos se expresará mediante la indicación “producto que contiene al menos el [%] de materiales reciclados”.</w:t>
      </w:r>
    </w:p>
    <w:p w14:paraId="058FC329" w14:textId="104883FB" w:rsidR="00BD4A74" w:rsidRDefault="00BD4A74" w:rsidP="00A0611F">
      <w:pPr>
        <w:pStyle w:val="SNConsultation"/>
        <w:ind w:firstLine="0"/>
      </w:pPr>
      <w:r>
        <w:t xml:space="preserve">Los envases a que se refiere el punto 1 [envases utilizados para comercializar productos consumidos o utilizados por los hogares, incluidos los consumidos fuera del hogar] del artículo L. 541-10-1 entran en el ámbito de la información de los consumidores sobre la incorporación de material reciclado.</w:t>
      </w:r>
      <w:r>
        <w:t xml:space="preserve"> </w:t>
      </w:r>
      <w:r>
        <w:t xml:space="preserve">La información relativa a estos productos se expresará mediante la indicación “envase que contiene al menos el [%] de materiales reciclados”.</w:t>
      </w:r>
    </w:p>
    <w:p w14:paraId="20E447D6" w14:textId="3CD4EEA1" w:rsidR="00D76667" w:rsidRDefault="00A0611F" w:rsidP="00A0611F">
      <w:pPr>
        <w:pStyle w:val="SNConsultation"/>
        <w:ind w:firstLine="0"/>
      </w:pPr>
      <w:r>
        <w:t xml:space="preserve">IV.</w:t>
      </w:r>
      <w:r>
        <w:rPr>
          <w:b/>
        </w:rPr>
        <w:t xml:space="preserve">-</w:t>
      </w:r>
      <w:r>
        <w:t xml:space="preserve">Los materiales de construcción mencionados en el artículo L. 541-10-1, punto 4, y sujetos a la presentación voluntaria definida en el artículo L. 111-9-2, párrafo quinto, del Código de la construcción y la vivienda entran en el ámbito de la información de los consumidores sobre </w:t>
      </w:r>
      <w:r>
        <w:rPr>
          <w:b/>
        </w:rPr>
        <w:t xml:space="preserve">el uso de recursos renovables.</w:t>
      </w:r>
      <w:r>
        <w:t xml:space="preserve"> </w:t>
      </w:r>
    </w:p>
    <w:p w14:paraId="23EA8376" w14:textId="431C9F30" w:rsidR="00A0611F" w:rsidRPr="00A92A15" w:rsidRDefault="00A0611F" w:rsidP="00A0611F">
      <w:pPr>
        <w:pStyle w:val="SNConsultation"/>
        <w:ind w:firstLine="0"/>
      </w:pPr>
      <w:r>
        <w:t xml:space="preserve">Esta información se expresará en las condiciones establecidas en el artículo L. 111-9-2, párrafo quinto, del Código de la construcción y la vivienda.</w:t>
      </w:r>
      <w:r>
        <w:t xml:space="preserve"> </w:t>
      </w:r>
    </w:p>
    <w:p w14:paraId="76C21909" w14:textId="7AF3A523" w:rsidR="00A0611F" w:rsidRPr="00CE42FD" w:rsidRDefault="00A0611F" w:rsidP="00A0611F">
      <w:pPr>
        <w:pStyle w:val="SNConsultation"/>
        <w:ind w:firstLine="0"/>
      </w:pPr>
      <w:r>
        <w:t xml:space="preserve">V.-</w:t>
      </w:r>
      <w:r>
        <w:rPr>
          <w:b/>
        </w:rPr>
        <w:t xml:space="preserve">Las posibilidades de reutilización </w:t>
      </w:r>
      <w:r>
        <w:t xml:space="preserve">significan las posibilidades de que un producto sea diseñado, creado y comercializado para ser utilizado nuevamente para un uso idéntico al que fue diseñado, sin adquirir la condición de residuo, de acuerdo con lo dispuesto en el artículo L. 541-1-1.</w:t>
      </w:r>
    </w:p>
    <w:p w14:paraId="0F475FF0" w14:textId="548885AC" w:rsidR="00A0611F" w:rsidRPr="00CE42FD" w:rsidRDefault="00A0611F" w:rsidP="00A0611F">
      <w:pPr>
        <w:pStyle w:val="SNConsultation"/>
        <w:ind w:firstLine="0"/>
      </w:pPr>
      <w:r>
        <w:t xml:space="preserve">Los envases a que se refiere el punto 1 [envases utilizados para comercializar productos consumidos o utilizados por los hogares, incluidos los consumidos fuera del hogar] del artículo L. 541-10-1 entran en el ámbito de la información de los consumidores sobre las posibilidades de reutilización.</w:t>
      </w:r>
    </w:p>
    <w:p w14:paraId="403842CB" w14:textId="50DC367E" w:rsidR="00A0611F" w:rsidRPr="00CE42FD" w:rsidRDefault="00A0611F" w:rsidP="00A0611F">
      <w:pPr>
        <w:pStyle w:val="SNConsultation"/>
        <w:ind w:firstLine="0"/>
      </w:pPr>
      <w:r>
        <w:t xml:space="preserve">Esta información se expresará mediante la indicación “envase reutilizable” o “envase recargable”.</w:t>
      </w:r>
    </w:p>
    <w:p w14:paraId="35CCA859" w14:textId="77777777" w:rsidR="00FE3AAB" w:rsidRPr="00217E2F" w:rsidRDefault="00FE3AAB" w:rsidP="00FE3AAB">
      <w:pPr>
        <w:pStyle w:val="SNConsultation"/>
        <w:ind w:firstLine="0"/>
      </w:pPr>
      <w:r>
        <w:t xml:space="preserve">VI.-</w:t>
      </w:r>
      <w:r>
        <w:rPr>
          <w:b/>
        </w:rPr>
        <w:t xml:space="preserve">Reciclabilidad</w:t>
      </w:r>
      <w:r>
        <w:t xml:space="preserve"> significa la capacidad efectiva de reciclado de residuos procedentes de productos idénticos o similares.</w:t>
      </w:r>
      <w:r>
        <w:t xml:space="preserve"> </w:t>
      </w:r>
      <w:r>
        <w:t xml:space="preserve">La reciclabilidad de estos residuos se caracteriza por:</w:t>
      </w:r>
    </w:p>
    <w:p w14:paraId="07633EFE" w14:textId="77777777" w:rsidR="00FE3AAB" w:rsidRPr="00217E2F" w:rsidRDefault="00FE3AAB" w:rsidP="00FE3AAB">
      <w:pPr>
        <w:pStyle w:val="SNConsultation"/>
        <w:ind w:firstLine="0"/>
      </w:pPr>
      <w:r>
        <w:t xml:space="preserve">1) la capacidad de ser recogidos de manera eficiente a nivel local, a través del acceso de la población a los puntos de recogida más cercanos;</w:t>
      </w:r>
    </w:p>
    <w:p w14:paraId="057455E4" w14:textId="48F09CE3" w:rsidR="00FE3AAB" w:rsidRPr="00217E2F" w:rsidRDefault="00FE3AAB" w:rsidP="00FE3AAB">
      <w:pPr>
        <w:pStyle w:val="SNConsultation"/>
        <w:ind w:firstLine="0"/>
      </w:pPr>
      <w:r>
        <w:t xml:space="preserve">2) la capacidad de clasificación, es decir, dirigirse a determinados canales de reciclaje para ser reciclados;</w:t>
      </w:r>
    </w:p>
    <w:p w14:paraId="5B0FC778" w14:textId="77777777" w:rsidR="00FE3AAB" w:rsidRPr="00217E2F" w:rsidRDefault="00FE3AAB" w:rsidP="00FE3AAB">
      <w:pPr>
        <w:pStyle w:val="SNConsultation"/>
        <w:ind w:firstLine="0"/>
      </w:pPr>
      <w:r>
        <w:t xml:space="preserve">3) la ausencia de elementos o sustancias que interrumpan la clasificación, el reciclaje o la limitación del uso de material reciclado;</w:t>
      </w:r>
    </w:p>
    <w:p w14:paraId="076436EA" w14:textId="77777777" w:rsidR="00FE3AAB" w:rsidRPr="00217E2F" w:rsidRDefault="00FE3AAB" w:rsidP="00FE3AAB">
      <w:pPr>
        <w:pStyle w:val="SNConsultation"/>
        <w:ind w:firstLine="0"/>
      </w:pPr>
      <w:r>
        <w:t xml:space="preserve">4) la medida en la que el material reciclado producido por los procesos de reciclaje implementados representa más del 50 % de la masa de los residuos recogidos;</w:t>
      </w:r>
    </w:p>
    <w:p w14:paraId="2A9B6D33" w14:textId="77777777" w:rsidR="00FE3AAB" w:rsidRPr="00217E2F" w:rsidRDefault="00FE3AAB" w:rsidP="00FE3AAB">
      <w:pPr>
        <w:pStyle w:val="SNConsultation"/>
        <w:ind w:firstLine="0"/>
      </w:pPr>
      <w:r>
        <w:t xml:space="preserve">5) la capacidad de ser reciclados a escala industrial y en la práctica, en particular a través de una garantía de que la calidad del material reciclado obtenido es suficiente para garantizar la sostenibilidad de los puntos de venta, y que el sector del reciclaje pueda justificar un buen apoyo a la capacidad productos que se pueden integrar en él.</w:t>
      </w:r>
      <w:r>
        <w:t xml:space="preserve"> </w:t>
      </w:r>
    </w:p>
    <w:p w14:paraId="27B90E3A" w14:textId="589EF154" w:rsidR="00FE3AAB" w:rsidRPr="00217E2F" w:rsidRDefault="00FE3AAB" w:rsidP="00FE3AAB">
      <w:pPr>
        <w:pStyle w:val="SNConsultation"/>
        <w:ind w:firstLine="0"/>
      </w:pPr>
      <w:r>
        <w:t xml:space="preserve">La información sobre la reciclabilidad se pondrá a disposición del consumidor mediante la indicación “producto reciclable” o “envase reciclable” cuando se cumplan estos cinco criterios.</w:t>
      </w:r>
      <w:r>
        <w:t xml:space="preserve"> </w:t>
      </w:r>
      <w:r>
        <w:t xml:space="preserve">Si el material reciclado producido por los procesos de reciclado representa más del 95 % del grueso de los residuos recogidos, podrá colocarse la indicación “producto totalmente reciclable”.</w:t>
      </w:r>
    </w:p>
    <w:p w14:paraId="0163929A" w14:textId="262CE4D1" w:rsidR="00FE3AAB" w:rsidRPr="00217E2F" w:rsidRDefault="00FE3AAB" w:rsidP="00FE3AAB">
      <w:pPr>
        <w:pStyle w:val="SNConsultation"/>
        <w:ind w:firstLine="0"/>
      </w:pPr>
      <w:r>
        <w:t xml:space="preserve">Se comunicará al productor por el sistema de responsabilidad ampliada al que haya transferido su obligación de ampliación de la responsabilidad en virtud del artículo L. 541-10.</w:t>
      </w:r>
      <w:r>
        <w:t xml:space="preserve"> </w:t>
      </w:r>
      <w:r>
        <w:t xml:space="preserve">Cuando el productor haya establecido un sistema de responsabilidad ampliada individual, este determinará la información bajo su responsabilidad.</w:t>
      </w:r>
    </w:p>
    <w:p w14:paraId="63FBD504" w14:textId="77777777" w:rsidR="00FE3AAB" w:rsidRPr="00217E2F" w:rsidRDefault="00FE3AAB" w:rsidP="00FE3AAB">
      <w:pPr>
        <w:pStyle w:val="SNConsultation"/>
        <w:ind w:firstLine="0"/>
      </w:pPr>
      <w:r>
        <w:t xml:space="preserve">Cuando la capacidad de ser reciclado corresponda al reciclado de materiales que en su mayoría se reincorporan a productos de una naturaleza equivalente que cumplen un uso y un fin idénticos sin la pérdida de función del material, el productor puede completar la información sobre reciclabilidad mediante la indicación “producto reciclable de ciclo cerrado ” o “envase reciclable de ciclo cerrado”.</w:t>
      </w:r>
    </w:p>
    <w:p w14:paraId="7E934972" w14:textId="3D73E894" w:rsidR="00BD4A74" w:rsidRPr="00FE3AAB" w:rsidRDefault="00FE3AAB" w:rsidP="00A0611F">
      <w:pPr>
        <w:pStyle w:val="SNConsultation"/>
        <w:ind w:firstLine="0"/>
      </w:pPr>
      <w:r>
        <w:t xml:space="preserve">Las categorías de productos mencionadas en el punto 1 [envases utilizados para comercializar productos consumidos o utilizados por los hogares, incluidos los consumidos fuera del hogar], el punto 3 [papel impreso, excepto libros y papel con fines gráficos], el punto 5 [aparatos y eléctricos y electrónicos], el punto 6 [pilas y acumuladores], el punto 7 [recipientes y contenido de productos químicos], el punto 10 [muebles], el punto 11 [productos textiles], con excepción de los artículos de cuero, el punto 13 [artículos deportivos y de ocio], el punto 14 [artículos de bricolaje y jardinería] y el punto 15 [vehículos] del artículo L. 541-10-1 entran en el ámbito de la información de los consumidores sobre reciclabilidad.</w:t>
      </w:r>
    </w:p>
    <w:p w14:paraId="0718C702" w14:textId="77777777" w:rsidR="00A0611F" w:rsidRDefault="00A0611F" w:rsidP="00A0611F">
      <w:pPr>
        <w:pStyle w:val="SNConsultation"/>
        <w:ind w:firstLine="0"/>
      </w:pPr>
      <w:r>
        <w:t xml:space="preserve">VII.-Los siguientes metales: el oro, la plata, el platino y el paladio entran en el ámbito de la información de los consumidores sobre la </w:t>
      </w:r>
      <w:r>
        <w:rPr>
          <w:b/>
          <w:bCs/>
        </w:rPr>
        <w:t xml:space="preserve">presencia de metales preciosos</w:t>
      </w:r>
      <w:r>
        <w:t xml:space="preserve">.</w:t>
      </w:r>
      <w:r>
        <w:t xml:space="preserve">  </w:t>
      </w:r>
    </w:p>
    <w:p w14:paraId="5C974967" w14:textId="67EF72F5" w:rsidR="00A0611F" w:rsidRPr="00501103" w:rsidRDefault="00A0611F" w:rsidP="00A0611F">
      <w:pPr>
        <w:pStyle w:val="SNConsultation"/>
        <w:ind w:firstLine="0"/>
        <w:rPr>
          <w:b/>
        </w:rPr>
      </w:pPr>
      <w:r>
        <w:t xml:space="preserve">La información sobre metales preciosos, debido a su elevado valor medioambiental, estará disponible para las categorías de productos mencionados en el artículo L. 541-10-1, punto 5 [aparatos eléctricos y </w:t>
      </w:r>
      <w:r>
        <w:rPr>
          <w:rFonts w:ascii="Times New Roman ,serif" w:hAnsi="Times New Roman ,serif"/>
        </w:rPr>
        <w:t xml:space="preserve">electrónicos</w:t>
      </w:r>
      <w:r>
        <w:t xml:space="preserve">] y el punto 15 [vehículos].</w:t>
      </w:r>
    </w:p>
    <w:p w14:paraId="32E7DEAB" w14:textId="05780FDA" w:rsidR="00A0611F" w:rsidRDefault="00A0611F" w:rsidP="00A0611F">
      <w:pPr>
        <w:pStyle w:val="SNConsultation"/>
        <w:ind w:firstLine="0"/>
      </w:pPr>
      <w:r>
        <w:t xml:space="preserve">Esta información se expresará en masa, siempre que sea superior a 1 miligramo, mediante la indicación “contiene al menos [X miligramos] de metales preciosos”.</w:t>
      </w:r>
    </w:p>
    <w:p w14:paraId="04560F54" w14:textId="77777777" w:rsidR="00A0611F" w:rsidRPr="003C2E20" w:rsidRDefault="00A0611F" w:rsidP="00A0611F">
      <w:pPr>
        <w:pStyle w:val="SNConsultation"/>
        <w:ind w:firstLine="0"/>
      </w:pPr>
      <w:r>
        <w:t xml:space="preserve">VIII.-Los siguientes elementos: escandio, itrio, lantano, cerio, praseodimio, neodimio, prometio, samario, europio, gadolinio, terbio, disprosio, holmio, erbio, tulio, iterbio y lutecio, entran en el ámbito de la información al consumidor sobre la </w:t>
      </w:r>
      <w:r>
        <w:rPr>
          <w:b/>
          <w:bCs/>
        </w:rPr>
        <w:t xml:space="preserve">presencia de metales de tierras raras</w:t>
      </w:r>
      <w:r>
        <w:t xml:space="preserve">.</w:t>
      </w:r>
      <w:r>
        <w:t xml:space="preserve"> </w:t>
      </w:r>
    </w:p>
    <w:p w14:paraId="7496CEBF" w14:textId="4C8FEA67" w:rsidR="00A0611F" w:rsidRDefault="00A0611F" w:rsidP="00A0611F">
      <w:pPr>
        <w:pStyle w:val="SNConsultation"/>
        <w:ind w:firstLine="0"/>
      </w:pPr>
      <w:r>
        <w:t xml:space="preserve">La información sobre los metales de tierras raras, debido a su elevado valor medioambiental, estará disponible para las categorías de productos mencionados en el artículo L. 541-10-1 punto 5 [aparatos eléctricos y electrónicos] y el punto 15 [vehículos].</w:t>
      </w:r>
      <w:r>
        <w:t xml:space="preserve"> </w:t>
      </w:r>
    </w:p>
    <w:p w14:paraId="58866F4B" w14:textId="33E3BCAF" w:rsidR="00A0611F" w:rsidRDefault="00A0611F" w:rsidP="00A0611F">
      <w:pPr>
        <w:pStyle w:val="SNConsultation"/>
        <w:ind w:firstLine="0"/>
      </w:pPr>
      <w:r>
        <w:t xml:space="preserve">Esta información se expresará en masa, siempre que sea superior a 1 miligramo, mediante la indicación “contiene al menos [X miligramos] de metales de tierras raras”.</w:t>
      </w:r>
      <w:r>
        <w:t xml:space="preserve">   </w:t>
      </w:r>
    </w:p>
    <w:p w14:paraId="38687E77" w14:textId="77777777" w:rsidR="00A0611F" w:rsidRPr="00A9381C" w:rsidRDefault="00A0611F" w:rsidP="00A0611F">
      <w:pPr>
        <w:pStyle w:val="SNConsultation"/>
        <w:ind w:firstLine="0"/>
      </w:pPr>
      <w:r>
        <w:t xml:space="preserve">IX.-La información al consumidor sobre la presencia de una </w:t>
      </w:r>
      <w:r>
        <w:rPr>
          <w:b/>
          <w:bCs/>
        </w:rPr>
        <w:t xml:space="preserve">sustancia peligrosa</w:t>
      </w:r>
      <w:r>
        <w:t xml:space="preserve"> se aplicará cuando esté presente en una concentración superior al 0,1 % en masa en una sustancia, mezcla o artículo en el sentido del artículo 3, puntos 1, 2 y 3, del Reglamento (CE) n.º 1907/2006 del Parlamento Europeo y del Consejo, de 18 de diciembre de 2006 (REACH), con excepción de los medicamentos.</w:t>
      </w:r>
      <w:r>
        <w:t xml:space="preserve"> </w:t>
      </w:r>
    </w:p>
    <w:p w14:paraId="1BC87C7D" w14:textId="48203F58" w:rsidR="00A0611F" w:rsidRDefault="00A0611F" w:rsidP="00A0611F">
      <w:pPr>
        <w:pStyle w:val="SNConsultation"/>
        <w:ind w:firstLine="0"/>
      </w:pPr>
      <w:r>
        <w:t xml:space="preserve">En el párrafo anterior, se entiende por “sustancia peligrosa” cualquier sustancia identificada por el Decreto emitido en virtud del artículo L. 541-9-1, apartado I, relativo a la identificación de sustancias peligrosas en los productos generadores de residuos.</w:t>
      </w:r>
    </w:p>
    <w:p w14:paraId="6AA4D2A5" w14:textId="77777777" w:rsidR="00BE6889" w:rsidRDefault="00EC0018" w:rsidP="00A0611F">
      <w:pPr>
        <w:pStyle w:val="SNConsultation"/>
        <w:ind w:firstLine="0"/>
      </w:pPr>
      <w:r>
        <w:t xml:space="preserve">Esta información se expresará mediante la indicación “contiene una sustancia peligrosa” o, cuando la sustancia peligrosa presente sea la mencionada en el artículo R. 541-219, párrafo primero, mediante la indicación “contiene una sustancia extremadamente preocupante”.</w:t>
      </w:r>
      <w:r>
        <w:t xml:space="preserve"> </w:t>
      </w:r>
      <w:r>
        <w:t xml:space="preserve">La información se completará con el nombre de cada sustancia peligrosa presente.</w:t>
      </w:r>
      <w:r>
        <w:t xml:space="preserve"> </w:t>
      </w:r>
      <w:r>
        <w:t xml:space="preserve">Esta forma de presentar la información no se aplicará a:</w:t>
      </w:r>
    </w:p>
    <w:p w14:paraId="21E4639B" w14:textId="0CCB4572" w:rsidR="00C666A2" w:rsidRDefault="00C666A2" w:rsidP="00A0611F">
      <w:pPr>
        <w:pStyle w:val="SNConsultation"/>
        <w:ind w:firstLine="0"/>
      </w:pPr>
      <w:r>
        <w:t xml:space="preserve">1) las sustancias presentes que también figuran en la lista de sustancias que presentan sospecha de propiedades de alteración endocrina o que haya sospechas de ello fijadas por la Orden mencionada en el artículo R. 5232-19 del Código de Salud Pública, para las cuales se aplicarán las modalidades de información mencionadas en el artículo R. 5232-20 del Código de Salud Pública.</w:t>
      </w:r>
    </w:p>
    <w:p w14:paraId="580BC810" w14:textId="47201403" w:rsidR="00C666A2" w:rsidRDefault="00C666A2" w:rsidP="00A0611F">
      <w:pPr>
        <w:pStyle w:val="SNConsultation"/>
        <w:ind w:firstLine="0"/>
      </w:pPr>
      <w:r>
        <w:t xml:space="preserve">2) las sustancias presentes que también figuran en la lista de sustancias que presentan sospecha de propiedades de alteración endocrina fijadas por la Orden mencionada en el artículo R. 5232-19 del Código de Salud Pública, para las cuales se aplicarán las modalidades de información mencionadas en el artículo R. 5232-20 del Código de Salud Pública.</w:t>
      </w:r>
    </w:p>
    <w:p w14:paraId="7C4FB52E" w14:textId="3386A922" w:rsidR="00A0611F" w:rsidRDefault="00A0611F" w:rsidP="00A0611F">
      <w:pPr>
        <w:pStyle w:val="SNConsultation"/>
        <w:ind w:firstLine="0"/>
      </w:pPr>
      <w:r>
        <w:t xml:space="preserve">La información se facilitará a más tardar 18 meses después de que la sustancia sea identificada como sustancia peligrosa.</w:t>
      </w:r>
    </w:p>
    <w:p w14:paraId="5791E55D" w14:textId="5013510C" w:rsidR="00CB77AD" w:rsidRDefault="00A0611F" w:rsidP="00A0611F">
      <w:pPr>
        <w:pStyle w:val="SNConsultation"/>
        <w:ind w:firstLine="0"/>
      </w:pPr>
      <w:r>
        <w:t xml:space="preserve">X.-La información al consumidor relativa a la </w:t>
      </w:r>
      <w:r>
        <w:rPr>
          <w:b/>
        </w:rPr>
        <w:t xml:space="preserve">trazabilidad</w:t>
      </w:r>
      <w:r>
        <w:t xml:space="preserve"> para los productos contemplados en el punto 11 [productos textiles] del artículo L. 541-10-1 significa la indicación geográfica del país en el que se lleve a cabo cada una de las siguientes operaciones, cuando proceda:</w:t>
      </w:r>
      <w:r>
        <w:t xml:space="preserve"> </w:t>
      </w:r>
    </w:p>
    <w:p w14:paraId="76495063" w14:textId="10190F15" w:rsidR="00CB77AD" w:rsidRDefault="00CB77AD" w:rsidP="00A0611F">
      <w:pPr>
        <w:pStyle w:val="SNConsultation"/>
        <w:ind w:firstLine="0"/>
      </w:pPr>
      <w:r>
        <w:t xml:space="preserve">1) el cultivo o la producción de la fibra o de la materia prima;</w:t>
      </w:r>
    </w:p>
    <w:p w14:paraId="4FF5616A" w14:textId="1D9D86EF" w:rsidR="00CB77AD" w:rsidRDefault="00CB77AD" w:rsidP="00A0611F">
      <w:pPr>
        <w:pStyle w:val="SNConsultation"/>
        <w:ind w:firstLine="0"/>
      </w:pPr>
      <w:r>
        <w:t xml:space="preserve">2) el hilado y tejido;</w:t>
      </w:r>
      <w:r>
        <w:t xml:space="preserve"> </w:t>
      </w:r>
    </w:p>
    <w:p w14:paraId="49D85F28" w14:textId="2432ECDC" w:rsidR="00CB77AD" w:rsidRDefault="00CB77AD" w:rsidP="00A0611F">
      <w:pPr>
        <w:pStyle w:val="SNConsultation"/>
        <w:ind w:firstLine="0"/>
      </w:pPr>
      <w:r>
        <w:t xml:space="preserve">3) el teñido y estampado;</w:t>
      </w:r>
      <w:r>
        <w:t xml:space="preserve"> </w:t>
      </w:r>
    </w:p>
    <w:p w14:paraId="52C3722D" w14:textId="77777777" w:rsidR="00814529" w:rsidRDefault="00CB77AD" w:rsidP="00A0611F">
      <w:pPr>
        <w:pStyle w:val="SNConsultation"/>
        <w:ind w:firstLine="0"/>
      </w:pPr>
      <w:r>
        <w:t xml:space="preserve">4) la fabricación.</w:t>
      </w:r>
      <w:r>
        <w:t xml:space="preserve"> </w:t>
      </w:r>
    </w:p>
    <w:p w14:paraId="7CF39C3B" w14:textId="205DCF5E" w:rsidR="00CD3824" w:rsidRDefault="00F851F6" w:rsidP="00A0611F">
      <w:pPr>
        <w:pStyle w:val="SNConsultation"/>
        <w:ind w:firstLine="0"/>
      </w:pPr>
      <w:r>
        <w:t xml:space="preserve"> </w:t>
      </w:r>
      <w:r>
        <w:t xml:space="preserve">En el caso del calzado incluido en el punto 11 [productos textiles] del artículo L. 541-10-1, estas operaciones serán las siguientes:</w:t>
      </w:r>
    </w:p>
    <w:p w14:paraId="77FBC51D" w14:textId="49E90FBB" w:rsidR="00CD3824" w:rsidRDefault="00CD3824" w:rsidP="00A0611F">
      <w:pPr>
        <w:pStyle w:val="SNConsultation"/>
        <w:ind w:firstLine="0"/>
      </w:pPr>
      <w:r>
        <w:t xml:space="preserve">1) la producción de la materia prima;</w:t>
      </w:r>
      <w:r>
        <w:t xml:space="preserve"> </w:t>
      </w:r>
    </w:p>
    <w:p w14:paraId="0BEF1ADE" w14:textId="0D0D56D2" w:rsidR="00CD3824" w:rsidRDefault="00CD3824" w:rsidP="00A0611F">
      <w:pPr>
        <w:pStyle w:val="SNConsultation"/>
        <w:ind w:firstLine="0"/>
      </w:pPr>
      <w:r>
        <w:t xml:space="preserve">2) el corte;</w:t>
      </w:r>
      <w:r>
        <w:t xml:space="preserve"> </w:t>
      </w:r>
    </w:p>
    <w:p w14:paraId="2953264B" w14:textId="53C8809E" w:rsidR="00CD3824" w:rsidRDefault="00CD3824" w:rsidP="00A0611F">
      <w:pPr>
        <w:pStyle w:val="SNConsultation"/>
        <w:ind w:firstLine="0"/>
      </w:pPr>
      <w:r>
        <w:t xml:space="preserve">3) las costuras;</w:t>
      </w:r>
      <w:r>
        <w:t xml:space="preserve"> </w:t>
      </w:r>
    </w:p>
    <w:p w14:paraId="7C244636" w14:textId="3365746B" w:rsidR="00CD3824" w:rsidRDefault="00CD3824" w:rsidP="00A0611F">
      <w:pPr>
        <w:pStyle w:val="SNConsultation"/>
        <w:ind w:firstLine="0"/>
      </w:pPr>
      <w:r>
        <w:t xml:space="preserve">4) el montaje;</w:t>
      </w:r>
    </w:p>
    <w:p w14:paraId="61219F8D" w14:textId="562FFA45" w:rsidR="00CD3824" w:rsidRPr="00517BD3" w:rsidRDefault="00CD3824" w:rsidP="00A0611F">
      <w:pPr>
        <w:pStyle w:val="SNConsultation"/>
        <w:ind w:firstLine="0"/>
      </w:pPr>
      <w:r>
        <w:t xml:space="preserve">5) el acabado.</w:t>
      </w:r>
    </w:p>
    <w:p w14:paraId="618969FF" w14:textId="09A11B43" w:rsidR="00A0611F" w:rsidRPr="00517BD3" w:rsidRDefault="00F851F6" w:rsidP="00A0611F">
      <w:pPr>
        <w:pStyle w:val="snconsultation0"/>
        <w:spacing w:before="120" w:beforeAutospacing="0" w:after="120" w:afterAutospacing="0"/>
        <w:jc w:val="both"/>
        <w:rPr>
          <w:rFonts w:eastAsia="Lucida Sans Unicode"/>
        </w:rPr>
      </w:pPr>
      <w:r>
        <w:t xml:space="preserve">Esta información se expresará en forma de referencia, para cada fase, al país en el que se haya llevado a cabo.</w:t>
      </w:r>
    </w:p>
    <w:p w14:paraId="6FB44E46" w14:textId="4024711A" w:rsidR="00A0611F" w:rsidRDefault="00A0611F" w:rsidP="00A0611F">
      <w:pPr>
        <w:pStyle w:val="snconsultation0"/>
        <w:spacing w:before="120" w:beforeAutospacing="0" w:after="120" w:afterAutospacing="0"/>
        <w:jc w:val="both"/>
        <w:rPr>
          <w:rFonts w:eastAsia="Lucida Sans Unicode"/>
        </w:rPr>
      </w:pPr>
      <w:r>
        <w:t xml:space="preserve">XI.-La información al consumidor relativa a la presencia de </w:t>
      </w:r>
      <w:r>
        <w:rPr>
          <w:b/>
        </w:rPr>
        <w:t xml:space="preserve">microfibras de plástico</w:t>
      </w:r>
      <w:r>
        <w:t xml:space="preserve"> en los productos mencionados en el punto 11 [productos textiles] del artículo L. 541-10-1 se entenderá como la masa proporcional de las fibras sintéticas en el producto.</w:t>
      </w:r>
      <w:r>
        <w:t xml:space="preserve"> </w:t>
      </w:r>
      <w:r>
        <w:t xml:space="preserve">Esta información se facilitará cuando la proporción de fibras sintéticas sea superior al 50 %.</w:t>
      </w:r>
    </w:p>
    <w:p w14:paraId="732BD02F" w14:textId="77777777" w:rsidR="00A0611F" w:rsidRDefault="00A0611F" w:rsidP="00A0611F">
      <w:pPr>
        <w:pStyle w:val="snconsultation0"/>
        <w:spacing w:before="120" w:beforeAutospacing="0" w:after="120" w:afterAutospacing="0"/>
        <w:jc w:val="both"/>
        <w:rPr>
          <w:rFonts w:eastAsia="Lucida Sans Unicode"/>
        </w:rPr>
      </w:pPr>
      <w:r>
        <w:t xml:space="preserve">Se expresará mediante la indicación “libera microfibras de plástico al medio ambiente durante el lavado”.</w:t>
      </w:r>
    </w:p>
    <w:p w14:paraId="72DE858B" w14:textId="77777777" w:rsidR="00A0611F" w:rsidRDefault="00A0611F" w:rsidP="00A0611F">
      <w:pPr>
        <w:pStyle w:val="snconsultation0"/>
        <w:spacing w:before="120" w:beforeAutospacing="0" w:after="120" w:afterAutospacing="0"/>
        <w:jc w:val="both"/>
        <w:rPr>
          <w:rFonts w:eastAsia="Lucida Sans Unicode"/>
          <w:lang w:eastAsia="zh-CN"/>
        </w:rPr>
      </w:pPr>
    </w:p>
    <w:p w14:paraId="5DB62A0B" w14:textId="07051B30" w:rsidR="00A0611F" w:rsidRDefault="00D75CCE" w:rsidP="00A0611F">
      <w:pPr>
        <w:pStyle w:val="SNConsultation"/>
        <w:ind w:firstLine="0"/>
      </w:pPr>
      <w:r>
        <w:t xml:space="preserve">Artículo R. 541-222.-El productor, importador u otra parte que comercialice los productos contemplados en el artículo R. 541-221 pondrá a disposición información sobre las cualidades y características medioambientales de dichos productos o categorías de productos y sobre las primas y sanciones contempladas en el artículo L. 541-10-3 y pagadas por el productor sobre la base de criterios relativos al comportamiento medioambiental.</w:t>
      </w:r>
      <w:r>
        <w:t xml:space="preserve"> </w:t>
      </w:r>
      <w:r>
        <w:t xml:space="preserve">Esta se pondrá a disposición en un formato sin papel, accesible gratuitamente en el momento de la compra y reutilizable de manera que permita una agregación.</w:t>
      </w:r>
      <w:r>
        <w:t xml:space="preserve"> </w:t>
      </w:r>
      <w:r>
        <w:t xml:space="preserve">A tal fin, el productor o importador facilitará la información en una página web específica con una interfaz de programación de aplicaciones.</w:t>
      </w:r>
      <w:r>
        <w:t xml:space="preserve"> </w:t>
      </w:r>
    </w:p>
    <w:p w14:paraId="1621FB5C" w14:textId="235E6D7F" w:rsidR="00531CE4" w:rsidRDefault="00D6632A" w:rsidP="00A0611F">
      <w:pPr>
        <w:pStyle w:val="SNConsultation"/>
        <w:ind w:firstLine="0"/>
      </w:pPr>
      <w:r>
        <w:t xml:space="preserve">En el caso de las sustancias a que se refiere el artículo R. 541-221, apartado IX, dicha información podrá efectuarse alternativamente mediante una solicitud designada por orden del Ministro de Medio Ambiente.</w:t>
      </w:r>
      <w:r>
        <w:t xml:space="preserve"> </w:t>
      </w:r>
      <w:r>
        <w:t xml:space="preserve">Cuando la información se facilite mediante dicha aplicación, si se desea establecer una página web específica para al menos otra característica de calidad o medioambiental, esta última debe mencionar que la información sobre sustancias peligrosas puede consultarse a través de la aplicación.</w:t>
      </w:r>
      <w:r>
        <w:t xml:space="preserve"> </w:t>
      </w:r>
      <w:r>
        <w:t xml:space="preserve">En la página web dedicada deberá figurar un enlace directo a la aplicación.</w:t>
      </w:r>
      <w:r>
        <w:t xml:space="preserve"> </w:t>
      </w:r>
      <w:r>
        <w:t xml:space="preserve">Los medios adicionales de presentación, ya sean físicos o sin papel, visibles en el momento de la compra, podrán definirse por orden del Ministro de Medio Ambiente, en función de las cualidades y características, por un lado, y de los productos y categorías de productos contemplados en el artículo R. 541-221, por otro, así como de la información sobre las primas y sanciones a que se refiere el artículo L. 541-10-3.</w:t>
      </w:r>
      <w:r>
        <w:t xml:space="preserve"> </w:t>
      </w:r>
      <w:r>
        <w:t xml:space="preserve">En tal caso, el productor o importador transmitirá al vendedor, de forma gratuita, la información necesaria para dicha presentación.</w:t>
      </w:r>
      <w:r>
        <w:t xml:space="preserve"> </w:t>
      </w:r>
    </w:p>
    <w:p w14:paraId="3FB9FCF6" w14:textId="549CAE16" w:rsidR="00D6632A" w:rsidRDefault="00D6632A" w:rsidP="00D6632A">
      <w:pPr>
        <w:pStyle w:val="SNConsultation"/>
        <w:ind w:firstLine="0"/>
      </w:pPr>
      <w:r>
        <w:t xml:space="preserve">La información se pondrá a disposición hasta dos años después de la introducción en el mercado de la última unidad del producto en cuestión.</w:t>
      </w:r>
      <w:r>
        <w:t xml:space="preserve"> </w:t>
      </w:r>
    </w:p>
    <w:p w14:paraId="7F312AF1" w14:textId="5365C9F9" w:rsidR="00A0611F" w:rsidRDefault="00A0611F" w:rsidP="00A0611F">
      <w:pPr>
        <w:pStyle w:val="SNConsultation"/>
        <w:ind w:firstLine="0"/>
      </w:pPr>
      <w:r>
        <w:t xml:space="preserve">Toda presentación física voluntaria relacionada con estas cualidades y características medioambientales se ajustará a las definiciones que figuran en el artículo R. 541-221.</w:t>
      </w:r>
      <w:r>
        <w:t xml:space="preserve"> </w:t>
      </w:r>
    </w:p>
    <w:p w14:paraId="1C4965C0" w14:textId="432B6E2B" w:rsidR="00A0611F" w:rsidRDefault="00A0611F" w:rsidP="00A0611F">
      <w:pPr>
        <w:pStyle w:val="SNConsultation"/>
        <w:ind w:firstLine="0"/>
      </w:pPr>
      <w:r>
        <w:t xml:space="preserve">Las modalidades de información establecidas en el presente artículo no se aplicarán a las cualidades y características medioambientales definidas en el artículo R. 541-221, apartados I y V.</w:t>
      </w:r>
    </w:p>
    <w:p w14:paraId="46D13684" w14:textId="77777777" w:rsidR="00A0611F" w:rsidRDefault="00A0611F" w:rsidP="00A0611F">
      <w:pPr>
        <w:pStyle w:val="SNConsultation"/>
        <w:ind w:firstLine="0"/>
      </w:pPr>
    </w:p>
    <w:p w14:paraId="6922BEF3" w14:textId="6308F134" w:rsidR="00350FE8" w:rsidRDefault="00D75CCE" w:rsidP="00A0611F">
      <w:pPr>
        <w:pStyle w:val="Corpsdetexte"/>
        <w:keepNext/>
        <w:keepLines/>
      </w:pPr>
      <w:r>
        <w:t xml:space="preserve">Artículo R. 541-223.-Las obligaciones de información al consumidor establecidas en los artículos R. 541-221 y R. 541-222 se aplicarán a los productores e importadores que declaren un volumen de negocios anual superior a 50 millones EUR para los productos contemplados en el artículo R. 541-221 que comercialicen en el mercado nacional.</w:t>
      </w:r>
    </w:p>
    <w:p w14:paraId="46A735A9" w14:textId="43A51871" w:rsidR="00350FE8" w:rsidRDefault="00350FE8" w:rsidP="00350FE8">
      <w:pPr>
        <w:pStyle w:val="Corpsdetexte"/>
        <w:keepNext/>
      </w:pPr>
      <w:r>
        <w:t xml:space="preserve">A partir del 1 de enero de 2024, las obligaciones de información al consumidor establecidas en los artículos R. 541-221 y R. 541-222 se aplicarán a los productores e importadores que declaren un volumen de negocios anual superior a 20 millones EUR para los productos contemplados en el artículo R. 541-221 que comercialicen en el mercado nacional.</w:t>
      </w:r>
    </w:p>
    <w:p w14:paraId="750470DA" w14:textId="77777777" w:rsidR="00350FE8" w:rsidRDefault="00350FE8" w:rsidP="00A0611F">
      <w:pPr>
        <w:pStyle w:val="Corpsdetexte"/>
        <w:keepNext/>
        <w:keepLines/>
        <w:rPr>
          <w:lang w:val="fr-FR"/>
        </w:rPr>
      </w:pPr>
    </w:p>
    <w:p w14:paraId="606FF564" w14:textId="53BBF7C4" w:rsidR="00C15919" w:rsidRPr="00130204" w:rsidRDefault="00D75CCE" w:rsidP="00A0611F">
      <w:pPr>
        <w:pStyle w:val="Corpsdetexte"/>
        <w:keepNext/>
        <w:keepLines/>
        <w:rPr>
          <w:rFonts w:eastAsia="Lucida Sans Unicode"/>
        </w:rPr>
      </w:pPr>
      <w:r>
        <w:t xml:space="preserve">Artículo R. 541-224.-Queda prohibido incluir en un producto o envase las palabras “biodegradable”, “respetuoso con el medio ambiente” o cualquier otro equivalente.».</w:t>
      </w:r>
      <w:r>
        <w:t xml:space="preserve">  </w:t>
      </w:r>
    </w:p>
    <w:p w14:paraId="249D5C7C" w14:textId="77777777" w:rsidR="00A0611F" w:rsidRDefault="00A0611F" w:rsidP="00A0611F">
      <w:pPr>
        <w:pStyle w:val="Corpsdetexte"/>
        <w:keepNext/>
        <w:keepLines/>
        <w:rPr>
          <w:lang w:val="fr-FR"/>
        </w:rPr>
      </w:pPr>
    </w:p>
    <w:p w14:paraId="43F1BFFD" w14:textId="77777777" w:rsidR="00A0611F" w:rsidRPr="00C16AC7" w:rsidRDefault="00A0611F" w:rsidP="00A0611F">
      <w:pPr>
        <w:pStyle w:val="Corpsdetexte"/>
        <w:keepNext/>
        <w:keepLines/>
        <w:jc w:val="center"/>
        <w:rPr>
          <w:b/>
        </w:rPr>
      </w:pPr>
      <w:r>
        <w:rPr>
          <w:b/>
        </w:rPr>
        <w:t xml:space="preserve">Artículo 2 - Entrada en vigor</w:t>
      </w:r>
    </w:p>
    <w:p w14:paraId="2C5F1691" w14:textId="4F965230" w:rsidR="00A0611F" w:rsidRDefault="00A0611F" w:rsidP="00A0611F">
      <w:pPr>
        <w:pStyle w:val="Corpsdetexte"/>
        <w:keepNext/>
        <w:keepLines/>
      </w:pPr>
      <w:r>
        <w:t xml:space="preserve">Las disposiciones del presente Decreto entrarán en vigor a partir del 1 de enero de 2022.</w:t>
      </w:r>
    </w:p>
    <w:p w14:paraId="09FC613F" w14:textId="77777777" w:rsidR="00A0611F" w:rsidRPr="00D52AA5" w:rsidRDefault="00A0611F" w:rsidP="00A0611F">
      <w:pPr>
        <w:pStyle w:val="Corpsdetexte"/>
        <w:keepNext/>
        <w:keepLines/>
        <w:rPr>
          <w:lang w:val="fr-FR"/>
        </w:rPr>
      </w:pPr>
    </w:p>
    <w:p w14:paraId="322B518E" w14:textId="77777777" w:rsidR="00A0611F" w:rsidRPr="00C16AC7" w:rsidRDefault="00A0611F" w:rsidP="00A0611F">
      <w:pPr>
        <w:pStyle w:val="SNArticle"/>
        <w:spacing w:before="240"/>
        <w:rPr>
          <w:bCs w:val="0"/>
        </w:rPr>
      </w:pPr>
      <w:r>
        <w:t xml:space="preserve">Artículo 3 - Ejecución</w:t>
      </w:r>
    </w:p>
    <w:p w14:paraId="42E479BF" w14:textId="77777777" w:rsidR="00A0611F" w:rsidRDefault="00A0611F" w:rsidP="00A0611F">
      <w:pPr>
        <w:pStyle w:val="SNArticle"/>
        <w:spacing w:before="240"/>
        <w:jc w:val="both"/>
        <w:rPr>
          <w:b w:val="0"/>
        </w:rPr>
      </w:pPr>
      <w:r>
        <w:rPr>
          <w:b w:val="0"/>
        </w:rPr>
        <w:t xml:space="preserve">La Ministra de la Transición Ecológica y el Ministro de Economía, Hacienda y Recuperación serán los responsables, en el ámbito de sus respectivas competencias, de la ejecución del presente Decreto, que se publicará en el </w:t>
      </w:r>
      <w:r>
        <w:rPr>
          <w:b w:val="0"/>
          <w:i/>
          <w:iCs/>
        </w:rPr>
        <w:t xml:space="preserve">Boletín Oficial</w:t>
      </w:r>
      <w:r>
        <w:rPr>
          <w:b w:val="0"/>
        </w:rPr>
        <w:t xml:space="preserve"> de la República Francesa.</w:t>
      </w:r>
      <w:r>
        <w:rPr>
          <w:b w:val="0"/>
        </w:rPr>
        <w:t xml:space="preserve"> </w:t>
      </w:r>
    </w:p>
    <w:p w14:paraId="521F60F6" w14:textId="77777777" w:rsidR="00A0611F" w:rsidRDefault="00A0611F" w:rsidP="00A0611F">
      <w:pPr>
        <w:pStyle w:val="SNArticle"/>
        <w:spacing w:before="240"/>
        <w:jc w:val="both"/>
        <w:rPr>
          <w:b w:val="0"/>
        </w:rPr>
      </w:pPr>
    </w:p>
    <w:p w14:paraId="49C8F301" w14:textId="72015A28" w:rsidR="009A124C" w:rsidRDefault="00F6536A" w:rsidP="00F834A5">
      <w:pPr>
        <w:suppressAutoHyphens w:val="0"/>
      </w:pPr>
      <w:r>
        <w:br w:type="page"/>
      </w:r>
      <w:r>
        <w:t xml:space="preserve">Firmado el [fecha]</w:t>
      </w:r>
    </w:p>
    <w:p w14:paraId="7A812575" w14:textId="77777777" w:rsidR="003B3353" w:rsidRPr="00C16AC7" w:rsidRDefault="003B3353" w:rsidP="003B3353">
      <w:pPr>
        <w:pStyle w:val="SNDate"/>
        <w:spacing w:before="0" w:after="0"/>
        <w:ind w:firstLine="0"/>
      </w:pPr>
    </w:p>
    <w:p w14:paraId="274CBA4C" w14:textId="77777777" w:rsidR="003B3353" w:rsidRDefault="005A5DF2" w:rsidP="003B3353">
      <w:pPr>
        <w:pStyle w:val="SNDate"/>
        <w:spacing w:before="0" w:after="0"/>
        <w:ind w:firstLine="0"/>
        <w:jc w:val="left"/>
      </w:pPr>
      <w:r>
        <w:t xml:space="preserve">Por el Primer Ministro:</w:t>
      </w:r>
    </w:p>
    <w:p w14:paraId="2A6EC749" w14:textId="5F63F38B" w:rsidR="003B3353" w:rsidRDefault="003B3353" w:rsidP="003B3353">
      <w:pPr>
        <w:pStyle w:val="SNDate"/>
        <w:spacing w:before="0" w:after="0"/>
        <w:ind w:firstLine="0"/>
        <w:jc w:val="left"/>
      </w:pPr>
      <w:r>
        <w:t xml:space="preserve">Jean Castex</w:t>
      </w:r>
      <w:r>
        <w:br/>
      </w:r>
      <w:r>
        <w:br/>
      </w:r>
      <w:r>
        <w:t xml:space="preserve">La Ministra de la Transición Ecológica,</w:t>
      </w:r>
      <w:r>
        <w:br/>
      </w:r>
      <w:r>
        <w:t xml:space="preserve">Barbara Pompili</w:t>
      </w:r>
    </w:p>
    <w:p w14:paraId="3BC92D43" w14:textId="77777777" w:rsidR="00D52AA5" w:rsidRDefault="004A0F51" w:rsidP="003B3353">
      <w:pPr>
        <w:pStyle w:val="SNDate"/>
        <w:spacing w:before="0" w:after="0"/>
        <w:ind w:firstLine="0"/>
        <w:jc w:val="right"/>
      </w:pPr>
      <w:r>
        <w:t xml:space="preserve">El Ministro de Economía, Hacienda y Recuperación,</w:t>
      </w:r>
    </w:p>
    <w:p w14:paraId="2766AF55" w14:textId="7002707B" w:rsidR="00FF3312" w:rsidRDefault="00F35D14" w:rsidP="003B3353">
      <w:pPr>
        <w:pStyle w:val="SNDate"/>
        <w:spacing w:before="0" w:after="0"/>
        <w:ind w:firstLine="0"/>
        <w:jc w:val="right"/>
      </w:pPr>
      <w:r>
        <w:t xml:space="preserve">Bruno Le Maire</w:t>
      </w:r>
    </w:p>
    <w:p w14:paraId="6E0D18CA" w14:textId="77777777" w:rsidR="00F6272E" w:rsidRDefault="00F6272E" w:rsidP="003B3353">
      <w:pPr>
        <w:suppressAutoHyphens w:val="0"/>
      </w:pPr>
    </w:p>
    <w:p w14:paraId="2AA9E840" w14:textId="03816832" w:rsidR="000D0435" w:rsidRDefault="000D0435">
      <w:pPr>
        <w:suppressAutoHyphens w:val="0"/>
      </w:pPr>
    </w:p>
    <w:sectPr w:rsidR="000D0435" w:rsidSect="003B3353">
      <w:footerReference w:type="default" r:id="rId9"/>
      <w:pgSz w:w="11906" w:h="16838"/>
      <w:pgMar w:top="1440" w:right="1080" w:bottom="1440" w:left="1080" w:header="0"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B45FB" w14:textId="77777777" w:rsidR="0002121C" w:rsidRDefault="0002121C">
      <w:r>
        <w:separator/>
      </w:r>
    </w:p>
  </w:endnote>
  <w:endnote w:type="continuationSeparator" w:id="0">
    <w:p w14:paraId="6C19FFB8" w14:textId="77777777" w:rsidR="0002121C" w:rsidRDefault="0002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LT Std">
    <w:altName w:val="Times LT St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231255"/>
      <w:docPartObj>
        <w:docPartGallery w:val="Page Numbers (Bottom of Page)"/>
        <w:docPartUnique/>
      </w:docPartObj>
    </w:sdtPr>
    <w:sdtEndPr/>
    <w:sdtContent>
      <w:p w14:paraId="309B78E2" w14:textId="4152C99E" w:rsidR="00A6698F" w:rsidRDefault="00A6698F">
        <w:pPr>
          <w:pStyle w:val="Pieddepage"/>
          <w:jc w:val="right"/>
        </w:pPr>
        <w:r>
          <w:fldChar w:fldCharType="begin"/>
        </w:r>
        <w:r>
          <w:instrText>PAGE   \* MERGEFORMAT</w:instrText>
        </w:r>
        <w:r>
          <w:fldChar w:fldCharType="separate"/>
        </w:r>
        <w:r w:rsidR="004902C5" w:rsidRPr="004902C5">
          <w:t>8</w:t>
        </w:r>
        <w:r>
          <w:fldChar w:fldCharType="end"/>
        </w:r>
      </w:p>
    </w:sdtContent>
  </w:sdt>
  <w:p w14:paraId="14D5D221" w14:textId="17EE6B6A" w:rsidR="00D13111" w:rsidRDefault="00D131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6F68" w14:textId="77777777" w:rsidR="0002121C" w:rsidRDefault="0002121C">
      <w:r>
        <w:separator/>
      </w:r>
    </w:p>
  </w:footnote>
  <w:footnote w:type="continuationSeparator" w:id="0">
    <w:p w14:paraId="352A95D0" w14:textId="77777777" w:rsidR="0002121C" w:rsidRDefault="0002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633B"/>
    <w:multiLevelType w:val="hybridMultilevel"/>
    <w:tmpl w:val="1DE05C5C"/>
    <w:lvl w:ilvl="0" w:tplc="97D095D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11A89"/>
    <w:multiLevelType w:val="hybridMultilevel"/>
    <w:tmpl w:val="4F943AAA"/>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A484F"/>
    <w:multiLevelType w:val="hybridMultilevel"/>
    <w:tmpl w:val="0FE8B6C4"/>
    <w:lvl w:ilvl="0" w:tplc="30B01BF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6E179F"/>
    <w:multiLevelType w:val="hybridMultilevel"/>
    <w:tmpl w:val="66E25180"/>
    <w:lvl w:ilvl="0" w:tplc="250A52BC">
      <w:start w:val="1"/>
      <w:numFmt w:val="upperRoman"/>
      <w:lvlText w:val="%1."/>
      <w:lvlJc w:val="left"/>
      <w:pPr>
        <w:ind w:left="770" w:hanging="720"/>
      </w:pPr>
      <w:rPr>
        <w:rFonts w:cs="Times LT Std"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4" w15:restartNumberingAfterBreak="0">
    <w:nsid w:val="12335244"/>
    <w:multiLevelType w:val="hybridMultilevel"/>
    <w:tmpl w:val="5A5833F2"/>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EA0409"/>
    <w:multiLevelType w:val="hybridMultilevel"/>
    <w:tmpl w:val="D34EEAB0"/>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3C5F94"/>
    <w:multiLevelType w:val="multilevel"/>
    <w:tmpl w:val="07CA34D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165576E"/>
    <w:multiLevelType w:val="hybridMultilevel"/>
    <w:tmpl w:val="A4724692"/>
    <w:lvl w:ilvl="0" w:tplc="15C22576">
      <w:numFmt w:val="bullet"/>
      <w:lvlText w:val="-"/>
      <w:lvlJc w:val="left"/>
      <w:pPr>
        <w:ind w:left="1069" w:hanging="360"/>
      </w:pPr>
      <w:rPr>
        <w:rFonts w:ascii="Times New Roman" w:eastAsia="Lucida Sans Unicode"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229604D9"/>
    <w:multiLevelType w:val="hybridMultilevel"/>
    <w:tmpl w:val="5C965D80"/>
    <w:lvl w:ilvl="0" w:tplc="530EA7F0">
      <w:start w:val="3"/>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047BC"/>
    <w:multiLevelType w:val="hybridMultilevel"/>
    <w:tmpl w:val="40D6B79E"/>
    <w:lvl w:ilvl="0" w:tplc="530EA7F0">
      <w:start w:val="3"/>
      <w:numFmt w:val="bullet"/>
      <w:lvlText w:val="-"/>
      <w:lvlJc w:val="left"/>
      <w:pPr>
        <w:ind w:left="360" w:firstLine="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6E70B4"/>
    <w:multiLevelType w:val="hybridMultilevel"/>
    <w:tmpl w:val="14EA9A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474A5C"/>
    <w:multiLevelType w:val="hybridMultilevel"/>
    <w:tmpl w:val="980EB580"/>
    <w:lvl w:ilvl="0" w:tplc="FFB2E33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9A21BE"/>
    <w:multiLevelType w:val="multilevel"/>
    <w:tmpl w:val="6A96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582044"/>
    <w:multiLevelType w:val="multilevel"/>
    <w:tmpl w:val="335E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F92E3D"/>
    <w:multiLevelType w:val="hybridMultilevel"/>
    <w:tmpl w:val="23D88FFE"/>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FC1E84"/>
    <w:multiLevelType w:val="hybridMultilevel"/>
    <w:tmpl w:val="E9BA39CC"/>
    <w:lvl w:ilvl="0" w:tplc="55D2BF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D208A1"/>
    <w:multiLevelType w:val="hybridMultilevel"/>
    <w:tmpl w:val="9B164052"/>
    <w:lvl w:ilvl="0" w:tplc="C52E1C42">
      <w:start w:val="3"/>
      <w:numFmt w:val="bullet"/>
      <w:lvlText w:val=""/>
      <w:lvlJc w:val="left"/>
      <w:pPr>
        <w:ind w:left="720" w:hanging="360"/>
      </w:pPr>
      <w:rPr>
        <w:rFonts w:ascii="Wingdings" w:eastAsia="Lucida Sans Unicode"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AA768D"/>
    <w:multiLevelType w:val="hybridMultilevel"/>
    <w:tmpl w:val="FAF2B910"/>
    <w:lvl w:ilvl="0" w:tplc="747C5A3A">
      <w:start w:val="178"/>
      <w:numFmt w:val="bullet"/>
      <w:lvlText w:val=""/>
      <w:lvlJc w:val="left"/>
      <w:pPr>
        <w:ind w:left="720" w:hanging="360"/>
      </w:pPr>
      <w:rPr>
        <w:rFonts w:ascii="Wingdings" w:eastAsia="Lucida Sans Unicode"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C22CF2"/>
    <w:multiLevelType w:val="hybridMultilevel"/>
    <w:tmpl w:val="651C43C4"/>
    <w:lvl w:ilvl="0" w:tplc="3CE20EA0">
      <w:start w:val="3"/>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D91AE6"/>
    <w:multiLevelType w:val="multilevel"/>
    <w:tmpl w:val="3D2A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A21C6E"/>
    <w:multiLevelType w:val="hybridMultilevel"/>
    <w:tmpl w:val="47946C42"/>
    <w:lvl w:ilvl="0" w:tplc="83BAE13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2948DB"/>
    <w:multiLevelType w:val="hybridMultilevel"/>
    <w:tmpl w:val="37F89ACE"/>
    <w:lvl w:ilvl="0" w:tplc="4CEC6AB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232A7"/>
    <w:multiLevelType w:val="hybridMultilevel"/>
    <w:tmpl w:val="DD98A3F6"/>
    <w:lvl w:ilvl="0" w:tplc="D5FCD206">
      <w:numFmt w:val="bullet"/>
      <w:lvlText w:val="-"/>
      <w:lvlJc w:val="left"/>
      <w:pPr>
        <w:ind w:left="720" w:hanging="360"/>
      </w:pPr>
      <w:rPr>
        <w:rFonts w:ascii="Times New Roman" w:eastAsia="Lucida Sans Unicode"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3C5E8D"/>
    <w:multiLevelType w:val="hybridMultilevel"/>
    <w:tmpl w:val="391EA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C66A59"/>
    <w:multiLevelType w:val="hybridMultilevel"/>
    <w:tmpl w:val="14E86500"/>
    <w:lvl w:ilvl="0" w:tplc="EEE2199E">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6" w15:restartNumberingAfterBreak="0">
    <w:nsid w:val="627A3492"/>
    <w:multiLevelType w:val="hybridMultilevel"/>
    <w:tmpl w:val="1C125838"/>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75203C"/>
    <w:multiLevelType w:val="multilevel"/>
    <w:tmpl w:val="AD201516"/>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5803C24"/>
    <w:multiLevelType w:val="hybridMultilevel"/>
    <w:tmpl w:val="E20C7D8C"/>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CD3E1A"/>
    <w:multiLevelType w:val="hybridMultilevel"/>
    <w:tmpl w:val="59AEF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925AE9"/>
    <w:multiLevelType w:val="hybridMultilevel"/>
    <w:tmpl w:val="0A76965C"/>
    <w:lvl w:ilvl="0" w:tplc="20E8BF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5B91383"/>
    <w:multiLevelType w:val="hybridMultilevel"/>
    <w:tmpl w:val="5F6E8FAA"/>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613D26"/>
    <w:multiLevelType w:val="multilevel"/>
    <w:tmpl w:val="5CA8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6"/>
  </w:num>
  <w:num w:numId="3">
    <w:abstractNumId w:val="0"/>
  </w:num>
  <w:num w:numId="4">
    <w:abstractNumId w:val="3"/>
  </w:num>
  <w:num w:numId="5">
    <w:abstractNumId w:val="7"/>
  </w:num>
  <w:num w:numId="6">
    <w:abstractNumId w:val="32"/>
  </w:num>
  <w:num w:numId="7">
    <w:abstractNumId w:val="24"/>
  </w:num>
  <w:num w:numId="8">
    <w:abstractNumId w:val="22"/>
  </w:num>
  <w:num w:numId="9">
    <w:abstractNumId w:val="16"/>
  </w:num>
  <w:num w:numId="10">
    <w:abstractNumId w:val="4"/>
  </w:num>
  <w:num w:numId="11">
    <w:abstractNumId w:val="12"/>
  </w:num>
  <w:num w:numId="12">
    <w:abstractNumId w:val="18"/>
  </w:num>
  <w:num w:numId="13">
    <w:abstractNumId w:val="9"/>
  </w:num>
  <w:num w:numId="14">
    <w:abstractNumId w:val="8"/>
  </w:num>
  <w:num w:numId="15">
    <w:abstractNumId w:val="26"/>
  </w:num>
  <w:num w:numId="16">
    <w:abstractNumId w:val="5"/>
  </w:num>
  <w:num w:numId="17">
    <w:abstractNumId w:val="28"/>
  </w:num>
  <w:num w:numId="18">
    <w:abstractNumId w:val="23"/>
  </w:num>
  <w:num w:numId="19">
    <w:abstractNumId w:val="29"/>
  </w:num>
  <w:num w:numId="20">
    <w:abstractNumId w:val="14"/>
  </w:num>
  <w:num w:numId="21">
    <w:abstractNumId w:val="1"/>
  </w:num>
  <w:num w:numId="22">
    <w:abstractNumId w:val="17"/>
  </w:num>
  <w:num w:numId="23">
    <w:abstractNumId w:val="13"/>
  </w:num>
  <w:num w:numId="24">
    <w:abstractNumId w:val="19"/>
  </w:num>
  <w:num w:numId="25">
    <w:abstractNumId w:val="31"/>
  </w:num>
  <w:num w:numId="26">
    <w:abstractNumId w:val="25"/>
  </w:num>
  <w:num w:numId="27">
    <w:abstractNumId w:val="20"/>
  </w:num>
  <w:num w:numId="28">
    <w:abstractNumId w:val="11"/>
  </w:num>
  <w:num w:numId="29">
    <w:abstractNumId w:val="10"/>
  </w:num>
  <w:num w:numId="30">
    <w:abstractNumId w:val="15"/>
  </w:num>
  <w:num w:numId="31">
    <w:abstractNumId w:val="21"/>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dirty" w:grammar="dirty"/>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4C"/>
    <w:rsid w:val="000000B8"/>
    <w:rsid w:val="000029F1"/>
    <w:rsid w:val="0000467E"/>
    <w:rsid w:val="00006763"/>
    <w:rsid w:val="0001208B"/>
    <w:rsid w:val="00012B2A"/>
    <w:rsid w:val="00014570"/>
    <w:rsid w:val="00014DD9"/>
    <w:rsid w:val="00014E0B"/>
    <w:rsid w:val="00017815"/>
    <w:rsid w:val="0002121C"/>
    <w:rsid w:val="000214ED"/>
    <w:rsid w:val="00021518"/>
    <w:rsid w:val="000244A4"/>
    <w:rsid w:val="00031601"/>
    <w:rsid w:val="00034021"/>
    <w:rsid w:val="000366AF"/>
    <w:rsid w:val="00040974"/>
    <w:rsid w:val="00040D14"/>
    <w:rsid w:val="00042A22"/>
    <w:rsid w:val="0004418F"/>
    <w:rsid w:val="00044BD2"/>
    <w:rsid w:val="000452EB"/>
    <w:rsid w:val="000455D7"/>
    <w:rsid w:val="00047B30"/>
    <w:rsid w:val="000511DD"/>
    <w:rsid w:val="00052E67"/>
    <w:rsid w:val="00056BA9"/>
    <w:rsid w:val="00064339"/>
    <w:rsid w:val="00065814"/>
    <w:rsid w:val="00067CF1"/>
    <w:rsid w:val="00070B3B"/>
    <w:rsid w:val="00073188"/>
    <w:rsid w:val="0007383E"/>
    <w:rsid w:val="00074679"/>
    <w:rsid w:val="0007715C"/>
    <w:rsid w:val="00083E60"/>
    <w:rsid w:val="000845C2"/>
    <w:rsid w:val="00090D07"/>
    <w:rsid w:val="00093C6B"/>
    <w:rsid w:val="000A26C0"/>
    <w:rsid w:val="000A37F2"/>
    <w:rsid w:val="000A405A"/>
    <w:rsid w:val="000A5EE2"/>
    <w:rsid w:val="000B1542"/>
    <w:rsid w:val="000B16AD"/>
    <w:rsid w:val="000B281E"/>
    <w:rsid w:val="000B29C9"/>
    <w:rsid w:val="000B740A"/>
    <w:rsid w:val="000C090F"/>
    <w:rsid w:val="000C0D91"/>
    <w:rsid w:val="000C399B"/>
    <w:rsid w:val="000C70C2"/>
    <w:rsid w:val="000D0435"/>
    <w:rsid w:val="000D3FA8"/>
    <w:rsid w:val="000D4577"/>
    <w:rsid w:val="000E02EB"/>
    <w:rsid w:val="000E3122"/>
    <w:rsid w:val="000F0888"/>
    <w:rsid w:val="000F120D"/>
    <w:rsid w:val="000F22BE"/>
    <w:rsid w:val="000F4F0F"/>
    <w:rsid w:val="000F502F"/>
    <w:rsid w:val="001017E4"/>
    <w:rsid w:val="00101AEB"/>
    <w:rsid w:val="0010308D"/>
    <w:rsid w:val="00103CF6"/>
    <w:rsid w:val="0010592D"/>
    <w:rsid w:val="00105CA6"/>
    <w:rsid w:val="001140D5"/>
    <w:rsid w:val="001148F1"/>
    <w:rsid w:val="00120E3F"/>
    <w:rsid w:val="001223B5"/>
    <w:rsid w:val="00126E15"/>
    <w:rsid w:val="00130204"/>
    <w:rsid w:val="0013146B"/>
    <w:rsid w:val="00134E29"/>
    <w:rsid w:val="00140866"/>
    <w:rsid w:val="00141BB3"/>
    <w:rsid w:val="0014431A"/>
    <w:rsid w:val="0014539B"/>
    <w:rsid w:val="001517BD"/>
    <w:rsid w:val="0015356C"/>
    <w:rsid w:val="001549C3"/>
    <w:rsid w:val="001570C9"/>
    <w:rsid w:val="001605B3"/>
    <w:rsid w:val="001610D5"/>
    <w:rsid w:val="00161495"/>
    <w:rsid w:val="00163010"/>
    <w:rsid w:val="00167095"/>
    <w:rsid w:val="0017591E"/>
    <w:rsid w:val="00180301"/>
    <w:rsid w:val="00181E54"/>
    <w:rsid w:val="00182A3A"/>
    <w:rsid w:val="001839C8"/>
    <w:rsid w:val="00184383"/>
    <w:rsid w:val="00186299"/>
    <w:rsid w:val="0018777F"/>
    <w:rsid w:val="00193D65"/>
    <w:rsid w:val="00194ABF"/>
    <w:rsid w:val="001A261E"/>
    <w:rsid w:val="001A72DA"/>
    <w:rsid w:val="001B1359"/>
    <w:rsid w:val="001B55C3"/>
    <w:rsid w:val="001B5BAE"/>
    <w:rsid w:val="001B5CBF"/>
    <w:rsid w:val="001B75FC"/>
    <w:rsid w:val="001C3A24"/>
    <w:rsid w:val="001C40F2"/>
    <w:rsid w:val="001C5BEE"/>
    <w:rsid w:val="001D5FB4"/>
    <w:rsid w:val="001D61CF"/>
    <w:rsid w:val="001E2532"/>
    <w:rsid w:val="001E2A72"/>
    <w:rsid w:val="001E335E"/>
    <w:rsid w:val="001E4715"/>
    <w:rsid w:val="001F0053"/>
    <w:rsid w:val="001F1200"/>
    <w:rsid w:val="001F2519"/>
    <w:rsid w:val="001F5614"/>
    <w:rsid w:val="00201787"/>
    <w:rsid w:val="00203E46"/>
    <w:rsid w:val="002067EC"/>
    <w:rsid w:val="002073DA"/>
    <w:rsid w:val="002079C7"/>
    <w:rsid w:val="00215482"/>
    <w:rsid w:val="002170E6"/>
    <w:rsid w:val="00217E2F"/>
    <w:rsid w:val="002220DE"/>
    <w:rsid w:val="00223E09"/>
    <w:rsid w:val="0022492F"/>
    <w:rsid w:val="00224A9A"/>
    <w:rsid w:val="002260AC"/>
    <w:rsid w:val="00227BC9"/>
    <w:rsid w:val="00230831"/>
    <w:rsid w:val="00231C47"/>
    <w:rsid w:val="0023700E"/>
    <w:rsid w:val="00237535"/>
    <w:rsid w:val="002430D3"/>
    <w:rsid w:val="002460F9"/>
    <w:rsid w:val="00246797"/>
    <w:rsid w:val="002535B7"/>
    <w:rsid w:val="00256747"/>
    <w:rsid w:val="00271C17"/>
    <w:rsid w:val="00272DC3"/>
    <w:rsid w:val="002731A9"/>
    <w:rsid w:val="002731EF"/>
    <w:rsid w:val="00275404"/>
    <w:rsid w:val="00275B56"/>
    <w:rsid w:val="00282EAE"/>
    <w:rsid w:val="002871A7"/>
    <w:rsid w:val="002903D5"/>
    <w:rsid w:val="002915F2"/>
    <w:rsid w:val="00291A0B"/>
    <w:rsid w:val="00295D03"/>
    <w:rsid w:val="00296852"/>
    <w:rsid w:val="002A1D87"/>
    <w:rsid w:val="002A3561"/>
    <w:rsid w:val="002A3909"/>
    <w:rsid w:val="002A4DAB"/>
    <w:rsid w:val="002B330D"/>
    <w:rsid w:val="002B363C"/>
    <w:rsid w:val="002B6530"/>
    <w:rsid w:val="002B66D8"/>
    <w:rsid w:val="002C0C41"/>
    <w:rsid w:val="002C1EEE"/>
    <w:rsid w:val="002C1F33"/>
    <w:rsid w:val="002C7C36"/>
    <w:rsid w:val="002D6B74"/>
    <w:rsid w:val="002E09DD"/>
    <w:rsid w:val="002E1D14"/>
    <w:rsid w:val="002E2946"/>
    <w:rsid w:val="002E39DA"/>
    <w:rsid w:val="002E51D9"/>
    <w:rsid w:val="002E55AF"/>
    <w:rsid w:val="002E57B2"/>
    <w:rsid w:val="002E7128"/>
    <w:rsid w:val="002F2FA7"/>
    <w:rsid w:val="002F4E83"/>
    <w:rsid w:val="002F580A"/>
    <w:rsid w:val="003075B5"/>
    <w:rsid w:val="00310081"/>
    <w:rsid w:val="00310B80"/>
    <w:rsid w:val="00311180"/>
    <w:rsid w:val="00311C97"/>
    <w:rsid w:val="00311EB6"/>
    <w:rsid w:val="00312D09"/>
    <w:rsid w:val="00312E95"/>
    <w:rsid w:val="00314946"/>
    <w:rsid w:val="003212CF"/>
    <w:rsid w:val="003214F2"/>
    <w:rsid w:val="00322858"/>
    <w:rsid w:val="00323A3F"/>
    <w:rsid w:val="00325082"/>
    <w:rsid w:val="003256D3"/>
    <w:rsid w:val="00330D1C"/>
    <w:rsid w:val="00333C9A"/>
    <w:rsid w:val="00333CC4"/>
    <w:rsid w:val="003344FD"/>
    <w:rsid w:val="00334870"/>
    <w:rsid w:val="00334F16"/>
    <w:rsid w:val="003367BD"/>
    <w:rsid w:val="003410B1"/>
    <w:rsid w:val="003474CD"/>
    <w:rsid w:val="003503E2"/>
    <w:rsid w:val="00350FE8"/>
    <w:rsid w:val="00354B47"/>
    <w:rsid w:val="003571C3"/>
    <w:rsid w:val="00365128"/>
    <w:rsid w:val="003717E3"/>
    <w:rsid w:val="003719E8"/>
    <w:rsid w:val="003726DA"/>
    <w:rsid w:val="0037436B"/>
    <w:rsid w:val="003756E4"/>
    <w:rsid w:val="00376681"/>
    <w:rsid w:val="003803EE"/>
    <w:rsid w:val="003812D3"/>
    <w:rsid w:val="003903ED"/>
    <w:rsid w:val="0039122E"/>
    <w:rsid w:val="003A1E4F"/>
    <w:rsid w:val="003A4931"/>
    <w:rsid w:val="003A4FDB"/>
    <w:rsid w:val="003A6282"/>
    <w:rsid w:val="003B3353"/>
    <w:rsid w:val="003B4AAD"/>
    <w:rsid w:val="003B51A4"/>
    <w:rsid w:val="003B5E3E"/>
    <w:rsid w:val="003C1315"/>
    <w:rsid w:val="003C1B21"/>
    <w:rsid w:val="003C1E05"/>
    <w:rsid w:val="003C2E20"/>
    <w:rsid w:val="003C3740"/>
    <w:rsid w:val="003D09E5"/>
    <w:rsid w:val="003D327E"/>
    <w:rsid w:val="003D34F5"/>
    <w:rsid w:val="003D46AC"/>
    <w:rsid w:val="003D4EE8"/>
    <w:rsid w:val="003D6CAC"/>
    <w:rsid w:val="003E5023"/>
    <w:rsid w:val="003F00B8"/>
    <w:rsid w:val="003F093C"/>
    <w:rsid w:val="003F138C"/>
    <w:rsid w:val="003F7B2A"/>
    <w:rsid w:val="003F7E34"/>
    <w:rsid w:val="004030E9"/>
    <w:rsid w:val="00403736"/>
    <w:rsid w:val="00406976"/>
    <w:rsid w:val="004079B1"/>
    <w:rsid w:val="0041062E"/>
    <w:rsid w:val="00410AF3"/>
    <w:rsid w:val="00412CF8"/>
    <w:rsid w:val="00415238"/>
    <w:rsid w:val="00417BE0"/>
    <w:rsid w:val="004217F3"/>
    <w:rsid w:val="00423886"/>
    <w:rsid w:val="004249EE"/>
    <w:rsid w:val="00425012"/>
    <w:rsid w:val="00426148"/>
    <w:rsid w:val="00426439"/>
    <w:rsid w:val="00427BE9"/>
    <w:rsid w:val="00432896"/>
    <w:rsid w:val="00433207"/>
    <w:rsid w:val="00433B33"/>
    <w:rsid w:val="00441FEC"/>
    <w:rsid w:val="00444515"/>
    <w:rsid w:val="0044526B"/>
    <w:rsid w:val="00454872"/>
    <w:rsid w:val="00454C45"/>
    <w:rsid w:val="00464C0D"/>
    <w:rsid w:val="00467E8A"/>
    <w:rsid w:val="00480306"/>
    <w:rsid w:val="004902C5"/>
    <w:rsid w:val="00490E31"/>
    <w:rsid w:val="00492727"/>
    <w:rsid w:val="004972D7"/>
    <w:rsid w:val="00497820"/>
    <w:rsid w:val="004A0F51"/>
    <w:rsid w:val="004B071C"/>
    <w:rsid w:val="004B0AAA"/>
    <w:rsid w:val="004B0B51"/>
    <w:rsid w:val="004B3D39"/>
    <w:rsid w:val="004B7335"/>
    <w:rsid w:val="004C2787"/>
    <w:rsid w:val="004C4235"/>
    <w:rsid w:val="004D012A"/>
    <w:rsid w:val="004D2865"/>
    <w:rsid w:val="004D4113"/>
    <w:rsid w:val="004D461F"/>
    <w:rsid w:val="004D5172"/>
    <w:rsid w:val="004D75F4"/>
    <w:rsid w:val="004E28B3"/>
    <w:rsid w:val="004E33CF"/>
    <w:rsid w:val="004E383B"/>
    <w:rsid w:val="004F0556"/>
    <w:rsid w:val="004F1523"/>
    <w:rsid w:val="004F1DDA"/>
    <w:rsid w:val="004F466A"/>
    <w:rsid w:val="004F603F"/>
    <w:rsid w:val="00501103"/>
    <w:rsid w:val="00504089"/>
    <w:rsid w:val="0050673D"/>
    <w:rsid w:val="00506997"/>
    <w:rsid w:val="00510B00"/>
    <w:rsid w:val="00512432"/>
    <w:rsid w:val="0051574D"/>
    <w:rsid w:val="00515C4A"/>
    <w:rsid w:val="00517BD3"/>
    <w:rsid w:val="00517D96"/>
    <w:rsid w:val="00520FCE"/>
    <w:rsid w:val="00522CB0"/>
    <w:rsid w:val="005242A7"/>
    <w:rsid w:val="00524AC1"/>
    <w:rsid w:val="00531CE4"/>
    <w:rsid w:val="00535809"/>
    <w:rsid w:val="0053597D"/>
    <w:rsid w:val="005365E3"/>
    <w:rsid w:val="00536FC6"/>
    <w:rsid w:val="005372ED"/>
    <w:rsid w:val="00540943"/>
    <w:rsid w:val="005437E3"/>
    <w:rsid w:val="005445F5"/>
    <w:rsid w:val="005478EC"/>
    <w:rsid w:val="0055037D"/>
    <w:rsid w:val="00550811"/>
    <w:rsid w:val="00552112"/>
    <w:rsid w:val="0055374F"/>
    <w:rsid w:val="00555A1B"/>
    <w:rsid w:val="00561E3E"/>
    <w:rsid w:val="0056336D"/>
    <w:rsid w:val="00563D13"/>
    <w:rsid w:val="0057270C"/>
    <w:rsid w:val="00573F4F"/>
    <w:rsid w:val="00581241"/>
    <w:rsid w:val="00582840"/>
    <w:rsid w:val="00583438"/>
    <w:rsid w:val="005906F1"/>
    <w:rsid w:val="00593728"/>
    <w:rsid w:val="00593E59"/>
    <w:rsid w:val="005943FE"/>
    <w:rsid w:val="005A2457"/>
    <w:rsid w:val="005A3198"/>
    <w:rsid w:val="005A5DF2"/>
    <w:rsid w:val="005A68A6"/>
    <w:rsid w:val="005B4F6E"/>
    <w:rsid w:val="005B5DF0"/>
    <w:rsid w:val="005B6F77"/>
    <w:rsid w:val="005C004F"/>
    <w:rsid w:val="005C5E92"/>
    <w:rsid w:val="005D02B0"/>
    <w:rsid w:val="005D0F58"/>
    <w:rsid w:val="005D1FFD"/>
    <w:rsid w:val="005D3ABB"/>
    <w:rsid w:val="005D492E"/>
    <w:rsid w:val="005D49A0"/>
    <w:rsid w:val="005D5494"/>
    <w:rsid w:val="005D6F2F"/>
    <w:rsid w:val="005E3BA9"/>
    <w:rsid w:val="005E4AF1"/>
    <w:rsid w:val="005E4BEC"/>
    <w:rsid w:val="005E5532"/>
    <w:rsid w:val="005E7AA1"/>
    <w:rsid w:val="005F6702"/>
    <w:rsid w:val="0060308F"/>
    <w:rsid w:val="00603810"/>
    <w:rsid w:val="00604680"/>
    <w:rsid w:val="006058C2"/>
    <w:rsid w:val="00612621"/>
    <w:rsid w:val="00613C5F"/>
    <w:rsid w:val="00617683"/>
    <w:rsid w:val="00621280"/>
    <w:rsid w:val="00627D9A"/>
    <w:rsid w:val="006317EB"/>
    <w:rsid w:val="00632CB6"/>
    <w:rsid w:val="00633FAC"/>
    <w:rsid w:val="00646700"/>
    <w:rsid w:val="00646EE2"/>
    <w:rsid w:val="00650C04"/>
    <w:rsid w:val="00651C6B"/>
    <w:rsid w:val="00652440"/>
    <w:rsid w:val="006543F2"/>
    <w:rsid w:val="00655F02"/>
    <w:rsid w:val="0065721E"/>
    <w:rsid w:val="006601B7"/>
    <w:rsid w:val="0066237A"/>
    <w:rsid w:val="00663704"/>
    <w:rsid w:val="00664921"/>
    <w:rsid w:val="0066492E"/>
    <w:rsid w:val="00665988"/>
    <w:rsid w:val="006676CC"/>
    <w:rsid w:val="006707D9"/>
    <w:rsid w:val="00676242"/>
    <w:rsid w:val="006765FA"/>
    <w:rsid w:val="00677E40"/>
    <w:rsid w:val="0068278F"/>
    <w:rsid w:val="006858EC"/>
    <w:rsid w:val="006859A8"/>
    <w:rsid w:val="0068765D"/>
    <w:rsid w:val="00690902"/>
    <w:rsid w:val="00690BD3"/>
    <w:rsid w:val="006948E7"/>
    <w:rsid w:val="00697095"/>
    <w:rsid w:val="006A0266"/>
    <w:rsid w:val="006A10A1"/>
    <w:rsid w:val="006A190D"/>
    <w:rsid w:val="006A246C"/>
    <w:rsid w:val="006A368F"/>
    <w:rsid w:val="006A4E12"/>
    <w:rsid w:val="006A63CA"/>
    <w:rsid w:val="006A687C"/>
    <w:rsid w:val="006B0E3B"/>
    <w:rsid w:val="006B6AEF"/>
    <w:rsid w:val="006B6BE3"/>
    <w:rsid w:val="006B7EC9"/>
    <w:rsid w:val="006C3BF5"/>
    <w:rsid w:val="006D50A1"/>
    <w:rsid w:val="006D5156"/>
    <w:rsid w:val="006D5379"/>
    <w:rsid w:val="006D634E"/>
    <w:rsid w:val="006E29B7"/>
    <w:rsid w:val="006E3B6D"/>
    <w:rsid w:val="006E54CE"/>
    <w:rsid w:val="006F2B33"/>
    <w:rsid w:val="006F368A"/>
    <w:rsid w:val="006F7A16"/>
    <w:rsid w:val="006F7A19"/>
    <w:rsid w:val="00700040"/>
    <w:rsid w:val="0070073A"/>
    <w:rsid w:val="00701EAE"/>
    <w:rsid w:val="00703093"/>
    <w:rsid w:val="00704CC6"/>
    <w:rsid w:val="007064D1"/>
    <w:rsid w:val="00706F0D"/>
    <w:rsid w:val="0071196E"/>
    <w:rsid w:val="00714120"/>
    <w:rsid w:val="007142D1"/>
    <w:rsid w:val="00717452"/>
    <w:rsid w:val="00717FB9"/>
    <w:rsid w:val="00723891"/>
    <w:rsid w:val="00726E7E"/>
    <w:rsid w:val="00730780"/>
    <w:rsid w:val="0073125E"/>
    <w:rsid w:val="00731493"/>
    <w:rsid w:val="007316B1"/>
    <w:rsid w:val="007326D5"/>
    <w:rsid w:val="00732C8E"/>
    <w:rsid w:val="007336AE"/>
    <w:rsid w:val="00733822"/>
    <w:rsid w:val="00737A13"/>
    <w:rsid w:val="00741B83"/>
    <w:rsid w:val="007421E3"/>
    <w:rsid w:val="007449C3"/>
    <w:rsid w:val="00746071"/>
    <w:rsid w:val="0074629E"/>
    <w:rsid w:val="00746796"/>
    <w:rsid w:val="00747838"/>
    <w:rsid w:val="00753C79"/>
    <w:rsid w:val="007556C0"/>
    <w:rsid w:val="00756303"/>
    <w:rsid w:val="00757BDF"/>
    <w:rsid w:val="007604BE"/>
    <w:rsid w:val="00762D07"/>
    <w:rsid w:val="00763E18"/>
    <w:rsid w:val="00765601"/>
    <w:rsid w:val="00767947"/>
    <w:rsid w:val="00770008"/>
    <w:rsid w:val="00772B17"/>
    <w:rsid w:val="00773D27"/>
    <w:rsid w:val="00775028"/>
    <w:rsid w:val="007750BF"/>
    <w:rsid w:val="00777E2C"/>
    <w:rsid w:val="007839B6"/>
    <w:rsid w:val="007854ED"/>
    <w:rsid w:val="007875B7"/>
    <w:rsid w:val="007929C5"/>
    <w:rsid w:val="00793864"/>
    <w:rsid w:val="007956AB"/>
    <w:rsid w:val="0079648B"/>
    <w:rsid w:val="007B2245"/>
    <w:rsid w:val="007B27ED"/>
    <w:rsid w:val="007B4ED5"/>
    <w:rsid w:val="007B59B5"/>
    <w:rsid w:val="007B5B2C"/>
    <w:rsid w:val="007B5D03"/>
    <w:rsid w:val="007C14CD"/>
    <w:rsid w:val="007C4093"/>
    <w:rsid w:val="007C5D74"/>
    <w:rsid w:val="007C6D81"/>
    <w:rsid w:val="007D09FC"/>
    <w:rsid w:val="007D20D6"/>
    <w:rsid w:val="007D3ADF"/>
    <w:rsid w:val="007D5C6A"/>
    <w:rsid w:val="007E0128"/>
    <w:rsid w:val="007E1168"/>
    <w:rsid w:val="007E11E0"/>
    <w:rsid w:val="007E4E30"/>
    <w:rsid w:val="007E565F"/>
    <w:rsid w:val="007E5770"/>
    <w:rsid w:val="007E5C52"/>
    <w:rsid w:val="007F531E"/>
    <w:rsid w:val="007F5E88"/>
    <w:rsid w:val="007F7DB6"/>
    <w:rsid w:val="00807D0F"/>
    <w:rsid w:val="00814529"/>
    <w:rsid w:val="00822FDA"/>
    <w:rsid w:val="00824E4E"/>
    <w:rsid w:val="008270A9"/>
    <w:rsid w:val="00832CAE"/>
    <w:rsid w:val="00833D0E"/>
    <w:rsid w:val="008355C0"/>
    <w:rsid w:val="00837C62"/>
    <w:rsid w:val="0084095E"/>
    <w:rsid w:val="00844574"/>
    <w:rsid w:val="0084702B"/>
    <w:rsid w:val="00847EEF"/>
    <w:rsid w:val="008527EA"/>
    <w:rsid w:val="008533F9"/>
    <w:rsid w:val="00857AD6"/>
    <w:rsid w:val="008627B3"/>
    <w:rsid w:val="008656BF"/>
    <w:rsid w:val="00865DC6"/>
    <w:rsid w:val="008730B6"/>
    <w:rsid w:val="00874AD8"/>
    <w:rsid w:val="00875056"/>
    <w:rsid w:val="00875201"/>
    <w:rsid w:val="00876224"/>
    <w:rsid w:val="0088130A"/>
    <w:rsid w:val="008815B2"/>
    <w:rsid w:val="00882C15"/>
    <w:rsid w:val="00883C8A"/>
    <w:rsid w:val="008866D5"/>
    <w:rsid w:val="00886D25"/>
    <w:rsid w:val="008956BD"/>
    <w:rsid w:val="0089579C"/>
    <w:rsid w:val="00896B2B"/>
    <w:rsid w:val="008A2329"/>
    <w:rsid w:val="008A3881"/>
    <w:rsid w:val="008A3DB7"/>
    <w:rsid w:val="008A459D"/>
    <w:rsid w:val="008A6FF3"/>
    <w:rsid w:val="008B09F2"/>
    <w:rsid w:val="008B2ADF"/>
    <w:rsid w:val="008B2B99"/>
    <w:rsid w:val="008B6D21"/>
    <w:rsid w:val="008B7B94"/>
    <w:rsid w:val="008C0291"/>
    <w:rsid w:val="008C575D"/>
    <w:rsid w:val="008D0331"/>
    <w:rsid w:val="008D18A8"/>
    <w:rsid w:val="008D2015"/>
    <w:rsid w:val="008D26A8"/>
    <w:rsid w:val="008D516E"/>
    <w:rsid w:val="008E1F77"/>
    <w:rsid w:val="008E4334"/>
    <w:rsid w:val="008E4DDA"/>
    <w:rsid w:val="008F2569"/>
    <w:rsid w:val="008F7598"/>
    <w:rsid w:val="00901301"/>
    <w:rsid w:val="00901FBA"/>
    <w:rsid w:val="00902FFD"/>
    <w:rsid w:val="00905425"/>
    <w:rsid w:val="00906567"/>
    <w:rsid w:val="00913CB3"/>
    <w:rsid w:val="0091484E"/>
    <w:rsid w:val="00921907"/>
    <w:rsid w:val="00924CEB"/>
    <w:rsid w:val="00924E0A"/>
    <w:rsid w:val="00931025"/>
    <w:rsid w:val="00931271"/>
    <w:rsid w:val="0093385A"/>
    <w:rsid w:val="009407A2"/>
    <w:rsid w:val="009504E1"/>
    <w:rsid w:val="00950F19"/>
    <w:rsid w:val="00955026"/>
    <w:rsid w:val="00961D0B"/>
    <w:rsid w:val="00964A4F"/>
    <w:rsid w:val="00966D04"/>
    <w:rsid w:val="00967ADC"/>
    <w:rsid w:val="0097129D"/>
    <w:rsid w:val="00972633"/>
    <w:rsid w:val="0097732B"/>
    <w:rsid w:val="00980712"/>
    <w:rsid w:val="00981584"/>
    <w:rsid w:val="00985902"/>
    <w:rsid w:val="00990EAB"/>
    <w:rsid w:val="009919AE"/>
    <w:rsid w:val="00996D63"/>
    <w:rsid w:val="009A0249"/>
    <w:rsid w:val="009A04AC"/>
    <w:rsid w:val="009A124C"/>
    <w:rsid w:val="009A2136"/>
    <w:rsid w:val="009A4E68"/>
    <w:rsid w:val="009A5CC3"/>
    <w:rsid w:val="009B3309"/>
    <w:rsid w:val="009C624B"/>
    <w:rsid w:val="009D2F8E"/>
    <w:rsid w:val="009D644B"/>
    <w:rsid w:val="009E115F"/>
    <w:rsid w:val="009E2CCE"/>
    <w:rsid w:val="009E4F34"/>
    <w:rsid w:val="009E5205"/>
    <w:rsid w:val="009F032C"/>
    <w:rsid w:val="009F181E"/>
    <w:rsid w:val="009F3EB1"/>
    <w:rsid w:val="009F7450"/>
    <w:rsid w:val="00A013DA"/>
    <w:rsid w:val="00A02922"/>
    <w:rsid w:val="00A02B0D"/>
    <w:rsid w:val="00A03E4E"/>
    <w:rsid w:val="00A0611F"/>
    <w:rsid w:val="00A07E9B"/>
    <w:rsid w:val="00A1133C"/>
    <w:rsid w:val="00A12F93"/>
    <w:rsid w:val="00A13D53"/>
    <w:rsid w:val="00A14365"/>
    <w:rsid w:val="00A214AB"/>
    <w:rsid w:val="00A215FF"/>
    <w:rsid w:val="00A22C24"/>
    <w:rsid w:val="00A2359B"/>
    <w:rsid w:val="00A248C8"/>
    <w:rsid w:val="00A270A5"/>
    <w:rsid w:val="00A33D44"/>
    <w:rsid w:val="00A41772"/>
    <w:rsid w:val="00A424A9"/>
    <w:rsid w:val="00A46876"/>
    <w:rsid w:val="00A4690E"/>
    <w:rsid w:val="00A47F2D"/>
    <w:rsid w:val="00A5401B"/>
    <w:rsid w:val="00A5473E"/>
    <w:rsid w:val="00A5496C"/>
    <w:rsid w:val="00A56182"/>
    <w:rsid w:val="00A64571"/>
    <w:rsid w:val="00A6638C"/>
    <w:rsid w:val="00A6698F"/>
    <w:rsid w:val="00A7588B"/>
    <w:rsid w:val="00A761D3"/>
    <w:rsid w:val="00A76B4C"/>
    <w:rsid w:val="00A80B02"/>
    <w:rsid w:val="00A8648D"/>
    <w:rsid w:val="00A86D7B"/>
    <w:rsid w:val="00A87BDC"/>
    <w:rsid w:val="00A9381C"/>
    <w:rsid w:val="00AA19AE"/>
    <w:rsid w:val="00AA1B8E"/>
    <w:rsid w:val="00AA2F1D"/>
    <w:rsid w:val="00AA564A"/>
    <w:rsid w:val="00AA6F71"/>
    <w:rsid w:val="00AB13CE"/>
    <w:rsid w:val="00AB1DDA"/>
    <w:rsid w:val="00AB56BD"/>
    <w:rsid w:val="00AB61D9"/>
    <w:rsid w:val="00AB6336"/>
    <w:rsid w:val="00AB71AA"/>
    <w:rsid w:val="00AC2A3E"/>
    <w:rsid w:val="00AC30B0"/>
    <w:rsid w:val="00AC4234"/>
    <w:rsid w:val="00AD0AD2"/>
    <w:rsid w:val="00AD33E9"/>
    <w:rsid w:val="00AD3AD6"/>
    <w:rsid w:val="00AD4F7B"/>
    <w:rsid w:val="00AD7B88"/>
    <w:rsid w:val="00AE2599"/>
    <w:rsid w:val="00AE29C6"/>
    <w:rsid w:val="00AE45AF"/>
    <w:rsid w:val="00AE572A"/>
    <w:rsid w:val="00AF2EEE"/>
    <w:rsid w:val="00B0755A"/>
    <w:rsid w:val="00B1144A"/>
    <w:rsid w:val="00B13D27"/>
    <w:rsid w:val="00B14A40"/>
    <w:rsid w:val="00B159B9"/>
    <w:rsid w:val="00B212C7"/>
    <w:rsid w:val="00B301EA"/>
    <w:rsid w:val="00B32B36"/>
    <w:rsid w:val="00B361CB"/>
    <w:rsid w:val="00B36811"/>
    <w:rsid w:val="00B43FA2"/>
    <w:rsid w:val="00B44993"/>
    <w:rsid w:val="00B45948"/>
    <w:rsid w:val="00B47B4E"/>
    <w:rsid w:val="00B501E3"/>
    <w:rsid w:val="00B504E7"/>
    <w:rsid w:val="00B52A51"/>
    <w:rsid w:val="00B53166"/>
    <w:rsid w:val="00B54C40"/>
    <w:rsid w:val="00B55322"/>
    <w:rsid w:val="00B55440"/>
    <w:rsid w:val="00B55B63"/>
    <w:rsid w:val="00B5669B"/>
    <w:rsid w:val="00B62CEB"/>
    <w:rsid w:val="00B63DD9"/>
    <w:rsid w:val="00B63FA8"/>
    <w:rsid w:val="00B7102B"/>
    <w:rsid w:val="00B71DFA"/>
    <w:rsid w:val="00B72598"/>
    <w:rsid w:val="00B72D88"/>
    <w:rsid w:val="00B73372"/>
    <w:rsid w:val="00B759ED"/>
    <w:rsid w:val="00B82A54"/>
    <w:rsid w:val="00B83416"/>
    <w:rsid w:val="00B83783"/>
    <w:rsid w:val="00B83808"/>
    <w:rsid w:val="00B92316"/>
    <w:rsid w:val="00B950A8"/>
    <w:rsid w:val="00B968F1"/>
    <w:rsid w:val="00B96ED1"/>
    <w:rsid w:val="00BA1465"/>
    <w:rsid w:val="00BA6100"/>
    <w:rsid w:val="00BA6A82"/>
    <w:rsid w:val="00BB0E27"/>
    <w:rsid w:val="00BB30E5"/>
    <w:rsid w:val="00BB5A98"/>
    <w:rsid w:val="00BC09D5"/>
    <w:rsid w:val="00BC1F94"/>
    <w:rsid w:val="00BC28CC"/>
    <w:rsid w:val="00BC3F85"/>
    <w:rsid w:val="00BC64DA"/>
    <w:rsid w:val="00BC7ED9"/>
    <w:rsid w:val="00BD057C"/>
    <w:rsid w:val="00BD2926"/>
    <w:rsid w:val="00BD2EC9"/>
    <w:rsid w:val="00BD4A74"/>
    <w:rsid w:val="00BD58F8"/>
    <w:rsid w:val="00BE0037"/>
    <w:rsid w:val="00BE56BD"/>
    <w:rsid w:val="00BE6889"/>
    <w:rsid w:val="00BF0177"/>
    <w:rsid w:val="00BF26E6"/>
    <w:rsid w:val="00BF3CAD"/>
    <w:rsid w:val="00BF6073"/>
    <w:rsid w:val="00C00249"/>
    <w:rsid w:val="00C0367C"/>
    <w:rsid w:val="00C10326"/>
    <w:rsid w:val="00C115F8"/>
    <w:rsid w:val="00C11905"/>
    <w:rsid w:val="00C137BB"/>
    <w:rsid w:val="00C146CB"/>
    <w:rsid w:val="00C15919"/>
    <w:rsid w:val="00C16AC7"/>
    <w:rsid w:val="00C16B4B"/>
    <w:rsid w:val="00C224BD"/>
    <w:rsid w:val="00C2272B"/>
    <w:rsid w:val="00C2579B"/>
    <w:rsid w:val="00C26397"/>
    <w:rsid w:val="00C26A26"/>
    <w:rsid w:val="00C31410"/>
    <w:rsid w:val="00C31CF7"/>
    <w:rsid w:val="00C326CD"/>
    <w:rsid w:val="00C33289"/>
    <w:rsid w:val="00C42297"/>
    <w:rsid w:val="00C441FC"/>
    <w:rsid w:val="00C52011"/>
    <w:rsid w:val="00C533C4"/>
    <w:rsid w:val="00C54A5C"/>
    <w:rsid w:val="00C5655C"/>
    <w:rsid w:val="00C56C54"/>
    <w:rsid w:val="00C578B8"/>
    <w:rsid w:val="00C60A70"/>
    <w:rsid w:val="00C63411"/>
    <w:rsid w:val="00C666A2"/>
    <w:rsid w:val="00C66A34"/>
    <w:rsid w:val="00C67C3E"/>
    <w:rsid w:val="00C81BAE"/>
    <w:rsid w:val="00C831E1"/>
    <w:rsid w:val="00C84051"/>
    <w:rsid w:val="00C852C7"/>
    <w:rsid w:val="00C85F7D"/>
    <w:rsid w:val="00C9038B"/>
    <w:rsid w:val="00C952B9"/>
    <w:rsid w:val="00CA195E"/>
    <w:rsid w:val="00CA3FE6"/>
    <w:rsid w:val="00CA5118"/>
    <w:rsid w:val="00CA536B"/>
    <w:rsid w:val="00CA5D9A"/>
    <w:rsid w:val="00CA7794"/>
    <w:rsid w:val="00CB3E63"/>
    <w:rsid w:val="00CB54BC"/>
    <w:rsid w:val="00CB77AD"/>
    <w:rsid w:val="00CC3388"/>
    <w:rsid w:val="00CC6F7E"/>
    <w:rsid w:val="00CC7908"/>
    <w:rsid w:val="00CD299F"/>
    <w:rsid w:val="00CD3824"/>
    <w:rsid w:val="00CD388F"/>
    <w:rsid w:val="00CE3FE6"/>
    <w:rsid w:val="00CE42FD"/>
    <w:rsid w:val="00CE7A31"/>
    <w:rsid w:val="00CF1D9A"/>
    <w:rsid w:val="00CF2B2F"/>
    <w:rsid w:val="00CF4C3D"/>
    <w:rsid w:val="00D022E5"/>
    <w:rsid w:val="00D04E30"/>
    <w:rsid w:val="00D13111"/>
    <w:rsid w:val="00D174F1"/>
    <w:rsid w:val="00D225F1"/>
    <w:rsid w:val="00D2294E"/>
    <w:rsid w:val="00D22B55"/>
    <w:rsid w:val="00D240BE"/>
    <w:rsid w:val="00D258DB"/>
    <w:rsid w:val="00D27621"/>
    <w:rsid w:val="00D27C7C"/>
    <w:rsid w:val="00D27D18"/>
    <w:rsid w:val="00D316EE"/>
    <w:rsid w:val="00D32960"/>
    <w:rsid w:val="00D32A97"/>
    <w:rsid w:val="00D33290"/>
    <w:rsid w:val="00D37D2E"/>
    <w:rsid w:val="00D474BF"/>
    <w:rsid w:val="00D504CE"/>
    <w:rsid w:val="00D51CEF"/>
    <w:rsid w:val="00D52AA5"/>
    <w:rsid w:val="00D55CFC"/>
    <w:rsid w:val="00D57007"/>
    <w:rsid w:val="00D57F0F"/>
    <w:rsid w:val="00D60561"/>
    <w:rsid w:val="00D61153"/>
    <w:rsid w:val="00D6325C"/>
    <w:rsid w:val="00D63AE4"/>
    <w:rsid w:val="00D64128"/>
    <w:rsid w:val="00D65E99"/>
    <w:rsid w:val="00D6632A"/>
    <w:rsid w:val="00D667D2"/>
    <w:rsid w:val="00D66F17"/>
    <w:rsid w:val="00D700F5"/>
    <w:rsid w:val="00D726C9"/>
    <w:rsid w:val="00D75CCE"/>
    <w:rsid w:val="00D76667"/>
    <w:rsid w:val="00D80081"/>
    <w:rsid w:val="00D82FA7"/>
    <w:rsid w:val="00D86436"/>
    <w:rsid w:val="00D870C8"/>
    <w:rsid w:val="00D90FF4"/>
    <w:rsid w:val="00D9173E"/>
    <w:rsid w:val="00D9205E"/>
    <w:rsid w:val="00D92208"/>
    <w:rsid w:val="00D94B56"/>
    <w:rsid w:val="00D973A3"/>
    <w:rsid w:val="00DA7668"/>
    <w:rsid w:val="00DB0AE0"/>
    <w:rsid w:val="00DB7CEA"/>
    <w:rsid w:val="00DC00BE"/>
    <w:rsid w:val="00DC0EAD"/>
    <w:rsid w:val="00DC1928"/>
    <w:rsid w:val="00DC37D8"/>
    <w:rsid w:val="00DC4095"/>
    <w:rsid w:val="00DC4876"/>
    <w:rsid w:val="00DC529C"/>
    <w:rsid w:val="00DD0ADA"/>
    <w:rsid w:val="00DD29AD"/>
    <w:rsid w:val="00DD3266"/>
    <w:rsid w:val="00DD38A6"/>
    <w:rsid w:val="00DD3F13"/>
    <w:rsid w:val="00DD4472"/>
    <w:rsid w:val="00DD6CDE"/>
    <w:rsid w:val="00DE0050"/>
    <w:rsid w:val="00DE2F76"/>
    <w:rsid w:val="00DE3065"/>
    <w:rsid w:val="00DE63F6"/>
    <w:rsid w:val="00DF00BA"/>
    <w:rsid w:val="00DF50B1"/>
    <w:rsid w:val="00E052C6"/>
    <w:rsid w:val="00E1267F"/>
    <w:rsid w:val="00E16E11"/>
    <w:rsid w:val="00E203C6"/>
    <w:rsid w:val="00E21079"/>
    <w:rsid w:val="00E22BC3"/>
    <w:rsid w:val="00E2377F"/>
    <w:rsid w:val="00E246B0"/>
    <w:rsid w:val="00E252B0"/>
    <w:rsid w:val="00E25AFD"/>
    <w:rsid w:val="00E31778"/>
    <w:rsid w:val="00E4448D"/>
    <w:rsid w:val="00E5016D"/>
    <w:rsid w:val="00E536D5"/>
    <w:rsid w:val="00E54E86"/>
    <w:rsid w:val="00E60A87"/>
    <w:rsid w:val="00E64AE0"/>
    <w:rsid w:val="00E72CF1"/>
    <w:rsid w:val="00E751D6"/>
    <w:rsid w:val="00E75BF4"/>
    <w:rsid w:val="00E76E3D"/>
    <w:rsid w:val="00E817F2"/>
    <w:rsid w:val="00E82AB6"/>
    <w:rsid w:val="00E84CFD"/>
    <w:rsid w:val="00E97859"/>
    <w:rsid w:val="00EA0A0D"/>
    <w:rsid w:val="00EA2156"/>
    <w:rsid w:val="00EA489D"/>
    <w:rsid w:val="00EA76A6"/>
    <w:rsid w:val="00EB21F9"/>
    <w:rsid w:val="00EB420B"/>
    <w:rsid w:val="00EB4AC5"/>
    <w:rsid w:val="00EB71C2"/>
    <w:rsid w:val="00EB7DC6"/>
    <w:rsid w:val="00EC0018"/>
    <w:rsid w:val="00EC0EF7"/>
    <w:rsid w:val="00EC0FD9"/>
    <w:rsid w:val="00EC54D0"/>
    <w:rsid w:val="00ED1C84"/>
    <w:rsid w:val="00ED21B1"/>
    <w:rsid w:val="00ED2552"/>
    <w:rsid w:val="00ED357B"/>
    <w:rsid w:val="00ED3A76"/>
    <w:rsid w:val="00EE525A"/>
    <w:rsid w:val="00EF0CBC"/>
    <w:rsid w:val="00EF2F5B"/>
    <w:rsid w:val="00EF398D"/>
    <w:rsid w:val="00EF728F"/>
    <w:rsid w:val="00F058F0"/>
    <w:rsid w:val="00F07A6B"/>
    <w:rsid w:val="00F11ACC"/>
    <w:rsid w:val="00F30DAA"/>
    <w:rsid w:val="00F34889"/>
    <w:rsid w:val="00F35D14"/>
    <w:rsid w:val="00F421AB"/>
    <w:rsid w:val="00F4275E"/>
    <w:rsid w:val="00F43CE0"/>
    <w:rsid w:val="00F47797"/>
    <w:rsid w:val="00F51E2C"/>
    <w:rsid w:val="00F536B1"/>
    <w:rsid w:val="00F5549E"/>
    <w:rsid w:val="00F6272E"/>
    <w:rsid w:val="00F62C4C"/>
    <w:rsid w:val="00F63F11"/>
    <w:rsid w:val="00F6510D"/>
    <w:rsid w:val="00F6536A"/>
    <w:rsid w:val="00F71252"/>
    <w:rsid w:val="00F7176F"/>
    <w:rsid w:val="00F73346"/>
    <w:rsid w:val="00F74EB8"/>
    <w:rsid w:val="00F76157"/>
    <w:rsid w:val="00F80468"/>
    <w:rsid w:val="00F834A5"/>
    <w:rsid w:val="00F836E7"/>
    <w:rsid w:val="00F851F6"/>
    <w:rsid w:val="00F90B28"/>
    <w:rsid w:val="00F90F03"/>
    <w:rsid w:val="00F91D40"/>
    <w:rsid w:val="00F94845"/>
    <w:rsid w:val="00F970AA"/>
    <w:rsid w:val="00FA254D"/>
    <w:rsid w:val="00FA2745"/>
    <w:rsid w:val="00FA35CA"/>
    <w:rsid w:val="00FA4E49"/>
    <w:rsid w:val="00FA59A1"/>
    <w:rsid w:val="00FA7EEA"/>
    <w:rsid w:val="00FB4090"/>
    <w:rsid w:val="00FB52BB"/>
    <w:rsid w:val="00FB6C80"/>
    <w:rsid w:val="00FC0042"/>
    <w:rsid w:val="00FC0FA4"/>
    <w:rsid w:val="00FC4C9B"/>
    <w:rsid w:val="00FC7E8D"/>
    <w:rsid w:val="00FD23B6"/>
    <w:rsid w:val="00FD48EF"/>
    <w:rsid w:val="00FE3AAB"/>
    <w:rsid w:val="00FE4E94"/>
    <w:rsid w:val="00FF3312"/>
    <w:rsid w:val="00FF4939"/>
    <w:rsid w:val="00FF493B"/>
    <w:rsid w:val="00FF7C3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AAE78F"/>
  <w15:docId w15:val="{69D0C48B-FDBE-45B2-AC5E-18043B4F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spacing w:before="240"/>
      <w:jc w:val="center"/>
      <w:outlineLvl w:val="0"/>
    </w:pPr>
    <w:rPr>
      <w:b/>
      <w:bCs/>
      <w:caps/>
      <w:lang w:val="es-ES"/>
    </w:rPr>
  </w:style>
  <w:style w:type="paragraph" w:styleId="Titre2">
    <w:name w:val="heading 2"/>
    <w:basedOn w:val="Normal"/>
    <w:next w:val="Normal"/>
    <w:qFormat/>
    <w:pPr>
      <w:keepNext/>
      <w:numPr>
        <w:ilvl w:val="1"/>
        <w:numId w:val="1"/>
      </w:numPr>
      <w:spacing w:before="360"/>
      <w:jc w:val="center"/>
      <w:outlineLvl w:val="1"/>
    </w:pPr>
    <w:rPr>
      <w:b/>
      <w:bCs/>
      <w:iCs/>
      <w:smallCaps/>
      <w:lang w:val="es-ES"/>
    </w:rPr>
  </w:style>
  <w:style w:type="paragraph" w:styleId="Titre3">
    <w:name w:val="heading 3"/>
    <w:basedOn w:val="Normal"/>
    <w:next w:val="Normal"/>
    <w:qFormat/>
    <w:pPr>
      <w:keepNext/>
      <w:numPr>
        <w:ilvl w:val="2"/>
        <w:numId w:val="1"/>
      </w:numPr>
      <w:spacing w:before="360"/>
      <w:jc w:val="center"/>
      <w:outlineLvl w:val="2"/>
    </w:pPr>
    <w:rPr>
      <w:b/>
      <w:szCs w:val="26"/>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es-ES" w:bidi="ar-SA"/>
    </w:rPr>
  </w:style>
  <w:style w:type="character" w:customStyle="1" w:styleId="SNDateCar">
    <w:name w:val="SNDate Car"/>
    <w:qFormat/>
    <w:rPr>
      <w:sz w:val="24"/>
      <w:szCs w:val="24"/>
      <w:lang w:val="es-ES" w:bidi="ar-SA"/>
    </w:rPr>
  </w:style>
  <w:style w:type="character" w:customStyle="1" w:styleId="SNArticleCar">
    <w:name w:val="SNArticle Car"/>
    <w:qFormat/>
    <w:rPr>
      <w:b/>
      <w:bCs/>
      <w:sz w:val="24"/>
      <w:szCs w:val="24"/>
      <w:lang w:val="es-ES"/>
    </w:rPr>
  </w:style>
  <w:style w:type="character" w:customStyle="1" w:styleId="SNenProjet">
    <w:name w:val="SNenProjet"/>
    <w:basedOn w:val="Policepardfaut1"/>
    <w:qFormat/>
  </w:style>
  <w:style w:type="character" w:customStyle="1" w:styleId="CarCar5">
    <w:name w:val="Car Car5"/>
    <w:qFormat/>
    <w:rPr>
      <w:b/>
      <w:sz w:val="24"/>
      <w:szCs w:val="26"/>
      <w:lang w:val="es-ES"/>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es-ES"/>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rPr>
      <w:color w:val="0000FF"/>
      <w:u w:val="single"/>
    </w:rPr>
  </w:style>
  <w:style w:type="character" w:customStyle="1" w:styleId="surlignage">
    <w:name w:val="surlignage"/>
    <w:qFormat/>
  </w:style>
  <w:style w:type="character" w:styleId="Lienhypertextesuivivisit">
    <w:name w:val="FollowedHyperlink"/>
    <w:qFormat/>
    <w:rPr>
      <w:color w:val="800080"/>
      <w:u w:val="single"/>
    </w:rPr>
  </w:style>
  <w:style w:type="character" w:styleId="lev">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Accentuation">
    <w:name w:val="Emphasis"/>
    <w:uiPriority w:val="20"/>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es-ES" w:eastAsia="en-US"/>
    </w:rPr>
  </w:style>
  <w:style w:type="character" w:customStyle="1" w:styleId="TablebodyChar">
    <w:name w:val="Table body Char"/>
    <w:link w:val="Tablebody"/>
    <w:qFormat/>
    <w:rsid w:val="00C16C8D"/>
    <w:rPr>
      <w:rFonts w:ascii="Arial" w:eastAsia="Calibri" w:hAnsi="Arial"/>
      <w:szCs w:val="22"/>
      <w:lang w:val="es-ES" w:eastAsia="en-US"/>
    </w:rPr>
  </w:style>
  <w:style w:type="character" w:customStyle="1" w:styleId="TableheaderChar">
    <w:name w:val="Table header Char"/>
    <w:link w:val="Tableheader"/>
    <w:qFormat/>
    <w:rsid w:val="00C16C8D"/>
    <w:rPr>
      <w:rFonts w:ascii="Arial" w:eastAsia="Calibri" w:hAnsi="Arial"/>
      <w:szCs w:val="22"/>
      <w:lang w:val="es-ES" w:eastAsia="en-US"/>
    </w:rPr>
  </w:style>
  <w:style w:type="character" w:customStyle="1" w:styleId="ListLabel1">
    <w:name w:val="ListLabel 1"/>
    <w:qFormat/>
    <w:rPr>
      <w:rFonts w:cs="Liberation Sans"/>
    </w:rPr>
  </w:style>
  <w:style w:type="character" w:customStyle="1" w:styleId="ListLabel2">
    <w:name w:val="ListLabel 2"/>
    <w:qFormat/>
    <w:rPr>
      <w:rFonts w:cs="Liberation Sans"/>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jc w:val="both"/>
    </w:pPr>
    <w:rPr>
      <w:lang w:val="es-ES"/>
    </w:r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0">
    <w:name w:val="Titre3"/>
    <w:basedOn w:val="Normal"/>
    <w:qFormat/>
    <w:pPr>
      <w:keepNext/>
      <w:spacing w:before="240" w:after="120"/>
    </w:pPr>
    <w:rPr>
      <w:rFonts w:ascii="Liberation Sans" w:eastAsia="Microsoft YaHei" w:hAnsi="Liberation Sans" w:cs="Mangal"/>
      <w:sz w:val="28"/>
      <w:szCs w:val="28"/>
    </w:rPr>
  </w:style>
  <w:style w:type="paragraph" w:customStyle="1" w:styleId="Titre20">
    <w:name w:val="Titre2"/>
    <w:basedOn w:val="Normal"/>
    <w:qFormat/>
    <w:pPr>
      <w:keepNext/>
      <w:spacing w:before="240" w:after="120"/>
    </w:pPr>
    <w:rPr>
      <w:rFonts w:ascii="Garamond" w:eastAsia="Microsoft YaHei" w:hAnsi="Garamond" w:cs="Mangal"/>
      <w:sz w:val="28"/>
      <w:szCs w:val="28"/>
    </w:rPr>
  </w:style>
  <w:style w:type="paragraph" w:customStyle="1" w:styleId="Titre10">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suppressAutoHyphens/>
      <w:jc w:val="center"/>
    </w:pPr>
    <w:rPr>
      <w:bCs/>
      <w:sz w:val="24"/>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lang w:val="es-ES"/>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Textedebulles">
    <w:name w:val="Balloon Text"/>
    <w:basedOn w:val="Normal"/>
    <w:qFormat/>
    <w:rPr>
      <w:rFonts w:ascii="Tahoma" w:hAnsi="Tahoma" w:cs="Tahoma"/>
      <w:sz w:val="16"/>
      <w:szCs w:val="16"/>
    </w:rPr>
  </w:style>
  <w:style w:type="paragraph" w:customStyle="1" w:styleId="Titre1objet">
    <w:name w:val="Titre 1 objet"/>
    <w:basedOn w:val="Titre1"/>
    <w:qFormat/>
    <w:pPr>
      <w:numPr>
        <w:numId w:val="0"/>
      </w:numPr>
      <w:spacing w:before="0" w:after="120"/>
    </w:pPr>
    <w:rPr>
      <w:b w:val="0"/>
    </w:rPr>
  </w:style>
  <w:style w:type="paragraph" w:customStyle="1" w:styleId="Titre2objet">
    <w:name w:val="Titre 2 objet"/>
    <w:basedOn w:val="Titre2"/>
    <w:next w:val="Normal"/>
    <w:qFormat/>
    <w:pPr>
      <w:numPr>
        <w:ilvl w:val="0"/>
        <w:numId w:val="0"/>
      </w:numPr>
      <w:spacing w:before="0" w:after="120"/>
    </w:pPr>
    <w:rPr>
      <w:b w:val="0"/>
    </w:rPr>
  </w:style>
  <w:style w:type="paragraph" w:customStyle="1" w:styleId="titre3objet">
    <w:name w:val="titre 3 objet"/>
    <w:basedOn w:val="Titre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lang w:val="es-ES"/>
    </w:rPr>
  </w:style>
  <w:style w:type="paragraph" w:styleId="En-tte">
    <w:name w:val="header"/>
    <w:basedOn w:val="Normal"/>
    <w:pPr>
      <w:tabs>
        <w:tab w:val="center" w:pos="4536"/>
        <w:tab w:val="right" w:pos="9072"/>
      </w:tabs>
    </w:pPr>
    <w:rPr>
      <w:lang w:val="es-ES"/>
    </w:rPr>
  </w:style>
  <w:style w:type="paragraph" w:styleId="Pieddepage">
    <w:name w:val="footer"/>
    <w:basedOn w:val="Normal"/>
    <w:link w:val="PieddepageCar"/>
    <w:uiPriority w:val="99"/>
    <w:pPr>
      <w:tabs>
        <w:tab w:val="center" w:pos="4536"/>
        <w:tab w:val="right" w:pos="9072"/>
      </w:tabs>
    </w:pPr>
    <w:rPr>
      <w:lang w:val="es-ES"/>
    </w:r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vision">
    <w:name w:val="Revision"/>
    <w:qFormat/>
    <w:pPr>
      <w:suppressAutoHyphens/>
    </w:pPr>
    <w:rPr>
      <w:sz w:val="24"/>
      <w:szCs w:val="24"/>
      <w:lang w:eastAsia="zh-CN"/>
    </w:rPr>
  </w:style>
  <w:style w:type="paragraph" w:customStyle="1" w:styleId="Default">
    <w:name w:val="Default"/>
    <w:qFormat/>
    <w:pPr>
      <w:suppressAutoHyphens/>
    </w:pPr>
    <w:rPr>
      <w:color w:val="000000"/>
      <w:sz w:val="24"/>
      <w:szCs w:val="24"/>
      <w:lang w:eastAsia="zh-CN"/>
    </w:rPr>
  </w:style>
  <w:style w:type="paragraph" w:styleId="Notedebasdepage">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uppressAutoHyphens w:val="0"/>
      <w:spacing w:before="280" w:after="119"/>
      <w:jc w:val="both"/>
    </w:pPr>
    <w:rPr>
      <w:color w:val="000000"/>
    </w:rPr>
  </w:style>
  <w:style w:type="paragraph" w:customStyle="1" w:styleId="Commentaire3">
    <w:name w:val="Commentaire3"/>
    <w:basedOn w:val="Normal"/>
    <w:qFormat/>
    <w:rPr>
      <w:sz w:val="20"/>
      <w:szCs w:val="20"/>
    </w:rPr>
  </w:style>
  <w:style w:type="paragraph" w:styleId="Paragraphedeliste">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val="es-ES" w:eastAsia="en-US"/>
    </w:rPr>
  </w:style>
  <w:style w:type="paragraph" w:customStyle="1" w:styleId="Tablebody">
    <w:name w:val="Table body"/>
    <w:basedOn w:val="Normal"/>
    <w:link w:val="TablebodyChar"/>
    <w:qFormat/>
    <w:rsid w:val="00C16C8D"/>
    <w:pPr>
      <w:suppressAutoHyphens w:val="0"/>
      <w:spacing w:before="60" w:after="60" w:line="210" w:lineRule="atLeast"/>
    </w:pPr>
    <w:rPr>
      <w:rFonts w:ascii="Arial" w:eastAsia="Calibri" w:hAnsi="Arial"/>
      <w:sz w:val="20"/>
      <w:szCs w:val="22"/>
      <w:lang w:val="es-ES"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pPr>
      <w:suppressAutoHyphens w:val="0"/>
    </w:pPr>
    <w:rPr>
      <w:rFonts w:ascii="EUAlbertina" w:hAnsi="EUAlbertina"/>
      <w:color w:val="00000A"/>
      <w:lang w:eastAsia="fr-FR"/>
    </w:rPr>
  </w:style>
  <w:style w:type="paragraph" w:customStyle="1" w:styleId="CM3">
    <w:name w:val="CM3"/>
    <w:basedOn w:val="Default"/>
    <w:next w:val="Default"/>
    <w:uiPriority w:val="99"/>
    <w:qFormat/>
    <w:rsid w:val="009A03FA"/>
    <w:pPr>
      <w:suppressAutoHyphens w:val="0"/>
    </w:pPr>
    <w:rPr>
      <w:rFonts w:ascii="EUAlbertina" w:hAnsi="EUAlbertina"/>
      <w:color w:val="00000A"/>
      <w:lang w:eastAsia="fr-FR"/>
    </w:rPr>
  </w:style>
  <w:style w:type="paragraph" w:customStyle="1" w:styleId="CM4">
    <w:name w:val="CM4"/>
    <w:basedOn w:val="Default"/>
    <w:next w:val="Default"/>
    <w:uiPriority w:val="99"/>
    <w:qFormat/>
    <w:rsid w:val="009A03FA"/>
    <w:pPr>
      <w:suppressAutoHyphens w:val="0"/>
    </w:pPr>
    <w:rPr>
      <w:rFonts w:ascii="EUAlbertina" w:hAnsi="EUAlbertina"/>
      <w:color w:val="00000A"/>
      <w:lang w:eastAsia="fr-FR"/>
    </w:rPr>
  </w:style>
  <w:style w:type="character" w:styleId="Marquedecommentaire">
    <w:name w:val="annotation reference"/>
    <w:basedOn w:val="Policepardfaut"/>
    <w:uiPriority w:val="99"/>
    <w:semiHidden/>
    <w:unhideWhenUsed/>
    <w:rsid w:val="00A80B02"/>
    <w:rPr>
      <w:sz w:val="16"/>
      <w:szCs w:val="16"/>
    </w:rPr>
  </w:style>
  <w:style w:type="paragraph" w:styleId="Commentaire">
    <w:name w:val="annotation text"/>
    <w:basedOn w:val="Normal"/>
    <w:link w:val="CommentaireCar1"/>
    <w:uiPriority w:val="99"/>
    <w:unhideWhenUsed/>
    <w:rsid w:val="00A80B02"/>
    <w:rPr>
      <w:sz w:val="20"/>
      <w:szCs w:val="20"/>
    </w:rPr>
  </w:style>
  <w:style w:type="character" w:customStyle="1" w:styleId="CommentaireCar1">
    <w:name w:val="Commentaire Car1"/>
    <w:basedOn w:val="Policepardfaut"/>
    <w:link w:val="Commentaire"/>
    <w:uiPriority w:val="99"/>
    <w:rsid w:val="00A80B02"/>
    <w:rPr>
      <w:lang w:eastAsia="zh-CN"/>
    </w:rPr>
  </w:style>
  <w:style w:type="character" w:customStyle="1" w:styleId="highlight">
    <w:name w:val="highlight"/>
    <w:basedOn w:val="Policepardfaut"/>
    <w:rsid w:val="00EB71C2"/>
  </w:style>
  <w:style w:type="character" w:customStyle="1" w:styleId="PieddepageCar">
    <w:name w:val="Pied de page Car"/>
    <w:basedOn w:val="Policepardfaut"/>
    <w:link w:val="Pieddepage"/>
    <w:uiPriority w:val="99"/>
    <w:rsid w:val="00A6698F"/>
    <w:rPr>
      <w:sz w:val="24"/>
      <w:szCs w:val="24"/>
      <w:lang w:val="es-ES" w:eastAsia="zh-CN"/>
    </w:rPr>
  </w:style>
  <w:style w:type="character" w:styleId="Lienhypertexte">
    <w:name w:val="Hyperlink"/>
    <w:basedOn w:val="Policepardfaut"/>
    <w:uiPriority w:val="99"/>
    <w:semiHidden/>
    <w:unhideWhenUsed/>
    <w:rsid w:val="00D60561"/>
    <w:rPr>
      <w:color w:val="0000FF"/>
      <w:u w:val="single"/>
    </w:rPr>
  </w:style>
  <w:style w:type="character" w:customStyle="1" w:styleId="super">
    <w:name w:val="super"/>
    <w:basedOn w:val="Policepardfaut"/>
    <w:rsid w:val="00ED3A76"/>
  </w:style>
  <w:style w:type="character" w:customStyle="1" w:styleId="st">
    <w:name w:val="st"/>
    <w:basedOn w:val="Policepardfaut"/>
    <w:rsid w:val="00014DD9"/>
  </w:style>
  <w:style w:type="paragraph" w:customStyle="1" w:styleId="snconsultation0">
    <w:name w:val="snconsultation"/>
    <w:basedOn w:val="Normal"/>
    <w:rsid w:val="00D240BE"/>
    <w:pPr>
      <w:suppressAutoHyphens w:val="0"/>
      <w:spacing w:before="100" w:beforeAutospacing="1" w:after="100" w:afterAutospacing="1"/>
    </w:pPr>
    <w:rPr>
      <w:lang w:eastAsia="fr-FR"/>
    </w:rPr>
  </w:style>
  <w:style w:type="table" w:styleId="Grilledutableau">
    <w:name w:val="Table Grid"/>
    <w:basedOn w:val="TableauNormal"/>
    <w:uiPriority w:val="39"/>
    <w:rsid w:val="00B8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Policepardfaut"/>
    <w:rsid w:val="00F6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17">
      <w:bodyDiv w:val="1"/>
      <w:marLeft w:val="0"/>
      <w:marRight w:val="0"/>
      <w:marTop w:val="0"/>
      <w:marBottom w:val="0"/>
      <w:divBdr>
        <w:top w:val="none" w:sz="0" w:space="0" w:color="auto"/>
        <w:left w:val="none" w:sz="0" w:space="0" w:color="auto"/>
        <w:bottom w:val="none" w:sz="0" w:space="0" w:color="auto"/>
        <w:right w:val="none" w:sz="0" w:space="0" w:color="auto"/>
      </w:divBdr>
    </w:div>
    <w:div w:id="125708193">
      <w:bodyDiv w:val="1"/>
      <w:marLeft w:val="0"/>
      <w:marRight w:val="0"/>
      <w:marTop w:val="0"/>
      <w:marBottom w:val="0"/>
      <w:divBdr>
        <w:top w:val="none" w:sz="0" w:space="0" w:color="auto"/>
        <w:left w:val="none" w:sz="0" w:space="0" w:color="auto"/>
        <w:bottom w:val="none" w:sz="0" w:space="0" w:color="auto"/>
        <w:right w:val="none" w:sz="0" w:space="0" w:color="auto"/>
      </w:divBdr>
      <w:divsChild>
        <w:div w:id="1997300179">
          <w:marLeft w:val="0"/>
          <w:marRight w:val="0"/>
          <w:marTop w:val="0"/>
          <w:marBottom w:val="0"/>
          <w:divBdr>
            <w:top w:val="none" w:sz="0" w:space="0" w:color="auto"/>
            <w:left w:val="none" w:sz="0" w:space="0" w:color="auto"/>
            <w:bottom w:val="none" w:sz="0" w:space="0" w:color="auto"/>
            <w:right w:val="none" w:sz="0" w:space="0" w:color="auto"/>
          </w:divBdr>
        </w:div>
        <w:div w:id="1307273481">
          <w:marLeft w:val="0"/>
          <w:marRight w:val="0"/>
          <w:marTop w:val="0"/>
          <w:marBottom w:val="0"/>
          <w:divBdr>
            <w:top w:val="none" w:sz="0" w:space="0" w:color="auto"/>
            <w:left w:val="none" w:sz="0" w:space="0" w:color="auto"/>
            <w:bottom w:val="none" w:sz="0" w:space="0" w:color="auto"/>
            <w:right w:val="none" w:sz="0" w:space="0" w:color="auto"/>
          </w:divBdr>
        </w:div>
        <w:div w:id="928196914">
          <w:marLeft w:val="0"/>
          <w:marRight w:val="0"/>
          <w:marTop w:val="0"/>
          <w:marBottom w:val="0"/>
          <w:divBdr>
            <w:top w:val="none" w:sz="0" w:space="0" w:color="auto"/>
            <w:left w:val="none" w:sz="0" w:space="0" w:color="auto"/>
            <w:bottom w:val="none" w:sz="0" w:space="0" w:color="auto"/>
            <w:right w:val="none" w:sz="0" w:space="0" w:color="auto"/>
          </w:divBdr>
        </w:div>
        <w:div w:id="2145464854">
          <w:marLeft w:val="0"/>
          <w:marRight w:val="0"/>
          <w:marTop w:val="0"/>
          <w:marBottom w:val="0"/>
          <w:divBdr>
            <w:top w:val="none" w:sz="0" w:space="0" w:color="auto"/>
            <w:left w:val="none" w:sz="0" w:space="0" w:color="auto"/>
            <w:bottom w:val="none" w:sz="0" w:space="0" w:color="auto"/>
            <w:right w:val="none" w:sz="0" w:space="0" w:color="auto"/>
          </w:divBdr>
        </w:div>
      </w:divsChild>
    </w:div>
    <w:div w:id="285045538">
      <w:bodyDiv w:val="1"/>
      <w:marLeft w:val="0"/>
      <w:marRight w:val="0"/>
      <w:marTop w:val="0"/>
      <w:marBottom w:val="0"/>
      <w:divBdr>
        <w:top w:val="none" w:sz="0" w:space="0" w:color="auto"/>
        <w:left w:val="none" w:sz="0" w:space="0" w:color="auto"/>
        <w:bottom w:val="none" w:sz="0" w:space="0" w:color="auto"/>
        <w:right w:val="none" w:sz="0" w:space="0" w:color="auto"/>
      </w:divBdr>
    </w:div>
    <w:div w:id="624963779">
      <w:bodyDiv w:val="1"/>
      <w:marLeft w:val="0"/>
      <w:marRight w:val="0"/>
      <w:marTop w:val="0"/>
      <w:marBottom w:val="0"/>
      <w:divBdr>
        <w:top w:val="none" w:sz="0" w:space="0" w:color="auto"/>
        <w:left w:val="none" w:sz="0" w:space="0" w:color="auto"/>
        <w:bottom w:val="none" w:sz="0" w:space="0" w:color="auto"/>
        <w:right w:val="none" w:sz="0" w:space="0" w:color="auto"/>
      </w:divBdr>
    </w:div>
    <w:div w:id="1030030897">
      <w:bodyDiv w:val="1"/>
      <w:marLeft w:val="0"/>
      <w:marRight w:val="0"/>
      <w:marTop w:val="0"/>
      <w:marBottom w:val="0"/>
      <w:divBdr>
        <w:top w:val="none" w:sz="0" w:space="0" w:color="auto"/>
        <w:left w:val="none" w:sz="0" w:space="0" w:color="auto"/>
        <w:bottom w:val="none" w:sz="0" w:space="0" w:color="auto"/>
        <w:right w:val="none" w:sz="0" w:space="0" w:color="auto"/>
      </w:divBdr>
    </w:div>
    <w:div w:id="1089733944">
      <w:bodyDiv w:val="1"/>
      <w:marLeft w:val="0"/>
      <w:marRight w:val="0"/>
      <w:marTop w:val="0"/>
      <w:marBottom w:val="0"/>
      <w:divBdr>
        <w:top w:val="none" w:sz="0" w:space="0" w:color="auto"/>
        <w:left w:val="none" w:sz="0" w:space="0" w:color="auto"/>
        <w:bottom w:val="none" w:sz="0" w:space="0" w:color="auto"/>
        <w:right w:val="none" w:sz="0" w:space="0" w:color="auto"/>
      </w:divBdr>
    </w:div>
    <w:div w:id="1232347650">
      <w:bodyDiv w:val="1"/>
      <w:marLeft w:val="0"/>
      <w:marRight w:val="0"/>
      <w:marTop w:val="0"/>
      <w:marBottom w:val="0"/>
      <w:divBdr>
        <w:top w:val="none" w:sz="0" w:space="0" w:color="auto"/>
        <w:left w:val="none" w:sz="0" w:space="0" w:color="auto"/>
        <w:bottom w:val="none" w:sz="0" w:space="0" w:color="auto"/>
        <w:right w:val="none" w:sz="0" w:space="0" w:color="auto"/>
      </w:divBdr>
      <w:divsChild>
        <w:div w:id="1537615740">
          <w:marLeft w:val="0"/>
          <w:marRight w:val="0"/>
          <w:marTop w:val="0"/>
          <w:marBottom w:val="0"/>
          <w:divBdr>
            <w:top w:val="none" w:sz="0" w:space="0" w:color="auto"/>
            <w:left w:val="none" w:sz="0" w:space="0" w:color="auto"/>
            <w:bottom w:val="none" w:sz="0" w:space="0" w:color="auto"/>
            <w:right w:val="none" w:sz="0" w:space="0" w:color="auto"/>
          </w:divBdr>
          <w:divsChild>
            <w:div w:id="2140561835">
              <w:marLeft w:val="0"/>
              <w:marRight w:val="0"/>
              <w:marTop w:val="0"/>
              <w:marBottom w:val="0"/>
              <w:divBdr>
                <w:top w:val="none" w:sz="0" w:space="0" w:color="auto"/>
                <w:left w:val="none" w:sz="0" w:space="0" w:color="auto"/>
                <w:bottom w:val="none" w:sz="0" w:space="0" w:color="auto"/>
                <w:right w:val="none" w:sz="0" w:space="0" w:color="auto"/>
              </w:divBdr>
              <w:divsChild>
                <w:div w:id="875198423">
                  <w:marLeft w:val="0"/>
                  <w:marRight w:val="0"/>
                  <w:marTop w:val="0"/>
                  <w:marBottom w:val="0"/>
                  <w:divBdr>
                    <w:top w:val="none" w:sz="0" w:space="0" w:color="auto"/>
                    <w:left w:val="none" w:sz="0" w:space="0" w:color="auto"/>
                    <w:bottom w:val="none" w:sz="0" w:space="0" w:color="auto"/>
                    <w:right w:val="none" w:sz="0" w:space="0" w:color="auto"/>
                  </w:divBdr>
                </w:div>
                <w:div w:id="8193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5999">
      <w:bodyDiv w:val="1"/>
      <w:marLeft w:val="0"/>
      <w:marRight w:val="0"/>
      <w:marTop w:val="0"/>
      <w:marBottom w:val="0"/>
      <w:divBdr>
        <w:top w:val="none" w:sz="0" w:space="0" w:color="auto"/>
        <w:left w:val="none" w:sz="0" w:space="0" w:color="auto"/>
        <w:bottom w:val="none" w:sz="0" w:space="0" w:color="auto"/>
        <w:right w:val="none" w:sz="0" w:space="0" w:color="auto"/>
      </w:divBdr>
    </w:div>
    <w:div w:id="1302425421">
      <w:bodyDiv w:val="1"/>
      <w:marLeft w:val="0"/>
      <w:marRight w:val="0"/>
      <w:marTop w:val="0"/>
      <w:marBottom w:val="0"/>
      <w:divBdr>
        <w:top w:val="none" w:sz="0" w:space="0" w:color="auto"/>
        <w:left w:val="none" w:sz="0" w:space="0" w:color="auto"/>
        <w:bottom w:val="none" w:sz="0" w:space="0" w:color="auto"/>
        <w:right w:val="none" w:sz="0" w:space="0" w:color="auto"/>
      </w:divBdr>
    </w:div>
    <w:div w:id="1480003028">
      <w:bodyDiv w:val="1"/>
      <w:marLeft w:val="0"/>
      <w:marRight w:val="0"/>
      <w:marTop w:val="0"/>
      <w:marBottom w:val="0"/>
      <w:divBdr>
        <w:top w:val="none" w:sz="0" w:space="0" w:color="auto"/>
        <w:left w:val="none" w:sz="0" w:space="0" w:color="auto"/>
        <w:bottom w:val="none" w:sz="0" w:space="0" w:color="auto"/>
        <w:right w:val="none" w:sz="0" w:space="0" w:color="auto"/>
      </w:divBdr>
    </w:div>
    <w:div w:id="1566909387">
      <w:bodyDiv w:val="1"/>
      <w:marLeft w:val="0"/>
      <w:marRight w:val="0"/>
      <w:marTop w:val="0"/>
      <w:marBottom w:val="0"/>
      <w:divBdr>
        <w:top w:val="none" w:sz="0" w:space="0" w:color="auto"/>
        <w:left w:val="none" w:sz="0" w:space="0" w:color="auto"/>
        <w:bottom w:val="none" w:sz="0" w:space="0" w:color="auto"/>
        <w:right w:val="none" w:sz="0" w:space="0" w:color="auto"/>
      </w:divBdr>
      <w:divsChild>
        <w:div w:id="1870025634">
          <w:marLeft w:val="0"/>
          <w:marRight w:val="0"/>
          <w:marTop w:val="0"/>
          <w:marBottom w:val="0"/>
          <w:divBdr>
            <w:top w:val="none" w:sz="0" w:space="0" w:color="auto"/>
            <w:left w:val="none" w:sz="0" w:space="0" w:color="auto"/>
            <w:bottom w:val="none" w:sz="0" w:space="0" w:color="auto"/>
            <w:right w:val="none" w:sz="0" w:space="0" w:color="auto"/>
          </w:divBdr>
        </w:div>
        <w:div w:id="477770862">
          <w:marLeft w:val="0"/>
          <w:marRight w:val="0"/>
          <w:marTop w:val="0"/>
          <w:marBottom w:val="0"/>
          <w:divBdr>
            <w:top w:val="none" w:sz="0" w:space="0" w:color="auto"/>
            <w:left w:val="none" w:sz="0" w:space="0" w:color="auto"/>
            <w:bottom w:val="none" w:sz="0" w:space="0" w:color="auto"/>
            <w:right w:val="none" w:sz="0" w:space="0" w:color="auto"/>
          </w:divBdr>
        </w:div>
        <w:div w:id="1891988565">
          <w:marLeft w:val="0"/>
          <w:marRight w:val="0"/>
          <w:marTop w:val="0"/>
          <w:marBottom w:val="0"/>
          <w:divBdr>
            <w:top w:val="none" w:sz="0" w:space="0" w:color="auto"/>
            <w:left w:val="none" w:sz="0" w:space="0" w:color="auto"/>
            <w:bottom w:val="none" w:sz="0" w:space="0" w:color="auto"/>
            <w:right w:val="none" w:sz="0" w:space="0" w:color="auto"/>
          </w:divBdr>
        </w:div>
        <w:div w:id="2121416046">
          <w:marLeft w:val="0"/>
          <w:marRight w:val="0"/>
          <w:marTop w:val="0"/>
          <w:marBottom w:val="0"/>
          <w:divBdr>
            <w:top w:val="none" w:sz="0" w:space="0" w:color="auto"/>
            <w:left w:val="none" w:sz="0" w:space="0" w:color="auto"/>
            <w:bottom w:val="none" w:sz="0" w:space="0" w:color="auto"/>
            <w:right w:val="none" w:sz="0" w:space="0" w:color="auto"/>
          </w:divBdr>
        </w:div>
        <w:div w:id="996304466">
          <w:marLeft w:val="0"/>
          <w:marRight w:val="0"/>
          <w:marTop w:val="0"/>
          <w:marBottom w:val="0"/>
          <w:divBdr>
            <w:top w:val="none" w:sz="0" w:space="0" w:color="auto"/>
            <w:left w:val="none" w:sz="0" w:space="0" w:color="auto"/>
            <w:bottom w:val="none" w:sz="0" w:space="0" w:color="auto"/>
            <w:right w:val="none" w:sz="0" w:space="0" w:color="auto"/>
          </w:divBdr>
        </w:div>
        <w:div w:id="1867213373">
          <w:marLeft w:val="0"/>
          <w:marRight w:val="0"/>
          <w:marTop w:val="0"/>
          <w:marBottom w:val="0"/>
          <w:divBdr>
            <w:top w:val="none" w:sz="0" w:space="0" w:color="auto"/>
            <w:left w:val="none" w:sz="0" w:space="0" w:color="auto"/>
            <w:bottom w:val="none" w:sz="0" w:space="0" w:color="auto"/>
            <w:right w:val="none" w:sz="0" w:space="0" w:color="auto"/>
          </w:divBdr>
        </w:div>
      </w:divsChild>
    </w:div>
    <w:div w:id="1647123038">
      <w:bodyDiv w:val="1"/>
      <w:marLeft w:val="0"/>
      <w:marRight w:val="0"/>
      <w:marTop w:val="0"/>
      <w:marBottom w:val="0"/>
      <w:divBdr>
        <w:top w:val="none" w:sz="0" w:space="0" w:color="auto"/>
        <w:left w:val="none" w:sz="0" w:space="0" w:color="auto"/>
        <w:bottom w:val="none" w:sz="0" w:space="0" w:color="auto"/>
        <w:right w:val="none" w:sz="0" w:space="0" w:color="auto"/>
      </w:divBdr>
      <w:divsChild>
        <w:div w:id="1452356127">
          <w:marLeft w:val="0"/>
          <w:marRight w:val="0"/>
          <w:marTop w:val="0"/>
          <w:marBottom w:val="0"/>
          <w:divBdr>
            <w:top w:val="none" w:sz="0" w:space="0" w:color="auto"/>
            <w:left w:val="none" w:sz="0" w:space="0" w:color="auto"/>
            <w:bottom w:val="none" w:sz="0" w:space="0" w:color="auto"/>
            <w:right w:val="none" w:sz="0" w:space="0" w:color="auto"/>
          </w:divBdr>
        </w:div>
        <w:div w:id="1900626427">
          <w:marLeft w:val="0"/>
          <w:marRight w:val="0"/>
          <w:marTop w:val="0"/>
          <w:marBottom w:val="0"/>
          <w:divBdr>
            <w:top w:val="none" w:sz="0" w:space="0" w:color="auto"/>
            <w:left w:val="none" w:sz="0" w:space="0" w:color="auto"/>
            <w:bottom w:val="none" w:sz="0" w:space="0" w:color="auto"/>
            <w:right w:val="none" w:sz="0" w:space="0" w:color="auto"/>
          </w:divBdr>
        </w:div>
        <w:div w:id="1573544224">
          <w:marLeft w:val="0"/>
          <w:marRight w:val="0"/>
          <w:marTop w:val="0"/>
          <w:marBottom w:val="0"/>
          <w:divBdr>
            <w:top w:val="none" w:sz="0" w:space="0" w:color="auto"/>
            <w:left w:val="none" w:sz="0" w:space="0" w:color="auto"/>
            <w:bottom w:val="none" w:sz="0" w:space="0" w:color="auto"/>
            <w:right w:val="none" w:sz="0" w:space="0" w:color="auto"/>
          </w:divBdr>
        </w:div>
        <w:div w:id="712770066">
          <w:marLeft w:val="0"/>
          <w:marRight w:val="0"/>
          <w:marTop w:val="0"/>
          <w:marBottom w:val="0"/>
          <w:divBdr>
            <w:top w:val="none" w:sz="0" w:space="0" w:color="auto"/>
            <w:left w:val="none" w:sz="0" w:space="0" w:color="auto"/>
            <w:bottom w:val="none" w:sz="0" w:space="0" w:color="auto"/>
            <w:right w:val="none" w:sz="0" w:space="0" w:color="auto"/>
          </w:divBdr>
        </w:div>
        <w:div w:id="1782072104">
          <w:marLeft w:val="0"/>
          <w:marRight w:val="0"/>
          <w:marTop w:val="0"/>
          <w:marBottom w:val="0"/>
          <w:divBdr>
            <w:top w:val="none" w:sz="0" w:space="0" w:color="auto"/>
            <w:left w:val="none" w:sz="0" w:space="0" w:color="auto"/>
            <w:bottom w:val="none" w:sz="0" w:space="0" w:color="auto"/>
            <w:right w:val="none" w:sz="0" w:space="0" w:color="auto"/>
          </w:divBdr>
        </w:div>
        <w:div w:id="1832722191">
          <w:marLeft w:val="0"/>
          <w:marRight w:val="0"/>
          <w:marTop w:val="0"/>
          <w:marBottom w:val="0"/>
          <w:divBdr>
            <w:top w:val="none" w:sz="0" w:space="0" w:color="auto"/>
            <w:left w:val="none" w:sz="0" w:space="0" w:color="auto"/>
            <w:bottom w:val="none" w:sz="0" w:space="0" w:color="auto"/>
            <w:right w:val="none" w:sz="0" w:space="0" w:color="auto"/>
          </w:divBdr>
        </w:div>
        <w:div w:id="335575168">
          <w:marLeft w:val="0"/>
          <w:marRight w:val="0"/>
          <w:marTop w:val="0"/>
          <w:marBottom w:val="0"/>
          <w:divBdr>
            <w:top w:val="none" w:sz="0" w:space="0" w:color="auto"/>
            <w:left w:val="none" w:sz="0" w:space="0" w:color="auto"/>
            <w:bottom w:val="none" w:sz="0" w:space="0" w:color="auto"/>
            <w:right w:val="none" w:sz="0" w:space="0" w:color="auto"/>
          </w:divBdr>
        </w:div>
        <w:div w:id="2015263081">
          <w:marLeft w:val="0"/>
          <w:marRight w:val="0"/>
          <w:marTop w:val="0"/>
          <w:marBottom w:val="0"/>
          <w:divBdr>
            <w:top w:val="none" w:sz="0" w:space="0" w:color="auto"/>
            <w:left w:val="none" w:sz="0" w:space="0" w:color="auto"/>
            <w:bottom w:val="none" w:sz="0" w:space="0" w:color="auto"/>
            <w:right w:val="none" w:sz="0" w:space="0" w:color="auto"/>
          </w:divBdr>
        </w:div>
      </w:divsChild>
    </w:div>
    <w:div w:id="1803381148">
      <w:bodyDiv w:val="1"/>
      <w:marLeft w:val="0"/>
      <w:marRight w:val="0"/>
      <w:marTop w:val="0"/>
      <w:marBottom w:val="0"/>
      <w:divBdr>
        <w:top w:val="none" w:sz="0" w:space="0" w:color="auto"/>
        <w:left w:val="none" w:sz="0" w:space="0" w:color="auto"/>
        <w:bottom w:val="none" w:sz="0" w:space="0" w:color="auto"/>
        <w:right w:val="none" w:sz="0" w:space="0" w:color="auto"/>
      </w:divBdr>
    </w:div>
    <w:div w:id="1842500087">
      <w:bodyDiv w:val="1"/>
      <w:marLeft w:val="0"/>
      <w:marRight w:val="0"/>
      <w:marTop w:val="0"/>
      <w:marBottom w:val="0"/>
      <w:divBdr>
        <w:top w:val="none" w:sz="0" w:space="0" w:color="auto"/>
        <w:left w:val="none" w:sz="0" w:space="0" w:color="auto"/>
        <w:bottom w:val="none" w:sz="0" w:space="0" w:color="auto"/>
        <w:right w:val="none" w:sz="0" w:space="0" w:color="auto"/>
      </w:divBdr>
    </w:div>
    <w:div w:id="209462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CBB6-6979-46B0-A70E-D3E217E5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3034</Words>
  <Characters>16690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REPUBLIQUE FRANCAISE</vt:lpstr>
    </vt:vector>
  </TitlesOfParts>
  <Company>Hewlett-Packard Company</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GC</dc:creator>
  <dc:description/>
  <cp:lastModifiedBy>MOIZO Juliette</cp:lastModifiedBy>
  <cp:revision>10</cp:revision>
  <cp:lastPrinted>2021-04-29T14:31:00Z</cp:lastPrinted>
  <dcterms:created xsi:type="dcterms:W3CDTF">2021-09-29T20:01:00Z</dcterms:created>
  <dcterms:modified xsi:type="dcterms:W3CDTF">2021-10-01T16:20:00Z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