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3EAE78" w14:textId="776B8299" w:rsidR="0056336D" w:rsidRDefault="0056336D"/>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A0611F" w:rsidRPr="00C16AC7" w14:paraId="779E3D90" w14:textId="77777777" w:rsidTr="00E86B51">
        <w:trPr>
          <w:cantSplit/>
        </w:trPr>
        <w:tc>
          <w:tcPr>
            <w:tcW w:w="3982" w:type="dxa"/>
            <w:gridSpan w:val="3"/>
            <w:shd w:val="clear" w:color="auto" w:fill="auto"/>
          </w:tcPr>
          <w:p w14:paraId="7AD279F9" w14:textId="542C7984" w:rsidR="00A0611F" w:rsidRPr="00C16AC7" w:rsidRDefault="00A0611F" w:rsidP="00E86B51">
            <w:pPr>
              <w:pStyle w:val="SNREPUBLIQUE"/>
            </w:pPr>
            <w:r>
              <w:t xml:space="preserve">FRANCOSKA REPUBLIKA</w:t>
            </w:r>
          </w:p>
        </w:tc>
      </w:tr>
      <w:tr w:rsidR="00A0611F" w:rsidRPr="00C16AC7" w14:paraId="7DEA0AE9" w14:textId="77777777" w:rsidTr="00E86B51">
        <w:trPr>
          <w:cantSplit/>
          <w:trHeight w:hRule="exact" w:val="113"/>
        </w:trPr>
        <w:tc>
          <w:tcPr>
            <w:tcW w:w="1527" w:type="dxa"/>
            <w:shd w:val="clear" w:color="auto" w:fill="auto"/>
          </w:tcPr>
          <w:p w14:paraId="0CACC41D" w14:textId="77777777" w:rsidR="00A0611F" w:rsidRPr="00C16AC7" w:rsidRDefault="00A0611F" w:rsidP="00E86B51">
            <w:pPr>
              <w:snapToGrid w:val="0"/>
              <w:rPr>
                <w:rFonts w:cs="Tahoma"/>
              </w:rPr>
            </w:pPr>
          </w:p>
        </w:tc>
        <w:tc>
          <w:tcPr>
            <w:tcW w:w="968" w:type="dxa"/>
            <w:shd w:val="clear" w:color="auto" w:fill="auto"/>
          </w:tcPr>
          <w:p w14:paraId="5AEC3751" w14:textId="77777777" w:rsidR="00A0611F" w:rsidRPr="00C16AC7" w:rsidRDefault="00A0611F" w:rsidP="00E86B51">
            <w:pPr>
              <w:snapToGrid w:val="0"/>
              <w:rPr>
                <w:rFonts w:cs="Tahoma"/>
              </w:rPr>
            </w:pPr>
          </w:p>
        </w:tc>
        <w:tc>
          <w:tcPr>
            <w:tcW w:w="1487" w:type="dxa"/>
            <w:shd w:val="clear" w:color="auto" w:fill="auto"/>
          </w:tcPr>
          <w:p w14:paraId="331313C4" w14:textId="77777777" w:rsidR="00A0611F" w:rsidRPr="00C16AC7" w:rsidRDefault="00A0611F" w:rsidP="00E86B51">
            <w:pPr>
              <w:snapToGrid w:val="0"/>
              <w:rPr>
                <w:rFonts w:cs="Tahoma"/>
              </w:rPr>
            </w:pPr>
          </w:p>
        </w:tc>
      </w:tr>
      <w:tr w:rsidR="00A0611F" w:rsidRPr="00C16AC7" w14:paraId="7FC91AA2" w14:textId="77777777" w:rsidTr="00E86B51">
        <w:trPr>
          <w:cantSplit/>
        </w:trPr>
        <w:tc>
          <w:tcPr>
            <w:tcW w:w="3982" w:type="dxa"/>
            <w:gridSpan w:val="3"/>
            <w:shd w:val="clear" w:color="auto" w:fill="auto"/>
          </w:tcPr>
          <w:p w14:paraId="16B17C24" w14:textId="77777777" w:rsidR="00A0611F" w:rsidRPr="00C16AC7" w:rsidRDefault="00A0611F" w:rsidP="00E86B51">
            <w:pPr>
              <w:pStyle w:val="SNTimbre"/>
            </w:pPr>
            <w:r>
              <w:t xml:space="preserve">Ministrstvo za ekološki prehod</w:t>
            </w:r>
          </w:p>
          <w:p w14:paraId="31F42F58" w14:textId="77777777" w:rsidR="00A0611F" w:rsidRPr="00C16AC7" w:rsidRDefault="00A0611F" w:rsidP="00E86B51">
            <w:pPr>
              <w:pStyle w:val="SNTimbre"/>
            </w:pPr>
          </w:p>
        </w:tc>
      </w:tr>
      <w:tr w:rsidR="00A0611F" w:rsidRPr="00C16AC7" w14:paraId="758A20E1" w14:textId="77777777" w:rsidTr="00E86B51">
        <w:trPr>
          <w:cantSplit/>
          <w:trHeight w:hRule="exact" w:val="227"/>
        </w:trPr>
        <w:tc>
          <w:tcPr>
            <w:tcW w:w="1527" w:type="dxa"/>
            <w:shd w:val="clear" w:color="auto" w:fill="auto"/>
          </w:tcPr>
          <w:p w14:paraId="610FA69F" w14:textId="77777777" w:rsidR="00A0611F" w:rsidRPr="00C16AC7" w:rsidRDefault="00A0611F" w:rsidP="00E86B51">
            <w:pPr>
              <w:snapToGrid w:val="0"/>
            </w:pPr>
          </w:p>
        </w:tc>
        <w:tc>
          <w:tcPr>
            <w:tcW w:w="968" w:type="dxa"/>
            <w:shd w:val="clear" w:color="auto" w:fill="auto"/>
          </w:tcPr>
          <w:p w14:paraId="3077FFA6" w14:textId="77777777" w:rsidR="00A0611F" w:rsidRPr="00C16AC7" w:rsidRDefault="00A0611F" w:rsidP="00E86B51">
            <w:pPr>
              <w:snapToGrid w:val="0"/>
            </w:pPr>
          </w:p>
        </w:tc>
        <w:tc>
          <w:tcPr>
            <w:tcW w:w="1487" w:type="dxa"/>
            <w:shd w:val="clear" w:color="auto" w:fill="auto"/>
          </w:tcPr>
          <w:p w14:paraId="06974DA3" w14:textId="77777777" w:rsidR="00A0611F" w:rsidRPr="00C16AC7" w:rsidRDefault="00A0611F" w:rsidP="00E86B51">
            <w:pPr>
              <w:snapToGrid w:val="0"/>
            </w:pPr>
          </w:p>
        </w:tc>
      </w:tr>
      <w:tr w:rsidR="00A0611F" w:rsidRPr="00C16AC7" w14:paraId="25E71669" w14:textId="77777777" w:rsidTr="00E86B51">
        <w:trPr>
          <w:cantSplit/>
          <w:trHeight w:hRule="exact" w:val="227"/>
        </w:trPr>
        <w:tc>
          <w:tcPr>
            <w:tcW w:w="1527" w:type="dxa"/>
            <w:shd w:val="clear" w:color="auto" w:fill="auto"/>
          </w:tcPr>
          <w:p w14:paraId="4F1C608F" w14:textId="77777777" w:rsidR="00A0611F" w:rsidRPr="00C16AC7" w:rsidRDefault="00A0611F" w:rsidP="00E86B51">
            <w:pPr>
              <w:snapToGrid w:val="0"/>
            </w:pPr>
          </w:p>
        </w:tc>
        <w:tc>
          <w:tcPr>
            <w:tcW w:w="968" w:type="dxa"/>
            <w:shd w:val="clear" w:color="auto" w:fill="auto"/>
          </w:tcPr>
          <w:p w14:paraId="0EB11B81" w14:textId="77777777" w:rsidR="00A0611F" w:rsidRPr="00C16AC7" w:rsidRDefault="00A0611F" w:rsidP="00E86B51">
            <w:pPr>
              <w:snapToGrid w:val="0"/>
            </w:pPr>
          </w:p>
        </w:tc>
        <w:tc>
          <w:tcPr>
            <w:tcW w:w="1487" w:type="dxa"/>
            <w:shd w:val="clear" w:color="auto" w:fill="auto"/>
          </w:tcPr>
          <w:p w14:paraId="3B78D744" w14:textId="77777777" w:rsidR="00A0611F" w:rsidRPr="00C16AC7" w:rsidRDefault="00A0611F" w:rsidP="00E86B51">
            <w:pPr>
              <w:snapToGrid w:val="0"/>
            </w:pPr>
          </w:p>
        </w:tc>
      </w:tr>
    </w:tbl>
    <w:p w14:paraId="2D53714B" w14:textId="02565373" w:rsidR="00A0611F" w:rsidRPr="00C16AC7" w:rsidRDefault="00A0611F" w:rsidP="00A0611F">
      <w:pPr>
        <w:pStyle w:val="SNNature"/>
      </w:pPr>
      <w:r>
        <w:t xml:space="preserve">Uredba št.</w:t>
      </w:r>
      <w:r>
        <w:br/>
      </w:r>
      <w:r>
        <w:t xml:space="preserve">o obveščanju potrošnikov o okoljskih lastnostih in značilnostih proizvodov, ki ustvarjajo odpadke</w:t>
      </w:r>
      <w:r>
        <w:t xml:space="preserve">  </w:t>
      </w:r>
    </w:p>
    <w:p w14:paraId="752E1818" w14:textId="77777777" w:rsidR="00A0611F" w:rsidRPr="00C16AC7" w:rsidRDefault="00A0611F" w:rsidP="00A0611F">
      <w:pPr>
        <w:pStyle w:val="SNNORCentr"/>
        <w:rPr>
          <w:i/>
        </w:rPr>
      </w:pPr>
      <w:r>
        <w:t xml:space="preserve">NOR:</w:t>
      </w:r>
      <w:r>
        <w:t xml:space="preserve"> </w:t>
      </w:r>
    </w:p>
    <w:p w14:paraId="045F465C" w14:textId="598F1059" w:rsidR="00A0611F" w:rsidRDefault="00A0611F" w:rsidP="00D51CEF">
      <w:pPr>
        <w:pStyle w:val="SNAutorit"/>
        <w:ind w:firstLine="709"/>
        <w:jc w:val="both"/>
        <w:rPr>
          <w:b w:val="0"/>
          <w:i/>
        </w:rPr>
      </w:pPr>
      <w:r>
        <w:rPr>
          <w:i/>
        </w:rPr>
        <w:t xml:space="preserve"> </w:t>
      </w:r>
      <w:r>
        <w:rPr>
          <w:i/>
        </w:rPr>
        <w:t xml:space="preserve">Zadevna javnost: </w:t>
      </w:r>
      <w:r>
        <w:rPr>
          <w:i/>
          <w:b w:val="0"/>
        </w:rPr>
        <w:t xml:space="preserve">proizvajalci, uvozniki, distributerji ali druge stranke, ki dajejo na trg potrošniške proizvode, ki ustvarjajo odpadke, vključno s tistimi, ki uporabljajo spletno stran, platformo ali drug distribucijski kanal v okviru svoje komercialne dejavnosti v Franciji, in potrošniki takih proizvodov.</w:t>
      </w:r>
    </w:p>
    <w:p w14:paraId="561AF1CA" w14:textId="77777777" w:rsidR="00A0611F" w:rsidRPr="00C16AC7" w:rsidRDefault="00A0611F" w:rsidP="00A0611F">
      <w:pPr>
        <w:pStyle w:val="SNAutorit"/>
        <w:spacing w:before="120"/>
        <w:jc w:val="both"/>
        <w:rPr>
          <w:i/>
        </w:rPr>
      </w:pPr>
      <w:r>
        <w:rPr>
          <w:i/>
        </w:rPr>
        <w:t xml:space="preserve">Zadeva: </w:t>
      </w:r>
      <w:r>
        <w:rPr>
          <w:i/>
          <w:b w:val="0"/>
        </w:rPr>
        <w:t xml:space="preserve">izvajanje obveznosti iz člena L. 541–9-1 Okoljskega zakonika v zvezi z obveščanjem potrošnikov</w:t>
      </w:r>
      <w:r>
        <w:rPr>
          <w:i/>
        </w:rPr>
        <w:t xml:space="preserve"> </w:t>
      </w:r>
      <w:r>
        <w:rPr>
          <w:i/>
          <w:b w:val="0"/>
        </w:rPr>
        <w:t xml:space="preserve">o okoljskih lastnostih in značilnostih</w:t>
      </w:r>
      <w:r>
        <w:rPr>
          <w:i/>
        </w:rPr>
        <w:t xml:space="preserve"> </w:t>
      </w:r>
      <w:r>
        <w:rPr>
          <w:i/>
          <w:b w:val="0"/>
        </w:rPr>
        <w:t xml:space="preserve">proizvodov, ki ustvarjajo odpadke.</w:t>
      </w:r>
      <w:r>
        <w:rPr>
          <w:i/>
          <w:b w:val="0"/>
        </w:rPr>
        <w:t xml:space="preserve"> </w:t>
      </w:r>
    </w:p>
    <w:p w14:paraId="62BABF54" w14:textId="77777777" w:rsidR="00A0611F" w:rsidRPr="00C16AC7" w:rsidRDefault="00A0611F" w:rsidP="00A0611F">
      <w:pPr>
        <w:pStyle w:val="SNAutorit"/>
        <w:spacing w:before="120"/>
        <w:rPr>
          <w:i/>
        </w:rPr>
      </w:pPr>
      <w:r>
        <w:rPr>
          <w:i/>
        </w:rPr>
        <w:t xml:space="preserve">Začetek veljavnosti: </w:t>
      </w:r>
      <w:r>
        <w:rPr>
          <w:i/>
          <w:b w:val="0"/>
        </w:rPr>
        <w:t xml:space="preserve">besedilo začne veljati 1. januarja 2022.</w:t>
      </w:r>
    </w:p>
    <w:p w14:paraId="314AD767" w14:textId="5FEC2270" w:rsidR="00A0611F" w:rsidRPr="000A37F2" w:rsidRDefault="00A0611F" w:rsidP="00A0611F">
      <w:pPr>
        <w:pStyle w:val="SNAutorit"/>
        <w:spacing w:before="120"/>
        <w:jc w:val="both"/>
        <w:rPr>
          <w:b w:val="0"/>
        </w:rPr>
      </w:pPr>
      <w:r>
        <w:t xml:space="preserve">Obvestilo: </w:t>
      </w:r>
      <w:r>
        <w:rPr>
          <w:b w:val="0"/>
        </w:rPr>
        <w:t xml:space="preserve">uredba določa podrobna pravila za uporabo člena L. 541-9-1 Okoljskega zakonika, ki potrošnikom zagotavlja ustrezne informacije od proizvajalcev in uvoznikov o okoljskih lastnostih in značilnostih proizvodov, ki ustvarjajo odpadke – konceptih, opredeljenih v tem besedilu.</w:t>
      </w:r>
      <w:r>
        <w:rPr>
          <w:b w:val="0"/>
        </w:rPr>
        <w:t xml:space="preserve"> </w:t>
      </w:r>
      <w:r>
        <w:rPr>
          <w:b w:val="0"/>
        </w:rPr>
        <w:t xml:space="preserve">Te informacije so v času nakupa na voljo v elektronski obliki in po potrebi v skladu s postopki, določenimi z naročilom, prikazom, označevanjem ali katerim koli drugim čitljivim in razumljivim pripomočkom.</w:t>
      </w:r>
      <w:r>
        <w:rPr>
          <w:b w:val="0"/>
        </w:rPr>
        <w:t xml:space="preserve"> </w:t>
      </w:r>
      <w:r>
        <w:rPr>
          <w:b w:val="0"/>
        </w:rPr>
        <w:t xml:space="preserve">Te okoljske lastnosti in značilnosti vključujejo, odvisno od zadevnih kategorij proizvodov, vključitev recikliranega materiala, uporabo obnovljivih virov, trajnost, možnost kompostiranja, popravljivost, možnosti ponovne uporabe, možnost recikliranja, prisotnost nevarnih snovi, plemenitih kovin ali redkih zemeljskih kovin, sledljivost in prisotnost plastičnih mikrovlaken.</w:t>
      </w:r>
      <w:r>
        <w:rPr>
          <w:b w:val="0"/>
        </w:rPr>
        <w:t xml:space="preserve"> </w:t>
      </w:r>
      <w:r>
        <w:rPr>
          <w:b w:val="0"/>
        </w:rPr>
        <w:t xml:space="preserve">Format za dajanje podatkov o teh okoljskih lastnostih in značilnostih na voljo potrošnikom mora biti enostaven za ponovno uporabo in uporaben s sistemom avtomatizirane obdelave v zbirni obliki.</w:t>
      </w:r>
      <w:r>
        <w:rPr>
          <w:b w:val="0"/>
        </w:rPr>
        <w:t xml:space="preserve"> </w:t>
      </w:r>
    </w:p>
    <w:p w14:paraId="1F3654C0" w14:textId="77777777" w:rsidR="00A0611F" w:rsidRPr="00C16AC7" w:rsidRDefault="00A0611F" w:rsidP="00A0611F">
      <w:pPr>
        <w:pStyle w:val="SNAutorit"/>
        <w:spacing w:before="120"/>
        <w:jc w:val="both"/>
      </w:pPr>
      <w:r>
        <w:rPr>
          <w:i/>
        </w:rPr>
        <w:t xml:space="preserve">Sklici: </w:t>
      </w:r>
      <w:r>
        <w:rPr>
          <w:i/>
          <w:b w:val="0"/>
        </w:rPr>
        <w:t xml:space="preserve">ta uredba je na voljo na spletnem mestu Légifrance (</w:t>
      </w:r>
      <w:hyperlink r:id="rId8">
        <w:r>
          <w:rPr>
            <w:rStyle w:val="LienInternet"/>
            <w:b w:val="0"/>
            <w:i/>
            <w:color w:val="auto"/>
          </w:rPr>
          <w:t xml:space="preserve">http://www.legifrance.gouv.fr</w:t>
        </w:r>
      </w:hyperlink>
      <w:r>
        <w:rPr>
          <w:b w:val="0"/>
          <w:i/>
        </w:rPr>
        <w:t xml:space="preserve">).]</w:t>
      </w:r>
    </w:p>
    <w:p w14:paraId="025E046C" w14:textId="77777777" w:rsidR="00A0611F" w:rsidRPr="00C16AC7" w:rsidRDefault="00A0611F" w:rsidP="00A0611F">
      <w:pPr>
        <w:pStyle w:val="SNAutorit"/>
        <w:spacing w:before="120"/>
        <w:jc w:val="both"/>
      </w:pPr>
      <w:r>
        <w:br w:type="page"/>
      </w:r>
      <w:r>
        <w:t xml:space="preserve">Predsednik vlade,</w:t>
      </w:r>
    </w:p>
    <w:p w14:paraId="6BDC5F53" w14:textId="77777777" w:rsidR="00A0611F" w:rsidRDefault="00A0611F" w:rsidP="00A0611F">
      <w:pPr>
        <w:pStyle w:val="SNConsultation"/>
      </w:pPr>
      <w:r>
        <w:t xml:space="preserve">na podlagi poročila ministra za ekološki prehod in ministra za gospodarstvo, finance in okrevanje;</w:t>
      </w:r>
    </w:p>
    <w:p w14:paraId="0041E6EC" w14:textId="5BE41CC7" w:rsidR="00A0611F" w:rsidRDefault="00A0611F" w:rsidP="00A0611F">
      <w:pPr>
        <w:pStyle w:val="SNConsultation"/>
      </w:pPr>
      <w:r>
        <w:t xml:space="preserve">ob upoštevanju Uredbe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w:t>
      </w:r>
    </w:p>
    <w:p w14:paraId="5930E205" w14:textId="701290A8" w:rsidR="00A761D3" w:rsidRPr="00C16AC7" w:rsidRDefault="00A761D3" w:rsidP="00A0611F">
      <w:pPr>
        <w:pStyle w:val="SNConsultation"/>
      </w:pPr>
      <w:r>
        <w:t xml:space="preserve">ob upoštevanju Direktive Evropskega parlamenta in Sveta 94/62/ES z dne 20. decembra 1994 (spremenjena) o embalaži in odpadni embalaži;</w:t>
      </w:r>
    </w:p>
    <w:p w14:paraId="7B44A833" w14:textId="7A5E5858" w:rsidR="00A0611F" w:rsidRPr="00C16AC7" w:rsidRDefault="00A0611F" w:rsidP="00A0611F">
      <w:pPr>
        <w:pStyle w:val="SNConsultation"/>
      </w:pPr>
      <w:r>
        <w:t xml:space="preserve">ob upoštevanju Direktive (EU) 2018/851 Evropskega parlamenta in Sveta z dne 30. maja 2018 o spremembi Direktive 2008/98/ES o odpadkih;</w:t>
      </w:r>
    </w:p>
    <w:p w14:paraId="13F59CC6" w14:textId="3A902BF1" w:rsidR="00A0611F" w:rsidRDefault="00A0611F" w:rsidP="00A0611F">
      <w:pPr>
        <w:pStyle w:val="SNConsultation"/>
      </w:pPr>
      <w:r>
        <w:t xml:space="preserve">ob upoštevanju Direktive (EU) 2015/1535 Evropskega parlamenta in Sveta z dne 9. septembra 2015 o določitvi postopka za zbiranje informacij na področju tehničnih predpisov in pravil za storitve informacijske družbe;</w:t>
      </w:r>
    </w:p>
    <w:p w14:paraId="47F284B5" w14:textId="5839C8F9" w:rsidR="008B2B99" w:rsidRDefault="008B2B99" w:rsidP="00A0611F">
      <w:pPr>
        <w:pStyle w:val="SNConsultation"/>
      </w:pPr>
      <w:r>
        <w:t xml:space="preserve">ob upoštevanju Potrošniškega zakonika, zlasti uvodnega člena Zakonika;</w:t>
      </w:r>
    </w:p>
    <w:p w14:paraId="508C1D8A" w14:textId="512931AA" w:rsidR="00A0611F" w:rsidRPr="00C16AC7" w:rsidRDefault="00A0611F" w:rsidP="00A0611F">
      <w:pPr>
        <w:pStyle w:val="SNConsultation"/>
      </w:pPr>
      <w:r>
        <w:t xml:space="preserve">ob upoštevanju Gradbenega in stanovanjskega zakonika, zlasti člena L. 111-9-2 Zakonika;</w:t>
      </w:r>
    </w:p>
    <w:p w14:paraId="2A560728" w14:textId="77777777" w:rsidR="00A0611F" w:rsidRDefault="00A0611F" w:rsidP="00A0611F">
      <w:pPr>
        <w:pStyle w:val="SNConsultation"/>
      </w:pPr>
      <w:r>
        <w:t xml:space="preserve">ob upoštevanju Okoljskega zakonika;</w:t>
      </w:r>
    </w:p>
    <w:p w14:paraId="415D6312" w14:textId="385EEBF1" w:rsidR="00A0611F" w:rsidRDefault="00A0611F" w:rsidP="00A0611F">
      <w:pPr>
        <w:pStyle w:val="SNConsultation"/>
      </w:pPr>
      <w:r>
        <w:t xml:space="preserve">ob upoštevanju mnenja, ki ga je [X] podal Svet guvernerjev za gradbeništvo in energetsko učinkovitost;</w:t>
      </w:r>
    </w:p>
    <w:p w14:paraId="36AE85B4" w14:textId="77777777" w:rsidR="00A0611F" w:rsidRPr="00C16AC7" w:rsidRDefault="00A0611F" w:rsidP="00A0611F">
      <w:pPr>
        <w:pStyle w:val="SNConsultation"/>
      </w:pPr>
      <w:r>
        <w:t xml:space="preserve">ob upoštevanju ugotovitev, podanih med javnim posvetovanjem med […] in […], v skladu s členom L123-19-1 Okoljskega zakonika;</w:t>
      </w:r>
    </w:p>
    <w:p w14:paraId="604C0DE6" w14:textId="43974623" w:rsidR="00A0611F" w:rsidRPr="00C16AC7" w:rsidRDefault="00A0611F" w:rsidP="00A0611F">
      <w:pPr>
        <w:pStyle w:val="SNConsultation"/>
      </w:pPr>
      <w:r>
        <w:t xml:space="preserve">ob upoštevanju uradnega obvestila, poslanega Evropski komisiji dne XX v skladu z Direktivo (EU) 2015/1535 in Direktivo (EU) 94/62/ES;</w:t>
      </w:r>
    </w:p>
    <w:p w14:paraId="60BE23A5" w14:textId="77777777" w:rsidR="00A0611F" w:rsidRDefault="00A0611F" w:rsidP="00A0611F">
      <w:pPr>
        <w:pStyle w:val="SNConsultation"/>
      </w:pPr>
      <w:r>
        <w:t xml:space="preserve">ob upoštevanju mnenja Državnega sveta (oddelek za javna dela),</w:t>
      </w:r>
    </w:p>
    <w:p w14:paraId="56B6EC0E" w14:textId="77777777" w:rsidR="00A0611F" w:rsidRDefault="00A0611F" w:rsidP="00A0611F">
      <w:pPr>
        <w:pStyle w:val="Corpsdetexte"/>
        <w:keepNext/>
        <w:keepLines/>
        <w:jc w:val="center"/>
        <w:rPr>
          <w:b/>
        </w:rPr>
      </w:pPr>
      <w:r>
        <w:rPr>
          <w:b/>
        </w:rPr>
        <w:t xml:space="preserve">odreja:</w:t>
      </w:r>
    </w:p>
    <w:p w14:paraId="428AB153" w14:textId="77777777" w:rsidR="00A0611F" w:rsidRDefault="00A0611F" w:rsidP="00A0611F">
      <w:pPr>
        <w:pStyle w:val="Corpsdetexte"/>
        <w:keepNext/>
        <w:keepLines/>
        <w:jc w:val="center"/>
        <w:rPr>
          <w:b/>
        </w:rPr>
      </w:pPr>
      <w:r>
        <w:rPr>
          <w:b/>
        </w:rPr>
        <w:t xml:space="preserve">Člen 1</w:t>
      </w:r>
    </w:p>
    <w:p w14:paraId="5DC187A1" w14:textId="313CD2F5"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Oddelek 9 poglavja I naslova IV knjige V regulativnega dela Okoljskega zakonika se dopolni s pododdelkom 3, kot sledi:</w:t>
      </w:r>
    </w:p>
    <w:p w14:paraId="647D1A75" w14:textId="254D6A26"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 </w:t>
      </w:r>
      <w:r>
        <w:rPr>
          <w:color w:val="000000"/>
        </w:rPr>
        <w:t xml:space="preserve">Pododdelek 3</w:t>
      </w:r>
    </w:p>
    <w:p w14:paraId="2E6CD4B8" w14:textId="23850E9E"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„Informacije za potrošnike o okoljskih lastnostih in značilnostih proizvodov, ki ustvarjajo odpadke</w:t>
      </w:r>
    </w:p>
    <w:p w14:paraId="202964FF" w14:textId="77777777" w:rsidR="00A0611F" w:rsidRDefault="00A0611F" w:rsidP="00A0611F">
      <w:pPr>
        <w:keepNext/>
        <w:keepLines/>
        <w:pBdr>
          <w:top w:val="nil"/>
          <w:left w:val="nil"/>
          <w:bottom w:val="nil"/>
          <w:right w:val="nil"/>
          <w:between w:val="nil"/>
        </w:pBdr>
        <w:spacing w:after="120"/>
        <w:jc w:val="both"/>
        <w:rPr>
          <w:color w:val="000000"/>
        </w:rPr>
      </w:pPr>
    </w:p>
    <w:p w14:paraId="6F144F6B" w14:textId="2DFFB193" w:rsidR="00A0611F" w:rsidRDefault="00A0611F" w:rsidP="00A0611F">
      <w:pPr>
        <w:pStyle w:val="Corpsdetexte"/>
        <w:keepNext/>
        <w:keepLines/>
      </w:pPr>
      <w:bookmarkStart w:id="1" w:name="_heading=h.gjdgxs"/>
      <w:bookmarkEnd w:id="1"/>
      <w:r>
        <w:t xml:space="preserve">„Člen R. 541-220.- Okoljske lastnosti in značilnosti proizvodov, ki ustvarjajo odpadke, se razumejo kot tiste, ki so namenjene obveščanju potrošnika o pogojih v zvezi z boljšim preprečevanjem nastajanja odpadkov in ravnanjem z njimi.</w:t>
      </w:r>
      <w:r>
        <w:t xml:space="preserve"> </w:t>
      </w:r>
    </w:p>
    <w:p w14:paraId="5F88AAEC" w14:textId="396A898B" w:rsidR="000C090F" w:rsidRDefault="000C090F" w:rsidP="000C090F">
      <w:pPr>
        <w:pStyle w:val="Corpsdetexte"/>
        <w:keepNext/>
        <w:keepLines/>
      </w:pPr>
      <w:r>
        <w:t xml:space="preserve">Proizvodi, dani na trg iz člena R. 541-221, namenjeni potrošniku, spadajo v obseg informacij o okoljskih lastnostih in značilnostih iz tega pododdelka.</w:t>
      </w:r>
      <w:r>
        <w:t xml:space="preserve"> </w:t>
      </w:r>
    </w:p>
    <w:p w14:paraId="286C1C3E" w14:textId="77777777" w:rsidR="000C090F" w:rsidRDefault="000C090F" w:rsidP="000C090F">
      <w:pPr>
        <w:pStyle w:val="Corpsdetexte"/>
        <w:keepNext/>
        <w:keepLines/>
      </w:pPr>
    </w:p>
    <w:p w14:paraId="68C14776" w14:textId="124BA328" w:rsidR="00A0611F" w:rsidRPr="00246797" w:rsidRDefault="00A0611F" w:rsidP="00A0611F">
      <w:pPr>
        <w:pStyle w:val="Corpsdetexte"/>
        <w:keepNext/>
        <w:keepLines/>
      </w:pPr>
      <w:r>
        <w:t xml:space="preserve">„Člen R. 541-221.- I.- Električna ali elektronska oprema, za katero se uporabljata indeks popravljivosti in indeks trajnosti, opredeljena v skladu s členom L. 541-9-2, spada v obseg informacij za potrošnike o </w:t>
      </w:r>
      <w:r>
        <w:rPr>
          <w:b/>
        </w:rPr>
        <w:t xml:space="preserve">popravljivosti</w:t>
      </w:r>
      <w:r>
        <w:t xml:space="preserve"> in </w:t>
      </w:r>
      <w:r>
        <w:rPr>
          <w:b/>
          <w:bCs/>
        </w:rPr>
        <w:t xml:space="preserve">trajnosti</w:t>
      </w:r>
      <w:r>
        <w:t xml:space="preserve">.</w:t>
      </w:r>
    </w:p>
    <w:p w14:paraId="59DF58F3" w14:textId="60685F35" w:rsidR="00A0611F" w:rsidRDefault="00A0611F" w:rsidP="00A0611F">
      <w:pPr>
        <w:pStyle w:val="Corpsdetexte"/>
        <w:keepNext/>
        <w:keepLines/>
      </w:pPr>
      <w:r>
        <w:t xml:space="preserve">Te informacije so izražene v obliki prikaza indeksa popravil in od 1. januarja 2024 indeksa trajnosti.</w:t>
      </w:r>
    </w:p>
    <w:p w14:paraId="68644F5F" w14:textId="43B22F85" w:rsidR="00A0611F" w:rsidRPr="00613C5F" w:rsidRDefault="00A0611F" w:rsidP="00A0611F">
      <w:pPr>
        <w:pStyle w:val="Corpsdetexte"/>
        <w:keepNext/>
        <w:keepLines/>
        <w:rPr>
          <w:color w:val="000000" w:themeColor="text1"/>
        </w:rPr>
      </w:pPr>
      <w:r>
        <w:t xml:space="preserve">„II.- </w:t>
      </w:r>
      <w:r>
        <w:rPr>
          <w:color w:val="000000" w:themeColor="text1"/>
        </w:rPr>
        <w:t xml:space="preserve">Vrste in kategorije embalaže, primerne za kompostiranje, v smislu četrtega odstavka člena R. 543-226, kot je opredeljeno v Uredbi z dne XX, ki navaja embalažo, primerno za kompostiranje in biorazgradljivost, ki se lahko zbira skupaj z biološkimi odpadki, ki so bili razvrščeni pri viru</w:t>
      </w:r>
      <w:r>
        <w:t xml:space="preserve">, spadajo v obseg informacij za potrošnike o </w:t>
      </w:r>
      <w:r>
        <w:rPr>
          <w:b/>
        </w:rPr>
        <w:t xml:space="preserve">primernosti za kompostiranje</w:t>
      </w:r>
      <w:r>
        <w:t xml:space="preserve">.</w:t>
      </w:r>
    </w:p>
    <w:p w14:paraId="6B45DB55" w14:textId="0F71581A" w:rsidR="00A0611F" w:rsidRDefault="00A0611F" w:rsidP="00A0611F">
      <w:pPr>
        <w:pStyle w:val="Corpsdetexte"/>
        <w:keepNext/>
        <w:keepLines/>
        <w:rPr>
          <w:color w:val="000000" w:themeColor="text1"/>
        </w:rPr>
      </w:pPr>
      <w:r>
        <w:rPr>
          <w:color w:val="000000" w:themeColor="text1"/>
        </w:rPr>
        <w:t xml:space="preserve">Te informacije se izrazijo s sklicevanjem na izraz „embalaža, primerna za kompostiranje“.</w:t>
      </w:r>
    </w:p>
    <w:p w14:paraId="61E2D05B" w14:textId="651D147C" w:rsidR="008B2B99" w:rsidRPr="00A92A15" w:rsidRDefault="008B2B99" w:rsidP="00A0611F">
      <w:pPr>
        <w:pStyle w:val="Corpsdetexte"/>
        <w:keepNext/>
        <w:keepLines/>
        <w:rPr>
          <w:color w:val="000000" w:themeColor="text1"/>
        </w:rPr>
      </w:pPr>
      <w:r>
        <w:t xml:space="preserve">Plastični proizvodi in embalaža, katerih kompostiranje je mogoče doseči le v industrijski enoti, se ne smejo označiti kot „primerni za kompostiranje“.</w:t>
      </w:r>
      <w:r>
        <w:t xml:space="preserve"> </w:t>
      </w:r>
      <w:r>
        <w:t xml:space="preserve">Tisti, ki jih je mogoče kompostirati doma ali industrijsko, morajo biti označeni z besedami „Ne zavrzite v naravo“.</w:t>
      </w:r>
    </w:p>
    <w:p w14:paraId="71FC3454" w14:textId="010DA849" w:rsidR="00A0611F" w:rsidRPr="00613C5F" w:rsidRDefault="00A0611F" w:rsidP="00A0611F">
      <w:pPr>
        <w:pStyle w:val="SNConsultation"/>
        <w:ind w:firstLine="0"/>
        <w:rPr>
          <w:color w:val="000000" w:themeColor="text1"/>
        </w:rPr>
      </w:pPr>
      <w:r>
        <w:rPr>
          <w:color w:val="000000" w:themeColor="text1"/>
        </w:rPr>
        <w:t xml:space="preserve">„III.-</w:t>
      </w:r>
      <w:r>
        <w:rPr>
          <w:color w:val="000000" w:themeColor="text1"/>
          <w:b/>
        </w:rPr>
        <w:t xml:space="preserve">Vključitev recikliranega materiala</w:t>
      </w:r>
      <w:r>
        <w:rPr>
          <w:color w:val="000000" w:themeColor="text1"/>
        </w:rPr>
        <w:t xml:space="preserve"> se izmeri kot skupni delež mase materialov, pridobljenih z recikliranjem v smislu člena L. 541-1-1.</w:t>
      </w:r>
    </w:p>
    <w:p w14:paraId="73705C72" w14:textId="19067C16" w:rsidR="00A0611F" w:rsidRDefault="00A0611F" w:rsidP="00A0611F">
      <w:pPr>
        <w:pStyle w:val="SNConsultation"/>
        <w:ind w:firstLine="0"/>
        <w:rPr>
          <w:highlight w:val="yellow"/>
        </w:rPr>
      </w:pPr>
      <w:r>
        <w:t xml:space="preserve">Kategorije proizvodov, navedene v odstavku (3) [tiskani papir, razen knjig in papirja za grafične namene], odstavku (5) [električna in elektronska </w:t>
      </w:r>
      <w:r>
        <w:rPr>
          <w:rFonts w:ascii="Times New Roman ,serif" w:hAnsi="Times New Roman ,serif"/>
        </w:rPr>
        <w:t xml:space="preserve">oprema</w:t>
      </w:r>
      <w:r>
        <w:t xml:space="preserve">], (6) [baterije in akumulatorji], odstavku (7) [zabojniki in vsebina kemičnih proizvodov], odstavku (10) [deli notranje opreme], odstavku (11) [tekstilni proizvodi], razen usnjenih proizvodov, odstavku (13) [športni proizvodi in proizvodi za prosti čas], odstavku (14) [proizvodi za domačo izdelavo in vrtni proizvodi] in odstavku (15) [vozila] iz člena L. 541-10-1, vse spadajo v obseg informacij za potrošnike o vključitvi recikliranega materiala.</w:t>
      </w:r>
    </w:p>
    <w:p w14:paraId="7A9EF18F" w14:textId="22DE6F1B" w:rsidR="008F2569" w:rsidRDefault="00A0611F" w:rsidP="00A0611F">
      <w:pPr>
        <w:pStyle w:val="SNConsultation"/>
        <w:ind w:firstLine="0"/>
      </w:pPr>
      <w:r>
        <w:t xml:space="preserve">Te informacije se za te proizvode izrazijo s sklicevanjem na izraz „proizvod, ki vsebuje najmanj [%] recikliranih materialov“.</w:t>
      </w:r>
    </w:p>
    <w:p w14:paraId="058FC329" w14:textId="104883FB" w:rsidR="00BD4A74" w:rsidRDefault="00BD4A74" w:rsidP="00A0611F">
      <w:pPr>
        <w:pStyle w:val="SNConsultation"/>
        <w:ind w:firstLine="0"/>
      </w:pPr>
      <w:r>
        <w:t xml:space="preserve">Embalaža iz točke 1 člena L. 541-10-1, ki se uporablja za trženje proizvodov, ki jih porabijo ali uporabljajo gospodinjstva, vključno s tistimi, ki se porabijo zunaj gospodinjstva, spada v obseg informacij za potrošnike o vključitvi recikliranega materiala.</w:t>
      </w:r>
      <w:r>
        <w:t xml:space="preserve"> </w:t>
      </w:r>
      <w:r>
        <w:t xml:space="preserve">Te informacije se za te proizvode izrazijo s sklicevanjem na izraz „embalaža, ki vsebuje najmanj [%] recikliranih materialov“.</w:t>
      </w:r>
    </w:p>
    <w:p w14:paraId="20E447D6" w14:textId="3CD4EEA1" w:rsidR="00D76667" w:rsidRDefault="00A0611F" w:rsidP="00A0611F">
      <w:pPr>
        <w:pStyle w:val="SNConsultation"/>
        <w:ind w:firstLine="0"/>
      </w:pPr>
      <w:r>
        <w:rPr>
          <w:b/>
        </w:rPr>
        <w:t xml:space="preserve">„</w:t>
      </w:r>
      <w:r>
        <w:t xml:space="preserve">IV.</w:t>
      </w:r>
      <w:r>
        <w:rPr>
          <w:b/>
        </w:rPr>
        <w:t xml:space="preserve">- </w:t>
      </w:r>
      <w:r>
        <w:t xml:space="preserve">Gradbeni materiali iz odstavka (4) člena L. 541-10-1 in ob prostovoljnem prikazu, opredeljenem v odstavku 5 člena L. 111-9-2 Gradbenega in stanovanjskega zakonika, spadajo v obseg informacij za potrošnike o </w:t>
      </w:r>
      <w:r>
        <w:rPr>
          <w:b/>
        </w:rPr>
        <w:t xml:space="preserve">uporabi obnovljivih virov.</w:t>
      </w:r>
      <w:r>
        <w:t xml:space="preserve"> </w:t>
      </w:r>
    </w:p>
    <w:p w14:paraId="23EA8376" w14:textId="431C9F30" w:rsidR="00A0611F" w:rsidRPr="00A92A15" w:rsidRDefault="00A0611F" w:rsidP="00A0611F">
      <w:pPr>
        <w:pStyle w:val="SNConsultation"/>
        <w:ind w:firstLine="0"/>
      </w:pPr>
      <w:r>
        <w:t xml:space="preserve">Te informacije se izrazijo pod pogoji iz odstavka 5 člena L. 111-9-2 Gradbenega in stanovanjskega zakonika.</w:t>
      </w:r>
      <w:r>
        <w:t xml:space="preserve"> </w:t>
      </w:r>
    </w:p>
    <w:p w14:paraId="76C21909" w14:textId="7AF3A523" w:rsidR="00A0611F" w:rsidRPr="00CE42FD" w:rsidRDefault="00A0611F" w:rsidP="00A0611F">
      <w:pPr>
        <w:pStyle w:val="SNConsultation"/>
        <w:ind w:firstLine="0"/>
      </w:pPr>
      <w:r>
        <w:t xml:space="preserve">„V.-</w:t>
      </w:r>
      <w:r>
        <w:rPr>
          <w:b/>
        </w:rPr>
        <w:t xml:space="preserve"> Možnost ponovne uporabe </w:t>
      </w:r>
      <w:r>
        <w:t xml:space="preserve">pomeni možnost, da se proizvod, ki se zasnuje, ustvari in da na trg, ponovno uporabi za uporabo, ki je enaka tisti, za katero je bil zasnovan, ne da bi pridobil status odpadka, v skladu z določbami člena L. 541-1-1.</w:t>
      </w:r>
    </w:p>
    <w:p w14:paraId="0F475FF0" w14:textId="548885AC" w:rsidR="00A0611F" w:rsidRPr="00CE42FD" w:rsidRDefault="00A0611F" w:rsidP="00A0611F">
      <w:pPr>
        <w:pStyle w:val="SNConsultation"/>
        <w:ind w:firstLine="0"/>
      </w:pPr>
      <w:r>
        <w:t xml:space="preserve">Embalaža iz odstavka (1) [embalaža, ki se uporablja za trženje proizvodov, ki jih porabijo ali uporabljajo gospodinjstva, vključno s tistimi, ki se porabijo zunaj doma] člena L.541-10-1 spada v obseg informacij za potrošnike o možnostih ponovne uporabe.</w:t>
      </w:r>
    </w:p>
    <w:p w14:paraId="403842CB" w14:textId="50DC367E" w:rsidR="00A0611F" w:rsidRPr="00CE42FD" w:rsidRDefault="00A0611F" w:rsidP="00A0611F">
      <w:pPr>
        <w:pStyle w:val="SNConsultation"/>
        <w:ind w:firstLine="0"/>
      </w:pPr>
      <w:r>
        <w:t xml:space="preserve">Te informacije se izrazijo s sklicevanjem na izraz „embalaža za večkratno uporabo“ ali „embalaža za ponovno polnjenje“.</w:t>
      </w:r>
    </w:p>
    <w:p w14:paraId="35CCA859" w14:textId="77777777" w:rsidR="00FE3AAB" w:rsidRPr="00217E2F" w:rsidRDefault="00FE3AAB" w:rsidP="00FE3AAB">
      <w:pPr>
        <w:pStyle w:val="SNConsultation"/>
        <w:ind w:firstLine="0"/>
      </w:pPr>
      <w:r>
        <w:t xml:space="preserve">„VI.-</w:t>
      </w:r>
      <w:r>
        <w:rPr>
          <w:b/>
        </w:rPr>
        <w:t xml:space="preserve"> Možnost recikliranja </w:t>
      </w:r>
      <w:r>
        <w:t xml:space="preserve">pomeni učinkovito zmogljivost recikliranja odpadkov iz enakih ali podobnih proizvodov.</w:t>
      </w:r>
      <w:r>
        <w:t xml:space="preserve"> </w:t>
      </w:r>
      <w:r>
        <w:t xml:space="preserve">Možnost recikliranja teh odpadkov ima naslednje značilnosti:</w:t>
      </w:r>
    </w:p>
    <w:p w14:paraId="07633EFE" w14:textId="77777777" w:rsidR="00FE3AAB" w:rsidRPr="00217E2F" w:rsidRDefault="00FE3AAB" w:rsidP="00FE3AAB">
      <w:pPr>
        <w:pStyle w:val="SNConsultation"/>
        <w:ind w:firstLine="0"/>
      </w:pPr>
      <w:r>
        <w:t xml:space="preserve">(1) sposobnost učinkovitega zbiranja na lokalni ravni z dostopom prebivalstva do lokalnih zbirnih mest</w:t>
      </w:r>
    </w:p>
    <w:p w14:paraId="057455E4" w14:textId="48F09CE3" w:rsidR="00FE3AAB" w:rsidRPr="00217E2F" w:rsidRDefault="00FE3AAB" w:rsidP="00FE3AAB">
      <w:pPr>
        <w:pStyle w:val="SNConsultation"/>
        <w:ind w:firstLine="0"/>
      </w:pPr>
      <w:r>
        <w:t xml:space="preserve">(2) sposobnost razvrščanja, tj. usmerjanje v določene kanale za recikliranje</w:t>
      </w:r>
    </w:p>
    <w:p w14:paraId="5B0FC778" w14:textId="77777777" w:rsidR="00FE3AAB" w:rsidRPr="00217E2F" w:rsidRDefault="00FE3AAB" w:rsidP="00FE3AAB">
      <w:pPr>
        <w:pStyle w:val="SNConsultation"/>
        <w:ind w:firstLine="0"/>
      </w:pPr>
      <w:r>
        <w:t xml:space="preserve">(3) odsotnost elementov ali snovi, ki bi motile razvrščanje ali recikliranje ali omejile uporabo recikliranega materiala</w:t>
      </w:r>
    </w:p>
    <w:p w14:paraId="076436EA" w14:textId="77777777" w:rsidR="00FE3AAB" w:rsidRPr="00217E2F" w:rsidRDefault="00FE3AAB" w:rsidP="00FE3AAB">
      <w:pPr>
        <w:pStyle w:val="SNConsultation"/>
        <w:ind w:firstLine="0"/>
      </w:pPr>
      <w:r>
        <w:t xml:space="preserve">(4) obseg, v katerem reciklirani material, proizveden z uporabljenimi postopki recikliranja, predstavlja več kot 50 % količine zbranih odpadkov</w:t>
      </w:r>
    </w:p>
    <w:p w14:paraId="2A9B6D33" w14:textId="77777777" w:rsidR="00FE3AAB" w:rsidRPr="00217E2F" w:rsidRDefault="00FE3AAB" w:rsidP="00FE3AAB">
      <w:pPr>
        <w:pStyle w:val="SNConsultation"/>
        <w:ind w:firstLine="0"/>
      </w:pPr>
      <w:r>
        <w:t xml:space="preserve">(5) sposobnost recikliranja v industrijskem obsegu in v praksi, zlasti z jamstvom, da je kakovost pridobljenega recikliranega materiala zadostna za zagotovitev trajnosti prodajnih mest in da lahko veriga recikliranja dokaže zadostno sposobnost prevzemanja odgovornosti za proizvode, ki se vanjo lahko vključijo.</w:t>
      </w:r>
      <w:r>
        <w:t xml:space="preserve"> </w:t>
      </w:r>
    </w:p>
    <w:p w14:paraId="27B90E3A" w14:textId="589EF154" w:rsidR="00FE3AAB" w:rsidRPr="00217E2F" w:rsidRDefault="00FE3AAB" w:rsidP="00FE3AAB">
      <w:pPr>
        <w:pStyle w:val="SNConsultation"/>
        <w:ind w:firstLine="0"/>
      </w:pPr>
      <w:r>
        <w:t xml:space="preserve">Informacije o možnosti recikliranja se dajo potrošniku na voljo z besedami „proizvod, ki ga je mogoče reciklirati“ ali „embalaža, ki jo je mogoče reciklirati“, če je teh pet meril izpolnjenih.</w:t>
      </w:r>
      <w:r>
        <w:t xml:space="preserve"> </w:t>
      </w:r>
      <w:r>
        <w:t xml:space="preserve">Če reciklirani material, proizveden s postopki recikliranja, predstavlja več kot 95 % količine zbranih odpadkov, se lahko doda besedilo „proizvod, ki ga je mogoče v celoti reciklirati“.</w:t>
      </w:r>
    </w:p>
    <w:p w14:paraId="0163929A" w14:textId="262CE4D1" w:rsidR="00FE3AAB" w:rsidRPr="00217E2F" w:rsidRDefault="00FE3AAB" w:rsidP="00FE3AAB">
      <w:pPr>
        <w:pStyle w:val="SNConsultation"/>
        <w:ind w:firstLine="0"/>
      </w:pPr>
      <w:r>
        <w:t xml:space="preserve">O tem proizvajalca obvesti ekološka organizacija, na katero so prenesli svojo obveznost razširjene odgovornosti v skladu s členom L. 541-10.</w:t>
      </w:r>
      <w:r>
        <w:t xml:space="preserve"> </w:t>
      </w:r>
      <w:r>
        <w:t xml:space="preserve">Če je proizvajalec vzpostavil individualni sistem razširjene odgovornosti, določijo informacije v okviru svoje odgovornosti.</w:t>
      </w:r>
    </w:p>
    <w:p w14:paraId="63FBD504" w14:textId="77777777" w:rsidR="00FE3AAB" w:rsidRPr="00217E2F" w:rsidRDefault="00FE3AAB" w:rsidP="00FE3AAB">
      <w:pPr>
        <w:pStyle w:val="SNConsultation"/>
        <w:ind w:firstLine="0"/>
      </w:pPr>
      <w:r>
        <w:t xml:space="preserve">Kadar zmogljivost za recikliranje ustreza recikliranju materialov, pretežno ponovno vključenih v proizvode enakovredne narave, ki ustrezajo enaki uporabi in namenu brez funkcionalne izgube materiala, lahko proizvajalec informacije o možnosti recikliranja dopolni z besedami „proizvod z zaprto zanko, ki ga je mogoče reciklirati“ ali „embalaža z zaprto zanko, ki jo je mogoče reciklirati“.</w:t>
      </w:r>
    </w:p>
    <w:p w14:paraId="7E934972" w14:textId="3D73E894" w:rsidR="00BD4A74" w:rsidRPr="00FE3AAB" w:rsidRDefault="00FE3AAB" w:rsidP="00A0611F">
      <w:pPr>
        <w:pStyle w:val="SNConsultation"/>
        <w:ind w:firstLine="0"/>
      </w:pPr>
      <w:r>
        <w:t xml:space="preserve">Kategorije proizvodov iz odstavka (1) [embalaže, ki se uporabljajo za trženje proizvodov, ki jih porabijo ali uporabljajo gospodinjstva, vključno s tistimi, ki se porabijo zunaj gospodinjstva], odstavka (3) [tiskani papir, razen knjig in papirja za grafične namene], (4) [gradbeni proizvodi ali materiali], odstavka (5) [električna in elektronska oprema], odstavka (6) [baterije in akumulatorji], odstavka (7) za posode [kemične posode], odstavka (10) [opremljeni elementi], odstavka (11) [tekstilni izdelki], odstavka (12) [igrače, ki niso zajete v načelu razširjene odgovornosti proizvajalca v okviru druge kategorije], odstavka (13) [športni predmeti in predmeti za prosti čas], odstavka (14) [proizvodi za domačo izdelavo in vrtni predmeti] in odstavka (15) [vozila] iz člena L. 541-10-1 spadajo v obseg informacij za potrošnike o možnosti recikliranja.</w:t>
      </w:r>
    </w:p>
    <w:p w14:paraId="0718C702" w14:textId="77777777" w:rsidR="00A0611F" w:rsidRDefault="00A0611F" w:rsidP="00A0611F">
      <w:pPr>
        <w:pStyle w:val="SNConsultation"/>
        <w:ind w:firstLine="0"/>
      </w:pPr>
      <w:r>
        <w:t xml:space="preserve">„VII.-</w:t>
      </w:r>
      <w:r>
        <w:rPr>
          <w:b/>
        </w:rPr>
        <w:t xml:space="preserve"> </w:t>
      </w:r>
      <w:r>
        <w:t xml:space="preserve">Kovine zlato, srebro, platina in paladij spadajo v obseg obveščanja potrošnikov o</w:t>
      </w:r>
      <w:r>
        <w:rPr>
          <w:b/>
          <w:bCs/>
        </w:rPr>
        <w:t xml:space="preserve"> prisotnosti plemenitih kovin</w:t>
      </w:r>
      <w:r>
        <w:t xml:space="preserve">.</w:t>
      </w:r>
      <w:r>
        <w:t xml:space="preserve">  </w:t>
      </w:r>
    </w:p>
    <w:p w14:paraId="5C974967" w14:textId="67EF72F5" w:rsidR="00A0611F" w:rsidRPr="00501103" w:rsidRDefault="00A0611F" w:rsidP="00A0611F">
      <w:pPr>
        <w:pStyle w:val="SNConsultation"/>
        <w:ind w:firstLine="0"/>
        <w:rPr>
          <w:b/>
        </w:rPr>
      </w:pPr>
      <w:r>
        <w:t xml:space="preserve">Informacije o plemenitih kovinah so zaradi njihove visoke okoljske vrednosti na voljo za kategorije proizvodov, navedene v odstavku (5) [električna in elektronska </w:t>
      </w:r>
      <w:r>
        <w:rPr>
          <w:rFonts w:ascii="Times New Roman ,serif" w:hAnsi="Times New Roman ,serif"/>
        </w:rPr>
        <w:t xml:space="preserve">oprema</w:t>
      </w:r>
      <w:r>
        <w:t xml:space="preserve">] in odstavku (15) [vozila] člena L. 541-10-1.</w:t>
      </w:r>
    </w:p>
    <w:p w14:paraId="32E7DEAB" w14:textId="05780FDA" w:rsidR="00A0611F" w:rsidRDefault="00A0611F" w:rsidP="00A0611F">
      <w:pPr>
        <w:pStyle w:val="SNConsultation"/>
        <w:ind w:firstLine="0"/>
      </w:pPr>
      <w:r>
        <w:t xml:space="preserve">Ta podatek se izrazi z maso, če je večja od 1 miligrama, v obliki besed „vsebuje najmanj [X miligramov] plemenitih kovin“.</w:t>
      </w:r>
    </w:p>
    <w:p w14:paraId="04560F54" w14:textId="77777777" w:rsidR="00A0611F" w:rsidRPr="003C2E20" w:rsidRDefault="00A0611F" w:rsidP="00A0611F">
      <w:pPr>
        <w:pStyle w:val="SNConsultation"/>
        <w:ind w:firstLine="0"/>
      </w:pPr>
      <w:r>
        <w:t xml:space="preserve">„VIII.-</w:t>
      </w:r>
      <w:r>
        <w:rPr>
          <w:b/>
        </w:rPr>
        <w:t xml:space="preserve"> </w:t>
      </w:r>
      <w:r>
        <w:t xml:space="preserve">Elementi skandij, itrij, lantan, cerij, prazeodim, neodim, prometij, samarij, evropij, gadolinij, terbij, disprozij, holmij, erbij, tulij, iterbij in lutecij spadajo v obseg informacij za potrošnike o </w:t>
      </w:r>
      <w:r>
        <w:rPr>
          <w:b/>
        </w:rPr>
        <w:t xml:space="preserve">prisotnosti redkih zemeljskih kovin</w:t>
      </w:r>
      <w:r>
        <w:t xml:space="preserve">.</w:t>
      </w:r>
      <w:r>
        <w:t xml:space="preserve"> </w:t>
      </w:r>
    </w:p>
    <w:p w14:paraId="7496CEBF" w14:textId="4C8FEA67" w:rsidR="00A0611F" w:rsidRDefault="00A0611F" w:rsidP="00A0611F">
      <w:pPr>
        <w:pStyle w:val="SNConsultation"/>
        <w:ind w:firstLine="0"/>
      </w:pPr>
      <w:r>
        <w:t xml:space="preserve">Informacije o redkih zemeljskih kovinah so zaradi njihove visoke okoljske vrednosti na voljo za kategorije proizvodov iz odstavka (5) [električna in elektronska </w:t>
      </w:r>
      <w:r>
        <w:rPr>
          <w:rFonts w:ascii="Times New Roman ,serif" w:hAnsi="Times New Roman ,serif"/>
        </w:rPr>
        <w:t xml:space="preserve">oprema</w:t>
      </w:r>
      <w:r>
        <w:t xml:space="preserve">] in odstavka (15) [vozila] člena L. 541-10-1.</w:t>
      </w:r>
      <w:r>
        <w:t xml:space="preserve"> </w:t>
      </w:r>
    </w:p>
    <w:p w14:paraId="58866F4B" w14:textId="33E3BCAF" w:rsidR="00A0611F" w:rsidRDefault="00A0611F" w:rsidP="00A0611F">
      <w:pPr>
        <w:pStyle w:val="SNConsultation"/>
        <w:ind w:firstLine="0"/>
      </w:pPr>
      <w:r>
        <w:t xml:space="preserve">Ta podatek se izrazi z maso, če je večja od 1 miligrama, z besedami „vsebuje najmanj [X miligramov] redkih zemeljskih kovin“.</w:t>
      </w:r>
      <w:r>
        <w:t xml:space="preserve">   </w:t>
      </w:r>
    </w:p>
    <w:p w14:paraId="38687E77" w14:textId="77777777" w:rsidR="00A0611F" w:rsidRPr="00A9381C" w:rsidRDefault="00A0611F" w:rsidP="00A0611F">
      <w:pPr>
        <w:pStyle w:val="SNConsultation"/>
        <w:ind w:firstLine="0"/>
      </w:pPr>
      <w:r>
        <w:t xml:space="preserve">„IX.-</w:t>
      </w:r>
      <w:r>
        <w:rPr>
          <w:b/>
        </w:rPr>
        <w:t xml:space="preserve"> </w:t>
      </w:r>
      <w:r>
        <w:t xml:space="preserve">Informacije za potrošnike o prisotnosti</w:t>
      </w:r>
      <w:r>
        <w:rPr>
          <w:b/>
          <w:bCs/>
        </w:rPr>
        <w:t xml:space="preserve"> nevarne snovi </w:t>
      </w:r>
      <w:r>
        <w:t xml:space="preserve">se uporabljajo, kadar je prisotna v koncentraciji, večji od 0,1 masnega odstotka v snovi, zmesi ali proizvodu v smislu točk 1, 2 in 3 člena 3 Uredbe (ES) št. 1907/2006 Evropskega parlamenta in Sveta z dne 18. decembra 2006 (REACH), z izjemo zdravil.</w:t>
      </w:r>
      <w:r>
        <w:t xml:space="preserve"> </w:t>
      </w:r>
    </w:p>
    <w:p w14:paraId="1BC87C7D" w14:textId="48203F58" w:rsidR="00A0611F" w:rsidRDefault="00A0611F" w:rsidP="00A0611F">
      <w:pPr>
        <w:pStyle w:val="SNConsultation"/>
        <w:ind w:firstLine="0"/>
      </w:pPr>
      <w:r>
        <w:t xml:space="preserve">V prejšnjem odstavku „nevarna snov“ pomeni vsako snov, opredeljeno z uredbo, izdano v skladu z odstavkom I člena L. 541-9-1 o identifikaciji nevarnih snovi v proizvodih, ki ustvarjajo odpadke.</w:t>
      </w:r>
    </w:p>
    <w:p w14:paraId="6AA4D2A5" w14:textId="77777777" w:rsidR="00BE6889" w:rsidRDefault="00EC0018" w:rsidP="00A0611F">
      <w:pPr>
        <w:pStyle w:val="SNConsultation"/>
        <w:ind w:firstLine="0"/>
      </w:pPr>
      <w:r>
        <w:t xml:space="preserve">Te informacije se izrazijo z besedami „vsebuje nevarno snov“ ali, kadar je prisotna nevarna snov iz prvega odstavka člena R. 541-219, z besedami „vsebuje snov, ki vzbuja zelo veliko zaskrbljenost“.</w:t>
      </w:r>
      <w:r>
        <w:t xml:space="preserve"> </w:t>
      </w:r>
      <w:r>
        <w:t xml:space="preserve">Informacije se dopolnijo z imenom vsake prisotne nevarne snovi.</w:t>
      </w:r>
      <w:r>
        <w:t xml:space="preserve"> </w:t>
      </w:r>
      <w:r>
        <w:t xml:space="preserve">Ta način dajanja informacij na voljo se ne uporablja za:</w:t>
      </w:r>
    </w:p>
    <w:p w14:paraId="21E4639B" w14:textId="0CCB4572" w:rsidR="00C666A2" w:rsidRDefault="00C666A2" w:rsidP="00A0611F">
      <w:pPr>
        <w:pStyle w:val="SNConsultation"/>
        <w:ind w:firstLine="0"/>
      </w:pPr>
      <w:r>
        <w:t xml:space="preserve">(1) Prisotne snovi, ki so tudi na seznamu snovi z dokazanimi in domnevnimi lastnostmi endokrinih motilcev, kot je določeno v členu R. 5232-19 Zakonika o javnem zdravju, za katere se uporabljajo informacije iz člena R. 5232-20 Zakonika o javnem zdravju.</w:t>
      </w:r>
    </w:p>
    <w:p w14:paraId="580BC810" w14:textId="47201403" w:rsidR="00C666A2" w:rsidRDefault="00C666A2" w:rsidP="00A0611F">
      <w:pPr>
        <w:pStyle w:val="SNConsultation"/>
        <w:ind w:firstLine="0"/>
      </w:pPr>
      <w:r>
        <w:t xml:space="preserve">(2) Prisotne snovi, ki so tudi na seznamu snovi s sumom na lastnosti endokrinih motilcev, kot je določeno v členu R. 5232-19 II Zakonika o javnem zdravju, za katere se uporabljajo informacije iz člena R. 5232-20 Zakonika o javnem zdravju.</w:t>
      </w:r>
    </w:p>
    <w:p w14:paraId="7C4FB52E" w14:textId="3386A922" w:rsidR="00A0611F" w:rsidRDefault="00A0611F" w:rsidP="00A0611F">
      <w:pPr>
        <w:pStyle w:val="SNConsultation"/>
        <w:ind w:firstLine="0"/>
      </w:pPr>
      <w:r>
        <w:t xml:space="preserve">Informacije se dajo na voljo najpozneje 18 mesecev potem, ko je snov opredeljena kot nevarna snov.</w:t>
      </w:r>
    </w:p>
    <w:p w14:paraId="5791E55D" w14:textId="5013510C" w:rsidR="00CB77AD" w:rsidRDefault="00A0611F" w:rsidP="00A0611F">
      <w:pPr>
        <w:pStyle w:val="SNConsultation"/>
        <w:ind w:firstLine="0"/>
      </w:pPr>
      <w:r>
        <w:t xml:space="preserve">„X.- Informacije za potrošnike v zvezi s </w:t>
      </w:r>
      <w:r>
        <w:rPr>
          <w:b/>
        </w:rPr>
        <w:t xml:space="preserve">sledljivostjo</w:t>
      </w:r>
      <w:r>
        <w:t xml:space="preserve"> za proizvode iz odstavka (11) [tekstilni proizvodi] člena L. 541-10-1 pomenijo geografsko označbo države, v kateri se pretežno izvaja vsak od naslednjih postopkov, kjer je to ustrezno:</w:t>
      </w:r>
      <w:r>
        <w:t xml:space="preserve"> </w:t>
      </w:r>
    </w:p>
    <w:p w14:paraId="76495063" w14:textId="10190F15" w:rsidR="00CB77AD" w:rsidRDefault="00CB77AD" w:rsidP="00A0611F">
      <w:pPr>
        <w:pStyle w:val="SNConsultation"/>
        <w:ind w:firstLine="0"/>
      </w:pPr>
      <w:r>
        <w:t xml:space="preserve">(1) gojenje ali proizvodnja vlaknin ali surovin;</w:t>
      </w:r>
    </w:p>
    <w:p w14:paraId="4FF5616A" w14:textId="1D9D86EF" w:rsidR="00CB77AD" w:rsidRDefault="00CB77AD" w:rsidP="00A0611F">
      <w:pPr>
        <w:pStyle w:val="SNConsultation"/>
        <w:ind w:firstLine="0"/>
      </w:pPr>
      <w:r>
        <w:t xml:space="preserve">(2) predenje in tkanje;</w:t>
      </w:r>
      <w:r>
        <w:t xml:space="preserve"> </w:t>
      </w:r>
    </w:p>
    <w:p w14:paraId="49D85F28" w14:textId="2432ECDC" w:rsidR="00CB77AD" w:rsidRDefault="00CB77AD" w:rsidP="00A0611F">
      <w:pPr>
        <w:pStyle w:val="SNConsultation"/>
        <w:ind w:firstLine="0"/>
      </w:pPr>
      <w:r>
        <w:t xml:space="preserve">(3) barvanje in tiskanje;</w:t>
      </w:r>
      <w:r>
        <w:t xml:space="preserve"> </w:t>
      </w:r>
    </w:p>
    <w:p w14:paraId="52C3722D" w14:textId="77777777" w:rsidR="00814529" w:rsidRDefault="00CB77AD" w:rsidP="00A0611F">
      <w:pPr>
        <w:pStyle w:val="SNConsultation"/>
        <w:ind w:firstLine="0"/>
      </w:pPr>
      <w:r>
        <w:t xml:space="preserve">(4) proizvodnja</w:t>
      </w:r>
      <w:r>
        <w:t xml:space="preserve"> </w:t>
      </w:r>
    </w:p>
    <w:p w14:paraId="7CF39C3B" w14:textId="205DCF5E" w:rsidR="00CD3824" w:rsidRDefault="00F851F6" w:rsidP="00A0611F">
      <w:pPr>
        <w:pStyle w:val="SNConsultation"/>
        <w:ind w:firstLine="0"/>
      </w:pPr>
      <w:r>
        <w:t xml:space="preserve"> </w:t>
      </w:r>
      <w:r>
        <w:t xml:space="preserve">Za obutev, vključeno v odstavek (11) [tekstilni proizvodi] člena L. 541-10-1, so ti postopki naslednji:</w:t>
      </w:r>
    </w:p>
    <w:p w14:paraId="77FBC51D" w14:textId="49E90FBB" w:rsidR="00CD3824" w:rsidRDefault="00CD3824" w:rsidP="00A0611F">
      <w:pPr>
        <w:pStyle w:val="SNConsultation"/>
        <w:ind w:firstLine="0"/>
      </w:pPr>
      <w:r>
        <w:t xml:space="preserve">(1) proizvodnja surovin;</w:t>
      </w:r>
      <w:r>
        <w:t xml:space="preserve"> </w:t>
      </w:r>
    </w:p>
    <w:p w14:paraId="0BEF1ADE" w14:textId="0D0D56D2" w:rsidR="00CD3824" w:rsidRDefault="00CD3824" w:rsidP="00A0611F">
      <w:pPr>
        <w:pStyle w:val="SNConsultation"/>
        <w:ind w:firstLine="0"/>
      </w:pPr>
      <w:r>
        <w:t xml:space="preserve">(2) rezanje;</w:t>
      </w:r>
      <w:r>
        <w:t xml:space="preserve"> </w:t>
      </w:r>
    </w:p>
    <w:p w14:paraId="2953264B" w14:textId="53C8809E" w:rsidR="00CD3824" w:rsidRDefault="00CD3824" w:rsidP="00A0611F">
      <w:pPr>
        <w:pStyle w:val="SNConsultation"/>
        <w:ind w:firstLine="0"/>
      </w:pPr>
      <w:r>
        <w:t xml:space="preserve">(3) šivanje;</w:t>
      </w:r>
      <w:r>
        <w:t xml:space="preserve"> </w:t>
      </w:r>
    </w:p>
    <w:p w14:paraId="7C244636" w14:textId="3365746B" w:rsidR="00CD3824" w:rsidRDefault="00CD3824" w:rsidP="00A0611F">
      <w:pPr>
        <w:pStyle w:val="SNConsultation"/>
        <w:ind w:firstLine="0"/>
      </w:pPr>
      <w:r>
        <w:t xml:space="preserve">(4) sestavljanje;</w:t>
      </w:r>
    </w:p>
    <w:p w14:paraId="61219F8D" w14:textId="562FFA45" w:rsidR="00CD3824" w:rsidRPr="00517BD3" w:rsidRDefault="00CD3824" w:rsidP="00A0611F">
      <w:pPr>
        <w:pStyle w:val="SNConsultation"/>
        <w:ind w:firstLine="0"/>
      </w:pPr>
      <w:r>
        <w:t xml:space="preserve">(5) dokončanje.</w:t>
      </w:r>
    </w:p>
    <w:p w14:paraId="618969FF" w14:textId="09A11B43" w:rsidR="00A0611F" w:rsidRPr="00517BD3" w:rsidRDefault="00F851F6" w:rsidP="00A0611F">
      <w:pPr>
        <w:pStyle w:val="snconsultation0"/>
        <w:spacing w:before="120" w:beforeAutospacing="0" w:after="120" w:afterAutospacing="0"/>
        <w:jc w:val="both"/>
        <w:rPr>
          <w:rFonts w:eastAsia="Lucida Sans Unicode"/>
        </w:rPr>
      </w:pPr>
      <w:r>
        <w:t xml:space="preserve">Te informacije se za vsako fazo izrazijo v obliki sklica na državo, v kateri so bile opravljene.</w:t>
      </w:r>
    </w:p>
    <w:p w14:paraId="6FB44E46" w14:textId="4024711A" w:rsidR="00A0611F" w:rsidRDefault="00A0611F" w:rsidP="00A0611F">
      <w:pPr>
        <w:pStyle w:val="snconsultation0"/>
        <w:spacing w:before="120" w:beforeAutospacing="0" w:after="120" w:afterAutospacing="0"/>
        <w:jc w:val="both"/>
        <w:rPr>
          <w:rFonts w:eastAsia="Lucida Sans Unicode"/>
        </w:rPr>
      </w:pPr>
      <w:r>
        <w:t xml:space="preserve">„XI.– Informacije za potrošnike v zvezi s </w:t>
      </w:r>
      <w:r>
        <w:rPr>
          <w:b/>
          <w:bCs/>
        </w:rPr>
        <w:t xml:space="preserve">prisotnostjo</w:t>
      </w:r>
      <w:r>
        <w:t xml:space="preserve"> </w:t>
      </w:r>
      <w:r>
        <w:rPr>
          <w:b/>
        </w:rPr>
        <w:t xml:space="preserve">plastičnih mikrovlaken</w:t>
      </w:r>
      <w:r>
        <w:t xml:space="preserve"> v proizvodih, navedenih v odstavku (11) [tekstilni proizvodi] člena L. 541-10-1, se razumejo kot sorazmerna masa sintetičnih vlaken v proizvodu.</w:t>
      </w:r>
      <w:r>
        <w:t xml:space="preserve"> </w:t>
      </w:r>
      <w:r>
        <w:t xml:space="preserve">Te informacije so na voljo, če delež sintetičnih vlaken presega 50 %.</w:t>
      </w:r>
    </w:p>
    <w:p w14:paraId="732BD02F" w14:textId="77777777" w:rsidR="00A0611F" w:rsidRDefault="00A0611F" w:rsidP="00A0611F">
      <w:pPr>
        <w:pStyle w:val="snconsultation0"/>
        <w:spacing w:before="120" w:beforeAutospacing="0" w:after="120" w:afterAutospacing="0"/>
        <w:jc w:val="both"/>
        <w:rPr>
          <w:rFonts w:eastAsia="Lucida Sans Unicode"/>
        </w:rPr>
      </w:pPr>
      <w:r>
        <w:t xml:space="preserve">Izrazijo se z besedami „vnos plastičnih mikrovlaken v okolje med pranjem“.</w:t>
      </w:r>
    </w:p>
    <w:p w14:paraId="72DE858B" w14:textId="77777777" w:rsidR="00A0611F" w:rsidRDefault="00A0611F" w:rsidP="00A0611F">
      <w:pPr>
        <w:pStyle w:val="snconsultation0"/>
        <w:spacing w:before="120" w:beforeAutospacing="0" w:after="120" w:afterAutospacing="0"/>
        <w:jc w:val="both"/>
        <w:rPr>
          <w:rFonts w:eastAsia="Lucida Sans Unicode"/>
          <w:lang w:eastAsia="zh-CN"/>
        </w:rPr>
      </w:pPr>
    </w:p>
    <w:p w14:paraId="5DB62A0B" w14:textId="07051B30" w:rsidR="00A0611F" w:rsidRDefault="00D75CCE" w:rsidP="00A0611F">
      <w:pPr>
        <w:pStyle w:val="SNConsultation"/>
        <w:ind w:firstLine="0"/>
      </w:pPr>
      <w:r>
        <w:t xml:space="preserve">„Člen R. 541-222.- Proizvajalec, uvoznik ali druga stranka, ki daje proizvode iz člena R.541-221 na trg, da na voljo informacije o okoljskih lastnostih in značilnostih teh proizvodov ali kategorij proizvodov ter informacije o premijah in kaznih iz člena L. 541-10-3, ki jih proizvajalec plača na podlagi meril okoljske učinkovitosti.</w:t>
      </w:r>
      <w:r>
        <w:t xml:space="preserve"> </w:t>
      </w:r>
      <w:r>
        <w:t xml:space="preserve">To se da na voljo v brezpapirnem formatu, ki je v času nakupa brezplačno dostopen in se lahko ponovno uporabi na način, ki omogoča združevanje.</w:t>
      </w:r>
      <w:r>
        <w:t xml:space="preserve"> </w:t>
      </w:r>
      <w:r>
        <w:t xml:space="preserve">V ta namen proizvajalec ali uvoznik da na voljo informacije na namenski spletni strani s programskim vmesnikom.</w:t>
      </w:r>
      <w:r>
        <w:t xml:space="preserve"> </w:t>
      </w:r>
    </w:p>
    <w:p w14:paraId="1621FB5C" w14:textId="235E6D7F" w:rsidR="00531CE4" w:rsidRDefault="00D6632A" w:rsidP="00A0611F">
      <w:pPr>
        <w:pStyle w:val="SNConsultation"/>
        <w:ind w:firstLine="0"/>
      </w:pPr>
      <w:r>
        <w:t xml:space="preserve">V primeru snovi iz člena IX člena R. 541-221 se zagotavljanje takšnih informacij lahko opravi z vlogo, ki jo z odredbo določi minister za okolje.</w:t>
      </w:r>
      <w:r>
        <w:t xml:space="preserve"> </w:t>
      </w:r>
      <w:r>
        <w:t xml:space="preserve">Če se informacije dajo na voljo s takšno vlogo, če je treba vzpostaviti namensko spletno stran za vsaj eno drugo kakovost ali okoljsko značilnost, bi morala slednja navesti, da je do informacij o nevarnih snoveh mogoče dostopati prek aplikacije.</w:t>
      </w:r>
      <w:r>
        <w:t xml:space="preserve"> </w:t>
      </w:r>
      <w:r>
        <w:t xml:space="preserve">Na namenski spletni strani mora biti navedena neposredna povezava do aplikacije.</w:t>
      </w:r>
      <w:r>
        <w:t xml:space="preserve"> </w:t>
      </w:r>
      <w:r>
        <w:t xml:space="preserve">Dodatna sredstva za prikazovanje, bodisi fizična bodisi brezpapirna, ki so vidna ob nakupu, se lahko določijo z odredbo ministra, pristojnega za okolje, glede na lastnosti in značilnosti ter proizvode in kategorije proizvodov iz člena R. 541-221 ter podatke o premijah in kaznih iz člena L. 541-10-3.</w:t>
      </w:r>
      <w:r>
        <w:t xml:space="preserve"> </w:t>
      </w:r>
      <w:r>
        <w:t xml:space="preserve">V tem primeru proizvajalec ali uvoznik prodajalcu brezplačno posreduje informacije, potrebne za tak prikaz.</w:t>
      </w:r>
      <w:r>
        <w:t xml:space="preserve"> </w:t>
      </w:r>
    </w:p>
    <w:p w14:paraId="3FB9FCF6" w14:textId="549CAE16" w:rsidR="00D6632A" w:rsidRDefault="00D6632A" w:rsidP="00D6632A">
      <w:pPr>
        <w:pStyle w:val="SNConsultation"/>
        <w:ind w:firstLine="0"/>
      </w:pPr>
      <w:r>
        <w:t xml:space="preserve">Informacije so na voljo največ dve leti potem, ko je bila na trg dana zadnja enota zadevnega proizvoda.</w:t>
      </w:r>
      <w:r>
        <w:t xml:space="preserve"> </w:t>
      </w:r>
    </w:p>
    <w:p w14:paraId="7F312AF1" w14:textId="5365C9F9" w:rsidR="00A0611F" w:rsidRDefault="00A0611F" w:rsidP="00A0611F">
      <w:pPr>
        <w:pStyle w:val="SNConsultation"/>
        <w:ind w:firstLine="0"/>
      </w:pPr>
      <w:r>
        <w:t xml:space="preserve">Vsak prostovoljni fizični prikaz v zvezi s temi okoljskimi lastnostmi in značilnostmi je v skladu z opredelitvami iz oddelka R. 541-221.</w:t>
      </w:r>
      <w:r>
        <w:t xml:space="preserve"> </w:t>
      </w:r>
    </w:p>
    <w:p w14:paraId="1C4965C0" w14:textId="432B6E2B" w:rsidR="00A0611F" w:rsidRDefault="00A0611F" w:rsidP="00A0611F">
      <w:pPr>
        <w:pStyle w:val="SNConsultation"/>
        <w:ind w:firstLine="0"/>
      </w:pPr>
      <w:r>
        <w:t xml:space="preserve">Ureditev obveščanja iz tega člena se ne uporablja za okoljske lastnosti in značilnosti, opredeljene v I in IV člena R. 541-221.</w:t>
      </w:r>
    </w:p>
    <w:p w14:paraId="46D13684" w14:textId="77777777" w:rsidR="00A0611F" w:rsidRDefault="00A0611F" w:rsidP="00A0611F">
      <w:pPr>
        <w:pStyle w:val="SNConsultation"/>
        <w:ind w:firstLine="0"/>
      </w:pPr>
    </w:p>
    <w:p w14:paraId="6922BEF3" w14:textId="6308F134" w:rsidR="00350FE8" w:rsidRDefault="00D75CCE" w:rsidP="00A0611F">
      <w:pPr>
        <w:pStyle w:val="Corpsdetexte"/>
        <w:keepNext/>
        <w:keepLines/>
      </w:pPr>
      <w:r>
        <w:t xml:space="preserve">„Člen R. 541-223.- Obveznosti obveščanja potrošnikov iz členov R. 541-221 in R. 541-222 veljajo za proizvajalce in uvoznike, ki prijavijo letni promet v višini več kot 50 milijonov EUR za proizvode iz člena R. 541-221, ki jih dajo na nacionalni trg.</w:t>
      </w:r>
    </w:p>
    <w:p w14:paraId="46A735A9" w14:textId="43A51871" w:rsidR="00350FE8" w:rsidRDefault="00350FE8" w:rsidP="00350FE8">
      <w:pPr>
        <w:pStyle w:val="Corpsdetexte"/>
        <w:keepNext/>
      </w:pPr>
      <w:r>
        <w:t xml:space="preserve">Od 1. januarja 2024 se obveznosti obveščanja potrošnikov iz členov R. 541-221 in R. 541-222 uporabljajo za proizvajalce in uvoznike, ki prijavijo letni promet v višini več kot 20 milijonov EUR za proizvode iz člena R. 541-221, ki jih dajo na nacionalni trg.</w:t>
      </w:r>
    </w:p>
    <w:p w14:paraId="750470DA" w14:textId="77777777" w:rsidR="00350FE8" w:rsidRDefault="00350FE8" w:rsidP="00A0611F">
      <w:pPr>
        <w:pStyle w:val="Corpsdetexte"/>
        <w:keepNext/>
        <w:keepLines/>
        <w:rPr>
          <w:lang w:val="fr-FR"/>
        </w:rPr>
      </w:pPr>
    </w:p>
    <w:p w14:paraId="606FF564" w14:textId="53BBF7C4" w:rsidR="00C15919" w:rsidRPr="00130204" w:rsidRDefault="00D75CCE" w:rsidP="00A0611F">
      <w:pPr>
        <w:pStyle w:val="Corpsdetexte"/>
        <w:keepNext/>
        <w:keepLines/>
        <w:rPr>
          <w:rFonts w:eastAsia="Lucida Sans Unicode"/>
        </w:rPr>
      </w:pPr>
      <w:r>
        <w:t xml:space="preserve">„Člen R. 541-224.- Prepovedano je, da se na proizvod ali embalažo vključijo besede „biorazgradljivo“, “okolju prijazno“ ali katere koli druge enakovredne besede.</w:t>
      </w:r>
      <w:r>
        <w:t xml:space="preserve">  </w:t>
      </w:r>
    </w:p>
    <w:p w14:paraId="249D5C7C" w14:textId="77777777" w:rsidR="00A0611F" w:rsidRDefault="00A0611F" w:rsidP="00A0611F">
      <w:pPr>
        <w:pStyle w:val="Corpsdetexte"/>
        <w:keepNext/>
        <w:keepLines/>
        <w:rPr>
          <w:lang w:val="fr-FR"/>
        </w:rPr>
      </w:pPr>
    </w:p>
    <w:p w14:paraId="43F1BFFD" w14:textId="77777777" w:rsidR="00A0611F" w:rsidRPr="00C16AC7" w:rsidRDefault="00A0611F" w:rsidP="00A0611F">
      <w:pPr>
        <w:pStyle w:val="Corpsdetexte"/>
        <w:keepNext/>
        <w:keepLines/>
        <w:jc w:val="center"/>
        <w:rPr>
          <w:b/>
        </w:rPr>
      </w:pPr>
      <w:r>
        <w:rPr>
          <w:b/>
        </w:rPr>
        <w:t xml:space="preserve">Člen 2. Začetek veljavnosti</w:t>
      </w:r>
    </w:p>
    <w:p w14:paraId="2C5F1691" w14:textId="4F965230" w:rsidR="00A0611F" w:rsidRDefault="00A0611F" w:rsidP="00A0611F">
      <w:pPr>
        <w:pStyle w:val="Corpsdetexte"/>
        <w:keepNext/>
        <w:keepLines/>
      </w:pPr>
      <w:r>
        <w:t xml:space="preserve">Določbe te uredbe začnejo veljati 1. januarja 2022.</w:t>
      </w:r>
    </w:p>
    <w:p w14:paraId="09FC613F" w14:textId="77777777" w:rsidR="00A0611F" w:rsidRPr="00D52AA5" w:rsidRDefault="00A0611F" w:rsidP="00A0611F">
      <w:pPr>
        <w:pStyle w:val="Corpsdetexte"/>
        <w:keepNext/>
        <w:keepLines/>
        <w:rPr>
          <w:lang w:val="fr-FR"/>
        </w:rPr>
      </w:pPr>
    </w:p>
    <w:p w14:paraId="322B518E" w14:textId="77777777" w:rsidR="00A0611F" w:rsidRPr="00C16AC7" w:rsidRDefault="00A0611F" w:rsidP="00A0611F">
      <w:pPr>
        <w:pStyle w:val="SNArticle"/>
        <w:spacing w:before="240"/>
        <w:rPr>
          <w:bCs w:val="0"/>
        </w:rPr>
      </w:pPr>
      <w:r>
        <w:t xml:space="preserve">Člen 3. Izvajanje</w:t>
      </w:r>
    </w:p>
    <w:p w14:paraId="42E479BF" w14:textId="77777777" w:rsidR="00A0611F" w:rsidRDefault="00A0611F" w:rsidP="00A0611F">
      <w:pPr>
        <w:pStyle w:val="SNArticle"/>
        <w:spacing w:before="240"/>
        <w:jc w:val="both"/>
        <w:rPr>
          <w:b w:val="0"/>
        </w:rPr>
      </w:pPr>
      <w:r>
        <w:rPr>
          <w:b w:val="0"/>
        </w:rPr>
        <w:t xml:space="preserve">Ministrica za ekološki prehod ter minister za gospodarstvo, finance in okrevanje sta vsak v skladu s svojimi pristojnostmi odgovorna za izvajanje te uredbe, ki bo objavljena v </w:t>
      </w:r>
      <w:r>
        <w:rPr>
          <w:b w:val="0"/>
          <w:i/>
          <w:iCs/>
        </w:rPr>
        <w:t xml:space="preserve">Uradnem listu</w:t>
      </w:r>
      <w:r>
        <w:rPr>
          <w:b w:val="0"/>
        </w:rPr>
        <w:t xml:space="preserve"> Francoske republike.</w:t>
      </w:r>
      <w:r>
        <w:rPr>
          <w:b w:val="0"/>
        </w:rPr>
        <w:t xml:space="preserve"> </w:t>
      </w:r>
    </w:p>
    <w:p w14:paraId="521F60F6" w14:textId="77777777" w:rsidR="00A0611F" w:rsidRDefault="00A0611F" w:rsidP="00A0611F">
      <w:pPr>
        <w:pStyle w:val="SNArticle"/>
        <w:spacing w:before="240"/>
        <w:jc w:val="both"/>
        <w:rPr>
          <w:b w:val="0"/>
        </w:rPr>
      </w:pPr>
    </w:p>
    <w:p w14:paraId="49C8F301" w14:textId="72015A28" w:rsidR="009A124C" w:rsidRDefault="00F6536A" w:rsidP="00F834A5">
      <w:pPr>
        <w:suppressAutoHyphens w:val="0"/>
      </w:pPr>
      <w:r>
        <w:br w:type="page"/>
      </w:r>
      <w:r>
        <w:t xml:space="preserve">Podpisano dne [datum]</w:t>
      </w:r>
    </w:p>
    <w:p w14:paraId="7A812575" w14:textId="77777777" w:rsidR="003B3353" w:rsidRPr="00C16AC7" w:rsidRDefault="003B3353" w:rsidP="003B3353">
      <w:pPr>
        <w:pStyle w:val="SNDate"/>
        <w:spacing w:before="0" w:after="0"/>
        <w:ind w:firstLine="0"/>
      </w:pPr>
    </w:p>
    <w:p w14:paraId="274CBA4C" w14:textId="77777777" w:rsidR="003B3353" w:rsidRDefault="005A5DF2" w:rsidP="003B3353">
      <w:pPr>
        <w:pStyle w:val="SNDate"/>
        <w:spacing w:before="0" w:after="0"/>
        <w:ind w:firstLine="0"/>
        <w:jc w:val="left"/>
      </w:pPr>
      <w:r>
        <w:t xml:space="preserve">Predsednik vlade:</w:t>
      </w:r>
    </w:p>
    <w:p w14:paraId="2A6EC749" w14:textId="5F63F38B" w:rsidR="003B3353" w:rsidRDefault="003B3353" w:rsidP="003B3353">
      <w:pPr>
        <w:pStyle w:val="SNDate"/>
        <w:spacing w:before="0" w:after="0"/>
        <w:ind w:firstLine="0"/>
        <w:jc w:val="left"/>
      </w:pPr>
      <w:r>
        <w:t xml:space="preserve">Jean Castex</w:t>
      </w:r>
      <w:r>
        <w:br/>
      </w:r>
      <w:r>
        <w:br/>
      </w:r>
      <w:r>
        <w:t xml:space="preserve">Ministrica za okoljski prehod,</w:t>
      </w:r>
      <w:r>
        <w:br/>
      </w:r>
      <w:r>
        <w:t xml:space="preserve">Barbara POMPILI</w:t>
      </w:r>
    </w:p>
    <w:p w14:paraId="3BC92D43" w14:textId="77777777" w:rsidR="00D52AA5" w:rsidRDefault="004A0F51" w:rsidP="003B3353">
      <w:pPr>
        <w:pStyle w:val="SNDate"/>
        <w:spacing w:before="0" w:after="0"/>
        <w:ind w:firstLine="0"/>
        <w:jc w:val="right"/>
      </w:pPr>
      <w:r>
        <w:t xml:space="preserve">Minister za gospodarstvo, finance in okrevanje</w:t>
      </w:r>
    </w:p>
    <w:p w14:paraId="2766AF55" w14:textId="7002707B" w:rsidR="00FF3312" w:rsidRDefault="00F35D14" w:rsidP="003B3353">
      <w:pPr>
        <w:pStyle w:val="SNDate"/>
        <w:spacing w:before="0" w:after="0"/>
        <w:ind w:firstLine="0"/>
        <w:jc w:val="right"/>
      </w:pPr>
      <w:r>
        <w:t xml:space="preserve">Bruno LE MAIRE</w:t>
      </w:r>
    </w:p>
    <w:p w14:paraId="6E0D18CA" w14:textId="77777777" w:rsidR="00F6272E" w:rsidRDefault="00F6272E" w:rsidP="003B3353">
      <w:pPr>
        <w:suppressAutoHyphens w:val="0"/>
      </w:pPr>
    </w:p>
    <w:p w14:paraId="2AA9E840" w14:textId="03816832" w:rsidR="000D0435" w:rsidRDefault="000D0435">
      <w:pPr>
        <w:suppressAutoHyphens w:val="0"/>
      </w:pPr>
    </w:p>
    <w:sectPr w:rsidR="000D0435" w:rsidSect="003B3353">
      <w:footerReference w:type="default" r:id="rId9"/>
      <w:pgSz w:w="11906" w:h="16838"/>
      <w:pgMar w:top="1440" w:right="1080" w:bottom="1440" w:left="1080"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B45FB" w14:textId="77777777" w:rsidR="0002121C" w:rsidRDefault="0002121C">
      <w:r>
        <w:separator/>
      </w:r>
    </w:p>
  </w:endnote>
  <w:endnote w:type="continuationSeparator" w:id="0">
    <w:p w14:paraId="6C19FFB8" w14:textId="77777777" w:rsidR="0002121C" w:rsidRDefault="0002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31255"/>
      <w:docPartObj>
        <w:docPartGallery w:val="Page Numbers (Bottom of Page)"/>
        <w:docPartUnique/>
      </w:docPartObj>
    </w:sdtPr>
    <w:sdtEndPr/>
    <w:sdtContent>
      <w:p w14:paraId="309B78E2" w14:textId="4152C99E" w:rsidR="00A6698F" w:rsidRDefault="00A6698F">
        <w:pPr>
          <w:pStyle w:val="Pieddepage"/>
          <w:jc w:val="right"/>
        </w:pPr>
        <w:r>
          <w:fldChar w:fldCharType="begin"/>
        </w:r>
        <w:r>
          <w:instrText>PAGE   \* MERGEFORMAT</w:instrText>
        </w:r>
        <w:r>
          <w:fldChar w:fldCharType="separate"/>
        </w:r>
        <w:r w:rsidR="004902C5" w:rsidRPr="004902C5">
          <w:t>8</w:t>
        </w:r>
        <w:r>
          <w:fldChar w:fldCharType="end"/>
        </w:r>
      </w:p>
    </w:sdtContent>
  </w:sdt>
  <w:p w14:paraId="14D5D221" w14:textId="17EE6B6A" w:rsidR="00D13111" w:rsidRDefault="00D13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6F68" w14:textId="77777777" w:rsidR="0002121C" w:rsidRDefault="0002121C">
      <w:r>
        <w:separator/>
      </w:r>
    </w:p>
  </w:footnote>
  <w:footnote w:type="continuationSeparator" w:id="0">
    <w:p w14:paraId="352A95D0" w14:textId="77777777" w:rsidR="0002121C" w:rsidRDefault="0002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633B"/>
    <w:multiLevelType w:val="hybridMultilevel"/>
    <w:tmpl w:val="1DE05C5C"/>
    <w:lvl w:ilvl="0" w:tplc="97D095D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11A89"/>
    <w:multiLevelType w:val="hybridMultilevel"/>
    <w:tmpl w:val="4F943A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A484F"/>
    <w:multiLevelType w:val="hybridMultilevel"/>
    <w:tmpl w:val="0FE8B6C4"/>
    <w:lvl w:ilvl="0" w:tplc="30B01BF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E179F"/>
    <w:multiLevelType w:val="hybridMultilevel"/>
    <w:tmpl w:val="66E25180"/>
    <w:lvl w:ilvl="0" w:tplc="250A52BC">
      <w:start w:val="1"/>
      <w:numFmt w:val="upperRoman"/>
      <w:lvlText w:val="%1."/>
      <w:lvlJc w:val="left"/>
      <w:pPr>
        <w:ind w:left="770" w:hanging="720"/>
      </w:pPr>
      <w:rPr>
        <w:rFonts w:cs="Times LT Std"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4" w15:restartNumberingAfterBreak="0">
    <w:nsid w:val="12335244"/>
    <w:multiLevelType w:val="hybridMultilevel"/>
    <w:tmpl w:val="5A5833F2"/>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A0409"/>
    <w:multiLevelType w:val="hybridMultilevel"/>
    <w:tmpl w:val="D34EEAB0"/>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C5F94"/>
    <w:multiLevelType w:val="multilevel"/>
    <w:tmpl w:val="07CA34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65576E"/>
    <w:multiLevelType w:val="hybridMultilevel"/>
    <w:tmpl w:val="A4724692"/>
    <w:lvl w:ilvl="0" w:tplc="15C22576">
      <w:numFmt w:val="bullet"/>
      <w:lvlText w:val="-"/>
      <w:lvlJc w:val="left"/>
      <w:pPr>
        <w:ind w:left="1069" w:hanging="360"/>
      </w:pPr>
      <w:rPr>
        <w:rFonts w:ascii="Times New Roman" w:eastAsia="Lucida Sans Unicode"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229604D9"/>
    <w:multiLevelType w:val="hybridMultilevel"/>
    <w:tmpl w:val="5C965D80"/>
    <w:lvl w:ilvl="0" w:tplc="530EA7F0">
      <w:start w:val="3"/>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047BC"/>
    <w:multiLevelType w:val="hybridMultilevel"/>
    <w:tmpl w:val="40D6B79E"/>
    <w:lvl w:ilvl="0" w:tplc="530EA7F0">
      <w:start w:val="3"/>
      <w:numFmt w:val="bullet"/>
      <w:lvlText w:val="-"/>
      <w:lvlJc w:val="left"/>
      <w:pPr>
        <w:ind w:left="360" w:firstLine="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6E70B4"/>
    <w:multiLevelType w:val="hybridMultilevel"/>
    <w:tmpl w:val="14EA9A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474A5C"/>
    <w:multiLevelType w:val="hybridMultilevel"/>
    <w:tmpl w:val="980EB580"/>
    <w:lvl w:ilvl="0" w:tplc="FFB2E33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9A21BE"/>
    <w:multiLevelType w:val="multilevel"/>
    <w:tmpl w:val="6A96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582044"/>
    <w:multiLevelType w:val="multilevel"/>
    <w:tmpl w:val="335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92E3D"/>
    <w:multiLevelType w:val="hybridMultilevel"/>
    <w:tmpl w:val="23D88FFE"/>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FC1E84"/>
    <w:multiLevelType w:val="hybridMultilevel"/>
    <w:tmpl w:val="E9BA39CC"/>
    <w:lvl w:ilvl="0" w:tplc="55D2BF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D208A1"/>
    <w:multiLevelType w:val="hybridMultilevel"/>
    <w:tmpl w:val="9B164052"/>
    <w:lvl w:ilvl="0" w:tplc="C52E1C42">
      <w:start w:val="3"/>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AA768D"/>
    <w:multiLevelType w:val="hybridMultilevel"/>
    <w:tmpl w:val="FAF2B910"/>
    <w:lvl w:ilvl="0" w:tplc="747C5A3A">
      <w:start w:val="178"/>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22CF2"/>
    <w:multiLevelType w:val="hybridMultilevel"/>
    <w:tmpl w:val="651C43C4"/>
    <w:lvl w:ilvl="0" w:tplc="3CE20EA0">
      <w:start w:val="3"/>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D91AE6"/>
    <w:multiLevelType w:val="multilevel"/>
    <w:tmpl w:val="3D2A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21C6E"/>
    <w:multiLevelType w:val="hybridMultilevel"/>
    <w:tmpl w:val="47946C42"/>
    <w:lvl w:ilvl="0" w:tplc="83BAE13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2948DB"/>
    <w:multiLevelType w:val="hybridMultilevel"/>
    <w:tmpl w:val="37F89ACE"/>
    <w:lvl w:ilvl="0" w:tplc="4CEC6AB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232A7"/>
    <w:multiLevelType w:val="hybridMultilevel"/>
    <w:tmpl w:val="DD98A3F6"/>
    <w:lvl w:ilvl="0" w:tplc="D5FCD206">
      <w:numFmt w:val="bullet"/>
      <w:lvlText w:val="-"/>
      <w:lvlJc w:val="left"/>
      <w:pPr>
        <w:ind w:left="720" w:hanging="360"/>
      </w:pPr>
      <w:rPr>
        <w:rFonts w:ascii="Times New Roman" w:eastAsia="Lucida Sans Unicode"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3C5E8D"/>
    <w:multiLevelType w:val="hybridMultilevel"/>
    <w:tmpl w:val="391EA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C66A59"/>
    <w:multiLevelType w:val="hybridMultilevel"/>
    <w:tmpl w:val="14E86500"/>
    <w:lvl w:ilvl="0" w:tplc="EEE2199E">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6" w15:restartNumberingAfterBreak="0">
    <w:nsid w:val="627A3492"/>
    <w:multiLevelType w:val="hybridMultilevel"/>
    <w:tmpl w:val="1C125838"/>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75203C"/>
    <w:multiLevelType w:val="multilevel"/>
    <w:tmpl w:val="AD201516"/>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5803C24"/>
    <w:multiLevelType w:val="hybridMultilevel"/>
    <w:tmpl w:val="E20C7D8C"/>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CD3E1A"/>
    <w:multiLevelType w:val="hybridMultilevel"/>
    <w:tmpl w:val="59AEF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925AE9"/>
    <w:multiLevelType w:val="hybridMultilevel"/>
    <w:tmpl w:val="0A76965C"/>
    <w:lvl w:ilvl="0" w:tplc="20E8BF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B91383"/>
    <w:multiLevelType w:val="hybridMultilevel"/>
    <w:tmpl w:val="5F6E8F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613D26"/>
    <w:multiLevelType w:val="multilevel"/>
    <w:tmpl w:val="5CA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0"/>
  </w:num>
  <w:num w:numId="4">
    <w:abstractNumId w:val="3"/>
  </w:num>
  <w:num w:numId="5">
    <w:abstractNumId w:val="7"/>
  </w:num>
  <w:num w:numId="6">
    <w:abstractNumId w:val="32"/>
  </w:num>
  <w:num w:numId="7">
    <w:abstractNumId w:val="24"/>
  </w:num>
  <w:num w:numId="8">
    <w:abstractNumId w:val="22"/>
  </w:num>
  <w:num w:numId="9">
    <w:abstractNumId w:val="16"/>
  </w:num>
  <w:num w:numId="10">
    <w:abstractNumId w:val="4"/>
  </w:num>
  <w:num w:numId="11">
    <w:abstractNumId w:val="12"/>
  </w:num>
  <w:num w:numId="12">
    <w:abstractNumId w:val="18"/>
  </w:num>
  <w:num w:numId="13">
    <w:abstractNumId w:val="9"/>
  </w:num>
  <w:num w:numId="14">
    <w:abstractNumId w:val="8"/>
  </w:num>
  <w:num w:numId="15">
    <w:abstractNumId w:val="26"/>
  </w:num>
  <w:num w:numId="16">
    <w:abstractNumId w:val="5"/>
  </w:num>
  <w:num w:numId="17">
    <w:abstractNumId w:val="28"/>
  </w:num>
  <w:num w:numId="18">
    <w:abstractNumId w:val="23"/>
  </w:num>
  <w:num w:numId="19">
    <w:abstractNumId w:val="29"/>
  </w:num>
  <w:num w:numId="20">
    <w:abstractNumId w:val="14"/>
  </w:num>
  <w:num w:numId="21">
    <w:abstractNumId w:val="1"/>
  </w:num>
  <w:num w:numId="22">
    <w:abstractNumId w:val="17"/>
  </w:num>
  <w:num w:numId="23">
    <w:abstractNumId w:val="13"/>
  </w:num>
  <w:num w:numId="24">
    <w:abstractNumId w:val="19"/>
  </w:num>
  <w:num w:numId="25">
    <w:abstractNumId w:val="31"/>
  </w:num>
  <w:num w:numId="26">
    <w:abstractNumId w:val="25"/>
  </w:num>
  <w:num w:numId="27">
    <w:abstractNumId w:val="20"/>
  </w:num>
  <w:num w:numId="28">
    <w:abstractNumId w:val="11"/>
  </w:num>
  <w:num w:numId="29">
    <w:abstractNumId w:val="10"/>
  </w:num>
  <w:num w:numId="30">
    <w:abstractNumId w:val="15"/>
  </w:num>
  <w:num w:numId="31">
    <w:abstractNumId w:val="21"/>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dirty" w:grammar="dirty"/>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4C"/>
    <w:rsid w:val="000000B8"/>
    <w:rsid w:val="000029F1"/>
    <w:rsid w:val="0000467E"/>
    <w:rsid w:val="00006763"/>
    <w:rsid w:val="0001208B"/>
    <w:rsid w:val="00012B2A"/>
    <w:rsid w:val="00014570"/>
    <w:rsid w:val="00014DD9"/>
    <w:rsid w:val="00014E0B"/>
    <w:rsid w:val="00017815"/>
    <w:rsid w:val="0002121C"/>
    <w:rsid w:val="000214ED"/>
    <w:rsid w:val="00021518"/>
    <w:rsid w:val="000244A4"/>
    <w:rsid w:val="00031601"/>
    <w:rsid w:val="00034021"/>
    <w:rsid w:val="000366AF"/>
    <w:rsid w:val="00040974"/>
    <w:rsid w:val="00040D14"/>
    <w:rsid w:val="00042A22"/>
    <w:rsid w:val="0004418F"/>
    <w:rsid w:val="00044BD2"/>
    <w:rsid w:val="000452EB"/>
    <w:rsid w:val="000455D7"/>
    <w:rsid w:val="00047B30"/>
    <w:rsid w:val="000511DD"/>
    <w:rsid w:val="00052E67"/>
    <w:rsid w:val="00056BA9"/>
    <w:rsid w:val="00064339"/>
    <w:rsid w:val="00065814"/>
    <w:rsid w:val="00067CF1"/>
    <w:rsid w:val="00070B3B"/>
    <w:rsid w:val="00073188"/>
    <w:rsid w:val="0007383E"/>
    <w:rsid w:val="00074679"/>
    <w:rsid w:val="0007715C"/>
    <w:rsid w:val="00083E60"/>
    <w:rsid w:val="000845C2"/>
    <w:rsid w:val="00090D07"/>
    <w:rsid w:val="00093C6B"/>
    <w:rsid w:val="000A26C0"/>
    <w:rsid w:val="000A37F2"/>
    <w:rsid w:val="000A405A"/>
    <w:rsid w:val="000A5EE2"/>
    <w:rsid w:val="000B1542"/>
    <w:rsid w:val="000B16AD"/>
    <w:rsid w:val="000B281E"/>
    <w:rsid w:val="000B29C9"/>
    <w:rsid w:val="000B740A"/>
    <w:rsid w:val="000C090F"/>
    <w:rsid w:val="000C0D91"/>
    <w:rsid w:val="000C399B"/>
    <w:rsid w:val="000C70C2"/>
    <w:rsid w:val="000D0435"/>
    <w:rsid w:val="000D3FA8"/>
    <w:rsid w:val="000D4577"/>
    <w:rsid w:val="000E02EB"/>
    <w:rsid w:val="000E3122"/>
    <w:rsid w:val="000F0888"/>
    <w:rsid w:val="000F120D"/>
    <w:rsid w:val="000F22BE"/>
    <w:rsid w:val="000F4F0F"/>
    <w:rsid w:val="000F502F"/>
    <w:rsid w:val="001017E4"/>
    <w:rsid w:val="00101AEB"/>
    <w:rsid w:val="0010308D"/>
    <w:rsid w:val="00103CF6"/>
    <w:rsid w:val="0010592D"/>
    <w:rsid w:val="00105CA6"/>
    <w:rsid w:val="001140D5"/>
    <w:rsid w:val="001148F1"/>
    <w:rsid w:val="00120E3F"/>
    <w:rsid w:val="001223B5"/>
    <w:rsid w:val="00126E15"/>
    <w:rsid w:val="00130204"/>
    <w:rsid w:val="0013146B"/>
    <w:rsid w:val="00134E29"/>
    <w:rsid w:val="00140866"/>
    <w:rsid w:val="00141BB3"/>
    <w:rsid w:val="0014431A"/>
    <w:rsid w:val="0014539B"/>
    <w:rsid w:val="001517BD"/>
    <w:rsid w:val="0015356C"/>
    <w:rsid w:val="001549C3"/>
    <w:rsid w:val="001570C9"/>
    <w:rsid w:val="001605B3"/>
    <w:rsid w:val="001610D5"/>
    <w:rsid w:val="00161495"/>
    <w:rsid w:val="00163010"/>
    <w:rsid w:val="00167095"/>
    <w:rsid w:val="0017591E"/>
    <w:rsid w:val="00180301"/>
    <w:rsid w:val="00181E54"/>
    <w:rsid w:val="00182A3A"/>
    <w:rsid w:val="001839C8"/>
    <w:rsid w:val="00184383"/>
    <w:rsid w:val="00186299"/>
    <w:rsid w:val="0018777F"/>
    <w:rsid w:val="00193D65"/>
    <w:rsid w:val="00194ABF"/>
    <w:rsid w:val="001A261E"/>
    <w:rsid w:val="001A72DA"/>
    <w:rsid w:val="001B1359"/>
    <w:rsid w:val="001B55C3"/>
    <w:rsid w:val="001B5BAE"/>
    <w:rsid w:val="001B5CBF"/>
    <w:rsid w:val="001B75FC"/>
    <w:rsid w:val="001C3A24"/>
    <w:rsid w:val="001C40F2"/>
    <w:rsid w:val="001C5BEE"/>
    <w:rsid w:val="001D5FB4"/>
    <w:rsid w:val="001D61CF"/>
    <w:rsid w:val="001E2532"/>
    <w:rsid w:val="001E2A72"/>
    <w:rsid w:val="001E335E"/>
    <w:rsid w:val="001E4715"/>
    <w:rsid w:val="001F0053"/>
    <w:rsid w:val="001F1200"/>
    <w:rsid w:val="001F2519"/>
    <w:rsid w:val="001F5614"/>
    <w:rsid w:val="00201787"/>
    <w:rsid w:val="00203E46"/>
    <w:rsid w:val="002067EC"/>
    <w:rsid w:val="002073DA"/>
    <w:rsid w:val="002079C7"/>
    <w:rsid w:val="00215482"/>
    <w:rsid w:val="002170E6"/>
    <w:rsid w:val="00217E2F"/>
    <w:rsid w:val="002220DE"/>
    <w:rsid w:val="00223E09"/>
    <w:rsid w:val="0022492F"/>
    <w:rsid w:val="00224A9A"/>
    <w:rsid w:val="002260AC"/>
    <w:rsid w:val="00227BC9"/>
    <w:rsid w:val="00230831"/>
    <w:rsid w:val="00231C47"/>
    <w:rsid w:val="0023700E"/>
    <w:rsid w:val="00237535"/>
    <w:rsid w:val="002430D3"/>
    <w:rsid w:val="002460F9"/>
    <w:rsid w:val="00246797"/>
    <w:rsid w:val="002535B7"/>
    <w:rsid w:val="00256747"/>
    <w:rsid w:val="00271C17"/>
    <w:rsid w:val="00272DC3"/>
    <w:rsid w:val="002731A9"/>
    <w:rsid w:val="002731EF"/>
    <w:rsid w:val="00275404"/>
    <w:rsid w:val="00275B56"/>
    <w:rsid w:val="00282EAE"/>
    <w:rsid w:val="002871A7"/>
    <w:rsid w:val="002903D5"/>
    <w:rsid w:val="002915F2"/>
    <w:rsid w:val="00291A0B"/>
    <w:rsid w:val="00295D03"/>
    <w:rsid w:val="00296852"/>
    <w:rsid w:val="002A1D87"/>
    <w:rsid w:val="002A3561"/>
    <w:rsid w:val="002A3909"/>
    <w:rsid w:val="002A4DAB"/>
    <w:rsid w:val="002B330D"/>
    <w:rsid w:val="002B363C"/>
    <w:rsid w:val="002B6530"/>
    <w:rsid w:val="002B66D8"/>
    <w:rsid w:val="002C0C41"/>
    <w:rsid w:val="002C1EEE"/>
    <w:rsid w:val="002C1F33"/>
    <w:rsid w:val="002C7C36"/>
    <w:rsid w:val="002D6B74"/>
    <w:rsid w:val="002E09DD"/>
    <w:rsid w:val="002E1D14"/>
    <w:rsid w:val="002E2946"/>
    <w:rsid w:val="002E39DA"/>
    <w:rsid w:val="002E51D9"/>
    <w:rsid w:val="002E55AF"/>
    <w:rsid w:val="002E57B2"/>
    <w:rsid w:val="002E7128"/>
    <w:rsid w:val="002F2FA7"/>
    <w:rsid w:val="002F4E83"/>
    <w:rsid w:val="002F580A"/>
    <w:rsid w:val="003075B5"/>
    <w:rsid w:val="00310081"/>
    <w:rsid w:val="00310B80"/>
    <w:rsid w:val="00311180"/>
    <w:rsid w:val="00311C97"/>
    <w:rsid w:val="00311EB6"/>
    <w:rsid w:val="00312D09"/>
    <w:rsid w:val="00312E95"/>
    <w:rsid w:val="00314946"/>
    <w:rsid w:val="003212CF"/>
    <w:rsid w:val="003214F2"/>
    <w:rsid w:val="00322858"/>
    <w:rsid w:val="00323A3F"/>
    <w:rsid w:val="00325082"/>
    <w:rsid w:val="003256D3"/>
    <w:rsid w:val="00330D1C"/>
    <w:rsid w:val="00333C9A"/>
    <w:rsid w:val="00333CC4"/>
    <w:rsid w:val="003344FD"/>
    <w:rsid w:val="00334870"/>
    <w:rsid w:val="00334F16"/>
    <w:rsid w:val="003367BD"/>
    <w:rsid w:val="003410B1"/>
    <w:rsid w:val="003474CD"/>
    <w:rsid w:val="003503E2"/>
    <w:rsid w:val="00350FE8"/>
    <w:rsid w:val="00354B47"/>
    <w:rsid w:val="003571C3"/>
    <w:rsid w:val="00365128"/>
    <w:rsid w:val="003717E3"/>
    <w:rsid w:val="003719E8"/>
    <w:rsid w:val="003726DA"/>
    <w:rsid w:val="0037436B"/>
    <w:rsid w:val="003756E4"/>
    <w:rsid w:val="00376681"/>
    <w:rsid w:val="003803EE"/>
    <w:rsid w:val="003812D3"/>
    <w:rsid w:val="003903ED"/>
    <w:rsid w:val="0039122E"/>
    <w:rsid w:val="003A1E4F"/>
    <w:rsid w:val="003A4931"/>
    <w:rsid w:val="003A4FDB"/>
    <w:rsid w:val="003A6282"/>
    <w:rsid w:val="003B3353"/>
    <w:rsid w:val="003B4AAD"/>
    <w:rsid w:val="003B51A4"/>
    <w:rsid w:val="003B5E3E"/>
    <w:rsid w:val="003C1315"/>
    <w:rsid w:val="003C1B21"/>
    <w:rsid w:val="003C1E05"/>
    <w:rsid w:val="003C2E20"/>
    <w:rsid w:val="003C3740"/>
    <w:rsid w:val="003D09E5"/>
    <w:rsid w:val="003D327E"/>
    <w:rsid w:val="003D34F5"/>
    <w:rsid w:val="003D46AC"/>
    <w:rsid w:val="003D4EE8"/>
    <w:rsid w:val="003D6CAC"/>
    <w:rsid w:val="003E5023"/>
    <w:rsid w:val="003F00B8"/>
    <w:rsid w:val="003F093C"/>
    <w:rsid w:val="003F138C"/>
    <w:rsid w:val="003F7B2A"/>
    <w:rsid w:val="003F7E34"/>
    <w:rsid w:val="004030E9"/>
    <w:rsid w:val="00403736"/>
    <w:rsid w:val="00406976"/>
    <w:rsid w:val="004079B1"/>
    <w:rsid w:val="0041062E"/>
    <w:rsid w:val="00410AF3"/>
    <w:rsid w:val="00412CF8"/>
    <w:rsid w:val="00415238"/>
    <w:rsid w:val="00417BE0"/>
    <w:rsid w:val="004217F3"/>
    <w:rsid w:val="00423886"/>
    <w:rsid w:val="004249EE"/>
    <w:rsid w:val="00425012"/>
    <w:rsid w:val="00426148"/>
    <w:rsid w:val="00426439"/>
    <w:rsid w:val="00427BE9"/>
    <w:rsid w:val="00432896"/>
    <w:rsid w:val="00433207"/>
    <w:rsid w:val="00433B33"/>
    <w:rsid w:val="00441FEC"/>
    <w:rsid w:val="00444515"/>
    <w:rsid w:val="0044526B"/>
    <w:rsid w:val="00454872"/>
    <w:rsid w:val="00454C45"/>
    <w:rsid w:val="00464C0D"/>
    <w:rsid w:val="00467E8A"/>
    <w:rsid w:val="00480306"/>
    <w:rsid w:val="004902C5"/>
    <w:rsid w:val="00490E31"/>
    <w:rsid w:val="00492727"/>
    <w:rsid w:val="004972D7"/>
    <w:rsid w:val="00497820"/>
    <w:rsid w:val="004A0F51"/>
    <w:rsid w:val="004B071C"/>
    <w:rsid w:val="004B0AAA"/>
    <w:rsid w:val="004B0B51"/>
    <w:rsid w:val="004B3D39"/>
    <w:rsid w:val="004B7335"/>
    <w:rsid w:val="004C2787"/>
    <w:rsid w:val="004C4235"/>
    <w:rsid w:val="004D012A"/>
    <w:rsid w:val="004D2865"/>
    <w:rsid w:val="004D4113"/>
    <w:rsid w:val="004D461F"/>
    <w:rsid w:val="004D5172"/>
    <w:rsid w:val="004D75F4"/>
    <w:rsid w:val="004E28B3"/>
    <w:rsid w:val="004E33CF"/>
    <w:rsid w:val="004E383B"/>
    <w:rsid w:val="004F0556"/>
    <w:rsid w:val="004F1523"/>
    <w:rsid w:val="004F1DDA"/>
    <w:rsid w:val="004F466A"/>
    <w:rsid w:val="004F603F"/>
    <w:rsid w:val="00501103"/>
    <w:rsid w:val="00504089"/>
    <w:rsid w:val="0050673D"/>
    <w:rsid w:val="00506997"/>
    <w:rsid w:val="00510B00"/>
    <w:rsid w:val="00512432"/>
    <w:rsid w:val="0051574D"/>
    <w:rsid w:val="00515C4A"/>
    <w:rsid w:val="00517BD3"/>
    <w:rsid w:val="00517D96"/>
    <w:rsid w:val="00520FCE"/>
    <w:rsid w:val="00522CB0"/>
    <w:rsid w:val="005242A7"/>
    <w:rsid w:val="00524AC1"/>
    <w:rsid w:val="00531CE4"/>
    <w:rsid w:val="00535809"/>
    <w:rsid w:val="0053597D"/>
    <w:rsid w:val="005365E3"/>
    <w:rsid w:val="00536FC6"/>
    <w:rsid w:val="005372ED"/>
    <w:rsid w:val="00540943"/>
    <w:rsid w:val="005437E3"/>
    <w:rsid w:val="005445F5"/>
    <w:rsid w:val="005478EC"/>
    <w:rsid w:val="0055037D"/>
    <w:rsid w:val="00550811"/>
    <w:rsid w:val="00552112"/>
    <w:rsid w:val="0055374F"/>
    <w:rsid w:val="00555A1B"/>
    <w:rsid w:val="00561E3E"/>
    <w:rsid w:val="0056336D"/>
    <w:rsid w:val="00563D13"/>
    <w:rsid w:val="0057270C"/>
    <w:rsid w:val="00573F4F"/>
    <w:rsid w:val="00581241"/>
    <w:rsid w:val="00582840"/>
    <w:rsid w:val="00583438"/>
    <w:rsid w:val="005906F1"/>
    <w:rsid w:val="00593728"/>
    <w:rsid w:val="00593E59"/>
    <w:rsid w:val="005943FE"/>
    <w:rsid w:val="005A2457"/>
    <w:rsid w:val="005A3198"/>
    <w:rsid w:val="005A5DF2"/>
    <w:rsid w:val="005A68A6"/>
    <w:rsid w:val="005B4F6E"/>
    <w:rsid w:val="005B5DF0"/>
    <w:rsid w:val="005B6F77"/>
    <w:rsid w:val="005C004F"/>
    <w:rsid w:val="005C5E92"/>
    <w:rsid w:val="005D02B0"/>
    <w:rsid w:val="005D0F58"/>
    <w:rsid w:val="005D1FFD"/>
    <w:rsid w:val="005D3ABB"/>
    <w:rsid w:val="005D492E"/>
    <w:rsid w:val="005D49A0"/>
    <w:rsid w:val="005D5494"/>
    <w:rsid w:val="005D6F2F"/>
    <w:rsid w:val="005E3BA9"/>
    <w:rsid w:val="005E4AF1"/>
    <w:rsid w:val="005E4BEC"/>
    <w:rsid w:val="005E5532"/>
    <w:rsid w:val="005E7AA1"/>
    <w:rsid w:val="005F6702"/>
    <w:rsid w:val="0060308F"/>
    <w:rsid w:val="00603810"/>
    <w:rsid w:val="00604680"/>
    <w:rsid w:val="006058C2"/>
    <w:rsid w:val="00612621"/>
    <w:rsid w:val="00613C5F"/>
    <w:rsid w:val="00617683"/>
    <w:rsid w:val="00621280"/>
    <w:rsid w:val="00627D9A"/>
    <w:rsid w:val="006317EB"/>
    <w:rsid w:val="00632CB6"/>
    <w:rsid w:val="00633FAC"/>
    <w:rsid w:val="00646700"/>
    <w:rsid w:val="00646EE2"/>
    <w:rsid w:val="00650C04"/>
    <w:rsid w:val="00651C6B"/>
    <w:rsid w:val="00652440"/>
    <w:rsid w:val="006543F2"/>
    <w:rsid w:val="00655F02"/>
    <w:rsid w:val="0065721E"/>
    <w:rsid w:val="006601B7"/>
    <w:rsid w:val="0066237A"/>
    <w:rsid w:val="00663704"/>
    <w:rsid w:val="00664921"/>
    <w:rsid w:val="0066492E"/>
    <w:rsid w:val="00665988"/>
    <w:rsid w:val="006676CC"/>
    <w:rsid w:val="006707D9"/>
    <w:rsid w:val="00676242"/>
    <w:rsid w:val="006765FA"/>
    <w:rsid w:val="00677E40"/>
    <w:rsid w:val="0068278F"/>
    <w:rsid w:val="006858EC"/>
    <w:rsid w:val="006859A8"/>
    <w:rsid w:val="0068765D"/>
    <w:rsid w:val="00690902"/>
    <w:rsid w:val="00690BD3"/>
    <w:rsid w:val="006948E7"/>
    <w:rsid w:val="00697095"/>
    <w:rsid w:val="006A0266"/>
    <w:rsid w:val="006A10A1"/>
    <w:rsid w:val="006A190D"/>
    <w:rsid w:val="006A246C"/>
    <w:rsid w:val="006A368F"/>
    <w:rsid w:val="006A4E12"/>
    <w:rsid w:val="006A63CA"/>
    <w:rsid w:val="006A687C"/>
    <w:rsid w:val="006B0E3B"/>
    <w:rsid w:val="006B6AEF"/>
    <w:rsid w:val="006B6BE3"/>
    <w:rsid w:val="006B7EC9"/>
    <w:rsid w:val="006C3BF5"/>
    <w:rsid w:val="006D50A1"/>
    <w:rsid w:val="006D5156"/>
    <w:rsid w:val="006D5379"/>
    <w:rsid w:val="006D634E"/>
    <w:rsid w:val="006E29B7"/>
    <w:rsid w:val="006E3B6D"/>
    <w:rsid w:val="006E54CE"/>
    <w:rsid w:val="006F2B33"/>
    <w:rsid w:val="006F368A"/>
    <w:rsid w:val="006F7A16"/>
    <w:rsid w:val="006F7A19"/>
    <w:rsid w:val="00700040"/>
    <w:rsid w:val="0070073A"/>
    <w:rsid w:val="00701EAE"/>
    <w:rsid w:val="00703093"/>
    <w:rsid w:val="00704CC6"/>
    <w:rsid w:val="007064D1"/>
    <w:rsid w:val="00706F0D"/>
    <w:rsid w:val="0071196E"/>
    <w:rsid w:val="00714120"/>
    <w:rsid w:val="007142D1"/>
    <w:rsid w:val="00717452"/>
    <w:rsid w:val="00717FB9"/>
    <w:rsid w:val="00723891"/>
    <w:rsid w:val="00726E7E"/>
    <w:rsid w:val="00730780"/>
    <w:rsid w:val="0073125E"/>
    <w:rsid w:val="00731493"/>
    <w:rsid w:val="007316B1"/>
    <w:rsid w:val="007326D5"/>
    <w:rsid w:val="00732C8E"/>
    <w:rsid w:val="007336AE"/>
    <w:rsid w:val="00733822"/>
    <w:rsid w:val="00737A13"/>
    <w:rsid w:val="00741B83"/>
    <w:rsid w:val="007421E3"/>
    <w:rsid w:val="007449C3"/>
    <w:rsid w:val="00746071"/>
    <w:rsid w:val="0074629E"/>
    <w:rsid w:val="00746796"/>
    <w:rsid w:val="00747838"/>
    <w:rsid w:val="00753C79"/>
    <w:rsid w:val="007556C0"/>
    <w:rsid w:val="00756303"/>
    <w:rsid w:val="00757BDF"/>
    <w:rsid w:val="007604BE"/>
    <w:rsid w:val="00762D07"/>
    <w:rsid w:val="00763E18"/>
    <w:rsid w:val="00765601"/>
    <w:rsid w:val="00767947"/>
    <w:rsid w:val="00770008"/>
    <w:rsid w:val="00772B17"/>
    <w:rsid w:val="00773D27"/>
    <w:rsid w:val="00775028"/>
    <w:rsid w:val="007750BF"/>
    <w:rsid w:val="00777E2C"/>
    <w:rsid w:val="007839B6"/>
    <w:rsid w:val="007854ED"/>
    <w:rsid w:val="007875B7"/>
    <w:rsid w:val="007929C5"/>
    <w:rsid w:val="00793864"/>
    <w:rsid w:val="007956AB"/>
    <w:rsid w:val="0079648B"/>
    <w:rsid w:val="007B2245"/>
    <w:rsid w:val="007B27ED"/>
    <w:rsid w:val="007B4ED5"/>
    <w:rsid w:val="007B59B5"/>
    <w:rsid w:val="007B5B2C"/>
    <w:rsid w:val="007B5D03"/>
    <w:rsid w:val="007C14CD"/>
    <w:rsid w:val="007C4093"/>
    <w:rsid w:val="007C5D74"/>
    <w:rsid w:val="007C6D81"/>
    <w:rsid w:val="007D09FC"/>
    <w:rsid w:val="007D20D6"/>
    <w:rsid w:val="007D3ADF"/>
    <w:rsid w:val="007D5C6A"/>
    <w:rsid w:val="007E0128"/>
    <w:rsid w:val="007E1168"/>
    <w:rsid w:val="007E11E0"/>
    <w:rsid w:val="007E4E30"/>
    <w:rsid w:val="007E565F"/>
    <w:rsid w:val="007E5770"/>
    <w:rsid w:val="007E5C52"/>
    <w:rsid w:val="007F531E"/>
    <w:rsid w:val="007F5E88"/>
    <w:rsid w:val="007F7DB6"/>
    <w:rsid w:val="00807D0F"/>
    <w:rsid w:val="00814529"/>
    <w:rsid w:val="00822FDA"/>
    <w:rsid w:val="00824E4E"/>
    <w:rsid w:val="008270A9"/>
    <w:rsid w:val="00832CAE"/>
    <w:rsid w:val="00833D0E"/>
    <w:rsid w:val="008355C0"/>
    <w:rsid w:val="00837C62"/>
    <w:rsid w:val="0084095E"/>
    <w:rsid w:val="00844574"/>
    <w:rsid w:val="0084702B"/>
    <w:rsid w:val="00847EEF"/>
    <w:rsid w:val="008527EA"/>
    <w:rsid w:val="008533F9"/>
    <w:rsid w:val="00857AD6"/>
    <w:rsid w:val="008627B3"/>
    <w:rsid w:val="008656BF"/>
    <w:rsid w:val="00865DC6"/>
    <w:rsid w:val="008730B6"/>
    <w:rsid w:val="00874AD8"/>
    <w:rsid w:val="00875056"/>
    <w:rsid w:val="00875201"/>
    <w:rsid w:val="00876224"/>
    <w:rsid w:val="0088130A"/>
    <w:rsid w:val="008815B2"/>
    <w:rsid w:val="00882C15"/>
    <w:rsid w:val="00883C8A"/>
    <w:rsid w:val="008866D5"/>
    <w:rsid w:val="00886D25"/>
    <w:rsid w:val="008956BD"/>
    <w:rsid w:val="0089579C"/>
    <w:rsid w:val="00896B2B"/>
    <w:rsid w:val="008A2329"/>
    <w:rsid w:val="008A3881"/>
    <w:rsid w:val="008A3DB7"/>
    <w:rsid w:val="008A459D"/>
    <w:rsid w:val="008A6FF3"/>
    <w:rsid w:val="008B09F2"/>
    <w:rsid w:val="008B2ADF"/>
    <w:rsid w:val="008B2B99"/>
    <w:rsid w:val="008B6D21"/>
    <w:rsid w:val="008B7B94"/>
    <w:rsid w:val="008C0291"/>
    <w:rsid w:val="008C575D"/>
    <w:rsid w:val="008D0331"/>
    <w:rsid w:val="008D18A8"/>
    <w:rsid w:val="008D2015"/>
    <w:rsid w:val="008D26A8"/>
    <w:rsid w:val="008D516E"/>
    <w:rsid w:val="008E1F77"/>
    <w:rsid w:val="008E4334"/>
    <w:rsid w:val="008E4DDA"/>
    <w:rsid w:val="008F2569"/>
    <w:rsid w:val="008F7598"/>
    <w:rsid w:val="00901301"/>
    <w:rsid w:val="00901FBA"/>
    <w:rsid w:val="00902FFD"/>
    <w:rsid w:val="00905425"/>
    <w:rsid w:val="00906567"/>
    <w:rsid w:val="00913CB3"/>
    <w:rsid w:val="0091484E"/>
    <w:rsid w:val="00921907"/>
    <w:rsid w:val="00924CEB"/>
    <w:rsid w:val="00924E0A"/>
    <w:rsid w:val="00931025"/>
    <w:rsid w:val="00931271"/>
    <w:rsid w:val="0093385A"/>
    <w:rsid w:val="009407A2"/>
    <w:rsid w:val="009504E1"/>
    <w:rsid w:val="00950F19"/>
    <w:rsid w:val="00955026"/>
    <w:rsid w:val="00961D0B"/>
    <w:rsid w:val="00964A4F"/>
    <w:rsid w:val="00966D04"/>
    <w:rsid w:val="00967ADC"/>
    <w:rsid w:val="0097129D"/>
    <w:rsid w:val="00972633"/>
    <w:rsid w:val="0097732B"/>
    <w:rsid w:val="00980712"/>
    <w:rsid w:val="00981584"/>
    <w:rsid w:val="00985902"/>
    <w:rsid w:val="00990EAB"/>
    <w:rsid w:val="009919AE"/>
    <w:rsid w:val="00996D63"/>
    <w:rsid w:val="009A0249"/>
    <w:rsid w:val="009A04AC"/>
    <w:rsid w:val="009A124C"/>
    <w:rsid w:val="009A2136"/>
    <w:rsid w:val="009A4E68"/>
    <w:rsid w:val="009A5CC3"/>
    <w:rsid w:val="009B3309"/>
    <w:rsid w:val="009C624B"/>
    <w:rsid w:val="009D2F8E"/>
    <w:rsid w:val="009D644B"/>
    <w:rsid w:val="009E115F"/>
    <w:rsid w:val="009E2CCE"/>
    <w:rsid w:val="009E4F34"/>
    <w:rsid w:val="009E5205"/>
    <w:rsid w:val="009F032C"/>
    <w:rsid w:val="009F181E"/>
    <w:rsid w:val="009F3EB1"/>
    <w:rsid w:val="009F7450"/>
    <w:rsid w:val="00A013DA"/>
    <w:rsid w:val="00A02922"/>
    <w:rsid w:val="00A02B0D"/>
    <w:rsid w:val="00A03E4E"/>
    <w:rsid w:val="00A0611F"/>
    <w:rsid w:val="00A07E9B"/>
    <w:rsid w:val="00A1133C"/>
    <w:rsid w:val="00A12F93"/>
    <w:rsid w:val="00A13D53"/>
    <w:rsid w:val="00A14365"/>
    <w:rsid w:val="00A214AB"/>
    <w:rsid w:val="00A215FF"/>
    <w:rsid w:val="00A22C24"/>
    <w:rsid w:val="00A2359B"/>
    <w:rsid w:val="00A248C8"/>
    <w:rsid w:val="00A270A5"/>
    <w:rsid w:val="00A33D44"/>
    <w:rsid w:val="00A41772"/>
    <w:rsid w:val="00A424A9"/>
    <w:rsid w:val="00A46876"/>
    <w:rsid w:val="00A4690E"/>
    <w:rsid w:val="00A47F2D"/>
    <w:rsid w:val="00A5401B"/>
    <w:rsid w:val="00A5473E"/>
    <w:rsid w:val="00A5496C"/>
    <w:rsid w:val="00A56182"/>
    <w:rsid w:val="00A64571"/>
    <w:rsid w:val="00A6638C"/>
    <w:rsid w:val="00A6698F"/>
    <w:rsid w:val="00A7588B"/>
    <w:rsid w:val="00A761D3"/>
    <w:rsid w:val="00A76B4C"/>
    <w:rsid w:val="00A80B02"/>
    <w:rsid w:val="00A8648D"/>
    <w:rsid w:val="00A86D7B"/>
    <w:rsid w:val="00A87BDC"/>
    <w:rsid w:val="00A9381C"/>
    <w:rsid w:val="00AA19AE"/>
    <w:rsid w:val="00AA1B8E"/>
    <w:rsid w:val="00AA2F1D"/>
    <w:rsid w:val="00AA564A"/>
    <w:rsid w:val="00AA6F71"/>
    <w:rsid w:val="00AB13CE"/>
    <w:rsid w:val="00AB1DDA"/>
    <w:rsid w:val="00AB56BD"/>
    <w:rsid w:val="00AB61D9"/>
    <w:rsid w:val="00AB6336"/>
    <w:rsid w:val="00AB71AA"/>
    <w:rsid w:val="00AC2A3E"/>
    <w:rsid w:val="00AC30B0"/>
    <w:rsid w:val="00AC4234"/>
    <w:rsid w:val="00AD0AD2"/>
    <w:rsid w:val="00AD33E9"/>
    <w:rsid w:val="00AD3AD6"/>
    <w:rsid w:val="00AD4F7B"/>
    <w:rsid w:val="00AD7B88"/>
    <w:rsid w:val="00AE2599"/>
    <w:rsid w:val="00AE29C6"/>
    <w:rsid w:val="00AE45AF"/>
    <w:rsid w:val="00AE572A"/>
    <w:rsid w:val="00AF2EEE"/>
    <w:rsid w:val="00B0755A"/>
    <w:rsid w:val="00B1144A"/>
    <w:rsid w:val="00B13D27"/>
    <w:rsid w:val="00B14A40"/>
    <w:rsid w:val="00B159B9"/>
    <w:rsid w:val="00B212C7"/>
    <w:rsid w:val="00B301EA"/>
    <w:rsid w:val="00B32B36"/>
    <w:rsid w:val="00B361CB"/>
    <w:rsid w:val="00B36811"/>
    <w:rsid w:val="00B43FA2"/>
    <w:rsid w:val="00B44993"/>
    <w:rsid w:val="00B45948"/>
    <w:rsid w:val="00B47B4E"/>
    <w:rsid w:val="00B501E3"/>
    <w:rsid w:val="00B504E7"/>
    <w:rsid w:val="00B52A51"/>
    <w:rsid w:val="00B53166"/>
    <w:rsid w:val="00B54C40"/>
    <w:rsid w:val="00B55322"/>
    <w:rsid w:val="00B55440"/>
    <w:rsid w:val="00B55B63"/>
    <w:rsid w:val="00B5669B"/>
    <w:rsid w:val="00B62CEB"/>
    <w:rsid w:val="00B63DD9"/>
    <w:rsid w:val="00B63FA8"/>
    <w:rsid w:val="00B7102B"/>
    <w:rsid w:val="00B71DFA"/>
    <w:rsid w:val="00B72598"/>
    <w:rsid w:val="00B72D88"/>
    <w:rsid w:val="00B73372"/>
    <w:rsid w:val="00B759ED"/>
    <w:rsid w:val="00B82A54"/>
    <w:rsid w:val="00B83416"/>
    <w:rsid w:val="00B83783"/>
    <w:rsid w:val="00B83808"/>
    <w:rsid w:val="00B92316"/>
    <w:rsid w:val="00B950A8"/>
    <w:rsid w:val="00B968F1"/>
    <w:rsid w:val="00B96ED1"/>
    <w:rsid w:val="00BA1465"/>
    <w:rsid w:val="00BA6100"/>
    <w:rsid w:val="00BA6A82"/>
    <w:rsid w:val="00BB0E27"/>
    <w:rsid w:val="00BB30E5"/>
    <w:rsid w:val="00BB5A98"/>
    <w:rsid w:val="00BC09D5"/>
    <w:rsid w:val="00BC1F94"/>
    <w:rsid w:val="00BC28CC"/>
    <w:rsid w:val="00BC3F85"/>
    <w:rsid w:val="00BC64DA"/>
    <w:rsid w:val="00BC7ED9"/>
    <w:rsid w:val="00BD057C"/>
    <w:rsid w:val="00BD2926"/>
    <w:rsid w:val="00BD2EC9"/>
    <w:rsid w:val="00BD4A74"/>
    <w:rsid w:val="00BD58F8"/>
    <w:rsid w:val="00BE0037"/>
    <w:rsid w:val="00BE56BD"/>
    <w:rsid w:val="00BE6889"/>
    <w:rsid w:val="00BF0177"/>
    <w:rsid w:val="00BF26E6"/>
    <w:rsid w:val="00BF3CAD"/>
    <w:rsid w:val="00BF6073"/>
    <w:rsid w:val="00C00249"/>
    <w:rsid w:val="00C0367C"/>
    <w:rsid w:val="00C10326"/>
    <w:rsid w:val="00C115F8"/>
    <w:rsid w:val="00C11905"/>
    <w:rsid w:val="00C137BB"/>
    <w:rsid w:val="00C146CB"/>
    <w:rsid w:val="00C15919"/>
    <w:rsid w:val="00C16AC7"/>
    <w:rsid w:val="00C16B4B"/>
    <w:rsid w:val="00C224BD"/>
    <w:rsid w:val="00C2272B"/>
    <w:rsid w:val="00C2579B"/>
    <w:rsid w:val="00C26397"/>
    <w:rsid w:val="00C26A26"/>
    <w:rsid w:val="00C31410"/>
    <w:rsid w:val="00C31CF7"/>
    <w:rsid w:val="00C326CD"/>
    <w:rsid w:val="00C33289"/>
    <w:rsid w:val="00C42297"/>
    <w:rsid w:val="00C441FC"/>
    <w:rsid w:val="00C52011"/>
    <w:rsid w:val="00C533C4"/>
    <w:rsid w:val="00C54A5C"/>
    <w:rsid w:val="00C5655C"/>
    <w:rsid w:val="00C56C54"/>
    <w:rsid w:val="00C578B8"/>
    <w:rsid w:val="00C60A70"/>
    <w:rsid w:val="00C63411"/>
    <w:rsid w:val="00C666A2"/>
    <w:rsid w:val="00C66A34"/>
    <w:rsid w:val="00C67C3E"/>
    <w:rsid w:val="00C81BAE"/>
    <w:rsid w:val="00C831E1"/>
    <w:rsid w:val="00C84051"/>
    <w:rsid w:val="00C852C7"/>
    <w:rsid w:val="00C85F7D"/>
    <w:rsid w:val="00C9038B"/>
    <w:rsid w:val="00C952B9"/>
    <w:rsid w:val="00CA195E"/>
    <w:rsid w:val="00CA3FE6"/>
    <w:rsid w:val="00CA5118"/>
    <w:rsid w:val="00CA536B"/>
    <w:rsid w:val="00CA5D9A"/>
    <w:rsid w:val="00CA7794"/>
    <w:rsid w:val="00CB3E63"/>
    <w:rsid w:val="00CB54BC"/>
    <w:rsid w:val="00CB77AD"/>
    <w:rsid w:val="00CC3388"/>
    <w:rsid w:val="00CC6F7E"/>
    <w:rsid w:val="00CC7908"/>
    <w:rsid w:val="00CD299F"/>
    <w:rsid w:val="00CD3824"/>
    <w:rsid w:val="00CD388F"/>
    <w:rsid w:val="00CE3FE6"/>
    <w:rsid w:val="00CE42FD"/>
    <w:rsid w:val="00CE7A31"/>
    <w:rsid w:val="00CF1D9A"/>
    <w:rsid w:val="00CF2B2F"/>
    <w:rsid w:val="00CF4C3D"/>
    <w:rsid w:val="00D022E5"/>
    <w:rsid w:val="00D04E30"/>
    <w:rsid w:val="00D13111"/>
    <w:rsid w:val="00D174F1"/>
    <w:rsid w:val="00D225F1"/>
    <w:rsid w:val="00D2294E"/>
    <w:rsid w:val="00D22B55"/>
    <w:rsid w:val="00D240BE"/>
    <w:rsid w:val="00D258DB"/>
    <w:rsid w:val="00D27621"/>
    <w:rsid w:val="00D27C7C"/>
    <w:rsid w:val="00D27D18"/>
    <w:rsid w:val="00D316EE"/>
    <w:rsid w:val="00D32960"/>
    <w:rsid w:val="00D32A97"/>
    <w:rsid w:val="00D33290"/>
    <w:rsid w:val="00D37D2E"/>
    <w:rsid w:val="00D474BF"/>
    <w:rsid w:val="00D504CE"/>
    <w:rsid w:val="00D51CEF"/>
    <w:rsid w:val="00D52AA5"/>
    <w:rsid w:val="00D55CFC"/>
    <w:rsid w:val="00D57007"/>
    <w:rsid w:val="00D57F0F"/>
    <w:rsid w:val="00D60561"/>
    <w:rsid w:val="00D61153"/>
    <w:rsid w:val="00D6325C"/>
    <w:rsid w:val="00D63AE4"/>
    <w:rsid w:val="00D64128"/>
    <w:rsid w:val="00D65E99"/>
    <w:rsid w:val="00D6632A"/>
    <w:rsid w:val="00D667D2"/>
    <w:rsid w:val="00D66F17"/>
    <w:rsid w:val="00D700F5"/>
    <w:rsid w:val="00D726C9"/>
    <w:rsid w:val="00D75CCE"/>
    <w:rsid w:val="00D76667"/>
    <w:rsid w:val="00D80081"/>
    <w:rsid w:val="00D82FA7"/>
    <w:rsid w:val="00D86436"/>
    <w:rsid w:val="00D870C8"/>
    <w:rsid w:val="00D90FF4"/>
    <w:rsid w:val="00D9173E"/>
    <w:rsid w:val="00D9205E"/>
    <w:rsid w:val="00D92208"/>
    <w:rsid w:val="00D94B56"/>
    <w:rsid w:val="00D973A3"/>
    <w:rsid w:val="00DA7668"/>
    <w:rsid w:val="00DB0AE0"/>
    <w:rsid w:val="00DB7CEA"/>
    <w:rsid w:val="00DC00BE"/>
    <w:rsid w:val="00DC0EAD"/>
    <w:rsid w:val="00DC1928"/>
    <w:rsid w:val="00DC37D8"/>
    <w:rsid w:val="00DC4095"/>
    <w:rsid w:val="00DC4876"/>
    <w:rsid w:val="00DC529C"/>
    <w:rsid w:val="00DD0ADA"/>
    <w:rsid w:val="00DD29AD"/>
    <w:rsid w:val="00DD3266"/>
    <w:rsid w:val="00DD38A6"/>
    <w:rsid w:val="00DD3F13"/>
    <w:rsid w:val="00DD4472"/>
    <w:rsid w:val="00DD6CDE"/>
    <w:rsid w:val="00DE0050"/>
    <w:rsid w:val="00DE2F76"/>
    <w:rsid w:val="00DE3065"/>
    <w:rsid w:val="00DE63F6"/>
    <w:rsid w:val="00DF00BA"/>
    <w:rsid w:val="00DF50B1"/>
    <w:rsid w:val="00E052C6"/>
    <w:rsid w:val="00E1267F"/>
    <w:rsid w:val="00E16E11"/>
    <w:rsid w:val="00E203C6"/>
    <w:rsid w:val="00E21079"/>
    <w:rsid w:val="00E22BC3"/>
    <w:rsid w:val="00E2377F"/>
    <w:rsid w:val="00E246B0"/>
    <w:rsid w:val="00E252B0"/>
    <w:rsid w:val="00E25AFD"/>
    <w:rsid w:val="00E31778"/>
    <w:rsid w:val="00E4448D"/>
    <w:rsid w:val="00E5016D"/>
    <w:rsid w:val="00E536D5"/>
    <w:rsid w:val="00E54E86"/>
    <w:rsid w:val="00E60A87"/>
    <w:rsid w:val="00E64AE0"/>
    <w:rsid w:val="00E72CF1"/>
    <w:rsid w:val="00E751D6"/>
    <w:rsid w:val="00E75BF4"/>
    <w:rsid w:val="00E76E3D"/>
    <w:rsid w:val="00E817F2"/>
    <w:rsid w:val="00E82AB6"/>
    <w:rsid w:val="00E84CFD"/>
    <w:rsid w:val="00E97859"/>
    <w:rsid w:val="00EA0A0D"/>
    <w:rsid w:val="00EA2156"/>
    <w:rsid w:val="00EA489D"/>
    <w:rsid w:val="00EA76A6"/>
    <w:rsid w:val="00EB21F9"/>
    <w:rsid w:val="00EB420B"/>
    <w:rsid w:val="00EB4AC5"/>
    <w:rsid w:val="00EB71C2"/>
    <w:rsid w:val="00EB7DC6"/>
    <w:rsid w:val="00EC0018"/>
    <w:rsid w:val="00EC0EF7"/>
    <w:rsid w:val="00EC0FD9"/>
    <w:rsid w:val="00EC54D0"/>
    <w:rsid w:val="00ED1C84"/>
    <w:rsid w:val="00ED21B1"/>
    <w:rsid w:val="00ED2552"/>
    <w:rsid w:val="00ED357B"/>
    <w:rsid w:val="00ED3A76"/>
    <w:rsid w:val="00EE525A"/>
    <w:rsid w:val="00EF0CBC"/>
    <w:rsid w:val="00EF2F5B"/>
    <w:rsid w:val="00EF398D"/>
    <w:rsid w:val="00EF728F"/>
    <w:rsid w:val="00F058F0"/>
    <w:rsid w:val="00F07A6B"/>
    <w:rsid w:val="00F11ACC"/>
    <w:rsid w:val="00F30DAA"/>
    <w:rsid w:val="00F34889"/>
    <w:rsid w:val="00F35D14"/>
    <w:rsid w:val="00F421AB"/>
    <w:rsid w:val="00F4275E"/>
    <w:rsid w:val="00F43CE0"/>
    <w:rsid w:val="00F47797"/>
    <w:rsid w:val="00F51E2C"/>
    <w:rsid w:val="00F536B1"/>
    <w:rsid w:val="00F5549E"/>
    <w:rsid w:val="00F6272E"/>
    <w:rsid w:val="00F62C4C"/>
    <w:rsid w:val="00F63F11"/>
    <w:rsid w:val="00F6510D"/>
    <w:rsid w:val="00F6536A"/>
    <w:rsid w:val="00F71252"/>
    <w:rsid w:val="00F7176F"/>
    <w:rsid w:val="00F73346"/>
    <w:rsid w:val="00F74EB8"/>
    <w:rsid w:val="00F76157"/>
    <w:rsid w:val="00F80468"/>
    <w:rsid w:val="00F834A5"/>
    <w:rsid w:val="00F836E7"/>
    <w:rsid w:val="00F851F6"/>
    <w:rsid w:val="00F90B28"/>
    <w:rsid w:val="00F90F03"/>
    <w:rsid w:val="00F91D40"/>
    <w:rsid w:val="00F94845"/>
    <w:rsid w:val="00F970AA"/>
    <w:rsid w:val="00FA254D"/>
    <w:rsid w:val="00FA2745"/>
    <w:rsid w:val="00FA35CA"/>
    <w:rsid w:val="00FA4E49"/>
    <w:rsid w:val="00FA59A1"/>
    <w:rsid w:val="00FA7EEA"/>
    <w:rsid w:val="00FB4090"/>
    <w:rsid w:val="00FB52BB"/>
    <w:rsid w:val="00FB6C80"/>
    <w:rsid w:val="00FC0042"/>
    <w:rsid w:val="00FC0FA4"/>
    <w:rsid w:val="00FC4C9B"/>
    <w:rsid w:val="00FC7E8D"/>
    <w:rsid w:val="00FD23B6"/>
    <w:rsid w:val="00FD48EF"/>
    <w:rsid w:val="00FE3AAB"/>
    <w:rsid w:val="00FE4E94"/>
    <w:rsid w:val="00FF3312"/>
    <w:rsid w:val="00FF4939"/>
    <w:rsid w:val="00FF493B"/>
    <w:rsid w:val="00FF7C3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AE78F"/>
  <w15:docId w15:val="{69D0C48B-FDBE-45B2-AC5E-18043B4F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jc w:val="center"/>
      <w:outlineLvl w:val="0"/>
    </w:pPr>
    <w:rPr>
      <w:b/>
      <w:bCs/>
      <w:caps/>
      <w:lang w:val="sl-SI"/>
    </w:rPr>
  </w:style>
  <w:style w:type="paragraph" w:styleId="Titre2">
    <w:name w:val="heading 2"/>
    <w:basedOn w:val="Normal"/>
    <w:next w:val="Normal"/>
    <w:qFormat/>
    <w:pPr>
      <w:keepNext/>
      <w:numPr>
        <w:ilvl w:val="1"/>
        <w:numId w:val="1"/>
      </w:numPr>
      <w:spacing w:before="360"/>
      <w:jc w:val="center"/>
      <w:outlineLvl w:val="1"/>
    </w:pPr>
    <w:rPr>
      <w:b/>
      <w:bCs/>
      <w:iCs/>
      <w:smallCaps/>
      <w:lang w:val="sl-SI"/>
    </w:rPr>
  </w:style>
  <w:style w:type="paragraph" w:styleId="Titre3">
    <w:name w:val="heading 3"/>
    <w:basedOn w:val="Normal"/>
    <w:next w:val="Normal"/>
    <w:qFormat/>
    <w:pPr>
      <w:keepNext/>
      <w:numPr>
        <w:ilvl w:val="2"/>
        <w:numId w:val="1"/>
      </w:numPr>
      <w:spacing w:before="360"/>
      <w:jc w:val="center"/>
      <w:outlineLvl w:val="2"/>
    </w:pPr>
    <w:rPr>
      <w:b/>
      <w:szCs w:val="26"/>
      <w:lang w:val="sl-S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sl-SI" w:bidi="ar-SA"/>
    </w:rPr>
  </w:style>
  <w:style w:type="character" w:customStyle="1" w:styleId="SNDateCar">
    <w:name w:val="SNDate Car"/>
    <w:qFormat/>
    <w:rPr>
      <w:sz w:val="24"/>
      <w:szCs w:val="24"/>
      <w:lang w:val="sl-SI" w:bidi="ar-SA"/>
    </w:rPr>
  </w:style>
  <w:style w:type="character" w:customStyle="1" w:styleId="SNArticleCar">
    <w:name w:val="SNArticle Car"/>
    <w:qFormat/>
    <w:rPr>
      <w:b/>
      <w:bCs/>
      <w:sz w:val="24"/>
      <w:szCs w:val="24"/>
      <w:lang w:val="sl-SI"/>
    </w:rPr>
  </w:style>
  <w:style w:type="character" w:customStyle="1" w:styleId="SNenProjet">
    <w:name w:val="SNenProjet"/>
    <w:basedOn w:val="Policepardfaut1"/>
    <w:qFormat/>
  </w:style>
  <w:style w:type="character" w:customStyle="1" w:styleId="CarCar5">
    <w:name w:val="Car Car5"/>
    <w:qFormat/>
    <w:rPr>
      <w:b/>
      <w:sz w:val="24"/>
      <w:szCs w:val="26"/>
      <w:lang w:val="sl-SI"/>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sl-SI"/>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rPr>
      <w:color w:val="0000FF"/>
      <w:u w:val="single"/>
    </w:rPr>
  </w:style>
  <w:style w:type="character" w:customStyle="1" w:styleId="surlignage">
    <w:name w:val="surlignage"/>
    <w:qFormat/>
  </w:style>
  <w:style w:type="character" w:styleId="Lienhypertextesuivivisit">
    <w:name w:val="FollowedHyperlink"/>
    <w:qFormat/>
    <w:rPr>
      <w:color w:val="800080"/>
      <w:u w:val="single"/>
    </w:rPr>
  </w:style>
  <w:style w:type="character" w:styleId="lev">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Accentuation">
    <w:name w:val="Emphasis"/>
    <w:uiPriority w:val="20"/>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sl-SI" w:eastAsia="en-US"/>
    </w:rPr>
  </w:style>
  <w:style w:type="character" w:customStyle="1" w:styleId="TablebodyChar">
    <w:name w:val="Table body Char"/>
    <w:link w:val="Tablebody"/>
    <w:qFormat/>
    <w:rsid w:val="00C16C8D"/>
    <w:rPr>
      <w:rFonts w:ascii="Arial" w:eastAsia="Calibri" w:hAnsi="Arial"/>
      <w:szCs w:val="22"/>
      <w:lang w:val="sl-SI" w:eastAsia="en-US"/>
    </w:rPr>
  </w:style>
  <w:style w:type="character" w:customStyle="1" w:styleId="TableheaderChar">
    <w:name w:val="Table header Char"/>
    <w:link w:val="Tableheader"/>
    <w:qFormat/>
    <w:rsid w:val="00C16C8D"/>
    <w:rPr>
      <w:rFonts w:ascii="Arial" w:eastAsia="Calibri" w:hAnsi="Arial"/>
      <w:szCs w:val="22"/>
      <w:lang w:val="sl-SI" w:eastAsia="en-US"/>
    </w:rPr>
  </w:style>
  <w:style w:type="character" w:customStyle="1" w:styleId="ListLabel1">
    <w:name w:val="ListLabel 1"/>
    <w:qFormat/>
    <w:rPr>
      <w:rFonts w:cs="Liberation Sans"/>
    </w:rPr>
  </w:style>
  <w:style w:type="character" w:customStyle="1" w:styleId="ListLabel2">
    <w:name w:val="ListLabel 2"/>
    <w:qFormat/>
    <w:rPr>
      <w:rFonts w:cs="Liberation Sans"/>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jc w:val="both"/>
    </w:pPr>
    <w:rPr>
      <w:lang w:val="sl-SI"/>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0">
    <w:name w:val="Titre3"/>
    <w:basedOn w:val="Normal"/>
    <w:qFormat/>
    <w:pPr>
      <w:keepNext/>
      <w:spacing w:before="240" w:after="120"/>
    </w:pPr>
    <w:rPr>
      <w:rFonts w:ascii="Liberation Sans" w:eastAsia="Microsoft YaHei" w:hAnsi="Liberation Sans" w:cs="Mangal"/>
      <w:sz w:val="28"/>
      <w:szCs w:val="28"/>
    </w:rPr>
  </w:style>
  <w:style w:type="paragraph" w:customStyle="1" w:styleId="Titre20">
    <w:name w:val="Titre2"/>
    <w:basedOn w:val="Normal"/>
    <w:qFormat/>
    <w:pPr>
      <w:keepNext/>
      <w:spacing w:before="240" w:after="120"/>
    </w:pPr>
    <w:rPr>
      <w:rFonts w:ascii="Garamond" w:eastAsia="Microsoft YaHei" w:hAnsi="Garamond" w:cs="Mangal"/>
      <w:sz w:val="28"/>
      <w:szCs w:val="28"/>
    </w:rPr>
  </w:style>
  <w:style w:type="paragraph" w:customStyle="1" w:styleId="Titre10">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suppressAutoHyphens/>
      <w:jc w:val="center"/>
    </w:pPr>
    <w:rPr>
      <w:bCs/>
      <w:sz w:val="24"/>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lang w:val="sl-SI"/>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Textedebulles">
    <w:name w:val="Balloon Text"/>
    <w:basedOn w:val="Normal"/>
    <w:qFormat/>
    <w:rPr>
      <w:rFonts w:ascii="Tahoma" w:hAnsi="Tahoma" w:cs="Tahoma"/>
      <w:sz w:val="16"/>
      <w:szCs w:val="16"/>
    </w:rPr>
  </w:style>
  <w:style w:type="paragraph" w:customStyle="1" w:styleId="Titre1objet">
    <w:name w:val="Titre 1 objet"/>
    <w:basedOn w:val="Titre1"/>
    <w:qFormat/>
    <w:pPr>
      <w:numPr>
        <w:numId w:val="0"/>
      </w:numPr>
      <w:spacing w:before="0" w:after="120"/>
    </w:pPr>
    <w:rPr>
      <w:b w:val="0"/>
    </w:rPr>
  </w:style>
  <w:style w:type="paragraph" w:customStyle="1" w:styleId="Titre2objet">
    <w:name w:val="Titre 2 objet"/>
    <w:basedOn w:val="Titre2"/>
    <w:next w:val="Normal"/>
    <w:qFormat/>
    <w:pPr>
      <w:numPr>
        <w:ilvl w:val="0"/>
        <w:numId w:val="0"/>
      </w:numPr>
      <w:spacing w:before="0" w:after="120"/>
    </w:pPr>
    <w:rPr>
      <w:b w:val="0"/>
    </w:rPr>
  </w:style>
  <w:style w:type="paragraph" w:customStyle="1" w:styleId="titre3objet">
    <w:name w:val="titre 3 objet"/>
    <w:basedOn w:val="Titre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lang w:val="sl-SI"/>
    </w:rPr>
  </w:style>
  <w:style w:type="paragraph" w:styleId="En-tte">
    <w:name w:val="header"/>
    <w:basedOn w:val="Normal"/>
    <w:pPr>
      <w:tabs>
        <w:tab w:val="center" w:pos="4536"/>
        <w:tab w:val="right" w:pos="9072"/>
      </w:tabs>
    </w:pPr>
    <w:rPr>
      <w:lang w:val="sl-SI"/>
    </w:rPr>
  </w:style>
  <w:style w:type="paragraph" w:styleId="Pieddepage">
    <w:name w:val="footer"/>
    <w:basedOn w:val="Normal"/>
    <w:link w:val="PieddepageCar"/>
    <w:uiPriority w:val="99"/>
    <w:pPr>
      <w:tabs>
        <w:tab w:val="center" w:pos="4536"/>
        <w:tab w:val="right" w:pos="9072"/>
      </w:tabs>
    </w:pPr>
    <w:rPr>
      <w:lang w:val="sl-SI"/>
    </w:r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vision">
    <w:name w:val="Revision"/>
    <w:qFormat/>
    <w:pPr>
      <w:suppressAutoHyphens/>
    </w:pPr>
    <w:rPr>
      <w:sz w:val="24"/>
      <w:szCs w:val="24"/>
      <w:lang w:eastAsia="zh-CN"/>
    </w:rPr>
  </w:style>
  <w:style w:type="paragraph" w:customStyle="1" w:styleId="Default">
    <w:name w:val="Default"/>
    <w:qFormat/>
    <w:pPr>
      <w:suppressAutoHyphens/>
    </w:pPr>
    <w:rPr>
      <w:color w:val="000000"/>
      <w:sz w:val="24"/>
      <w:szCs w:val="24"/>
      <w:lang w:eastAsia="zh-CN"/>
    </w:rPr>
  </w:style>
  <w:style w:type="paragraph" w:styleId="Notedebasdepage">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uppressAutoHyphens w:val="0"/>
      <w:spacing w:before="280" w:after="119"/>
      <w:jc w:val="both"/>
    </w:pPr>
    <w:rPr>
      <w:color w:val="000000"/>
    </w:rPr>
  </w:style>
  <w:style w:type="paragraph" w:customStyle="1" w:styleId="Commentaire3">
    <w:name w:val="Commentaire3"/>
    <w:basedOn w:val="Normal"/>
    <w:qFormat/>
    <w:rPr>
      <w:sz w:val="20"/>
      <w:szCs w:val="20"/>
    </w:rPr>
  </w:style>
  <w:style w:type="paragraph" w:styleId="Paragraphedeliste">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val="sl-SI" w:eastAsia="en-US"/>
    </w:rPr>
  </w:style>
  <w:style w:type="paragraph" w:customStyle="1" w:styleId="Tablebody">
    <w:name w:val="Table body"/>
    <w:basedOn w:val="Normal"/>
    <w:link w:val="TablebodyChar"/>
    <w:qFormat/>
    <w:rsid w:val="00C16C8D"/>
    <w:pPr>
      <w:suppressAutoHyphens w:val="0"/>
      <w:spacing w:before="60" w:after="60" w:line="210" w:lineRule="atLeast"/>
    </w:pPr>
    <w:rPr>
      <w:rFonts w:ascii="Arial" w:eastAsia="Calibri" w:hAnsi="Arial"/>
      <w:sz w:val="20"/>
      <w:szCs w:val="22"/>
      <w:lang w:val="sl-SI"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pPr>
      <w:suppressAutoHyphens w:val="0"/>
    </w:pPr>
    <w:rPr>
      <w:rFonts w:ascii="EUAlbertina" w:hAnsi="EUAlbertina"/>
      <w:color w:val="00000A"/>
      <w:lang w:eastAsia="fr-FR"/>
    </w:rPr>
  </w:style>
  <w:style w:type="paragraph" w:customStyle="1" w:styleId="CM3">
    <w:name w:val="CM3"/>
    <w:basedOn w:val="Default"/>
    <w:next w:val="Default"/>
    <w:uiPriority w:val="99"/>
    <w:qFormat/>
    <w:rsid w:val="009A03FA"/>
    <w:pPr>
      <w:suppressAutoHyphens w:val="0"/>
    </w:pPr>
    <w:rPr>
      <w:rFonts w:ascii="EUAlbertina" w:hAnsi="EUAlbertina"/>
      <w:color w:val="00000A"/>
      <w:lang w:eastAsia="fr-FR"/>
    </w:rPr>
  </w:style>
  <w:style w:type="paragraph" w:customStyle="1" w:styleId="CM4">
    <w:name w:val="CM4"/>
    <w:basedOn w:val="Default"/>
    <w:next w:val="Default"/>
    <w:uiPriority w:val="99"/>
    <w:qFormat/>
    <w:rsid w:val="009A03FA"/>
    <w:pPr>
      <w:suppressAutoHyphens w:val="0"/>
    </w:pPr>
    <w:rPr>
      <w:rFonts w:ascii="EUAlbertina" w:hAnsi="EUAlbertina"/>
      <w:color w:val="00000A"/>
      <w:lang w:eastAsia="fr-FR"/>
    </w:rPr>
  </w:style>
  <w:style w:type="character" w:styleId="Marquedecommentaire">
    <w:name w:val="annotation reference"/>
    <w:basedOn w:val="Policepardfaut"/>
    <w:uiPriority w:val="99"/>
    <w:semiHidden/>
    <w:unhideWhenUsed/>
    <w:rsid w:val="00A80B02"/>
    <w:rPr>
      <w:sz w:val="16"/>
      <w:szCs w:val="16"/>
    </w:rPr>
  </w:style>
  <w:style w:type="paragraph" w:styleId="Commentaire">
    <w:name w:val="annotation text"/>
    <w:basedOn w:val="Normal"/>
    <w:link w:val="CommentaireCar1"/>
    <w:uiPriority w:val="99"/>
    <w:unhideWhenUsed/>
    <w:rsid w:val="00A80B02"/>
    <w:rPr>
      <w:sz w:val="20"/>
      <w:szCs w:val="20"/>
    </w:rPr>
  </w:style>
  <w:style w:type="character" w:customStyle="1" w:styleId="CommentaireCar1">
    <w:name w:val="Commentaire Car1"/>
    <w:basedOn w:val="Policepardfaut"/>
    <w:link w:val="Commentaire"/>
    <w:uiPriority w:val="99"/>
    <w:rsid w:val="00A80B02"/>
    <w:rPr>
      <w:lang w:eastAsia="zh-CN"/>
    </w:rPr>
  </w:style>
  <w:style w:type="character" w:customStyle="1" w:styleId="highlight">
    <w:name w:val="highlight"/>
    <w:basedOn w:val="Policepardfaut"/>
    <w:rsid w:val="00EB71C2"/>
  </w:style>
  <w:style w:type="character" w:customStyle="1" w:styleId="PieddepageCar">
    <w:name w:val="Pied de page Car"/>
    <w:basedOn w:val="Policepardfaut"/>
    <w:link w:val="Pieddepage"/>
    <w:uiPriority w:val="99"/>
    <w:rsid w:val="00A6698F"/>
    <w:rPr>
      <w:sz w:val="24"/>
      <w:szCs w:val="24"/>
      <w:lang w:val="sl-SI" w:eastAsia="zh-CN"/>
    </w:rPr>
  </w:style>
  <w:style w:type="character" w:styleId="Lienhypertexte">
    <w:name w:val="Hyperlink"/>
    <w:basedOn w:val="Policepardfaut"/>
    <w:uiPriority w:val="99"/>
    <w:semiHidden/>
    <w:unhideWhenUsed/>
    <w:rsid w:val="00D60561"/>
    <w:rPr>
      <w:color w:val="0000FF"/>
      <w:u w:val="single"/>
    </w:rPr>
  </w:style>
  <w:style w:type="character" w:customStyle="1" w:styleId="super">
    <w:name w:val="super"/>
    <w:basedOn w:val="Policepardfaut"/>
    <w:rsid w:val="00ED3A76"/>
  </w:style>
  <w:style w:type="character" w:customStyle="1" w:styleId="st">
    <w:name w:val="st"/>
    <w:basedOn w:val="Policepardfaut"/>
    <w:rsid w:val="00014DD9"/>
  </w:style>
  <w:style w:type="paragraph" w:customStyle="1" w:styleId="snconsultation0">
    <w:name w:val="snconsultation"/>
    <w:basedOn w:val="Normal"/>
    <w:rsid w:val="00D240BE"/>
    <w:pPr>
      <w:suppressAutoHyphens w:val="0"/>
      <w:spacing w:before="100" w:beforeAutospacing="1" w:after="100" w:afterAutospacing="1"/>
    </w:pPr>
    <w:rPr>
      <w:lang w:eastAsia="fr-FR"/>
    </w:rPr>
  </w:style>
  <w:style w:type="table" w:styleId="Grilledutableau">
    <w:name w:val="Table Grid"/>
    <w:basedOn w:val="TableauNormal"/>
    <w:uiPriority w:val="39"/>
    <w:rsid w:val="00B8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Policepardfaut"/>
    <w:rsid w:val="00F6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17">
      <w:bodyDiv w:val="1"/>
      <w:marLeft w:val="0"/>
      <w:marRight w:val="0"/>
      <w:marTop w:val="0"/>
      <w:marBottom w:val="0"/>
      <w:divBdr>
        <w:top w:val="none" w:sz="0" w:space="0" w:color="auto"/>
        <w:left w:val="none" w:sz="0" w:space="0" w:color="auto"/>
        <w:bottom w:val="none" w:sz="0" w:space="0" w:color="auto"/>
        <w:right w:val="none" w:sz="0" w:space="0" w:color="auto"/>
      </w:divBdr>
    </w:div>
    <w:div w:id="125708193">
      <w:bodyDiv w:val="1"/>
      <w:marLeft w:val="0"/>
      <w:marRight w:val="0"/>
      <w:marTop w:val="0"/>
      <w:marBottom w:val="0"/>
      <w:divBdr>
        <w:top w:val="none" w:sz="0" w:space="0" w:color="auto"/>
        <w:left w:val="none" w:sz="0" w:space="0" w:color="auto"/>
        <w:bottom w:val="none" w:sz="0" w:space="0" w:color="auto"/>
        <w:right w:val="none" w:sz="0" w:space="0" w:color="auto"/>
      </w:divBdr>
      <w:divsChild>
        <w:div w:id="1997300179">
          <w:marLeft w:val="0"/>
          <w:marRight w:val="0"/>
          <w:marTop w:val="0"/>
          <w:marBottom w:val="0"/>
          <w:divBdr>
            <w:top w:val="none" w:sz="0" w:space="0" w:color="auto"/>
            <w:left w:val="none" w:sz="0" w:space="0" w:color="auto"/>
            <w:bottom w:val="none" w:sz="0" w:space="0" w:color="auto"/>
            <w:right w:val="none" w:sz="0" w:space="0" w:color="auto"/>
          </w:divBdr>
        </w:div>
        <w:div w:id="1307273481">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45464854">
          <w:marLeft w:val="0"/>
          <w:marRight w:val="0"/>
          <w:marTop w:val="0"/>
          <w:marBottom w:val="0"/>
          <w:divBdr>
            <w:top w:val="none" w:sz="0" w:space="0" w:color="auto"/>
            <w:left w:val="none" w:sz="0" w:space="0" w:color="auto"/>
            <w:bottom w:val="none" w:sz="0" w:space="0" w:color="auto"/>
            <w:right w:val="none" w:sz="0" w:space="0" w:color="auto"/>
          </w:divBdr>
        </w:div>
      </w:divsChild>
    </w:div>
    <w:div w:id="285045538">
      <w:bodyDiv w:val="1"/>
      <w:marLeft w:val="0"/>
      <w:marRight w:val="0"/>
      <w:marTop w:val="0"/>
      <w:marBottom w:val="0"/>
      <w:divBdr>
        <w:top w:val="none" w:sz="0" w:space="0" w:color="auto"/>
        <w:left w:val="none" w:sz="0" w:space="0" w:color="auto"/>
        <w:bottom w:val="none" w:sz="0" w:space="0" w:color="auto"/>
        <w:right w:val="none" w:sz="0" w:space="0" w:color="auto"/>
      </w:divBdr>
    </w:div>
    <w:div w:id="624963779">
      <w:bodyDiv w:val="1"/>
      <w:marLeft w:val="0"/>
      <w:marRight w:val="0"/>
      <w:marTop w:val="0"/>
      <w:marBottom w:val="0"/>
      <w:divBdr>
        <w:top w:val="none" w:sz="0" w:space="0" w:color="auto"/>
        <w:left w:val="none" w:sz="0" w:space="0" w:color="auto"/>
        <w:bottom w:val="none" w:sz="0" w:space="0" w:color="auto"/>
        <w:right w:val="none" w:sz="0" w:space="0" w:color="auto"/>
      </w:divBdr>
    </w:div>
    <w:div w:id="1030030897">
      <w:bodyDiv w:val="1"/>
      <w:marLeft w:val="0"/>
      <w:marRight w:val="0"/>
      <w:marTop w:val="0"/>
      <w:marBottom w:val="0"/>
      <w:divBdr>
        <w:top w:val="none" w:sz="0" w:space="0" w:color="auto"/>
        <w:left w:val="none" w:sz="0" w:space="0" w:color="auto"/>
        <w:bottom w:val="none" w:sz="0" w:space="0" w:color="auto"/>
        <w:right w:val="none" w:sz="0" w:space="0" w:color="auto"/>
      </w:divBdr>
    </w:div>
    <w:div w:id="1089733944">
      <w:bodyDiv w:val="1"/>
      <w:marLeft w:val="0"/>
      <w:marRight w:val="0"/>
      <w:marTop w:val="0"/>
      <w:marBottom w:val="0"/>
      <w:divBdr>
        <w:top w:val="none" w:sz="0" w:space="0" w:color="auto"/>
        <w:left w:val="none" w:sz="0" w:space="0" w:color="auto"/>
        <w:bottom w:val="none" w:sz="0" w:space="0" w:color="auto"/>
        <w:right w:val="none" w:sz="0" w:space="0" w:color="auto"/>
      </w:divBdr>
    </w:div>
    <w:div w:id="1232347650">
      <w:bodyDiv w:val="1"/>
      <w:marLeft w:val="0"/>
      <w:marRight w:val="0"/>
      <w:marTop w:val="0"/>
      <w:marBottom w:val="0"/>
      <w:divBdr>
        <w:top w:val="none" w:sz="0" w:space="0" w:color="auto"/>
        <w:left w:val="none" w:sz="0" w:space="0" w:color="auto"/>
        <w:bottom w:val="none" w:sz="0" w:space="0" w:color="auto"/>
        <w:right w:val="none" w:sz="0" w:space="0" w:color="auto"/>
      </w:divBdr>
      <w:divsChild>
        <w:div w:id="1537615740">
          <w:marLeft w:val="0"/>
          <w:marRight w:val="0"/>
          <w:marTop w:val="0"/>
          <w:marBottom w:val="0"/>
          <w:divBdr>
            <w:top w:val="none" w:sz="0" w:space="0" w:color="auto"/>
            <w:left w:val="none" w:sz="0" w:space="0" w:color="auto"/>
            <w:bottom w:val="none" w:sz="0" w:space="0" w:color="auto"/>
            <w:right w:val="none" w:sz="0" w:space="0" w:color="auto"/>
          </w:divBdr>
          <w:divsChild>
            <w:div w:id="2140561835">
              <w:marLeft w:val="0"/>
              <w:marRight w:val="0"/>
              <w:marTop w:val="0"/>
              <w:marBottom w:val="0"/>
              <w:divBdr>
                <w:top w:val="none" w:sz="0" w:space="0" w:color="auto"/>
                <w:left w:val="none" w:sz="0" w:space="0" w:color="auto"/>
                <w:bottom w:val="none" w:sz="0" w:space="0" w:color="auto"/>
                <w:right w:val="none" w:sz="0" w:space="0" w:color="auto"/>
              </w:divBdr>
              <w:divsChild>
                <w:div w:id="875198423">
                  <w:marLeft w:val="0"/>
                  <w:marRight w:val="0"/>
                  <w:marTop w:val="0"/>
                  <w:marBottom w:val="0"/>
                  <w:divBdr>
                    <w:top w:val="none" w:sz="0" w:space="0" w:color="auto"/>
                    <w:left w:val="none" w:sz="0" w:space="0" w:color="auto"/>
                    <w:bottom w:val="none" w:sz="0" w:space="0" w:color="auto"/>
                    <w:right w:val="none" w:sz="0" w:space="0" w:color="auto"/>
                  </w:divBdr>
                </w:div>
                <w:div w:id="8193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999">
      <w:bodyDiv w:val="1"/>
      <w:marLeft w:val="0"/>
      <w:marRight w:val="0"/>
      <w:marTop w:val="0"/>
      <w:marBottom w:val="0"/>
      <w:divBdr>
        <w:top w:val="none" w:sz="0" w:space="0" w:color="auto"/>
        <w:left w:val="none" w:sz="0" w:space="0" w:color="auto"/>
        <w:bottom w:val="none" w:sz="0" w:space="0" w:color="auto"/>
        <w:right w:val="none" w:sz="0" w:space="0" w:color="auto"/>
      </w:divBdr>
    </w:div>
    <w:div w:id="1302425421">
      <w:bodyDiv w:val="1"/>
      <w:marLeft w:val="0"/>
      <w:marRight w:val="0"/>
      <w:marTop w:val="0"/>
      <w:marBottom w:val="0"/>
      <w:divBdr>
        <w:top w:val="none" w:sz="0" w:space="0" w:color="auto"/>
        <w:left w:val="none" w:sz="0" w:space="0" w:color="auto"/>
        <w:bottom w:val="none" w:sz="0" w:space="0" w:color="auto"/>
        <w:right w:val="none" w:sz="0" w:space="0" w:color="auto"/>
      </w:divBdr>
    </w:div>
    <w:div w:id="1480003028">
      <w:bodyDiv w:val="1"/>
      <w:marLeft w:val="0"/>
      <w:marRight w:val="0"/>
      <w:marTop w:val="0"/>
      <w:marBottom w:val="0"/>
      <w:divBdr>
        <w:top w:val="none" w:sz="0" w:space="0" w:color="auto"/>
        <w:left w:val="none" w:sz="0" w:space="0" w:color="auto"/>
        <w:bottom w:val="none" w:sz="0" w:space="0" w:color="auto"/>
        <w:right w:val="none" w:sz="0" w:space="0" w:color="auto"/>
      </w:divBdr>
    </w:div>
    <w:div w:id="1566909387">
      <w:bodyDiv w:val="1"/>
      <w:marLeft w:val="0"/>
      <w:marRight w:val="0"/>
      <w:marTop w:val="0"/>
      <w:marBottom w:val="0"/>
      <w:divBdr>
        <w:top w:val="none" w:sz="0" w:space="0" w:color="auto"/>
        <w:left w:val="none" w:sz="0" w:space="0" w:color="auto"/>
        <w:bottom w:val="none" w:sz="0" w:space="0" w:color="auto"/>
        <w:right w:val="none" w:sz="0" w:space="0" w:color="auto"/>
      </w:divBdr>
      <w:divsChild>
        <w:div w:id="1870025634">
          <w:marLeft w:val="0"/>
          <w:marRight w:val="0"/>
          <w:marTop w:val="0"/>
          <w:marBottom w:val="0"/>
          <w:divBdr>
            <w:top w:val="none" w:sz="0" w:space="0" w:color="auto"/>
            <w:left w:val="none" w:sz="0" w:space="0" w:color="auto"/>
            <w:bottom w:val="none" w:sz="0" w:space="0" w:color="auto"/>
            <w:right w:val="none" w:sz="0" w:space="0" w:color="auto"/>
          </w:divBdr>
        </w:div>
        <w:div w:id="477770862">
          <w:marLeft w:val="0"/>
          <w:marRight w:val="0"/>
          <w:marTop w:val="0"/>
          <w:marBottom w:val="0"/>
          <w:divBdr>
            <w:top w:val="none" w:sz="0" w:space="0" w:color="auto"/>
            <w:left w:val="none" w:sz="0" w:space="0" w:color="auto"/>
            <w:bottom w:val="none" w:sz="0" w:space="0" w:color="auto"/>
            <w:right w:val="none" w:sz="0" w:space="0" w:color="auto"/>
          </w:divBdr>
        </w:div>
        <w:div w:id="1891988565">
          <w:marLeft w:val="0"/>
          <w:marRight w:val="0"/>
          <w:marTop w:val="0"/>
          <w:marBottom w:val="0"/>
          <w:divBdr>
            <w:top w:val="none" w:sz="0" w:space="0" w:color="auto"/>
            <w:left w:val="none" w:sz="0" w:space="0" w:color="auto"/>
            <w:bottom w:val="none" w:sz="0" w:space="0" w:color="auto"/>
            <w:right w:val="none" w:sz="0" w:space="0" w:color="auto"/>
          </w:divBdr>
        </w:div>
        <w:div w:id="2121416046">
          <w:marLeft w:val="0"/>
          <w:marRight w:val="0"/>
          <w:marTop w:val="0"/>
          <w:marBottom w:val="0"/>
          <w:divBdr>
            <w:top w:val="none" w:sz="0" w:space="0" w:color="auto"/>
            <w:left w:val="none" w:sz="0" w:space="0" w:color="auto"/>
            <w:bottom w:val="none" w:sz="0" w:space="0" w:color="auto"/>
            <w:right w:val="none" w:sz="0" w:space="0" w:color="auto"/>
          </w:divBdr>
        </w:div>
        <w:div w:id="996304466">
          <w:marLeft w:val="0"/>
          <w:marRight w:val="0"/>
          <w:marTop w:val="0"/>
          <w:marBottom w:val="0"/>
          <w:divBdr>
            <w:top w:val="none" w:sz="0" w:space="0" w:color="auto"/>
            <w:left w:val="none" w:sz="0" w:space="0" w:color="auto"/>
            <w:bottom w:val="none" w:sz="0" w:space="0" w:color="auto"/>
            <w:right w:val="none" w:sz="0" w:space="0" w:color="auto"/>
          </w:divBdr>
        </w:div>
        <w:div w:id="1867213373">
          <w:marLeft w:val="0"/>
          <w:marRight w:val="0"/>
          <w:marTop w:val="0"/>
          <w:marBottom w:val="0"/>
          <w:divBdr>
            <w:top w:val="none" w:sz="0" w:space="0" w:color="auto"/>
            <w:left w:val="none" w:sz="0" w:space="0" w:color="auto"/>
            <w:bottom w:val="none" w:sz="0" w:space="0" w:color="auto"/>
            <w:right w:val="none" w:sz="0" w:space="0" w:color="auto"/>
          </w:divBdr>
        </w:div>
      </w:divsChild>
    </w:div>
    <w:div w:id="1647123038">
      <w:bodyDiv w:val="1"/>
      <w:marLeft w:val="0"/>
      <w:marRight w:val="0"/>
      <w:marTop w:val="0"/>
      <w:marBottom w:val="0"/>
      <w:divBdr>
        <w:top w:val="none" w:sz="0" w:space="0" w:color="auto"/>
        <w:left w:val="none" w:sz="0" w:space="0" w:color="auto"/>
        <w:bottom w:val="none" w:sz="0" w:space="0" w:color="auto"/>
        <w:right w:val="none" w:sz="0" w:space="0" w:color="auto"/>
      </w:divBdr>
      <w:divsChild>
        <w:div w:id="1452356127">
          <w:marLeft w:val="0"/>
          <w:marRight w:val="0"/>
          <w:marTop w:val="0"/>
          <w:marBottom w:val="0"/>
          <w:divBdr>
            <w:top w:val="none" w:sz="0" w:space="0" w:color="auto"/>
            <w:left w:val="none" w:sz="0" w:space="0" w:color="auto"/>
            <w:bottom w:val="none" w:sz="0" w:space="0" w:color="auto"/>
            <w:right w:val="none" w:sz="0" w:space="0" w:color="auto"/>
          </w:divBdr>
        </w:div>
        <w:div w:id="1900626427">
          <w:marLeft w:val="0"/>
          <w:marRight w:val="0"/>
          <w:marTop w:val="0"/>
          <w:marBottom w:val="0"/>
          <w:divBdr>
            <w:top w:val="none" w:sz="0" w:space="0" w:color="auto"/>
            <w:left w:val="none" w:sz="0" w:space="0" w:color="auto"/>
            <w:bottom w:val="none" w:sz="0" w:space="0" w:color="auto"/>
            <w:right w:val="none" w:sz="0" w:space="0" w:color="auto"/>
          </w:divBdr>
        </w:div>
        <w:div w:id="1573544224">
          <w:marLeft w:val="0"/>
          <w:marRight w:val="0"/>
          <w:marTop w:val="0"/>
          <w:marBottom w:val="0"/>
          <w:divBdr>
            <w:top w:val="none" w:sz="0" w:space="0" w:color="auto"/>
            <w:left w:val="none" w:sz="0" w:space="0" w:color="auto"/>
            <w:bottom w:val="none" w:sz="0" w:space="0" w:color="auto"/>
            <w:right w:val="none" w:sz="0" w:space="0" w:color="auto"/>
          </w:divBdr>
        </w:div>
        <w:div w:id="712770066">
          <w:marLeft w:val="0"/>
          <w:marRight w:val="0"/>
          <w:marTop w:val="0"/>
          <w:marBottom w:val="0"/>
          <w:divBdr>
            <w:top w:val="none" w:sz="0" w:space="0" w:color="auto"/>
            <w:left w:val="none" w:sz="0" w:space="0" w:color="auto"/>
            <w:bottom w:val="none" w:sz="0" w:space="0" w:color="auto"/>
            <w:right w:val="none" w:sz="0" w:space="0" w:color="auto"/>
          </w:divBdr>
        </w:div>
        <w:div w:id="1782072104">
          <w:marLeft w:val="0"/>
          <w:marRight w:val="0"/>
          <w:marTop w:val="0"/>
          <w:marBottom w:val="0"/>
          <w:divBdr>
            <w:top w:val="none" w:sz="0" w:space="0" w:color="auto"/>
            <w:left w:val="none" w:sz="0" w:space="0" w:color="auto"/>
            <w:bottom w:val="none" w:sz="0" w:space="0" w:color="auto"/>
            <w:right w:val="none" w:sz="0" w:space="0" w:color="auto"/>
          </w:divBdr>
        </w:div>
        <w:div w:id="1832722191">
          <w:marLeft w:val="0"/>
          <w:marRight w:val="0"/>
          <w:marTop w:val="0"/>
          <w:marBottom w:val="0"/>
          <w:divBdr>
            <w:top w:val="none" w:sz="0" w:space="0" w:color="auto"/>
            <w:left w:val="none" w:sz="0" w:space="0" w:color="auto"/>
            <w:bottom w:val="none" w:sz="0" w:space="0" w:color="auto"/>
            <w:right w:val="none" w:sz="0" w:space="0" w:color="auto"/>
          </w:divBdr>
        </w:div>
        <w:div w:id="335575168">
          <w:marLeft w:val="0"/>
          <w:marRight w:val="0"/>
          <w:marTop w:val="0"/>
          <w:marBottom w:val="0"/>
          <w:divBdr>
            <w:top w:val="none" w:sz="0" w:space="0" w:color="auto"/>
            <w:left w:val="none" w:sz="0" w:space="0" w:color="auto"/>
            <w:bottom w:val="none" w:sz="0" w:space="0" w:color="auto"/>
            <w:right w:val="none" w:sz="0" w:space="0" w:color="auto"/>
          </w:divBdr>
        </w:div>
        <w:div w:id="2015263081">
          <w:marLeft w:val="0"/>
          <w:marRight w:val="0"/>
          <w:marTop w:val="0"/>
          <w:marBottom w:val="0"/>
          <w:divBdr>
            <w:top w:val="none" w:sz="0" w:space="0" w:color="auto"/>
            <w:left w:val="none" w:sz="0" w:space="0" w:color="auto"/>
            <w:bottom w:val="none" w:sz="0" w:space="0" w:color="auto"/>
            <w:right w:val="none" w:sz="0" w:space="0" w:color="auto"/>
          </w:divBdr>
        </w:div>
      </w:divsChild>
    </w:div>
    <w:div w:id="1803381148">
      <w:bodyDiv w:val="1"/>
      <w:marLeft w:val="0"/>
      <w:marRight w:val="0"/>
      <w:marTop w:val="0"/>
      <w:marBottom w:val="0"/>
      <w:divBdr>
        <w:top w:val="none" w:sz="0" w:space="0" w:color="auto"/>
        <w:left w:val="none" w:sz="0" w:space="0" w:color="auto"/>
        <w:bottom w:val="none" w:sz="0" w:space="0" w:color="auto"/>
        <w:right w:val="none" w:sz="0" w:space="0" w:color="auto"/>
      </w:divBdr>
    </w:div>
    <w:div w:id="1842500087">
      <w:bodyDiv w:val="1"/>
      <w:marLeft w:val="0"/>
      <w:marRight w:val="0"/>
      <w:marTop w:val="0"/>
      <w:marBottom w:val="0"/>
      <w:divBdr>
        <w:top w:val="none" w:sz="0" w:space="0" w:color="auto"/>
        <w:left w:val="none" w:sz="0" w:space="0" w:color="auto"/>
        <w:bottom w:val="none" w:sz="0" w:space="0" w:color="auto"/>
        <w:right w:val="none" w:sz="0" w:space="0" w:color="auto"/>
      </w:divBdr>
    </w:div>
    <w:div w:id="209462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CBB6-6979-46B0-A70E-D3E217E5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3034</Words>
  <Characters>16690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REPUBLIQUE FRANCAISE</vt:lpstr>
    </vt:vector>
  </TitlesOfParts>
  <Company>Hewlett-Packard Company</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GC</dc:creator>
  <dc:description/>
  <cp:lastModifiedBy>MOIZO Juliette</cp:lastModifiedBy>
  <cp:revision>10</cp:revision>
  <cp:lastPrinted>2021-04-29T14:31:00Z</cp:lastPrinted>
  <dcterms:created xsi:type="dcterms:W3CDTF">2021-09-29T20:01:00Z</dcterms:created>
  <dcterms:modified xsi:type="dcterms:W3CDTF">2021-10-01T16:20:00Z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