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A3" w:rsidRPr="00D04EA3" w:rsidRDefault="00D04EA3" w:rsidP="00066D66">
      <w:pPr>
        <w:pStyle w:val="HeadingRunIn"/>
        <w:keepNext w:val="0"/>
        <w:widowControl w:val="0"/>
        <w:suppressAutoHyphens/>
        <w:spacing w:before="0" w:line="320" w:lineRule="atLeast"/>
        <w:rPr>
          <w:rFonts w:ascii="Times" w:hAnsi="Times" w:cs="Times"/>
          <w:b w:val="0"/>
          <w:w w:val="100"/>
        </w:rPr>
      </w:pPr>
      <w:r>
        <w:rPr>
          <w:rFonts w:ascii="Courier New" w:hAnsi="Courier New"/>
          <w:b w:val="0"/>
          <w:sz w:val="20"/>
        </w:rPr>
        <w:t>1. ---</w:t>
      </w:r>
      <w:r w:rsidR="0086549F">
        <w:rPr>
          <w:rFonts w:ascii="Courier New" w:hAnsi="Courier New"/>
          <w:b w:val="0"/>
          <w:sz w:val="20"/>
        </w:rPr>
        <w:t>-</w:t>
      </w:r>
      <w:r>
        <w:rPr>
          <w:rFonts w:ascii="Courier New" w:hAnsi="Courier New"/>
          <w:b w:val="0"/>
          <w:sz w:val="20"/>
        </w:rPr>
        <w:t xml:space="preserve">--IND- 2020 0314 S-- ES- ------ </w:t>
      </w:r>
      <w:r>
        <w:rPr>
          <w:rFonts w:ascii="Segoe UI" w:hAnsi="Segoe UI"/>
          <w:b w:val="0"/>
          <w:sz w:val="20"/>
        </w:rPr>
        <w:t>20201130</w:t>
      </w:r>
      <w:r>
        <w:rPr>
          <w:rFonts w:ascii="Calibri" w:hAnsi="Calibri"/>
          <w:b w:val="0"/>
          <w:sz w:val="20"/>
        </w:rPr>
        <w:t xml:space="preserve"> </w:t>
      </w:r>
      <w:r>
        <w:rPr>
          <w:rFonts w:ascii="Courier New" w:hAnsi="Courier New"/>
          <w:b w:val="0"/>
          <w:sz w:val="20"/>
        </w:rPr>
        <w:t>--- --- FINAL</w:t>
      </w:r>
    </w:p>
    <w:p w:rsidR="00066D66" w:rsidRDefault="00066D66" w:rsidP="00066D66">
      <w:pPr>
        <w:pStyle w:val="HeadingRunIn"/>
        <w:keepNext w:val="0"/>
        <w:widowControl w:val="0"/>
        <w:suppressAutoHyphens/>
        <w:spacing w:before="0" w:line="320" w:lineRule="atLeast"/>
        <w:rPr>
          <w:rFonts w:ascii="Times" w:hAnsi="Times" w:cs="Times"/>
          <w:w w:val="100"/>
        </w:rPr>
      </w:pPr>
      <w:r>
        <w:rPr>
          <w:rFonts w:ascii="Times" w:hAnsi="Times"/>
        </w:rPr>
        <w:t>SIFS 2020:2</w:t>
      </w:r>
    </w:p>
    <w:p w:rsidR="00066D66" w:rsidRDefault="00066D66" w:rsidP="00066D66">
      <w:pPr>
        <w:pStyle w:val="HeadingRunIn"/>
        <w:keepNext w:val="0"/>
        <w:widowControl w:val="0"/>
        <w:suppressAutoHyphens/>
        <w:spacing w:before="0" w:line="200" w:lineRule="atLeast"/>
        <w:rPr>
          <w:rFonts w:ascii="Times" w:hAnsi="Times" w:cs="Times"/>
          <w:b w:val="0"/>
          <w:bCs w:val="0"/>
          <w:w w:val="100"/>
          <w:sz w:val="17"/>
          <w:szCs w:val="17"/>
        </w:rPr>
      </w:pPr>
      <w:r>
        <w:rPr>
          <w:rFonts w:ascii="Times" w:hAnsi="Times"/>
          <w:b w:val="0"/>
          <w:sz w:val="17"/>
        </w:rPr>
        <w:t>Publicado el</w:t>
      </w:r>
      <w:r>
        <w:rPr>
          <w:rFonts w:ascii="Times" w:hAnsi="Times"/>
          <w:b w:val="0"/>
          <w:sz w:val="17"/>
        </w:rPr>
        <w:br/>
        <w:t>1 de octubre de 2020</w:t>
      </w:r>
    </w:p>
    <w:p w:rsidR="00D97284" w:rsidRDefault="00D97284"/>
    <w:p w:rsidR="00066D66" w:rsidRDefault="00066D66" w:rsidP="00066D66">
      <w:pPr>
        <w:pStyle w:val="HeadingRunIn"/>
        <w:keepNext w:val="0"/>
        <w:widowControl w:val="0"/>
        <w:suppressAutoHyphens/>
        <w:spacing w:before="0" w:line="240" w:lineRule="atLeast"/>
        <w:ind w:right="240"/>
        <w:rPr>
          <w:rFonts w:ascii="Times" w:hAnsi="Times" w:cs="Times"/>
          <w:w w:val="100"/>
          <w:sz w:val="26"/>
          <w:szCs w:val="26"/>
        </w:rPr>
      </w:pPr>
      <w:r>
        <w:rPr>
          <w:rFonts w:ascii="Times" w:hAnsi="Times"/>
          <w:sz w:val="26"/>
        </w:rPr>
        <w:t xml:space="preserve">Reglamento y directrices generales de la Autoridad sueca de juegos de azar sobre restricciones y prohibiciones relativas a determinadas apuestas para combatir la manipulación de resultados </w:t>
      </w:r>
      <w:r>
        <w:rPr>
          <w:rFonts w:ascii="Times" w:hAnsi="Times"/>
          <w:sz w:val="26"/>
        </w:rPr>
        <w:br/>
        <w:t>de competiciones deportivas (incluido el arreglo de partidos) y a la notificación de presuntos casos de manipulación,</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adoptado el 14 de septiembre de 2020.</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De conformidad con lo dispuesto en el capítulo 16, artículo 6, párrafo primero, y el artículo 11, punto 2, del Reglamento (2018:1475) relativo a los juegos de azar, la Autoridad sueca de juegos de azar establece</w:t>
      </w:r>
      <w:r>
        <w:rPr>
          <w:rFonts w:ascii="Times" w:hAnsi="Times" w:cs="Times"/>
          <w:b w:val="0"/>
          <w:bCs w:val="0"/>
          <w:w w:val="100"/>
          <w:sz w:val="19"/>
          <w:szCs w:val="19"/>
          <w:vertAlign w:val="superscript"/>
          <w:lang w:val="sv-SE"/>
        </w:rPr>
        <w:footnoteReference w:id="1"/>
      </w:r>
      <w:r>
        <w:rPr>
          <w:rFonts w:ascii="Times" w:hAnsi="Times"/>
          <w:b w:val="0"/>
          <w:sz w:val="19"/>
        </w:rPr>
        <w:t xml:space="preserve"> lo que se indica a continuación y adopta las siguientes directrices generales.</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Capítulo 1. Ámbito de aplicación y términos</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Artículo 1.</w:t>
      </w:r>
      <w:r>
        <w:rPr>
          <w:rFonts w:ascii="Times" w:hAnsi="Times"/>
          <w:b w:val="0"/>
          <w:sz w:val="19"/>
        </w:rPr>
        <w:t> El presente Reglamento y directrices generales contienen disposiciones complementarias a la Ley sobre juegos de azar (2018:1138) y al Reglamento (2018:1475) relativo a los juegos de azar. El presente Reglamento se aplicará a los servicios de apuestas relacionados con competiciones deportivas realizadas en Suecia y ofrecidos por los titulares de licencias para prestar dichos servicios con arreglo a lo dispuesto en el capítulo 8 de la Ley sobre juegos de azar.</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Artículo 2.</w:t>
      </w:r>
      <w:r>
        <w:rPr>
          <w:rFonts w:ascii="Times" w:hAnsi="Times"/>
          <w:b w:val="0"/>
          <w:sz w:val="19"/>
        </w:rPr>
        <w:t> Los términos y las denominaciones utilizados en el presente Reglamento tienen el mismo significado que en la Ley (2018:1138) sobre juegos de azar y el Reglamento (2018:1475) relativo a los juegos de azar.</w:t>
      </w:r>
    </w:p>
    <w:p w:rsidR="00066D66" w:rsidRDefault="00066D66" w:rsidP="00066D66">
      <w:pPr>
        <w:pStyle w:val="HeadingRunIn"/>
        <w:keepNext w:val="0"/>
        <w:tabs>
          <w:tab w:val="left" w:pos="3060"/>
        </w:tabs>
        <w:spacing w:before="0" w:line="220" w:lineRule="atLeast"/>
        <w:ind w:firstLine="180"/>
        <w:jc w:val="both"/>
        <w:rPr>
          <w:rFonts w:ascii="Times" w:hAnsi="Times" w:cs="Times"/>
          <w:b w:val="0"/>
          <w:bCs w:val="0"/>
          <w:w w:val="100"/>
          <w:sz w:val="19"/>
          <w:szCs w:val="19"/>
        </w:rPr>
      </w:pPr>
      <w:r>
        <w:rPr>
          <w:rFonts w:ascii="Times" w:hAnsi="Times"/>
          <w:b w:val="0"/>
          <w:sz w:val="19"/>
        </w:rPr>
        <w:t>A los efectos del presente Reglamento y directrices generales, se entenderá por deporte todo rendimiento individual o en equipo con elementos competitivos que, a menudo, está asociado con una actividad física</w:t>
      </w:r>
      <w:bookmarkStart w:id="0" w:name="_GoBack"/>
      <w:bookmarkEnd w:id="0"/>
      <w:r>
        <w:rPr>
          <w:rFonts w:ascii="Times" w:hAnsi="Times"/>
          <w:b w:val="0"/>
          <w:sz w:val="19"/>
        </w:rPr>
        <w:t xml:space="preserve"> y requiere habilidad, cuyo resultado está determinado tanto por la habilidad como por la suerte y en el que las habilidades de los participantes varían y afectan en gran medida el rendimiento, siendo muchas veces de naturaleza competitiva, como, por ejemplo, bandy, baloncesto, deportes </w:t>
      </w:r>
      <w:r>
        <w:rPr>
          <w:rFonts w:ascii="Times" w:hAnsi="Times"/>
          <w:b w:val="0"/>
          <w:sz w:val="19"/>
        </w:rPr>
        <w:lastRenderedPageBreak/>
        <w:t>electrónicos, fútbol, equitación, golf, hockey sobre hielo, deportes de motor, esquí, tiro o tenis.</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Capítulo 2. Prohibición de apuestas sobre determinadas sanciones y rendimiento de menores</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Artículo 1.</w:t>
      </w:r>
      <w:r>
        <w:rPr>
          <w:rFonts w:ascii="Times" w:hAnsi="Times"/>
          <w:b w:val="0"/>
          <w:sz w:val="19"/>
        </w:rPr>
        <w:t xml:space="preserve"> No podrán ofrecerse servicios de apuestas sobre sanciones por faltas cometidas en relación con un partido, una competición o un torneo.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Directrices generales: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Las sanciones pueden ser de diferentes tipos: tarjetas amarillas o rojas, tiros libres, penaltis, expulsiones, amonestaciones, descalificaciones o similares.</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sz w:val="19"/>
        </w:rPr>
        <w:t>Artículo 2.</w:t>
      </w:r>
      <w:r>
        <w:rPr>
          <w:rFonts w:ascii="Times" w:hAnsi="Times"/>
          <w:b w:val="0"/>
          <w:sz w:val="19"/>
        </w:rPr>
        <w:t xml:space="preserve"> No podrán ofrecerse servicios de apuestas sobre el rendimiento individual, ya sea durante un partido, una competición o un torneo, de un participante que, en el momento de ofrecerse dicho servicio, sea menor de 18 años.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Capítulo 3. Disposiciones especiales sobre restricciones y prohibiciones relativas a las apuestas sobre partidos de fútbol</w:t>
      </w:r>
    </w:p>
    <w:p w:rsidR="00066D66" w:rsidRDefault="00066D66" w:rsidP="008742B9">
      <w:pPr>
        <w:pStyle w:val="HeadingRunIn"/>
        <w:spacing w:before="100" w:line="220" w:lineRule="atLeast"/>
        <w:jc w:val="both"/>
        <w:rPr>
          <w:rFonts w:ascii="Times" w:hAnsi="Times" w:cs="Times"/>
          <w:b w:val="0"/>
          <w:bCs w:val="0"/>
          <w:w w:val="100"/>
          <w:sz w:val="19"/>
          <w:szCs w:val="19"/>
        </w:rPr>
      </w:pPr>
      <w:r>
        <w:rPr>
          <w:rFonts w:ascii="Times" w:hAnsi="Times"/>
          <w:sz w:val="19"/>
        </w:rPr>
        <w:t>Artículo 1.</w:t>
      </w:r>
      <w:r>
        <w:rPr>
          <w:rFonts w:ascii="Times" w:hAnsi="Times"/>
          <w:b w:val="0"/>
          <w:sz w:val="19"/>
        </w:rPr>
        <w:t xml:space="preserve"> Solo podrán ofrecerse servicios de apuestas sobre fútbol con las restricciones establecidas en los capítulos 1 y 2 en relación con: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partidos de las cuatro divisiones más altas de la liga sueca de fútbol;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 xml:space="preserve">partidos a escala internacional entre equipos que militan en una de las cuatro divisiones más altas de sus respectivos países; </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partidos correspondientes a la Copa de Suecia en los que juegan equipos que militan en una de las cuatro divisiones más altas de la liga sueca; y</w:t>
      </w:r>
    </w:p>
    <w:p w:rsidR="00066D66" w:rsidRDefault="00066D66" w:rsidP="00066D66">
      <w:pPr>
        <w:pStyle w:val="HeadingRunIn"/>
        <w:keepNext w:val="0"/>
        <w:tabs>
          <w:tab w:val="left" w:pos="240"/>
        </w:tabs>
        <w:spacing w:before="0" w:line="220" w:lineRule="atLeast"/>
        <w:ind w:left="240" w:hanging="240"/>
        <w:jc w:val="both"/>
        <w:rPr>
          <w:rFonts w:ascii="Times" w:hAnsi="Times" w:cs="Times"/>
          <w:b w:val="0"/>
          <w:bCs w:val="0"/>
          <w:w w:val="100"/>
          <w:sz w:val="19"/>
          <w:szCs w:val="19"/>
        </w:rPr>
      </w:pPr>
      <w:r>
        <w:rPr>
          <w:rFonts w:ascii="Times" w:hAnsi="Times"/>
          <w:b w:val="0"/>
          <w:sz w:val="19"/>
        </w:rPr>
        <w:t>–</w:t>
      </w:r>
      <w:r>
        <w:rPr>
          <w:rFonts w:ascii="Times" w:hAnsi="Times"/>
          <w:b w:val="0"/>
          <w:sz w:val="19"/>
        </w:rPr>
        <w:tab/>
        <w:t>partidos disputados entre selecciones nacionales de fútbol de la sub-21 a la selección absoluta.</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No podrán ofrecerse servicios de apuestas sobre partidos de entrenamiento o amistosos, a menos que se trate de partidos entre selecciones nacionales de fútbol de la sub-21 a la selección absoluta.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Directrices generales: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 xml:space="preserve">Los partidos entre equipos a escala internacional pueden ser, por ejemplo, partidos de las copas europeas que se disputan en Suecia. </w:t>
      </w:r>
    </w:p>
    <w:p w:rsidR="00066D66" w:rsidRDefault="00066D66" w:rsidP="00066D66">
      <w:pPr>
        <w:pStyle w:val="HeadingRunIn"/>
        <w:widowControl w:val="0"/>
        <w:suppressAutoHyphens/>
        <w:spacing w:before="360" w:line="220" w:lineRule="atLeast"/>
        <w:rPr>
          <w:rFonts w:ascii="Times" w:hAnsi="Times" w:cs="Times"/>
          <w:w w:val="100"/>
          <w:sz w:val="21"/>
          <w:szCs w:val="21"/>
        </w:rPr>
      </w:pPr>
      <w:r>
        <w:rPr>
          <w:rFonts w:ascii="Times" w:hAnsi="Times"/>
          <w:sz w:val="21"/>
        </w:rPr>
        <w:t>Capítulo 4. Notificación de casos de manipulación de resultados de competiciones deportivas que sean objeto de apuestas</w:t>
      </w:r>
    </w:p>
    <w:p w:rsidR="00066D66" w:rsidRDefault="00066D66" w:rsidP="00066D66">
      <w:pPr>
        <w:pStyle w:val="HeadingRunIn"/>
        <w:keepNext w:val="0"/>
        <w:spacing w:before="100" w:line="220" w:lineRule="atLeast"/>
        <w:jc w:val="both"/>
        <w:rPr>
          <w:rFonts w:ascii="Times" w:hAnsi="Times" w:cs="Times"/>
          <w:b w:val="0"/>
          <w:bCs w:val="0"/>
          <w:w w:val="100"/>
          <w:sz w:val="19"/>
          <w:szCs w:val="19"/>
        </w:rPr>
      </w:pPr>
      <w:r>
        <w:rPr>
          <w:rFonts w:ascii="Times" w:hAnsi="Times"/>
          <w:sz w:val="19"/>
        </w:rPr>
        <w:t>Artículo 1.</w:t>
      </w:r>
      <w:r>
        <w:rPr>
          <w:rFonts w:ascii="Times" w:hAnsi="Times"/>
          <w:b w:val="0"/>
          <w:sz w:val="19"/>
        </w:rPr>
        <w:t xml:space="preserve"> El titular de una licencia deberá enviar a la Autoridad sueca de juegos de azar, antes del 31 de marzo de cada año, un informe sobre presuntos casos, registrados el año anterior, de manipulación de resultados de competiciones deportivas que sean objeto de apuestas, de conformidad con lo dispuesto en el capítulo 8, artículo 1, párrafo tercero, del Reglamento y directrices generales (LIFS 2018:8) de la Inspección de loterías y juegos de azar sobre requisitos técnicos, así como la </w:t>
      </w:r>
      <w:r>
        <w:rPr>
          <w:rFonts w:ascii="Times" w:hAnsi="Times"/>
          <w:b w:val="0"/>
          <w:sz w:val="19"/>
        </w:rPr>
        <w:lastRenderedPageBreak/>
        <w:t>acreditación de los organismos encargados de controlar, probar y certificar las actividades de juegos de azar.</w:t>
      </w:r>
    </w:p>
    <w:p w:rsidR="00066D66" w:rsidRDefault="00066D66" w:rsidP="008742B9">
      <w:pPr>
        <w:pStyle w:val="HeadingRunIn"/>
        <w:keepNext w:val="0"/>
        <w:tabs>
          <w:tab w:val="left" w:pos="2940"/>
        </w:tabs>
        <w:spacing w:before="0" w:line="220" w:lineRule="atLeast"/>
        <w:ind w:firstLine="180"/>
        <w:jc w:val="both"/>
        <w:rPr>
          <w:rFonts w:ascii="Times" w:hAnsi="Times" w:cs="Times"/>
          <w:b w:val="0"/>
          <w:bCs w:val="0"/>
          <w:w w:val="100"/>
          <w:sz w:val="19"/>
          <w:szCs w:val="19"/>
        </w:rPr>
      </w:pPr>
      <w:r>
        <w:rPr>
          <w:rFonts w:ascii="Times" w:hAnsi="Times"/>
          <w:b w:val="0"/>
          <w:sz w:val="19"/>
        </w:rPr>
        <w:t xml:space="preserve">Todo presunto caso de manipulación de resultados registrado deberá incluir la fecha de la presunta manipulación y el propósito de esta. </w:t>
      </w:r>
    </w:p>
    <w:p w:rsidR="00066D66" w:rsidRDefault="00066D66" w:rsidP="00066D66">
      <w:pPr>
        <w:pStyle w:val="HeadingRunIn"/>
        <w:widowControl w:val="0"/>
        <w:suppressAutoHyphens/>
        <w:spacing w:before="220" w:line="220" w:lineRule="atLeast"/>
        <w:ind w:left="500"/>
        <w:rPr>
          <w:rFonts w:ascii="Times" w:hAnsi="Times" w:cs="Times"/>
          <w:b w:val="0"/>
          <w:bCs w:val="0"/>
          <w:i/>
          <w:iCs/>
          <w:w w:val="100"/>
          <w:sz w:val="19"/>
          <w:szCs w:val="19"/>
        </w:rPr>
      </w:pPr>
      <w:r>
        <w:rPr>
          <w:rFonts w:ascii="Times" w:hAnsi="Times"/>
          <w:b w:val="0"/>
          <w:i/>
          <w:sz w:val="19"/>
        </w:rPr>
        <w:t>Directrices generales:</w:t>
      </w:r>
    </w:p>
    <w:p w:rsidR="00066D66" w:rsidRDefault="00066D66" w:rsidP="00066D66">
      <w:pPr>
        <w:pStyle w:val="HeadingRunIn"/>
        <w:keepNext w:val="0"/>
        <w:spacing w:before="100" w:line="220" w:lineRule="atLeast"/>
        <w:ind w:left="500"/>
        <w:jc w:val="both"/>
        <w:rPr>
          <w:rFonts w:ascii="Times" w:hAnsi="Times" w:cs="Times"/>
          <w:b w:val="0"/>
          <w:bCs w:val="0"/>
          <w:w w:val="100"/>
          <w:sz w:val="19"/>
          <w:szCs w:val="19"/>
        </w:rPr>
      </w:pPr>
      <w:r>
        <w:rPr>
          <w:rFonts w:ascii="Times" w:hAnsi="Times"/>
          <w:b w:val="0"/>
          <w:sz w:val="19"/>
        </w:rPr>
        <w:t>La notificación de presuntos casos de manipulación de resultados registrados solo debe referirse a un partido, una competencia o un torneo. En la medida de lo posible, deberá evitarse incluir en el informe cualquier información personal relacionada con presuntos casos de manipulación. El titular de una licencia deberá recopilar periódicamente presuntos casos de manipulación de resultados.</w:t>
      </w:r>
    </w:p>
    <w:p w:rsidR="00066D66" w:rsidRDefault="00066D66" w:rsidP="00066D66">
      <w:pPr>
        <w:pStyle w:val="HeadingRunIn"/>
        <w:keepNext w:val="0"/>
        <w:pBdr>
          <w:top w:val="single" w:sz="8" w:space="0" w:color="auto"/>
        </w:pBdr>
        <w:spacing w:before="0" w:line="220" w:lineRule="atLeast"/>
        <w:ind w:firstLine="180"/>
        <w:jc w:val="both"/>
        <w:rPr>
          <w:rFonts w:ascii="Times" w:hAnsi="Times" w:cs="Times"/>
          <w:b w:val="0"/>
          <w:bCs w:val="0"/>
          <w:w w:val="100"/>
          <w:sz w:val="19"/>
          <w:szCs w:val="19"/>
        </w:rPr>
      </w:pPr>
      <w:r>
        <w:rPr>
          <w:rFonts w:ascii="Times" w:hAnsi="Times"/>
          <w:b w:val="0"/>
          <w:sz w:val="19"/>
        </w:rPr>
        <w:t>El presente Reglamento y directrices generales entrarán en vigor el 1 de enero de 2021.</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En nombre de la Autoridad sueca de juegos de azar</w:t>
      </w:r>
    </w:p>
    <w:p w:rsidR="00066D66" w:rsidRDefault="00066D66" w:rsidP="00066D66">
      <w:pPr>
        <w:pStyle w:val="HeadingRunIn"/>
        <w:keepNext w:val="0"/>
        <w:tabs>
          <w:tab w:val="left" w:pos="3060"/>
        </w:tabs>
        <w:spacing w:before="220" w:line="220" w:lineRule="atLeast"/>
        <w:jc w:val="both"/>
        <w:rPr>
          <w:rFonts w:ascii="Times" w:hAnsi="Times" w:cs="Times"/>
          <w:b w:val="0"/>
          <w:bCs w:val="0"/>
          <w:w w:val="100"/>
          <w:sz w:val="19"/>
          <w:szCs w:val="19"/>
        </w:rPr>
      </w:pPr>
      <w:r>
        <w:rPr>
          <w:rFonts w:ascii="Times" w:hAnsi="Times"/>
          <w:b w:val="0"/>
          <w:sz w:val="19"/>
        </w:rPr>
        <w:t>CAMILLA ROSENBERG</w:t>
      </w:r>
    </w:p>
    <w:p w:rsidR="00066D66" w:rsidRDefault="00066D66" w:rsidP="008742B9">
      <w:pPr>
        <w:pStyle w:val="HeadingRunIn"/>
        <w:keepNext w:val="0"/>
        <w:tabs>
          <w:tab w:val="left" w:pos="2940"/>
        </w:tabs>
        <w:spacing w:before="0" w:line="220" w:lineRule="atLeast"/>
        <w:jc w:val="center"/>
        <w:rPr>
          <w:rFonts w:ascii="Times" w:hAnsi="Times" w:cs="Times"/>
          <w:b w:val="0"/>
          <w:bCs w:val="0"/>
          <w:w w:val="100"/>
          <w:sz w:val="19"/>
          <w:szCs w:val="19"/>
        </w:rPr>
      </w:pPr>
      <w:r>
        <w:rPr>
          <w:rFonts w:ascii="Times" w:hAnsi="Times"/>
          <w:b w:val="0"/>
          <w:sz w:val="19"/>
        </w:rPr>
        <w:t>Johan Röhr</w:t>
      </w:r>
    </w:p>
    <w:sectPr w:rsidR="00066D66" w:rsidSect="00066D66">
      <w:headerReference w:type="default" r:id="rId9"/>
      <w:pgSz w:w="9356" w:h="13721"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635" w:rsidRDefault="009B3635" w:rsidP="00066D66">
      <w:pPr>
        <w:spacing w:after="0" w:line="240" w:lineRule="auto"/>
      </w:pPr>
      <w:r>
        <w:separator/>
      </w:r>
    </w:p>
  </w:endnote>
  <w:endnote w:type="continuationSeparator" w:id="0">
    <w:p w:rsidR="009B3635" w:rsidRDefault="009B3635" w:rsidP="000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635" w:rsidRDefault="009B3635" w:rsidP="00066D66">
      <w:pPr>
        <w:spacing w:after="0" w:line="240" w:lineRule="auto"/>
      </w:pPr>
      <w:r>
        <w:separator/>
      </w:r>
    </w:p>
  </w:footnote>
  <w:footnote w:type="continuationSeparator" w:id="0">
    <w:p w:rsidR="009B3635" w:rsidRDefault="009B3635" w:rsidP="00066D66">
      <w:pPr>
        <w:spacing w:after="0" w:line="240" w:lineRule="auto"/>
      </w:pPr>
      <w:r>
        <w:continuationSeparator/>
      </w:r>
    </w:p>
  </w:footnote>
  <w:footnote w:id="1">
    <w:p w:rsidR="00066D66" w:rsidRPr="008742B9" w:rsidRDefault="00066D66" w:rsidP="00066D66">
      <w:pPr>
        <w:pStyle w:val="HeadingRunIn"/>
        <w:keepNext w:val="0"/>
        <w:widowControl w:val="0"/>
        <w:tabs>
          <w:tab w:val="left" w:pos="100"/>
        </w:tabs>
        <w:spacing w:before="0" w:line="160" w:lineRule="atLeast"/>
        <w:jc w:val="both"/>
        <w:rPr>
          <w:rFonts w:ascii="Times" w:hAnsi="Times" w:cs="Times"/>
          <w:b w:val="0"/>
          <w:bCs w:val="0"/>
          <w:sz w:val="17"/>
          <w:szCs w:val="17"/>
        </w:rPr>
      </w:pPr>
      <w:r>
        <w:rPr>
          <w:rFonts w:ascii="Times" w:hAnsi="Times" w:cs="Times"/>
          <w:b w:val="0"/>
          <w:bCs w:val="0"/>
          <w:sz w:val="17"/>
          <w:szCs w:val="17"/>
          <w:vertAlign w:val="superscript"/>
          <w:lang w:val="sv-SE"/>
        </w:rPr>
        <w:footnoteRef/>
      </w:r>
      <w:r>
        <w:rPr>
          <w:rFonts w:ascii="Times" w:hAnsi="Times"/>
          <w:b w:val="0"/>
          <w:sz w:val="17"/>
        </w:rP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11" w:rsidRDefault="009B3635">
    <w:pPr>
      <w:autoSpaceDE w:val="0"/>
      <w:autoSpaceDN w:val="0"/>
      <w:adjustRightInd w:val="0"/>
      <w:spacing w:after="0" w:line="240" w:lineRule="auto"/>
      <w:rPr>
        <w:rFonts w:ascii="Symbol" w:hAnsi="Symbo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66"/>
    <w:rsid w:val="00066D66"/>
    <w:rsid w:val="002B6792"/>
    <w:rsid w:val="00400EEC"/>
    <w:rsid w:val="0086549F"/>
    <w:rsid w:val="008742B9"/>
    <w:rsid w:val="009B3635"/>
    <w:rsid w:val="00CC2B55"/>
    <w:rsid w:val="00D04EA3"/>
    <w:rsid w:val="00D97284"/>
    <w:rsid w:val="00E32B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308FB"/>
  <w15:chartTrackingRefBased/>
  <w15:docId w15:val="{B189AE44-5298-4600-B0D9-F649FFF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066D66"/>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Header">
    <w:name w:val="header"/>
    <w:basedOn w:val="Normal"/>
    <w:link w:val="HeaderChar"/>
    <w:uiPriority w:val="99"/>
    <w:unhideWhenUsed/>
    <w:rsid w:val="00E32B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B38"/>
  </w:style>
  <w:style w:type="paragraph" w:styleId="Footer">
    <w:name w:val="footer"/>
    <w:basedOn w:val="Normal"/>
    <w:link w:val="FooterChar"/>
    <w:uiPriority w:val="99"/>
    <w:unhideWhenUsed/>
    <w:rsid w:val="00E32B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2197A-D8AC-4B17-82B2-EE85EAECD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009100-FA1D-4B3E-A766-3F5A8949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BB8B8-7281-4125-9D08-F459F5345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4469</Characters>
  <Application>Microsoft Office Word</Application>
  <DocSecurity>0</DocSecurity>
  <Lines>37</Lines>
  <Paragraphs>10</Paragraphs>
  <ScaleCrop>false</ScaleCrop>
  <Company>Elanders</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Göran</dc:creator>
  <cp:keywords/>
  <dc:description/>
  <cp:lastModifiedBy>Ke, Tingting</cp:lastModifiedBy>
  <cp:revision>6</cp:revision>
  <dcterms:created xsi:type="dcterms:W3CDTF">2020-09-25T09:09:00Z</dcterms:created>
  <dcterms:modified xsi:type="dcterms:W3CDTF">2020-11-26T07:46:00Z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