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EA3" w:rsidRPr="00D04EA3" w:rsidRDefault="00D04EA3" w:rsidP="00066D66">
      <w:pPr>
        <w:pStyle w:val="HeadingRunIn"/>
        <w:keepNext w:val="0"/>
        <w:widowControl w:val="0"/>
        <w:suppressAutoHyphens/>
        <w:spacing w:before="0" w:line="320" w:lineRule="atLeast"/>
        <w:rPr>
          <w:rFonts w:ascii="Times" w:hAnsi="Times" w:cs="Times"/>
          <w:b w:val="0"/>
          <w:w w:val="100"/>
        </w:rPr>
      </w:pPr>
      <w:r>
        <w:rPr>
          <w:rFonts w:ascii="Courier New" w:hAnsi="Courier New"/>
          <w:b w:val="0"/>
          <w:sz w:val="20"/>
        </w:rPr>
        <w:t>1. --</w:t>
      </w:r>
      <w:r w:rsidR="00A975AD">
        <w:rPr>
          <w:rFonts w:ascii="Courier New" w:hAnsi="Courier New"/>
          <w:b w:val="0"/>
          <w:sz w:val="20"/>
        </w:rPr>
        <w:t>-</w:t>
      </w:r>
      <w:r>
        <w:rPr>
          <w:rFonts w:ascii="Courier New" w:hAnsi="Courier New"/>
          <w:b w:val="0"/>
          <w:sz w:val="20"/>
        </w:rPr>
        <w:t>---IND- 2020 0314 S-- LT- ------ 20201130</w:t>
      </w:r>
      <w:r>
        <w:rPr>
          <w:rFonts w:ascii="Calibri" w:hAnsi="Calibri"/>
          <w:b w:val="0"/>
          <w:sz w:val="20"/>
        </w:rPr>
        <w:t xml:space="preserve"> </w:t>
      </w:r>
      <w:r>
        <w:rPr>
          <w:rFonts w:ascii="Courier New" w:hAnsi="Courier New"/>
          <w:b w:val="0"/>
          <w:sz w:val="20"/>
        </w:rPr>
        <w:t>--- --- FINAL</w:t>
      </w:r>
    </w:p>
    <w:p w:rsidR="00066D66" w:rsidRDefault="00066D66" w:rsidP="00066D66">
      <w:pPr>
        <w:pStyle w:val="HeadingRunIn"/>
        <w:keepNext w:val="0"/>
        <w:widowControl w:val="0"/>
        <w:suppressAutoHyphens/>
        <w:spacing w:before="0" w:line="320" w:lineRule="atLeast"/>
        <w:rPr>
          <w:rFonts w:ascii="Times" w:hAnsi="Times" w:cs="Times"/>
          <w:w w:val="100"/>
        </w:rPr>
      </w:pPr>
      <w:r>
        <w:rPr>
          <w:rFonts w:ascii="Times" w:hAnsi="Times"/>
        </w:rPr>
        <w:t>SIFS 2020:2</w:t>
      </w:r>
    </w:p>
    <w:p w:rsidR="00066D66" w:rsidRDefault="00066D66" w:rsidP="00066D66">
      <w:pPr>
        <w:pStyle w:val="HeadingRunIn"/>
        <w:keepNext w:val="0"/>
        <w:widowControl w:val="0"/>
        <w:suppressAutoHyphens/>
        <w:spacing w:before="0" w:line="200" w:lineRule="atLeast"/>
        <w:rPr>
          <w:rFonts w:ascii="Times" w:hAnsi="Times" w:cs="Times"/>
          <w:b w:val="0"/>
          <w:bCs w:val="0"/>
          <w:w w:val="100"/>
          <w:sz w:val="17"/>
          <w:szCs w:val="17"/>
        </w:rPr>
      </w:pPr>
      <w:r>
        <w:rPr>
          <w:rFonts w:ascii="Times" w:hAnsi="Times"/>
          <w:b w:val="0"/>
          <w:sz w:val="17"/>
        </w:rPr>
        <w:t>Paskelbta</w:t>
      </w:r>
      <w:r>
        <w:rPr>
          <w:rFonts w:ascii="Times" w:hAnsi="Times"/>
          <w:b w:val="0"/>
          <w:sz w:val="17"/>
        </w:rPr>
        <w:br/>
        <w:t>2020 m. spalio 1 d.</w:t>
      </w:r>
    </w:p>
    <w:p w:rsidR="00D97284" w:rsidRDefault="00D97284"/>
    <w:p w:rsidR="00066D66" w:rsidRDefault="00066D66" w:rsidP="00066D66">
      <w:pPr>
        <w:pStyle w:val="HeadingRunIn"/>
        <w:keepNext w:val="0"/>
        <w:widowControl w:val="0"/>
        <w:suppressAutoHyphens/>
        <w:spacing w:before="0" w:line="240" w:lineRule="atLeast"/>
        <w:ind w:right="240"/>
        <w:rPr>
          <w:rFonts w:ascii="Times" w:hAnsi="Times" w:cs="Times"/>
          <w:w w:val="100"/>
          <w:sz w:val="26"/>
          <w:szCs w:val="26"/>
        </w:rPr>
      </w:pPr>
      <w:r>
        <w:rPr>
          <w:rFonts w:ascii="Times" w:hAnsi="Times"/>
          <w:sz w:val="26"/>
        </w:rPr>
        <w:t>Švedijos lošimų priežiūros institucijos reglamentas ir bendroji rekomendacija dėl tam tikrų tipų lažybų apribojimų ir draudimų, siekiant įveikti sporto varžybų manipuliavimą (įskaitant susitarimus dėl varžybų baigties) sporte ir pranešti apie įtariamą manipuliavimą</w:t>
      </w:r>
    </w:p>
    <w:p w:rsidR="00066D66" w:rsidRDefault="00066D66" w:rsidP="00066D66">
      <w:pPr>
        <w:pStyle w:val="HeadingRunIn"/>
        <w:keepNext w:val="0"/>
        <w:tabs>
          <w:tab w:val="left" w:pos="3060"/>
        </w:tabs>
        <w:spacing w:before="220" w:line="220" w:lineRule="atLeast"/>
        <w:jc w:val="both"/>
        <w:rPr>
          <w:rFonts w:ascii="Times" w:hAnsi="Times" w:cs="Times"/>
          <w:b w:val="0"/>
          <w:bCs w:val="0"/>
          <w:w w:val="100"/>
          <w:sz w:val="19"/>
          <w:szCs w:val="19"/>
        </w:rPr>
      </w:pPr>
      <w:r>
        <w:rPr>
          <w:rFonts w:ascii="Times" w:hAnsi="Times"/>
          <w:b w:val="0"/>
          <w:sz w:val="19"/>
        </w:rPr>
        <w:t>Priimta 2020 m. rugsėjo 14 d.</w:t>
      </w:r>
    </w:p>
    <w:p w:rsidR="00066D66" w:rsidRDefault="00066D66" w:rsidP="00066D66">
      <w:pPr>
        <w:pStyle w:val="HeadingRunIn"/>
        <w:keepNext w:val="0"/>
        <w:tabs>
          <w:tab w:val="left" w:pos="3060"/>
        </w:tabs>
        <w:spacing w:before="220" w:line="220" w:lineRule="atLeast"/>
        <w:jc w:val="both"/>
        <w:rPr>
          <w:rFonts w:ascii="Times" w:hAnsi="Times" w:cs="Times"/>
          <w:b w:val="0"/>
          <w:bCs w:val="0"/>
          <w:w w:val="100"/>
          <w:sz w:val="19"/>
          <w:szCs w:val="19"/>
        </w:rPr>
      </w:pPr>
      <w:r>
        <w:rPr>
          <w:rFonts w:ascii="Times" w:hAnsi="Times"/>
          <w:b w:val="0"/>
          <w:sz w:val="19"/>
        </w:rPr>
        <w:t>Remdamasi Lošimo potvarkio Nr. 2018:1475 16 skyriaus 6 straipsnio pirma dalimi ir 11 straipsnio 2 punktu, Švedijos lošimų priežiūros institucija nustato tai</w:t>
      </w:r>
      <w:r>
        <w:rPr>
          <w:rFonts w:ascii="Times" w:hAnsi="Times" w:cs="Times"/>
          <w:b w:val="0"/>
          <w:bCs w:val="0"/>
          <w:w w:val="100"/>
          <w:sz w:val="19"/>
          <w:szCs w:val="19"/>
          <w:vertAlign w:val="superscript"/>
          <w:lang w:val="sv-SE"/>
        </w:rPr>
        <w:footnoteReference w:id="1"/>
      </w:r>
      <w:r>
        <w:rPr>
          <w:rFonts w:ascii="Times" w:hAnsi="Times"/>
          <w:b w:val="0"/>
          <w:sz w:val="19"/>
        </w:rPr>
        <w:t>, kas nurodyta toliau, ir priima šias bendrąsias rekomendacijas.</w:t>
      </w:r>
    </w:p>
    <w:p w:rsidR="00066D66" w:rsidRDefault="00066D66" w:rsidP="00066D66">
      <w:pPr>
        <w:pStyle w:val="HeadingRunIn"/>
        <w:widowControl w:val="0"/>
        <w:suppressAutoHyphens/>
        <w:spacing w:before="360" w:line="220" w:lineRule="atLeast"/>
        <w:rPr>
          <w:rFonts w:ascii="Times" w:hAnsi="Times" w:cs="Times"/>
          <w:w w:val="100"/>
          <w:sz w:val="21"/>
          <w:szCs w:val="21"/>
        </w:rPr>
      </w:pPr>
      <w:r>
        <w:rPr>
          <w:rFonts w:ascii="Times" w:hAnsi="Times"/>
          <w:sz w:val="21"/>
        </w:rPr>
        <w:t>1 skyrius. Taikymo sritis ir terminai</w:t>
      </w:r>
    </w:p>
    <w:p w:rsidR="00066D66" w:rsidRDefault="00066D66" w:rsidP="00066D66">
      <w:pPr>
        <w:pStyle w:val="HeadingRunIn"/>
        <w:keepNext w:val="0"/>
        <w:spacing w:before="100" w:line="220" w:lineRule="atLeast"/>
        <w:jc w:val="both"/>
        <w:rPr>
          <w:rFonts w:ascii="Times" w:hAnsi="Times" w:cs="Times"/>
          <w:b w:val="0"/>
          <w:bCs w:val="0"/>
          <w:w w:val="100"/>
          <w:sz w:val="19"/>
          <w:szCs w:val="19"/>
        </w:rPr>
      </w:pPr>
      <w:r>
        <w:rPr>
          <w:rFonts w:ascii="Times" w:hAnsi="Times"/>
          <w:sz w:val="19"/>
        </w:rPr>
        <w:t>1 straipsnis.</w:t>
      </w:r>
      <w:r>
        <w:rPr>
          <w:rFonts w:ascii="Times" w:hAnsi="Times"/>
          <w:b w:val="0"/>
          <w:sz w:val="19"/>
        </w:rPr>
        <w:t> Šiame reglamente ir bendrojoje rekomendacijoje pateikiamos papildomos nuostatos, susijusios su Lošimo įstatymu Nr. 2018:1475 ir Lošimo potvarkiu Nr. 2018:1138. Reglamentas taikomas Švedijoje rengiamoms sporto lažyboms tiems, kas turi licenciją teikti lažybų paslaugas pagal Lošimo įstatymo 8 skyrių.</w:t>
      </w:r>
    </w:p>
    <w:p w:rsidR="00066D66" w:rsidRDefault="00066D66" w:rsidP="00066D66">
      <w:pPr>
        <w:pStyle w:val="HeadingRunIn"/>
        <w:keepNext w:val="0"/>
        <w:tabs>
          <w:tab w:val="left" w:pos="3060"/>
        </w:tabs>
        <w:spacing w:before="220" w:line="220" w:lineRule="atLeast"/>
        <w:jc w:val="both"/>
        <w:rPr>
          <w:rFonts w:ascii="Times" w:hAnsi="Times" w:cs="Times"/>
          <w:b w:val="0"/>
          <w:bCs w:val="0"/>
          <w:w w:val="100"/>
          <w:sz w:val="19"/>
          <w:szCs w:val="19"/>
        </w:rPr>
      </w:pPr>
      <w:r>
        <w:rPr>
          <w:rFonts w:ascii="Times" w:hAnsi="Times"/>
          <w:sz w:val="19"/>
        </w:rPr>
        <w:t>2 straipsnis.</w:t>
      </w:r>
      <w:r>
        <w:rPr>
          <w:rFonts w:ascii="Times" w:hAnsi="Times"/>
          <w:b w:val="0"/>
          <w:sz w:val="19"/>
        </w:rPr>
        <w:t> Jei nėra nurodyta kitaip, šiame reglamente vartojami terminai ir pavadinimai reiškia tą patį kaip ir Lošimo įstatyme Nr. 2018:1138 bei Lošimo potvarkyje Nr. 2018:1475.</w:t>
      </w:r>
    </w:p>
    <w:p w:rsidR="00066D66" w:rsidRDefault="00066D66" w:rsidP="00066D66">
      <w:pPr>
        <w:pStyle w:val="HeadingRunIn"/>
        <w:keepNext w:val="0"/>
        <w:tabs>
          <w:tab w:val="left" w:pos="3060"/>
        </w:tabs>
        <w:spacing w:before="0" w:line="220" w:lineRule="atLeast"/>
        <w:ind w:firstLine="180"/>
        <w:jc w:val="both"/>
        <w:rPr>
          <w:rFonts w:ascii="Times" w:hAnsi="Times" w:cs="Times"/>
          <w:b w:val="0"/>
          <w:bCs w:val="0"/>
          <w:w w:val="100"/>
          <w:sz w:val="19"/>
          <w:szCs w:val="19"/>
        </w:rPr>
      </w:pPr>
      <w:r>
        <w:rPr>
          <w:rFonts w:ascii="Times" w:hAnsi="Times"/>
          <w:b w:val="0"/>
          <w:sz w:val="19"/>
        </w:rPr>
        <w:t xml:space="preserve">Šiame reglamente ir bendrojoje rekomendacijoje sportas yra individualus arba komandinis pasirodymas varžybose, dažnai yra siejamas su fizine veikla ir jam reikalingi įgūdžiai, jo rezultatą lemia įgūdžiai ir sėkmė, o dalyvių įgūdžiai skiriasi ir turi daug įtakos pasirodymui, taip pat jis dažnai būna konkurencinis, pvz., </w:t>
      </w:r>
      <w:proofErr w:type="spellStart"/>
      <w:r>
        <w:rPr>
          <w:rFonts w:ascii="Times" w:hAnsi="Times"/>
          <w:b w:val="0"/>
          <w:sz w:val="19"/>
        </w:rPr>
        <w:t>bandis</w:t>
      </w:r>
      <w:proofErr w:type="spellEnd"/>
      <w:r>
        <w:rPr>
          <w:rFonts w:ascii="Times" w:hAnsi="Times"/>
          <w:b w:val="0"/>
          <w:sz w:val="19"/>
        </w:rPr>
        <w:t>, krepšinis, e. sporto šakos, futbolas, žirgų varžybos, golfas, ledo ritulys, automobilių sportas, slidžių sportas, šaudymas arba tenisas.</w:t>
      </w:r>
    </w:p>
    <w:p w:rsidR="00066D66" w:rsidRDefault="00066D66" w:rsidP="00A975AD">
      <w:pPr>
        <w:pStyle w:val="HeadingRunIn"/>
        <w:keepLines/>
        <w:widowControl w:val="0"/>
        <w:suppressAutoHyphens/>
        <w:spacing w:before="360" w:line="220" w:lineRule="atLeast"/>
        <w:rPr>
          <w:rFonts w:ascii="Times" w:hAnsi="Times" w:cs="Times"/>
          <w:w w:val="100"/>
          <w:sz w:val="21"/>
          <w:szCs w:val="21"/>
        </w:rPr>
      </w:pPr>
      <w:r>
        <w:rPr>
          <w:rFonts w:ascii="Times" w:hAnsi="Times"/>
          <w:sz w:val="21"/>
        </w:rPr>
        <w:lastRenderedPageBreak/>
        <w:t>2 skyrius. Lažybų dėl tam tikr</w:t>
      </w:r>
      <w:bookmarkStart w:id="0" w:name="_GoBack"/>
      <w:bookmarkEnd w:id="0"/>
      <w:r>
        <w:rPr>
          <w:rFonts w:ascii="Times" w:hAnsi="Times"/>
          <w:sz w:val="21"/>
        </w:rPr>
        <w:t>ų baudų ir nepilnamečių pasirodymų draudimas</w:t>
      </w:r>
    </w:p>
    <w:p w:rsidR="00066D66" w:rsidRDefault="00066D66" w:rsidP="00066D66">
      <w:pPr>
        <w:pStyle w:val="HeadingRunIn"/>
        <w:keepNext w:val="0"/>
        <w:spacing w:before="100" w:line="220" w:lineRule="atLeast"/>
        <w:jc w:val="both"/>
        <w:rPr>
          <w:rFonts w:ascii="Times" w:hAnsi="Times" w:cs="Times"/>
          <w:b w:val="0"/>
          <w:bCs w:val="0"/>
          <w:w w:val="100"/>
          <w:sz w:val="19"/>
          <w:szCs w:val="19"/>
        </w:rPr>
      </w:pPr>
      <w:r>
        <w:rPr>
          <w:rFonts w:ascii="Times" w:hAnsi="Times"/>
          <w:sz w:val="19"/>
        </w:rPr>
        <w:t>1 straipsnis.</w:t>
      </w:r>
      <w:r>
        <w:rPr>
          <w:rFonts w:ascii="Times" w:hAnsi="Times"/>
          <w:b w:val="0"/>
          <w:sz w:val="19"/>
        </w:rPr>
        <w:t xml:space="preserve"> Lažybos negali būti sudaromos dėl baudų už taisyklių pažeidimus, susijusius su rungtynėmis, lenktynėmis arba turnyrais. </w:t>
      </w:r>
    </w:p>
    <w:p w:rsidR="00066D66" w:rsidRDefault="00066D66" w:rsidP="00066D66">
      <w:pPr>
        <w:pStyle w:val="HeadingRunIn"/>
        <w:widowControl w:val="0"/>
        <w:suppressAutoHyphens/>
        <w:spacing w:before="220" w:line="220" w:lineRule="atLeast"/>
        <w:ind w:left="500"/>
        <w:rPr>
          <w:rFonts w:ascii="Times" w:hAnsi="Times" w:cs="Times"/>
          <w:b w:val="0"/>
          <w:bCs w:val="0"/>
          <w:i/>
          <w:iCs/>
          <w:w w:val="100"/>
          <w:sz w:val="19"/>
          <w:szCs w:val="19"/>
        </w:rPr>
      </w:pPr>
      <w:r>
        <w:rPr>
          <w:rFonts w:ascii="Times" w:hAnsi="Times"/>
          <w:b w:val="0"/>
          <w:i/>
          <w:sz w:val="19"/>
        </w:rPr>
        <w:t>Bendrosios rekomendacijos:</w:t>
      </w:r>
    </w:p>
    <w:p w:rsidR="00066D66" w:rsidRDefault="00066D66" w:rsidP="00066D66">
      <w:pPr>
        <w:pStyle w:val="HeadingRunIn"/>
        <w:keepNext w:val="0"/>
        <w:spacing w:before="100" w:line="220" w:lineRule="atLeast"/>
        <w:ind w:left="500"/>
        <w:jc w:val="both"/>
        <w:rPr>
          <w:rFonts w:ascii="Times" w:hAnsi="Times" w:cs="Times"/>
          <w:b w:val="0"/>
          <w:bCs w:val="0"/>
          <w:w w:val="100"/>
          <w:sz w:val="19"/>
          <w:szCs w:val="19"/>
        </w:rPr>
      </w:pPr>
      <w:r>
        <w:rPr>
          <w:rFonts w:ascii="Times" w:hAnsi="Times"/>
          <w:b w:val="0"/>
          <w:sz w:val="19"/>
        </w:rPr>
        <w:t>Baudoms priskiriamos raudona arba geltona kortelės, laisvieji metimai, baudos šūviai, baudos smūgiai, išmetimai, įspėjimai, diskvalifikavimas ir kt.</w:t>
      </w:r>
    </w:p>
    <w:p w:rsidR="00066D66" w:rsidRDefault="00066D66" w:rsidP="00066D66">
      <w:pPr>
        <w:pStyle w:val="HeadingRunIn"/>
        <w:keepNext w:val="0"/>
        <w:tabs>
          <w:tab w:val="left" w:pos="3060"/>
        </w:tabs>
        <w:spacing w:before="220" w:line="220" w:lineRule="atLeast"/>
        <w:jc w:val="both"/>
        <w:rPr>
          <w:rFonts w:ascii="Times" w:hAnsi="Times" w:cs="Times"/>
          <w:b w:val="0"/>
          <w:bCs w:val="0"/>
          <w:w w:val="100"/>
          <w:sz w:val="19"/>
          <w:szCs w:val="19"/>
        </w:rPr>
      </w:pPr>
      <w:r>
        <w:rPr>
          <w:rFonts w:ascii="Times" w:hAnsi="Times"/>
          <w:sz w:val="19"/>
        </w:rPr>
        <w:t>2 straipsnis.</w:t>
      </w:r>
      <w:r>
        <w:rPr>
          <w:rFonts w:ascii="Times" w:hAnsi="Times"/>
          <w:b w:val="0"/>
          <w:sz w:val="19"/>
        </w:rPr>
        <w:t xml:space="preserve"> Negalima sudaryti lažybų dėl individualių pasirodymų rungtynėse, lenktynėse arba turnyruose, jei jų dalyvis lažybų sudarymo metu yra jaunesnis nei 18 metų. </w:t>
      </w:r>
    </w:p>
    <w:p w:rsidR="00066D66" w:rsidRDefault="00066D66" w:rsidP="00066D66">
      <w:pPr>
        <w:pStyle w:val="HeadingRunIn"/>
        <w:widowControl w:val="0"/>
        <w:suppressAutoHyphens/>
        <w:spacing w:before="360" w:line="220" w:lineRule="atLeast"/>
        <w:rPr>
          <w:rFonts w:ascii="Times" w:hAnsi="Times" w:cs="Times"/>
          <w:w w:val="100"/>
          <w:sz w:val="21"/>
          <w:szCs w:val="21"/>
        </w:rPr>
      </w:pPr>
      <w:r>
        <w:rPr>
          <w:rFonts w:ascii="Times" w:hAnsi="Times"/>
          <w:sz w:val="21"/>
        </w:rPr>
        <w:t>3 skyrius. Futbolo lažybų apribojimų ir draudimų specifikacijos</w:t>
      </w:r>
    </w:p>
    <w:p w:rsidR="00066D66" w:rsidRDefault="00066D66" w:rsidP="008742B9">
      <w:pPr>
        <w:pStyle w:val="HeadingRunIn"/>
        <w:spacing w:before="100" w:line="220" w:lineRule="atLeast"/>
        <w:jc w:val="both"/>
        <w:rPr>
          <w:rFonts w:ascii="Times" w:hAnsi="Times" w:cs="Times"/>
          <w:b w:val="0"/>
          <w:bCs w:val="0"/>
          <w:w w:val="100"/>
          <w:sz w:val="19"/>
          <w:szCs w:val="19"/>
        </w:rPr>
      </w:pPr>
      <w:r>
        <w:rPr>
          <w:rFonts w:ascii="Times" w:hAnsi="Times"/>
          <w:sz w:val="19"/>
        </w:rPr>
        <w:t>1 straipsnis.</w:t>
      </w:r>
      <w:r>
        <w:rPr>
          <w:rFonts w:ascii="Times" w:hAnsi="Times"/>
          <w:b w:val="0"/>
          <w:sz w:val="19"/>
        </w:rPr>
        <w:t xml:space="preserve"> Futbolo lažybos, kurių apribojimai yra nurodyti 1 ir 2 skyriuose, gali būti sudaromos tik: </w:t>
      </w:r>
    </w:p>
    <w:p w:rsidR="00066D66" w:rsidRDefault="00066D66" w:rsidP="00066D66">
      <w:pPr>
        <w:pStyle w:val="HeadingRunIn"/>
        <w:keepNext w:val="0"/>
        <w:tabs>
          <w:tab w:val="left" w:pos="240"/>
        </w:tabs>
        <w:spacing w:before="0" w:line="220" w:lineRule="atLeast"/>
        <w:ind w:left="240" w:hanging="240"/>
        <w:jc w:val="both"/>
        <w:rPr>
          <w:rFonts w:ascii="Times" w:hAnsi="Times" w:cs="Times"/>
          <w:b w:val="0"/>
          <w:bCs w:val="0"/>
          <w:w w:val="100"/>
          <w:sz w:val="19"/>
          <w:szCs w:val="19"/>
        </w:rPr>
      </w:pPr>
      <w:r>
        <w:rPr>
          <w:rFonts w:ascii="Times" w:hAnsi="Times"/>
          <w:b w:val="0"/>
          <w:sz w:val="19"/>
        </w:rPr>
        <w:t>–</w:t>
      </w:r>
      <w:r>
        <w:rPr>
          <w:rFonts w:ascii="Times" w:hAnsi="Times"/>
          <w:b w:val="0"/>
          <w:sz w:val="19"/>
        </w:rPr>
        <w:tab/>
        <w:t xml:space="preserve">keturiais aukščiausiais Švedijos lygų sistemos lygų lygmenimis, </w:t>
      </w:r>
    </w:p>
    <w:p w:rsidR="00066D66" w:rsidRDefault="00066D66" w:rsidP="00066D66">
      <w:pPr>
        <w:pStyle w:val="HeadingRunIn"/>
        <w:keepNext w:val="0"/>
        <w:tabs>
          <w:tab w:val="left" w:pos="240"/>
        </w:tabs>
        <w:spacing w:before="0" w:line="220" w:lineRule="atLeast"/>
        <w:ind w:left="240" w:hanging="240"/>
        <w:jc w:val="both"/>
        <w:rPr>
          <w:rFonts w:ascii="Times" w:hAnsi="Times" w:cs="Times"/>
          <w:b w:val="0"/>
          <w:bCs w:val="0"/>
          <w:w w:val="100"/>
          <w:sz w:val="19"/>
          <w:szCs w:val="19"/>
        </w:rPr>
      </w:pPr>
      <w:r>
        <w:rPr>
          <w:rFonts w:ascii="Times" w:hAnsi="Times"/>
          <w:b w:val="0"/>
          <w:sz w:val="19"/>
        </w:rPr>
        <w:t>–</w:t>
      </w:r>
      <w:r>
        <w:rPr>
          <w:rFonts w:ascii="Times" w:hAnsi="Times"/>
          <w:b w:val="0"/>
          <w:sz w:val="19"/>
        </w:rPr>
        <w:tab/>
        <w:t xml:space="preserve">varžybose tarp komandų tarptautinių klubų lygmeniu, jei komandos priklauso vienam iš keturių aukščiausių lygų lygmenų atitinkamose šalyse, </w:t>
      </w:r>
    </w:p>
    <w:p w:rsidR="00066D66" w:rsidRDefault="00066D66" w:rsidP="00066D66">
      <w:pPr>
        <w:pStyle w:val="HeadingRunIn"/>
        <w:keepNext w:val="0"/>
        <w:tabs>
          <w:tab w:val="left" w:pos="240"/>
        </w:tabs>
        <w:spacing w:before="0" w:line="220" w:lineRule="atLeast"/>
        <w:ind w:left="240" w:hanging="240"/>
        <w:jc w:val="both"/>
        <w:rPr>
          <w:rFonts w:ascii="Times" w:hAnsi="Times" w:cs="Times"/>
          <w:b w:val="0"/>
          <w:bCs w:val="0"/>
          <w:w w:val="100"/>
          <w:sz w:val="19"/>
          <w:szCs w:val="19"/>
        </w:rPr>
      </w:pPr>
      <w:r>
        <w:rPr>
          <w:rFonts w:ascii="Times" w:hAnsi="Times"/>
          <w:b w:val="0"/>
          <w:sz w:val="19"/>
        </w:rPr>
        <w:t>–</w:t>
      </w:r>
      <w:r>
        <w:rPr>
          <w:rFonts w:ascii="Times" w:hAnsi="Times"/>
          <w:b w:val="0"/>
          <w:sz w:val="19"/>
        </w:rPr>
        <w:tab/>
        <w:t>Švedijos taurės varžybose, jei komandos priklauso vienam iš keturių aukščiausių lygų lygmenų pagal Švedijos lygų sistemą ir</w:t>
      </w:r>
    </w:p>
    <w:p w:rsidR="00066D66" w:rsidRDefault="00066D66" w:rsidP="00066D66">
      <w:pPr>
        <w:pStyle w:val="HeadingRunIn"/>
        <w:keepNext w:val="0"/>
        <w:tabs>
          <w:tab w:val="left" w:pos="240"/>
        </w:tabs>
        <w:spacing w:before="0" w:line="220" w:lineRule="atLeast"/>
        <w:ind w:left="240" w:hanging="240"/>
        <w:jc w:val="both"/>
        <w:rPr>
          <w:rFonts w:ascii="Times" w:hAnsi="Times" w:cs="Times"/>
          <w:b w:val="0"/>
          <w:bCs w:val="0"/>
          <w:w w:val="100"/>
          <w:sz w:val="19"/>
          <w:szCs w:val="19"/>
        </w:rPr>
      </w:pPr>
      <w:r>
        <w:rPr>
          <w:rFonts w:ascii="Times" w:hAnsi="Times"/>
          <w:b w:val="0"/>
          <w:sz w:val="19"/>
        </w:rPr>
        <w:t>–</w:t>
      </w:r>
      <w:r>
        <w:rPr>
          <w:rFonts w:ascii="Times" w:hAnsi="Times"/>
          <w:b w:val="0"/>
          <w:sz w:val="19"/>
        </w:rPr>
        <w:tab/>
        <w:t>varžybose, kuriose dalyvauja jaunesnių nei 21 metų nacionalinės komandos, prilygstančios nacionalinėms A komandoms.</w:t>
      </w:r>
    </w:p>
    <w:p w:rsidR="00066D66" w:rsidRDefault="00066D66" w:rsidP="008742B9">
      <w:pPr>
        <w:pStyle w:val="HeadingRunIn"/>
        <w:keepNext w:val="0"/>
        <w:tabs>
          <w:tab w:val="left" w:pos="2940"/>
        </w:tabs>
        <w:spacing w:before="0" w:line="220" w:lineRule="atLeast"/>
        <w:ind w:firstLine="180"/>
        <w:jc w:val="both"/>
        <w:rPr>
          <w:rFonts w:ascii="Times" w:hAnsi="Times" w:cs="Times"/>
          <w:b w:val="0"/>
          <w:bCs w:val="0"/>
          <w:w w:val="100"/>
          <w:sz w:val="19"/>
          <w:szCs w:val="19"/>
        </w:rPr>
      </w:pPr>
      <w:r>
        <w:rPr>
          <w:rFonts w:ascii="Times" w:hAnsi="Times"/>
          <w:b w:val="0"/>
          <w:sz w:val="19"/>
        </w:rPr>
        <w:t xml:space="preserve">Lažybos dėl treniruočių arba draugiškų varžybų negali būti vykdomos kitais atvejais, nei tais, kuriais dalyvauja jaunesnių nei 21 metų komandos, prilygstančios nacionalinėms A komandoms. </w:t>
      </w:r>
    </w:p>
    <w:p w:rsidR="00066D66" w:rsidRDefault="00066D66" w:rsidP="00066D66">
      <w:pPr>
        <w:pStyle w:val="HeadingRunIn"/>
        <w:widowControl w:val="0"/>
        <w:suppressAutoHyphens/>
        <w:spacing w:before="220" w:line="220" w:lineRule="atLeast"/>
        <w:ind w:left="500"/>
        <w:rPr>
          <w:rFonts w:ascii="Times" w:hAnsi="Times" w:cs="Times"/>
          <w:b w:val="0"/>
          <w:bCs w:val="0"/>
          <w:i/>
          <w:iCs/>
          <w:w w:val="100"/>
          <w:sz w:val="19"/>
          <w:szCs w:val="19"/>
        </w:rPr>
      </w:pPr>
      <w:r>
        <w:rPr>
          <w:rFonts w:ascii="Times" w:hAnsi="Times"/>
          <w:b w:val="0"/>
          <w:i/>
          <w:sz w:val="19"/>
        </w:rPr>
        <w:t>Bendrosios rekomendacijos:</w:t>
      </w:r>
    </w:p>
    <w:p w:rsidR="00066D66" w:rsidRDefault="00066D66" w:rsidP="00066D66">
      <w:pPr>
        <w:pStyle w:val="HeadingRunIn"/>
        <w:keepNext w:val="0"/>
        <w:spacing w:before="100" w:line="220" w:lineRule="atLeast"/>
        <w:ind w:left="500"/>
        <w:jc w:val="both"/>
        <w:rPr>
          <w:rFonts w:ascii="Times" w:hAnsi="Times" w:cs="Times"/>
          <w:b w:val="0"/>
          <w:bCs w:val="0"/>
          <w:w w:val="100"/>
          <w:sz w:val="19"/>
          <w:szCs w:val="19"/>
        </w:rPr>
      </w:pPr>
      <w:r>
        <w:rPr>
          <w:rFonts w:ascii="Times" w:hAnsi="Times"/>
          <w:b w:val="0"/>
          <w:sz w:val="19"/>
        </w:rPr>
        <w:t xml:space="preserve">Pavyzdžiui, varžybos tarp komandų tarptautinio klubo lygmeniu gali būti Europos taurių varžybos, žaidžiamos Švedijoje. </w:t>
      </w:r>
    </w:p>
    <w:p w:rsidR="00066D66" w:rsidRDefault="00066D66" w:rsidP="00066D66">
      <w:pPr>
        <w:pStyle w:val="HeadingRunIn"/>
        <w:widowControl w:val="0"/>
        <w:suppressAutoHyphens/>
        <w:spacing w:before="360" w:line="220" w:lineRule="atLeast"/>
        <w:rPr>
          <w:rFonts w:ascii="Times" w:hAnsi="Times" w:cs="Times"/>
          <w:w w:val="100"/>
          <w:sz w:val="21"/>
          <w:szCs w:val="21"/>
        </w:rPr>
      </w:pPr>
      <w:r>
        <w:rPr>
          <w:rFonts w:ascii="Times" w:hAnsi="Times"/>
          <w:sz w:val="21"/>
        </w:rPr>
        <w:t>4 skyrius. Pranešimas apie registruotą, įtariamą manipuliavimą sporto varžybose, kuriose sudaromos lažybos</w:t>
      </w:r>
    </w:p>
    <w:p w:rsidR="00066D66" w:rsidRDefault="00066D66" w:rsidP="00066D66">
      <w:pPr>
        <w:pStyle w:val="HeadingRunIn"/>
        <w:keepNext w:val="0"/>
        <w:spacing w:before="100" w:line="220" w:lineRule="atLeast"/>
        <w:jc w:val="both"/>
        <w:rPr>
          <w:rFonts w:ascii="Times" w:hAnsi="Times" w:cs="Times"/>
          <w:b w:val="0"/>
          <w:bCs w:val="0"/>
          <w:w w:val="100"/>
          <w:sz w:val="19"/>
          <w:szCs w:val="19"/>
        </w:rPr>
      </w:pPr>
      <w:r>
        <w:rPr>
          <w:rFonts w:ascii="Times" w:hAnsi="Times"/>
          <w:sz w:val="19"/>
        </w:rPr>
        <w:t>1 straipsnis.</w:t>
      </w:r>
      <w:r>
        <w:rPr>
          <w:rFonts w:ascii="Times" w:hAnsi="Times"/>
          <w:b w:val="0"/>
          <w:sz w:val="19"/>
        </w:rPr>
        <w:t> Ne vėliau nei iki kiekvienų metų kovo 31 d. licencijos savininkai turi išsiųsti Švedijos lošimų priežiūros institucijai ataskaitą apie ankstesniais metais registruotą, įtariamą manipuliavimą sporto varžybose, kuriose sudaromos lažybos pagal Švedijos lošimų priežiūros institucijos reglamento ir bendrosios rekomendacijos Nr. LIFS 2018:8 dėl įstaigų techninių reikalavimų, taip pat akreditavimo tikrinti, bandyti ir sertifikuoti lošimų operacijas 8 skyriaus 1 straipsnio trečią pastraipą.</w:t>
      </w:r>
    </w:p>
    <w:p w:rsidR="00066D66" w:rsidRDefault="00066D66" w:rsidP="008742B9">
      <w:pPr>
        <w:pStyle w:val="HeadingRunIn"/>
        <w:keepNext w:val="0"/>
        <w:tabs>
          <w:tab w:val="left" w:pos="2940"/>
        </w:tabs>
        <w:spacing w:before="0" w:line="220" w:lineRule="atLeast"/>
        <w:ind w:firstLine="180"/>
        <w:jc w:val="both"/>
        <w:rPr>
          <w:rFonts w:ascii="Times" w:hAnsi="Times" w:cs="Times"/>
          <w:b w:val="0"/>
          <w:bCs w:val="0"/>
          <w:w w:val="100"/>
          <w:sz w:val="19"/>
          <w:szCs w:val="19"/>
        </w:rPr>
      </w:pPr>
      <w:r>
        <w:rPr>
          <w:rFonts w:ascii="Times" w:hAnsi="Times"/>
          <w:b w:val="0"/>
          <w:sz w:val="19"/>
        </w:rPr>
        <w:t xml:space="preserve">Turi būti nurodyta kiekvieno registruoto, įtariamo manipuliavimo varžybose data ir ketinimas. </w:t>
      </w:r>
    </w:p>
    <w:p w:rsidR="00066D66" w:rsidRDefault="00066D66" w:rsidP="00066D66">
      <w:pPr>
        <w:pStyle w:val="HeadingRunIn"/>
        <w:widowControl w:val="0"/>
        <w:suppressAutoHyphens/>
        <w:spacing w:before="220" w:line="220" w:lineRule="atLeast"/>
        <w:ind w:left="500"/>
        <w:rPr>
          <w:rFonts w:ascii="Times" w:hAnsi="Times" w:cs="Times"/>
          <w:b w:val="0"/>
          <w:bCs w:val="0"/>
          <w:i/>
          <w:iCs/>
          <w:w w:val="100"/>
          <w:sz w:val="19"/>
          <w:szCs w:val="19"/>
        </w:rPr>
      </w:pPr>
      <w:r>
        <w:rPr>
          <w:rFonts w:ascii="Times" w:hAnsi="Times"/>
          <w:b w:val="0"/>
          <w:i/>
          <w:sz w:val="19"/>
        </w:rPr>
        <w:lastRenderedPageBreak/>
        <w:t>Bendrosios rekomendacijos:</w:t>
      </w:r>
    </w:p>
    <w:p w:rsidR="00066D66" w:rsidRDefault="00066D66" w:rsidP="00066D66">
      <w:pPr>
        <w:pStyle w:val="HeadingRunIn"/>
        <w:keepNext w:val="0"/>
        <w:spacing w:before="100" w:line="220" w:lineRule="atLeast"/>
        <w:ind w:left="500"/>
        <w:jc w:val="both"/>
        <w:rPr>
          <w:rFonts w:ascii="Times" w:hAnsi="Times" w:cs="Times"/>
          <w:b w:val="0"/>
          <w:bCs w:val="0"/>
          <w:w w:val="100"/>
          <w:sz w:val="19"/>
          <w:szCs w:val="19"/>
        </w:rPr>
      </w:pPr>
      <w:r>
        <w:rPr>
          <w:rFonts w:ascii="Times" w:hAnsi="Times"/>
          <w:b w:val="0"/>
          <w:sz w:val="19"/>
        </w:rPr>
        <w:t>Pranešimai apie registruotą, įtariamą manipuliavimą turi būti susiję tik su rungtynėmis, lenktynėmis arba turnyrais. Jei yra galimybė, jokių asmeninių duomenų, susijusių su įtariamais manipuliavimais, ataskaitoje neturi būti nurodyta. Licencijų savininkai turėtų nuolat pildyti įtariamų varžybų manipuliavimų sąrašą.</w:t>
      </w:r>
    </w:p>
    <w:p w:rsidR="00066D66" w:rsidRDefault="00066D66" w:rsidP="00066D66">
      <w:pPr>
        <w:pStyle w:val="HeadingRunIn"/>
        <w:keepNext w:val="0"/>
        <w:pBdr>
          <w:top w:val="single" w:sz="8" w:space="0" w:color="auto"/>
        </w:pBdr>
        <w:spacing w:before="0" w:line="220" w:lineRule="atLeast"/>
        <w:ind w:firstLine="180"/>
        <w:jc w:val="both"/>
        <w:rPr>
          <w:rFonts w:ascii="Times" w:hAnsi="Times" w:cs="Times"/>
          <w:b w:val="0"/>
          <w:bCs w:val="0"/>
          <w:w w:val="100"/>
          <w:sz w:val="19"/>
          <w:szCs w:val="19"/>
        </w:rPr>
      </w:pPr>
      <w:r>
        <w:rPr>
          <w:rFonts w:ascii="Times" w:hAnsi="Times"/>
          <w:b w:val="0"/>
          <w:sz w:val="19"/>
        </w:rPr>
        <w:t>Šis reglamentas ir bendroji rekomendacija įsigalioja 2021 m. sausio 1 d.</w:t>
      </w:r>
    </w:p>
    <w:p w:rsidR="00066D66" w:rsidRDefault="00066D66" w:rsidP="00066D66">
      <w:pPr>
        <w:pStyle w:val="HeadingRunIn"/>
        <w:keepNext w:val="0"/>
        <w:tabs>
          <w:tab w:val="left" w:pos="3060"/>
        </w:tabs>
        <w:spacing w:before="220" w:line="220" w:lineRule="atLeast"/>
        <w:jc w:val="both"/>
        <w:rPr>
          <w:rFonts w:ascii="Times" w:hAnsi="Times" w:cs="Times"/>
          <w:b w:val="0"/>
          <w:bCs w:val="0"/>
          <w:w w:val="100"/>
          <w:sz w:val="19"/>
          <w:szCs w:val="19"/>
        </w:rPr>
      </w:pPr>
      <w:r>
        <w:rPr>
          <w:rFonts w:ascii="Times" w:hAnsi="Times"/>
          <w:b w:val="0"/>
          <w:sz w:val="19"/>
        </w:rPr>
        <w:t>Švedijos lošimų priežiūros institucijos vardu</w:t>
      </w:r>
    </w:p>
    <w:p w:rsidR="00066D66" w:rsidRDefault="00066D66" w:rsidP="00066D66">
      <w:pPr>
        <w:pStyle w:val="HeadingRunIn"/>
        <w:keepNext w:val="0"/>
        <w:tabs>
          <w:tab w:val="left" w:pos="3060"/>
        </w:tabs>
        <w:spacing w:before="220" w:line="220" w:lineRule="atLeast"/>
        <w:jc w:val="both"/>
        <w:rPr>
          <w:rFonts w:ascii="Times" w:hAnsi="Times" w:cs="Times"/>
          <w:b w:val="0"/>
          <w:bCs w:val="0"/>
          <w:w w:val="100"/>
          <w:sz w:val="19"/>
          <w:szCs w:val="19"/>
        </w:rPr>
      </w:pPr>
      <w:r>
        <w:rPr>
          <w:rFonts w:ascii="Times" w:hAnsi="Times"/>
          <w:b w:val="0"/>
          <w:sz w:val="19"/>
        </w:rPr>
        <w:t>CAMILLA ROSENBERG</w:t>
      </w:r>
    </w:p>
    <w:p w:rsidR="00066D66" w:rsidRDefault="00066D66" w:rsidP="008742B9">
      <w:pPr>
        <w:pStyle w:val="HeadingRunIn"/>
        <w:keepNext w:val="0"/>
        <w:tabs>
          <w:tab w:val="left" w:pos="2940"/>
        </w:tabs>
        <w:spacing w:before="0" w:line="220" w:lineRule="atLeast"/>
        <w:jc w:val="center"/>
        <w:rPr>
          <w:rFonts w:ascii="Times" w:hAnsi="Times" w:cs="Times"/>
          <w:b w:val="0"/>
          <w:bCs w:val="0"/>
          <w:w w:val="100"/>
          <w:sz w:val="19"/>
          <w:szCs w:val="19"/>
        </w:rPr>
      </w:pPr>
      <w:proofErr w:type="spellStart"/>
      <w:r>
        <w:rPr>
          <w:rFonts w:ascii="Times" w:hAnsi="Times"/>
          <w:b w:val="0"/>
          <w:sz w:val="19"/>
        </w:rPr>
        <w:t>Johan</w:t>
      </w:r>
      <w:proofErr w:type="spellEnd"/>
      <w:r>
        <w:rPr>
          <w:rFonts w:ascii="Times" w:hAnsi="Times"/>
          <w:b w:val="0"/>
          <w:sz w:val="19"/>
        </w:rPr>
        <w:t xml:space="preserve"> </w:t>
      </w:r>
      <w:proofErr w:type="spellStart"/>
      <w:r>
        <w:rPr>
          <w:rFonts w:ascii="Times" w:hAnsi="Times"/>
          <w:b w:val="0"/>
          <w:sz w:val="19"/>
        </w:rPr>
        <w:t>Röhr</w:t>
      </w:r>
      <w:proofErr w:type="spellEnd"/>
    </w:p>
    <w:sectPr w:rsidR="00066D66" w:rsidSect="00066D66">
      <w:headerReference w:type="default" r:id="rId9"/>
      <w:pgSz w:w="9356" w:h="13721"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AA8" w:rsidRDefault="00B32AA8" w:rsidP="00066D66">
      <w:pPr>
        <w:spacing w:after="0" w:line="240" w:lineRule="auto"/>
      </w:pPr>
      <w:r>
        <w:separator/>
      </w:r>
    </w:p>
  </w:endnote>
  <w:endnote w:type="continuationSeparator" w:id="0">
    <w:p w:rsidR="00B32AA8" w:rsidRDefault="00B32AA8" w:rsidP="00066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AA8" w:rsidRDefault="00B32AA8" w:rsidP="00066D66">
      <w:pPr>
        <w:spacing w:after="0" w:line="240" w:lineRule="auto"/>
      </w:pPr>
      <w:r>
        <w:separator/>
      </w:r>
    </w:p>
  </w:footnote>
  <w:footnote w:type="continuationSeparator" w:id="0">
    <w:p w:rsidR="00B32AA8" w:rsidRDefault="00B32AA8" w:rsidP="00066D66">
      <w:pPr>
        <w:spacing w:after="0" w:line="240" w:lineRule="auto"/>
      </w:pPr>
      <w:r>
        <w:continuationSeparator/>
      </w:r>
    </w:p>
  </w:footnote>
  <w:footnote w:id="1">
    <w:p w:rsidR="00066D66" w:rsidRPr="008742B9" w:rsidRDefault="00066D66" w:rsidP="00066D66">
      <w:pPr>
        <w:pStyle w:val="HeadingRunIn"/>
        <w:keepNext w:val="0"/>
        <w:widowControl w:val="0"/>
        <w:tabs>
          <w:tab w:val="left" w:pos="100"/>
        </w:tabs>
        <w:spacing w:before="0" w:line="160" w:lineRule="atLeast"/>
        <w:jc w:val="both"/>
        <w:rPr>
          <w:rFonts w:ascii="Times" w:hAnsi="Times" w:cs="Times"/>
          <w:b w:val="0"/>
          <w:bCs w:val="0"/>
          <w:sz w:val="17"/>
          <w:szCs w:val="17"/>
        </w:rPr>
      </w:pPr>
      <w:r>
        <w:rPr>
          <w:rFonts w:ascii="Times" w:hAnsi="Times" w:cs="Times"/>
          <w:b w:val="0"/>
          <w:bCs w:val="0"/>
          <w:sz w:val="17"/>
          <w:szCs w:val="17"/>
          <w:vertAlign w:val="superscript"/>
          <w:lang w:val="sv-SE"/>
        </w:rPr>
        <w:footnoteRef/>
      </w:r>
      <w:r>
        <w:rPr>
          <w:rFonts w:ascii="Times" w:hAnsi="Times"/>
          <w:b w:val="0"/>
          <w:sz w:val="17"/>
        </w:rPr>
        <w:t xml:space="preserve"> Žr. 2015 m. rugsėjo 9 d. Europos Parlamento ir Tarybos direktyvą (ES) 2015/1535, kuria nustatoma informacijos apie techninius reglamentus ir informacinės visuomenės paslaugų taisykles teikimo tvarka.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D11" w:rsidRDefault="00B32AA8">
    <w:pPr>
      <w:autoSpaceDE w:val="0"/>
      <w:autoSpaceDN w:val="0"/>
      <w:adjustRightInd w:val="0"/>
      <w:spacing w:after="0" w:line="240" w:lineRule="auto"/>
      <w:rPr>
        <w:rFonts w:ascii="Symbol" w:hAnsi="Symbo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1304"/>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D66"/>
    <w:rsid w:val="00066D66"/>
    <w:rsid w:val="002B6792"/>
    <w:rsid w:val="008742B9"/>
    <w:rsid w:val="00A975AD"/>
    <w:rsid w:val="00B32AA8"/>
    <w:rsid w:val="00CC2B55"/>
    <w:rsid w:val="00D04EA3"/>
    <w:rsid w:val="00D97284"/>
    <w:rsid w:val="00E32B38"/>
    <w:rsid w:val="00F8715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C8DAB"/>
  <w15:chartTrackingRefBased/>
  <w15:docId w15:val="{B189AE44-5298-4600-B0D9-F649FFF2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RunIn">
    <w:name w:val="HeadingRunIn"/>
    <w:next w:val="Normal"/>
    <w:rsid w:val="00066D66"/>
    <w:pPr>
      <w:keepNext/>
      <w:autoSpaceDE w:val="0"/>
      <w:autoSpaceDN w:val="0"/>
      <w:adjustRightInd w:val="0"/>
      <w:spacing w:before="120" w:after="0" w:line="280" w:lineRule="atLeast"/>
    </w:pPr>
    <w:rPr>
      <w:rFonts w:ascii="Times New Roman" w:hAnsi="Times New Roman" w:cs="Times New Roman"/>
      <w:b/>
      <w:bCs/>
      <w:color w:val="000000"/>
      <w:w w:val="0"/>
      <w:sz w:val="24"/>
      <w:szCs w:val="24"/>
    </w:rPr>
  </w:style>
  <w:style w:type="paragraph" w:styleId="Header">
    <w:name w:val="header"/>
    <w:basedOn w:val="Normal"/>
    <w:link w:val="HeaderChar"/>
    <w:uiPriority w:val="99"/>
    <w:unhideWhenUsed/>
    <w:rsid w:val="00E32B38"/>
    <w:pPr>
      <w:tabs>
        <w:tab w:val="center" w:pos="4320"/>
        <w:tab w:val="right" w:pos="8640"/>
      </w:tabs>
      <w:spacing w:after="0" w:line="240" w:lineRule="auto"/>
    </w:pPr>
  </w:style>
  <w:style w:type="character" w:customStyle="1" w:styleId="HeaderChar">
    <w:name w:val="Header Char"/>
    <w:basedOn w:val="DefaultParagraphFont"/>
    <w:link w:val="Header"/>
    <w:uiPriority w:val="99"/>
    <w:rsid w:val="00E32B38"/>
  </w:style>
  <w:style w:type="paragraph" w:styleId="Footer">
    <w:name w:val="footer"/>
    <w:basedOn w:val="Normal"/>
    <w:link w:val="FooterChar"/>
    <w:uiPriority w:val="99"/>
    <w:unhideWhenUsed/>
    <w:rsid w:val="00E32B38"/>
    <w:pPr>
      <w:tabs>
        <w:tab w:val="center" w:pos="4320"/>
        <w:tab w:val="right" w:pos="8640"/>
      </w:tabs>
      <w:spacing w:after="0" w:line="240" w:lineRule="auto"/>
    </w:pPr>
  </w:style>
  <w:style w:type="character" w:customStyle="1" w:styleId="FooterChar">
    <w:name w:val="Footer Char"/>
    <w:basedOn w:val="DefaultParagraphFont"/>
    <w:link w:val="Footer"/>
    <w:uiPriority w:val="99"/>
    <w:rsid w:val="00E32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009100-FA1D-4B3E-A766-3F5A89490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BB8B8-7281-4125-9D08-F459F53451DA}">
  <ds:schemaRefs>
    <ds:schemaRef ds:uri="http://schemas.microsoft.com/sharepoint/v3/contenttype/forms"/>
  </ds:schemaRefs>
</ds:datastoreItem>
</file>

<file path=customXml/itemProps3.xml><?xml version="1.0" encoding="utf-8"?>
<ds:datastoreItem xmlns:ds="http://schemas.openxmlformats.org/officeDocument/2006/customXml" ds:itemID="{D442197A-D8AC-4B17-82B2-EE85EAECD7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646</Words>
  <Characters>3688</Characters>
  <Application>Microsoft Office Word</Application>
  <DocSecurity>0</DocSecurity>
  <Lines>30</Lines>
  <Paragraphs>8</Paragraphs>
  <ScaleCrop>false</ScaleCrop>
  <Company>Elanders</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Persson, Göran</dc:creator>
  <cp:keywords/>
  <dc:description/>
  <cp:lastModifiedBy>Ke, Tingting</cp:lastModifiedBy>
  <cp:revision>6</cp:revision>
  <dcterms:created xsi:type="dcterms:W3CDTF">2020-09-25T09:09:00Z</dcterms:created>
  <dcterms:modified xsi:type="dcterms:W3CDTF">2020-11-26T07:47:00Z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