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292D" w14:textId="77777777" w:rsidR="00A2416E" w:rsidRDefault="00534832" w:rsidP="00A812BE">
      <w:pPr>
        <w:spacing w:before="92" w:line="221" w:lineRule="auto"/>
        <w:ind w:left="403" w:right="2552"/>
        <w:rPr>
          <w:b/>
          <w:sz w:val="36"/>
        </w:rPr>
      </w:pPr>
      <w:bookmarkStart w:id="0" w:name="Inledande_bestämmelser_och_definitioner"/>
      <w:bookmarkEnd w:id="0"/>
      <w:r>
        <w:rPr>
          <w:b/>
          <w:sz w:val="36"/>
        </w:rPr>
        <w:t>Código de Estatutos de la Agencia de Energía de Suecia</w:t>
      </w:r>
    </w:p>
    <w:p w14:paraId="347D5EC4" w14:textId="77777777" w:rsidR="00A2416E" w:rsidRDefault="00CD6DDB" w:rsidP="00A812BE">
      <w:pPr>
        <w:spacing w:before="148" w:line="262" w:lineRule="auto"/>
        <w:ind w:left="403" w:right="4593"/>
        <w:rPr>
          <w:sz w:val="16"/>
        </w:rPr>
      </w:pPr>
      <w:r>
        <w:pict w14:anchorId="18D320B1">
          <v:shape id="_x0000_s1028" style="position:absolute;left:0;text-align:left;margin-left:51pt;margin-top:29.9pt;width:380.35pt;height:.1pt;z-index:-251658240;mso-wrap-distance-left:0;mso-wrap-distance-right:0;mso-position-horizontal-relative:page" coordorigin="1020,598" coordsize="7607,0" path="m1020,598r7607,e" filled="f" strokeweight=".34994mm">
            <v:path arrowok="t"/>
            <w10:wrap type="topAndBottom" anchorx="page"/>
          </v:shape>
        </w:pict>
      </w:r>
      <w:r w:rsidR="00581354">
        <w:rPr>
          <w:sz w:val="16"/>
        </w:rPr>
        <w:t>Publicado por: Rikard Janson (Director Jurídico) ISSN 1650-7703</w:t>
      </w:r>
    </w:p>
    <w:p w14:paraId="48A9609E" w14:textId="77777777" w:rsidR="00A2416E" w:rsidRDefault="00A2416E">
      <w:pPr>
        <w:pStyle w:val="Brdtext"/>
        <w:spacing w:before="1"/>
        <w:rPr>
          <w:sz w:val="13"/>
        </w:rPr>
      </w:pPr>
    </w:p>
    <w:p w14:paraId="24EC6EF5" w14:textId="77777777" w:rsidR="00A2416E" w:rsidRDefault="00A2416E">
      <w:pPr>
        <w:rPr>
          <w:sz w:val="13"/>
        </w:rPr>
        <w:sectPr w:rsidR="00A2416E">
          <w:type w:val="continuous"/>
          <w:pgSz w:w="9360" w:h="13720"/>
          <w:pgMar w:top="900" w:right="580" w:bottom="280" w:left="620" w:header="720" w:footer="720" w:gutter="0"/>
          <w:cols w:space="720"/>
        </w:sectPr>
      </w:pPr>
    </w:p>
    <w:p w14:paraId="1D697384" w14:textId="77777777" w:rsidR="00A2416E" w:rsidRPr="00A812BE" w:rsidRDefault="00534832">
      <w:pPr>
        <w:pStyle w:val="Rubrik1"/>
        <w:spacing w:before="103" w:line="225" w:lineRule="auto"/>
        <w:ind w:left="400"/>
        <w:rPr>
          <w:sz w:val="24"/>
          <w:szCs w:val="24"/>
        </w:rPr>
      </w:pPr>
      <w:r w:rsidRPr="00A812BE">
        <w:rPr>
          <w:sz w:val="24"/>
          <w:szCs w:val="24"/>
        </w:rPr>
        <w:t>Reglamento por el que se modifica el Reglamento (STEMFS 2017:3) de la Agencia de Energía de Suecia relativo a la notificación y el cálculo de conformidad con la Ley sobre combustibles;</w:t>
      </w:r>
    </w:p>
    <w:p w14:paraId="71813F81" w14:textId="77777777" w:rsidR="00A2416E" w:rsidRDefault="00534832" w:rsidP="00A812BE">
      <w:pPr>
        <w:pStyle w:val="Brdtext"/>
        <w:ind w:left="403"/>
        <w:jc w:val="both"/>
      </w:pPr>
      <w:r>
        <w:t>adoptado el 20 de enero de 2021.</w:t>
      </w:r>
    </w:p>
    <w:p w14:paraId="066E2CAE" w14:textId="77777777" w:rsidR="00A2416E" w:rsidRDefault="00A2416E">
      <w:pPr>
        <w:pStyle w:val="Brdtext"/>
        <w:spacing w:before="6"/>
        <w:rPr>
          <w:sz w:val="17"/>
        </w:rPr>
      </w:pPr>
    </w:p>
    <w:p w14:paraId="4BB4C994" w14:textId="77777777" w:rsidR="00A2416E" w:rsidRDefault="00534832" w:rsidP="00A812BE">
      <w:pPr>
        <w:pStyle w:val="Brdtext"/>
        <w:ind w:left="403"/>
        <w:jc w:val="both"/>
      </w:pPr>
      <w:r>
        <w:t>En virtud del artículo 13 de la Ordenanza (2011:346) sobre combustibles, la Agencia de Energía de Suecia prescribe</w:t>
      </w:r>
      <w:r>
        <w:rPr>
          <w:sz w:val="11"/>
        </w:rPr>
        <w:t xml:space="preserve">1 </w:t>
      </w:r>
      <w:r>
        <w:t>que las disposiciones de su Reglamento relativas a la notificación y el cálculo de conformidad con la Ley sobre combustibles se reformulen como sigue:</w:t>
      </w:r>
    </w:p>
    <w:p w14:paraId="0D1B6701" w14:textId="3217818A" w:rsidR="00A2416E" w:rsidRPr="00A812BE" w:rsidRDefault="00534832" w:rsidP="00A812BE">
      <w:pPr>
        <w:pStyle w:val="Brdtext"/>
        <w:spacing w:line="398" w:lineRule="auto"/>
        <w:ind w:left="403" w:right="1678"/>
        <w:jc w:val="both"/>
      </w:pPr>
      <w:r>
        <w:t>se añadirá un nuevo artículo (el artículo 12 bis) y se modificarán seis artículos (los artículos 2, 4-7, 12, 13 y 16), con el siguiente tenor:</w:t>
      </w:r>
    </w:p>
    <w:p w14:paraId="6F4B5BC4" w14:textId="77777777" w:rsidR="00A2416E" w:rsidRDefault="00534832">
      <w:pPr>
        <w:pStyle w:val="Rubrik2"/>
        <w:spacing w:before="0"/>
        <w:ind w:left="400"/>
        <w:jc w:val="both"/>
      </w:pPr>
      <w:r>
        <w:t>Disposiciones preliminares y definiciones</w:t>
      </w:r>
    </w:p>
    <w:p w14:paraId="390C5634" w14:textId="77777777" w:rsidR="00A2416E" w:rsidRDefault="00534832">
      <w:pPr>
        <w:pStyle w:val="Brdtext"/>
        <w:spacing w:before="140" w:line="273" w:lineRule="auto"/>
        <w:ind w:left="400"/>
        <w:jc w:val="both"/>
      </w:pPr>
      <w:r>
        <w:rPr>
          <w:b/>
        </w:rPr>
        <w:t>Artículo 2</w:t>
      </w:r>
      <w:r>
        <w:t>. Los términos y las expresiones del presente Reglamento se emplearán de la misma manera que en la Ley (2011:319) sobre combustibles y la Ordenanza (2011:346) sobre combustibles. Los siguientes términos se utilizarán de la manera especificada a continuación:</w:t>
      </w:r>
    </w:p>
    <w:p w14:paraId="2953E73A" w14:textId="77777777" w:rsidR="00A2416E" w:rsidRDefault="00534832" w:rsidP="00A812BE">
      <w:pPr>
        <w:spacing w:line="364" w:lineRule="exact"/>
        <w:ind w:left="403" w:right="-11"/>
        <w:rPr>
          <w:sz w:val="19"/>
        </w:rPr>
      </w:pPr>
      <w:r>
        <w:rPr>
          <w:i/>
          <w:sz w:val="19"/>
        </w:rPr>
        <w:t>biocomponente</w:t>
      </w:r>
      <w:r>
        <w:rPr>
          <w:sz w:val="19"/>
        </w:rPr>
        <w:t xml:space="preserve">: un componente de combustible producido a partir de biomasa; </w:t>
      </w:r>
      <w:r>
        <w:rPr>
          <w:i/>
          <w:sz w:val="19"/>
        </w:rPr>
        <w:t>componente fósil</w:t>
      </w:r>
      <w:r>
        <w:rPr>
          <w:sz w:val="19"/>
        </w:rPr>
        <w:t xml:space="preserve">: un componente de combustible de origen mineral; </w:t>
      </w:r>
      <w:r>
        <w:rPr>
          <w:i/>
          <w:sz w:val="19"/>
        </w:rPr>
        <w:t>tipo de combustible</w:t>
      </w:r>
      <w:r>
        <w:rPr>
          <w:sz w:val="19"/>
        </w:rPr>
        <w:t>: un combustible que cumple una cierta clasificación de acuerdo con</w:t>
      </w:r>
    </w:p>
    <w:p w14:paraId="12DA69D9" w14:textId="77777777" w:rsidR="00A2416E" w:rsidRDefault="00534832">
      <w:pPr>
        <w:pStyle w:val="Brdtext"/>
        <w:spacing w:line="273" w:lineRule="auto"/>
        <w:ind w:left="400"/>
        <w:jc w:val="both"/>
      </w:pPr>
      <w:r>
        <w:t>los artículos 3 a 15 de la Ley (2011:319) sobre combustibles o que cumple ciertas normas nacionales o internacionales para combustibles, cualquier otro combustible que no cumpla clasificaciones o normas, y la electricidad utilizada como combustible;</w:t>
      </w:r>
    </w:p>
    <w:p w14:paraId="601B7223" w14:textId="77777777" w:rsidR="00A2416E" w:rsidRDefault="00534832">
      <w:pPr>
        <w:pStyle w:val="Brdtext"/>
        <w:spacing w:before="114" w:line="273" w:lineRule="auto"/>
        <w:ind w:left="400"/>
        <w:jc w:val="both"/>
      </w:pPr>
      <w:r>
        <w:rPr>
          <w:i/>
        </w:rPr>
        <w:t>producto</w:t>
      </w:r>
      <w:r>
        <w:t>: un producto comercializado del respectivo tipo de combustible. En los casos en que el proveedor comercialice varios productos combustibles diferentes que cumplan la misma especificación o norma, los diferentes productos se notificarán por separado bajo los respectivos nombres de los productos;</w:t>
      </w:r>
    </w:p>
    <w:p w14:paraId="17F68D6C" w14:textId="77777777" w:rsidR="00A2416E" w:rsidRDefault="00534832">
      <w:pPr>
        <w:pStyle w:val="Brdtext"/>
        <w:spacing w:before="118" w:line="273" w:lineRule="auto"/>
        <w:ind w:left="400"/>
        <w:jc w:val="both"/>
      </w:pPr>
      <w:r>
        <w:rPr>
          <w:i/>
        </w:rPr>
        <w:t>reducción de las emisiones iniciales</w:t>
      </w:r>
      <w:r>
        <w:t>: una medida para reducir las emisiones de gases de efecto invernadero que tiene lugar antes de que se procese una materia prima en una refinería u otra instalación para la producción de un componente de combustible fósil.</w:t>
      </w:r>
    </w:p>
    <w:p w14:paraId="689C2081" w14:textId="77777777" w:rsidR="00A2416E" w:rsidRDefault="00534832">
      <w:pPr>
        <w:spacing w:before="107" w:line="225" w:lineRule="auto"/>
        <w:ind w:left="252" w:right="476"/>
        <w:rPr>
          <w:b/>
          <w:sz w:val="24"/>
        </w:rPr>
      </w:pPr>
      <w:r>
        <w:br w:type="column"/>
      </w:r>
      <w:r>
        <w:rPr>
          <w:b/>
          <w:sz w:val="24"/>
        </w:rPr>
        <w:t>STEMFS 2021:2</w:t>
      </w:r>
    </w:p>
    <w:p w14:paraId="054025C7" w14:textId="4AD15815" w:rsidR="00A2416E" w:rsidRDefault="00534832" w:rsidP="00A812BE">
      <w:pPr>
        <w:spacing w:before="60" w:line="256" w:lineRule="auto"/>
        <w:ind w:left="252" w:right="101"/>
        <w:rPr>
          <w:sz w:val="17"/>
        </w:rPr>
        <w:sectPr w:rsidR="00A2416E">
          <w:type w:val="continuous"/>
          <w:pgSz w:w="9360" w:h="13720"/>
          <w:pgMar w:top="900" w:right="580" w:bottom="280" w:left="620" w:header="720" w:footer="720" w:gutter="0"/>
          <w:cols w:num="2" w:space="720" w:equalWidth="0">
            <w:col w:w="6411" w:space="40"/>
            <w:col w:w="1709"/>
          </w:cols>
        </w:sectPr>
      </w:pPr>
      <w:r>
        <w:rPr>
          <w:sz w:val="17"/>
        </w:rPr>
        <w:t>Publicado el 2 de febrero de 2021</w:t>
      </w:r>
    </w:p>
    <w:p w14:paraId="6C53A6E7" w14:textId="77777777" w:rsidR="00A2416E" w:rsidRDefault="00A2416E">
      <w:pPr>
        <w:pStyle w:val="Brdtext"/>
        <w:spacing w:before="11"/>
        <w:rPr>
          <w:sz w:val="23"/>
        </w:rPr>
      </w:pPr>
    </w:p>
    <w:p w14:paraId="6036D87D" w14:textId="77777777" w:rsidR="00A2416E" w:rsidRDefault="00CD6DDB">
      <w:pPr>
        <w:pStyle w:val="Brdtext"/>
        <w:spacing w:line="20" w:lineRule="exact"/>
        <w:ind w:left="390"/>
        <w:rPr>
          <w:sz w:val="2"/>
        </w:rPr>
      </w:pPr>
      <w:r>
        <w:rPr>
          <w:sz w:val="2"/>
        </w:rPr>
      </w:r>
      <w:r>
        <w:rPr>
          <w:sz w:val="2"/>
        </w:rPr>
        <w:pict w14:anchorId="079D94F6">
          <v:group id="_x0000_s1026" style="width:1in;height:1pt;mso-position-horizontal-relative:char;mso-position-vertical-relative:line" coordsize="1440,20">
            <v:line id="_x0000_s1027" style="position:absolute" from="0,10" to="1440,10" strokeweight="1pt"/>
            <w10:anchorlock/>
          </v:group>
        </w:pict>
      </w:r>
    </w:p>
    <w:p w14:paraId="3F7164F9" w14:textId="02B9ED7D" w:rsidR="00A2416E" w:rsidRDefault="00534832" w:rsidP="00CB6CEC">
      <w:pPr>
        <w:spacing w:before="31"/>
        <w:ind w:left="403" w:right="794"/>
        <w:rPr>
          <w:rFonts w:ascii="HelveticaNeueLT Std Cn" w:hAnsi="HelveticaNeueLT Std Cn"/>
          <w:sz w:val="20"/>
        </w:rPr>
      </w:pPr>
      <w:r>
        <w:rPr>
          <w:sz w:val="10"/>
        </w:rPr>
        <w:t xml:space="preserve">1 </w:t>
      </w:r>
      <w:r>
        <w:rPr>
          <w:sz w:val="17"/>
        </w:rPr>
        <w:t>Véase la Directiva (UE) 2015/1535 del Parlamento Europeo y del Consejo, de 9 de septiembre de 2015, por la que se establece un procedimiento de información en materia de reglamentaciones técnicas y de reglas relativas a los servicios de la sociedad de la información.</w:t>
      </w:r>
      <w:r w:rsidR="00A812BE">
        <w:rPr>
          <w:sz w:val="17"/>
        </w:rPr>
        <w:t xml:space="preserve"> </w:t>
      </w:r>
      <w:r w:rsidR="00CB6CEC">
        <w:rPr>
          <w:sz w:val="17"/>
        </w:rPr>
        <w:t xml:space="preserve">    </w:t>
      </w:r>
      <w:r w:rsidR="00A812BE">
        <w:rPr>
          <w:sz w:val="17"/>
        </w:rPr>
        <w:t xml:space="preserve">                          </w:t>
      </w:r>
      <w:r w:rsidR="00CB6CEC">
        <w:rPr>
          <w:sz w:val="17"/>
        </w:rPr>
        <w:t xml:space="preserve">      </w:t>
      </w:r>
      <w:r>
        <w:rPr>
          <w:rFonts w:ascii="HelveticaNeueLT Std Cn" w:hAnsi="HelveticaNeueLT Std Cn"/>
          <w:sz w:val="20"/>
        </w:rPr>
        <w:t>1</w:t>
      </w:r>
    </w:p>
    <w:p w14:paraId="7C3B7287" w14:textId="77777777" w:rsidR="00A2416E" w:rsidRDefault="00A2416E">
      <w:pPr>
        <w:spacing w:line="222"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0FA5AF97" w14:textId="77777777" w:rsidR="00A2416E" w:rsidRDefault="00534832">
      <w:pPr>
        <w:pStyle w:val="Rubrik2"/>
        <w:spacing w:line="228" w:lineRule="auto"/>
        <w:ind w:right="19"/>
      </w:pPr>
      <w:bookmarkStart w:id="1" w:name="Rapportering"/>
      <w:bookmarkEnd w:id="1"/>
      <w:r>
        <w:lastRenderedPageBreak/>
        <w:t>STEMFS 2021:2</w:t>
      </w:r>
    </w:p>
    <w:p w14:paraId="624DE1C9" w14:textId="77777777" w:rsidR="00A2416E" w:rsidRDefault="00534832">
      <w:pPr>
        <w:spacing w:before="63"/>
        <w:ind w:left="117"/>
        <w:rPr>
          <w:b/>
          <w:sz w:val="21"/>
        </w:rPr>
      </w:pPr>
      <w:r>
        <w:br w:type="column"/>
      </w:r>
      <w:r>
        <w:rPr>
          <w:b/>
          <w:sz w:val="21"/>
        </w:rPr>
        <w:t>Notificación</w:t>
      </w:r>
    </w:p>
    <w:p w14:paraId="60DBC31F" w14:textId="77777777" w:rsidR="00A2416E" w:rsidRDefault="00534832">
      <w:pPr>
        <w:pStyle w:val="Liststycke"/>
        <w:numPr>
          <w:ilvl w:val="0"/>
          <w:numId w:val="5"/>
        </w:numPr>
        <w:tabs>
          <w:tab w:val="left" w:pos="308"/>
        </w:tabs>
        <w:spacing w:before="141" w:line="273" w:lineRule="auto"/>
        <w:ind w:right="438" w:firstLine="0"/>
        <w:jc w:val="both"/>
        <w:rPr>
          <w:sz w:val="19"/>
        </w:rPr>
      </w:pPr>
      <w:r>
        <w:rPr>
          <w:b/>
          <w:sz w:val="19"/>
        </w:rPr>
        <w:t xml:space="preserve">Artículo </w:t>
      </w:r>
      <w:r>
        <w:rPr>
          <w:sz w:val="19"/>
        </w:rPr>
        <w:t>. El informe de emisiones contendrá todos los productos combustibles que el proveedor de combustible haya suministrado y por los cuales se haya cobrado el impuesto de acuerdo con el capítulo 5 de la Ley (1994:1776) relativa a los impuestos sobre la energía durante el año al que se refiere el informe, y en él se declarará:</w:t>
      </w:r>
    </w:p>
    <w:p w14:paraId="69D953B3" w14:textId="77777777" w:rsidR="00A2416E" w:rsidRDefault="00534832">
      <w:pPr>
        <w:pStyle w:val="Liststycke"/>
        <w:numPr>
          <w:ilvl w:val="0"/>
          <w:numId w:val="4"/>
        </w:numPr>
        <w:tabs>
          <w:tab w:val="left" w:pos="316"/>
        </w:tabs>
        <w:spacing w:before="69"/>
        <w:rPr>
          <w:sz w:val="19"/>
        </w:rPr>
      </w:pPr>
      <w:r>
        <w:rPr>
          <w:sz w:val="19"/>
        </w:rPr>
        <w:t>la cantidad;</w:t>
      </w:r>
    </w:p>
    <w:p w14:paraId="516CF941" w14:textId="77777777" w:rsidR="00A2416E" w:rsidRDefault="00534832">
      <w:pPr>
        <w:pStyle w:val="Liststycke"/>
        <w:numPr>
          <w:ilvl w:val="0"/>
          <w:numId w:val="4"/>
        </w:numPr>
        <w:tabs>
          <w:tab w:val="left" w:pos="316"/>
        </w:tabs>
        <w:rPr>
          <w:sz w:val="19"/>
        </w:rPr>
      </w:pPr>
      <w:r>
        <w:rPr>
          <w:sz w:val="19"/>
        </w:rPr>
        <w:t>el valor calórico neto;</w:t>
      </w:r>
    </w:p>
    <w:p w14:paraId="5CA31CC9" w14:textId="77777777" w:rsidR="00A2416E" w:rsidRDefault="00534832">
      <w:pPr>
        <w:pStyle w:val="Liststycke"/>
        <w:numPr>
          <w:ilvl w:val="0"/>
          <w:numId w:val="4"/>
        </w:numPr>
        <w:tabs>
          <w:tab w:val="left" w:pos="316"/>
        </w:tabs>
        <w:rPr>
          <w:sz w:val="19"/>
        </w:rPr>
      </w:pPr>
      <w:r>
        <w:rPr>
          <w:sz w:val="19"/>
        </w:rPr>
        <w:t>la fuente de energía de la electricidad suministrada en los casos en que la electricidad tenga un marcado de origen.</w:t>
      </w:r>
    </w:p>
    <w:p w14:paraId="7894339E" w14:textId="77777777" w:rsidR="00A2416E" w:rsidRDefault="00A2416E">
      <w:pPr>
        <w:pStyle w:val="Brdtext"/>
        <w:spacing w:before="5"/>
        <w:rPr>
          <w:sz w:val="22"/>
        </w:rPr>
      </w:pPr>
    </w:p>
    <w:p w14:paraId="688D241D" w14:textId="77777777" w:rsidR="00A2416E" w:rsidRDefault="00534832">
      <w:pPr>
        <w:pStyle w:val="Liststycke"/>
        <w:numPr>
          <w:ilvl w:val="0"/>
          <w:numId w:val="5"/>
        </w:numPr>
        <w:tabs>
          <w:tab w:val="left" w:pos="277"/>
        </w:tabs>
        <w:spacing w:before="0" w:line="273" w:lineRule="auto"/>
        <w:ind w:right="438" w:firstLine="0"/>
        <w:rPr>
          <w:sz w:val="19"/>
        </w:rPr>
      </w:pPr>
      <w:r>
        <w:rPr>
          <w:b/>
          <w:sz w:val="19"/>
        </w:rPr>
        <w:t xml:space="preserve">Artículo </w:t>
      </w:r>
      <w:r>
        <w:rPr>
          <w:sz w:val="19"/>
        </w:rPr>
        <w:t>. El informe de emisiones contendrá todos los componentes fósiles que se incluyen en los productos combustibles suministrados de acuerdo con el artículo 4, y en él se declarará:</w:t>
      </w:r>
    </w:p>
    <w:p w14:paraId="09AF6626" w14:textId="77777777" w:rsidR="00A2416E" w:rsidRDefault="00534832">
      <w:pPr>
        <w:pStyle w:val="Liststycke"/>
        <w:numPr>
          <w:ilvl w:val="0"/>
          <w:numId w:val="3"/>
        </w:numPr>
        <w:tabs>
          <w:tab w:val="left" w:pos="316"/>
        </w:tabs>
        <w:spacing w:before="96"/>
        <w:rPr>
          <w:sz w:val="19"/>
        </w:rPr>
      </w:pPr>
      <w:r>
        <w:rPr>
          <w:sz w:val="19"/>
        </w:rPr>
        <w:t>los productos en los que se incluyen los componentes;</w:t>
      </w:r>
    </w:p>
    <w:p w14:paraId="28EE6BB7" w14:textId="77777777" w:rsidR="00A2416E" w:rsidRDefault="00534832">
      <w:pPr>
        <w:pStyle w:val="Liststycke"/>
        <w:numPr>
          <w:ilvl w:val="0"/>
          <w:numId w:val="3"/>
        </w:numPr>
        <w:tabs>
          <w:tab w:val="left" w:pos="316"/>
        </w:tabs>
        <w:rPr>
          <w:sz w:val="19"/>
        </w:rPr>
      </w:pPr>
      <w:r>
        <w:rPr>
          <w:sz w:val="19"/>
        </w:rPr>
        <w:t>los tipos de componentes fósiles desglosados por fuente de materia prima y proceso de acuerdo con el anexo 1;</w:t>
      </w:r>
    </w:p>
    <w:p w14:paraId="5DA70FE3" w14:textId="77777777" w:rsidR="00A2416E" w:rsidRDefault="00534832">
      <w:pPr>
        <w:pStyle w:val="Liststycke"/>
        <w:numPr>
          <w:ilvl w:val="0"/>
          <w:numId w:val="3"/>
        </w:numPr>
        <w:tabs>
          <w:tab w:val="left" w:pos="316"/>
        </w:tabs>
        <w:rPr>
          <w:sz w:val="19"/>
        </w:rPr>
      </w:pPr>
      <w:r>
        <w:rPr>
          <w:sz w:val="19"/>
        </w:rPr>
        <w:t>la cantidad;</w:t>
      </w:r>
    </w:p>
    <w:p w14:paraId="6D197172" w14:textId="77777777" w:rsidR="00A2416E" w:rsidRDefault="00534832">
      <w:pPr>
        <w:pStyle w:val="Liststycke"/>
        <w:numPr>
          <w:ilvl w:val="0"/>
          <w:numId w:val="3"/>
        </w:numPr>
        <w:tabs>
          <w:tab w:val="left" w:pos="316"/>
        </w:tabs>
        <w:rPr>
          <w:sz w:val="19"/>
        </w:rPr>
      </w:pPr>
      <w:r>
        <w:rPr>
          <w:sz w:val="19"/>
        </w:rPr>
        <w:t>el valor calórico neto; y</w:t>
      </w:r>
    </w:p>
    <w:p w14:paraId="04221788" w14:textId="77777777" w:rsidR="00A2416E" w:rsidRDefault="00534832">
      <w:pPr>
        <w:pStyle w:val="Liststycke"/>
        <w:numPr>
          <w:ilvl w:val="0"/>
          <w:numId w:val="3"/>
        </w:numPr>
        <w:tabs>
          <w:tab w:val="left" w:pos="316"/>
        </w:tabs>
        <w:spacing w:before="69"/>
        <w:rPr>
          <w:sz w:val="19"/>
        </w:rPr>
      </w:pPr>
      <w:r>
        <w:rPr>
          <w:sz w:val="19"/>
        </w:rPr>
        <w:t>el país de origen de la materia prima.</w:t>
      </w:r>
    </w:p>
    <w:p w14:paraId="2AED6C49" w14:textId="77777777" w:rsidR="00A2416E" w:rsidRDefault="00A2416E">
      <w:pPr>
        <w:pStyle w:val="Brdtext"/>
        <w:spacing w:before="5"/>
        <w:rPr>
          <w:sz w:val="22"/>
        </w:rPr>
      </w:pPr>
    </w:p>
    <w:p w14:paraId="716008FA" w14:textId="77777777" w:rsidR="00A2416E" w:rsidRDefault="00534832">
      <w:pPr>
        <w:pStyle w:val="Liststycke"/>
        <w:numPr>
          <w:ilvl w:val="0"/>
          <w:numId w:val="5"/>
        </w:numPr>
        <w:tabs>
          <w:tab w:val="left" w:pos="265"/>
        </w:tabs>
        <w:spacing w:before="0" w:line="273" w:lineRule="auto"/>
        <w:ind w:right="438" w:firstLine="0"/>
        <w:rPr>
          <w:sz w:val="19"/>
        </w:rPr>
      </w:pPr>
      <w:r>
        <w:rPr>
          <w:b/>
          <w:sz w:val="19"/>
        </w:rPr>
        <w:t xml:space="preserve">Artículo </w:t>
      </w:r>
      <w:r>
        <w:rPr>
          <w:sz w:val="19"/>
        </w:rPr>
        <w:t>. El informe de emisiones contendrá todos los biocomponentes que se incluyen en los productos combustibles suministrados de acuerdo con el artículo 4, y en él se declarará:</w:t>
      </w:r>
    </w:p>
    <w:p w14:paraId="0C456492" w14:textId="77777777" w:rsidR="00A2416E" w:rsidRDefault="00534832">
      <w:pPr>
        <w:pStyle w:val="Liststycke"/>
        <w:numPr>
          <w:ilvl w:val="0"/>
          <w:numId w:val="2"/>
        </w:numPr>
        <w:tabs>
          <w:tab w:val="left" w:pos="316"/>
        </w:tabs>
        <w:spacing w:before="67"/>
        <w:rPr>
          <w:sz w:val="19"/>
        </w:rPr>
      </w:pPr>
      <w:r>
        <w:rPr>
          <w:sz w:val="19"/>
        </w:rPr>
        <w:t>los productos en los que se incluyen los biocomponentes;</w:t>
      </w:r>
    </w:p>
    <w:p w14:paraId="5D2FF15B" w14:textId="77777777" w:rsidR="00A2416E" w:rsidRDefault="00534832">
      <w:pPr>
        <w:pStyle w:val="Liststycke"/>
        <w:numPr>
          <w:ilvl w:val="0"/>
          <w:numId w:val="2"/>
        </w:numPr>
        <w:tabs>
          <w:tab w:val="left" w:pos="316"/>
        </w:tabs>
        <w:rPr>
          <w:sz w:val="19"/>
        </w:rPr>
      </w:pPr>
      <w:r>
        <w:rPr>
          <w:sz w:val="19"/>
        </w:rPr>
        <w:t>los tipos de biocomponentes;</w:t>
      </w:r>
    </w:p>
    <w:p w14:paraId="134B125E" w14:textId="77777777" w:rsidR="00A2416E" w:rsidRDefault="00534832">
      <w:pPr>
        <w:pStyle w:val="Liststycke"/>
        <w:numPr>
          <w:ilvl w:val="0"/>
          <w:numId w:val="2"/>
        </w:numPr>
        <w:tabs>
          <w:tab w:val="left" w:pos="316"/>
        </w:tabs>
        <w:rPr>
          <w:sz w:val="19"/>
        </w:rPr>
      </w:pPr>
      <w:r>
        <w:rPr>
          <w:sz w:val="19"/>
        </w:rPr>
        <w:t>la cantidad;</w:t>
      </w:r>
    </w:p>
    <w:p w14:paraId="420C5F9D" w14:textId="77777777" w:rsidR="00A2416E" w:rsidRDefault="00534832">
      <w:pPr>
        <w:pStyle w:val="Liststycke"/>
        <w:numPr>
          <w:ilvl w:val="0"/>
          <w:numId w:val="2"/>
        </w:numPr>
        <w:tabs>
          <w:tab w:val="left" w:pos="316"/>
        </w:tabs>
        <w:rPr>
          <w:sz w:val="19"/>
        </w:rPr>
      </w:pPr>
      <w:r>
        <w:rPr>
          <w:sz w:val="19"/>
        </w:rPr>
        <w:t>el valor calórico neto;</w:t>
      </w:r>
    </w:p>
    <w:p w14:paraId="6FBCDE1A" w14:textId="77777777" w:rsidR="00A2416E" w:rsidRDefault="00534832">
      <w:pPr>
        <w:pStyle w:val="Liststycke"/>
        <w:numPr>
          <w:ilvl w:val="0"/>
          <w:numId w:val="2"/>
        </w:numPr>
        <w:tabs>
          <w:tab w:val="left" w:pos="316"/>
        </w:tabs>
        <w:spacing w:before="69"/>
        <w:rPr>
          <w:sz w:val="19"/>
        </w:rPr>
      </w:pPr>
      <w:r>
        <w:rPr>
          <w:sz w:val="19"/>
        </w:rPr>
        <w:t>las materias primas;</w:t>
      </w:r>
    </w:p>
    <w:p w14:paraId="3BA18401" w14:textId="77777777" w:rsidR="00A2416E" w:rsidRDefault="00534832">
      <w:pPr>
        <w:pStyle w:val="Liststycke"/>
        <w:numPr>
          <w:ilvl w:val="0"/>
          <w:numId w:val="2"/>
        </w:numPr>
        <w:tabs>
          <w:tab w:val="left" w:pos="316"/>
        </w:tabs>
        <w:rPr>
          <w:sz w:val="19"/>
        </w:rPr>
      </w:pPr>
      <w:r>
        <w:rPr>
          <w:sz w:val="19"/>
        </w:rPr>
        <w:t>el país de origen de la materia prima;</w:t>
      </w:r>
    </w:p>
    <w:p w14:paraId="3E51FE3E" w14:textId="77777777" w:rsidR="00A2416E" w:rsidRDefault="00534832">
      <w:pPr>
        <w:pStyle w:val="Liststycke"/>
        <w:numPr>
          <w:ilvl w:val="0"/>
          <w:numId w:val="2"/>
        </w:numPr>
        <w:tabs>
          <w:tab w:val="left" w:pos="316"/>
        </w:tabs>
        <w:spacing w:line="252" w:lineRule="auto"/>
        <w:ind w:right="438"/>
        <w:jc w:val="both"/>
        <w:rPr>
          <w:sz w:val="19"/>
        </w:rPr>
      </w:pPr>
      <w:r>
        <w:rPr>
          <w:sz w:val="19"/>
        </w:rPr>
        <w:t>la indicación de si los biocomponentes cumplen los criterios de sostenibilidad establecidos en la Ley (2010:598) sobre los criterios de sostenibilidad de los biocombustibles y biolíquidos; y</w:t>
      </w:r>
    </w:p>
    <w:p w14:paraId="6A936F3B" w14:textId="77777777" w:rsidR="00A2416E" w:rsidRDefault="00534832">
      <w:pPr>
        <w:pStyle w:val="Liststycke"/>
        <w:numPr>
          <w:ilvl w:val="0"/>
          <w:numId w:val="2"/>
        </w:numPr>
        <w:tabs>
          <w:tab w:val="left" w:pos="316"/>
        </w:tabs>
        <w:spacing w:before="58"/>
        <w:jc w:val="both"/>
        <w:rPr>
          <w:sz w:val="19"/>
        </w:rPr>
      </w:pPr>
      <w:r>
        <w:rPr>
          <w:sz w:val="19"/>
        </w:rPr>
        <w:t>la indicación de si los biocomponentes se han utilizado en el combustible de aviación.</w:t>
      </w:r>
    </w:p>
    <w:p w14:paraId="351F1B0D" w14:textId="77777777" w:rsidR="00A2416E" w:rsidRDefault="00A2416E">
      <w:pPr>
        <w:pStyle w:val="Brdtext"/>
        <w:spacing w:before="6"/>
        <w:rPr>
          <w:sz w:val="22"/>
        </w:rPr>
      </w:pPr>
    </w:p>
    <w:p w14:paraId="055D9BCA" w14:textId="77777777" w:rsidR="00A2416E" w:rsidRDefault="00534832">
      <w:pPr>
        <w:pStyle w:val="Liststycke"/>
        <w:numPr>
          <w:ilvl w:val="0"/>
          <w:numId w:val="5"/>
        </w:numPr>
        <w:tabs>
          <w:tab w:val="left" w:pos="269"/>
        </w:tabs>
        <w:spacing w:before="0" w:line="273" w:lineRule="auto"/>
        <w:ind w:right="438" w:firstLine="0"/>
        <w:jc w:val="both"/>
        <w:rPr>
          <w:sz w:val="19"/>
        </w:rPr>
      </w:pPr>
      <w:r>
        <w:rPr>
          <w:b/>
          <w:sz w:val="19"/>
        </w:rPr>
        <w:t xml:space="preserve">Artículo </w:t>
      </w:r>
      <w:r>
        <w:rPr>
          <w:sz w:val="19"/>
        </w:rPr>
        <w:t>. Si el país de origen está fuera de la Unión Europea o del EEE, pero no hay información sobre cuál es el país de origen, el informe de emisiones podrá indicar que no hay información sobre el país de origen.</w:t>
      </w:r>
    </w:p>
    <w:p w14:paraId="732E5498" w14:textId="77777777" w:rsidR="00A2416E" w:rsidRDefault="00A2416E">
      <w:pPr>
        <w:spacing w:line="273" w:lineRule="auto"/>
        <w:jc w:val="both"/>
        <w:rPr>
          <w:sz w:val="19"/>
        </w:rPr>
        <w:sectPr w:rsidR="00A2416E">
          <w:pgSz w:w="9360" w:h="13720"/>
          <w:pgMar w:top="940" w:right="580" w:bottom="280" w:left="620" w:header="720" w:footer="720" w:gutter="0"/>
          <w:cols w:num="2" w:space="720" w:equalWidth="0">
            <w:col w:w="997" w:space="703"/>
            <w:col w:w="6460"/>
          </w:cols>
        </w:sectPr>
      </w:pPr>
    </w:p>
    <w:p w14:paraId="53703E9C" w14:textId="77777777" w:rsidR="00A2416E" w:rsidRDefault="00A2416E">
      <w:pPr>
        <w:pStyle w:val="Brdtext"/>
        <w:rPr>
          <w:sz w:val="20"/>
        </w:rPr>
      </w:pPr>
    </w:p>
    <w:p w14:paraId="141EB606" w14:textId="77777777" w:rsidR="00A2416E" w:rsidRDefault="00A2416E">
      <w:pPr>
        <w:pStyle w:val="Brdtext"/>
        <w:rPr>
          <w:sz w:val="20"/>
        </w:rPr>
      </w:pPr>
    </w:p>
    <w:p w14:paraId="7939C55D" w14:textId="77777777" w:rsidR="00A2416E" w:rsidRDefault="00A2416E">
      <w:pPr>
        <w:pStyle w:val="Brdtext"/>
        <w:rPr>
          <w:sz w:val="20"/>
        </w:rPr>
      </w:pPr>
    </w:p>
    <w:p w14:paraId="3855820A" w14:textId="77777777" w:rsidR="00A2416E" w:rsidRDefault="00A2416E">
      <w:pPr>
        <w:pStyle w:val="Brdtext"/>
        <w:rPr>
          <w:sz w:val="20"/>
        </w:rPr>
      </w:pPr>
    </w:p>
    <w:p w14:paraId="436A79D9" w14:textId="77777777" w:rsidR="00A2416E" w:rsidRDefault="00A2416E">
      <w:pPr>
        <w:pStyle w:val="Brdtext"/>
        <w:rPr>
          <w:sz w:val="20"/>
        </w:rPr>
      </w:pPr>
    </w:p>
    <w:p w14:paraId="66D146DB" w14:textId="77777777" w:rsidR="00A2416E" w:rsidRDefault="00A2416E">
      <w:pPr>
        <w:pStyle w:val="Brdtext"/>
        <w:rPr>
          <w:sz w:val="20"/>
        </w:rPr>
      </w:pPr>
    </w:p>
    <w:p w14:paraId="346CAB4A" w14:textId="77777777" w:rsidR="00A2416E" w:rsidRDefault="00534832" w:rsidP="00CB6CEC">
      <w:pPr>
        <w:pStyle w:val="Rubrik3"/>
        <w:spacing w:before="111"/>
        <w:ind w:left="0"/>
      </w:pPr>
      <w:r>
        <w:t>2</w:t>
      </w:r>
    </w:p>
    <w:p w14:paraId="47F3F605" w14:textId="77777777" w:rsidR="00A2416E" w:rsidRDefault="00A2416E">
      <w:pPr>
        <w:sectPr w:rsidR="00A2416E">
          <w:type w:val="continuous"/>
          <w:pgSz w:w="9360" w:h="13720"/>
          <w:pgMar w:top="900" w:right="580" w:bottom="280" w:left="620" w:header="720" w:footer="720" w:gutter="0"/>
          <w:cols w:space="720"/>
        </w:sectPr>
      </w:pPr>
    </w:p>
    <w:p w14:paraId="75320A3C" w14:textId="77777777" w:rsidR="00A2416E" w:rsidRDefault="00534832">
      <w:pPr>
        <w:spacing w:before="63"/>
        <w:ind w:left="400"/>
        <w:jc w:val="both"/>
        <w:rPr>
          <w:b/>
          <w:sz w:val="21"/>
        </w:rPr>
      </w:pPr>
      <w:bookmarkStart w:id="2" w:name="Beräkning_av_växthusgasintensitet"/>
      <w:bookmarkEnd w:id="2"/>
      <w:r>
        <w:rPr>
          <w:b/>
          <w:sz w:val="21"/>
        </w:rPr>
        <w:lastRenderedPageBreak/>
        <w:t>Cálculo de la intensidad de los gases de efecto invernadero</w:t>
      </w:r>
    </w:p>
    <w:p w14:paraId="1BBF99A2" w14:textId="77777777" w:rsidR="00A2416E" w:rsidRDefault="00534832">
      <w:pPr>
        <w:pStyle w:val="Brdtext"/>
        <w:spacing w:before="141" w:line="273" w:lineRule="auto"/>
        <w:ind w:left="400" w:right="238"/>
        <w:jc w:val="both"/>
      </w:pPr>
      <w:r>
        <w:rPr>
          <w:b/>
        </w:rPr>
        <w:t>Artículo 12</w:t>
      </w:r>
      <w:r>
        <w:t>. En el cálculo de la reducción de las emisiones de gases de efecto invernadero por parte de un proveedor de combustible para el fin establecido en el artículo 21 de la Ley (2011:319) sobre combustibles, el cálculo de la intensidad de los gases de efecto invernadero se hará con la siguiente fórmula:</w:t>
      </w:r>
    </w:p>
    <w:p w14:paraId="20759CD1" w14:textId="77777777" w:rsidR="00A2416E" w:rsidRDefault="00534832" w:rsidP="00581179">
      <w:pPr>
        <w:pStyle w:val="Brdtext"/>
        <w:spacing w:line="213" w:lineRule="exact"/>
        <w:ind w:left="2364" w:right="-1701"/>
        <w:jc w:val="center"/>
      </w:pPr>
      <w:r>
        <w:rPr>
          <w:color w:val="010102"/>
        </w:rPr>
        <w:t xml:space="preserve">∑ </w:t>
      </w:r>
      <w:r>
        <w:rPr>
          <w:color w:val="010102"/>
          <w:vertAlign w:val="subscript"/>
        </w:rPr>
        <w:t>x</w:t>
      </w:r>
      <w:r>
        <w:rPr>
          <w:color w:val="010102"/>
        </w:rPr>
        <w:t xml:space="preserve"> (GHGi</w:t>
      </w:r>
      <w:r>
        <w:rPr>
          <w:color w:val="010102"/>
          <w:vertAlign w:val="subscript"/>
        </w:rPr>
        <w:t>x</w:t>
      </w:r>
      <w:r>
        <w:rPr>
          <w:color w:val="010102"/>
        </w:rPr>
        <w:t>×AF×MJ</w:t>
      </w:r>
      <w:r>
        <w:rPr>
          <w:color w:val="010102"/>
          <w:vertAlign w:val="subscript"/>
        </w:rPr>
        <w:t>x</w:t>
      </w:r>
      <w:r>
        <w:rPr>
          <w:color w:val="010102"/>
        </w:rPr>
        <w:t>) – UER</w:t>
      </w:r>
    </w:p>
    <w:p w14:paraId="5B0DC3E8" w14:textId="77777777" w:rsidR="00A2416E" w:rsidRDefault="00534832">
      <w:pPr>
        <w:pStyle w:val="Brdtext"/>
        <w:spacing w:line="191" w:lineRule="exact"/>
        <w:ind w:left="400"/>
        <w:jc w:val="both"/>
      </w:pPr>
      <w:r>
        <w:rPr>
          <w:color w:val="010102"/>
        </w:rPr>
        <w:t>Intensidad de los gases de efecto invernadero</w:t>
      </w:r>
      <w:r>
        <w:rPr>
          <w:color w:val="010102"/>
          <w:vertAlign w:val="subscript"/>
        </w:rPr>
        <w:t>#</w:t>
      </w:r>
      <w:r>
        <w:rPr>
          <w:color w:val="010102"/>
        </w:rPr>
        <w:t xml:space="preserve">  =  ––––––––––––––––––––––––</w:t>
      </w:r>
    </w:p>
    <w:p w14:paraId="3A218E26" w14:textId="77777777" w:rsidR="00A2416E" w:rsidRDefault="00534832" w:rsidP="00581179">
      <w:pPr>
        <w:pStyle w:val="Brdtext"/>
        <w:spacing w:line="217" w:lineRule="exact"/>
        <w:ind w:left="2121" w:right="-1814"/>
        <w:jc w:val="center"/>
      </w:pPr>
      <w:r>
        <w:rPr>
          <w:color w:val="010102"/>
        </w:rPr>
        <w:t xml:space="preserve">∑ </w:t>
      </w:r>
      <w:r>
        <w:rPr>
          <w:color w:val="010102"/>
          <w:vertAlign w:val="subscript"/>
        </w:rPr>
        <w:t>x</w:t>
      </w:r>
      <w:r>
        <w:rPr>
          <w:color w:val="010102"/>
        </w:rPr>
        <w:t xml:space="preserve"> MJ</w:t>
      </w:r>
      <w:r>
        <w:rPr>
          <w:color w:val="010102"/>
          <w:vertAlign w:val="subscript"/>
        </w:rPr>
        <w:t>x</w:t>
      </w:r>
    </w:p>
    <w:p w14:paraId="34570CBD" w14:textId="77777777" w:rsidR="00A2416E" w:rsidRDefault="00A2416E">
      <w:pPr>
        <w:pStyle w:val="Brdtext"/>
        <w:spacing w:before="4"/>
        <w:rPr>
          <w:sz w:val="15"/>
        </w:rPr>
      </w:pPr>
    </w:p>
    <w:tbl>
      <w:tblPr>
        <w:tblStyle w:val="TableNormal1"/>
        <w:tblW w:w="0" w:type="auto"/>
        <w:tblInd w:w="207" w:type="dxa"/>
        <w:tblLayout w:type="fixed"/>
        <w:tblLook w:val="01E0" w:firstRow="1" w:lastRow="1" w:firstColumn="1" w:lastColumn="1" w:noHBand="0" w:noVBand="0"/>
      </w:tblPr>
      <w:tblGrid>
        <w:gridCol w:w="800"/>
        <w:gridCol w:w="5497"/>
      </w:tblGrid>
      <w:tr w:rsidR="00A2416E" w14:paraId="4CFD6340" w14:textId="77777777">
        <w:trPr>
          <w:trHeight w:val="251"/>
        </w:trPr>
        <w:tc>
          <w:tcPr>
            <w:tcW w:w="800" w:type="dxa"/>
          </w:tcPr>
          <w:p w14:paraId="0A908CB3" w14:textId="28BFC7E1" w:rsidR="00A2416E" w:rsidRDefault="00534832">
            <w:pPr>
              <w:pStyle w:val="TableParagraph"/>
              <w:spacing w:before="0" w:line="210" w:lineRule="exact"/>
              <w:ind w:left="200"/>
              <w:rPr>
                <w:sz w:val="19"/>
              </w:rPr>
            </w:pPr>
            <w:r>
              <w:rPr>
                <w:sz w:val="19"/>
              </w:rPr>
              <w:t>#</w:t>
            </w:r>
            <w:r>
              <w:rPr>
                <w:sz w:val="19"/>
              </w:rPr>
              <w:tab/>
            </w:r>
          </w:p>
        </w:tc>
        <w:tc>
          <w:tcPr>
            <w:tcW w:w="5497" w:type="dxa"/>
          </w:tcPr>
          <w:p w14:paraId="667260ED" w14:textId="74E8F9B0" w:rsidR="00A2416E" w:rsidRDefault="00CB6CEC">
            <w:pPr>
              <w:pStyle w:val="TableParagraph"/>
              <w:spacing w:before="0" w:line="210" w:lineRule="exact"/>
              <w:ind w:left="85"/>
              <w:rPr>
                <w:sz w:val="19"/>
              </w:rPr>
            </w:pPr>
            <w:r>
              <w:rPr>
                <w:sz w:val="19"/>
              </w:rPr>
              <w:t>identificación del proveedor</w:t>
            </w:r>
          </w:p>
        </w:tc>
      </w:tr>
      <w:tr w:rsidR="00A2416E" w14:paraId="66C6F643" w14:textId="77777777">
        <w:trPr>
          <w:trHeight w:val="291"/>
        </w:trPr>
        <w:tc>
          <w:tcPr>
            <w:tcW w:w="800" w:type="dxa"/>
          </w:tcPr>
          <w:p w14:paraId="2FD57175" w14:textId="77777777" w:rsidR="00A2416E" w:rsidRDefault="00534832">
            <w:pPr>
              <w:pStyle w:val="TableParagraph"/>
              <w:spacing w:before="32"/>
              <w:ind w:left="200"/>
              <w:rPr>
                <w:i/>
                <w:sz w:val="19"/>
              </w:rPr>
            </w:pPr>
            <w:r>
              <w:rPr>
                <w:i/>
                <w:sz w:val="19"/>
              </w:rPr>
              <w:t>x</w:t>
            </w:r>
          </w:p>
        </w:tc>
        <w:tc>
          <w:tcPr>
            <w:tcW w:w="5497" w:type="dxa"/>
          </w:tcPr>
          <w:p w14:paraId="2A6E5BDD" w14:textId="77777777" w:rsidR="00A2416E" w:rsidRDefault="00534832">
            <w:pPr>
              <w:pStyle w:val="TableParagraph"/>
              <w:spacing w:before="32"/>
              <w:ind w:left="85"/>
              <w:rPr>
                <w:sz w:val="19"/>
              </w:rPr>
            </w:pPr>
            <w:r>
              <w:rPr>
                <w:sz w:val="19"/>
              </w:rPr>
              <w:t>combustibles que se han suministrado y que serán notificados</w:t>
            </w:r>
          </w:p>
        </w:tc>
      </w:tr>
      <w:tr w:rsidR="00A2416E" w14:paraId="4EEEE19A" w14:textId="77777777">
        <w:trPr>
          <w:trHeight w:val="751"/>
        </w:trPr>
        <w:tc>
          <w:tcPr>
            <w:tcW w:w="800" w:type="dxa"/>
          </w:tcPr>
          <w:p w14:paraId="79E26564" w14:textId="77777777" w:rsidR="00A2416E" w:rsidRDefault="00534832">
            <w:pPr>
              <w:pStyle w:val="TableParagraph"/>
              <w:spacing w:before="32"/>
              <w:ind w:left="200"/>
              <w:rPr>
                <w:i/>
                <w:sz w:val="11"/>
              </w:rPr>
            </w:pPr>
            <w:r>
              <w:rPr>
                <w:i/>
                <w:sz w:val="19"/>
              </w:rPr>
              <w:t>GHGi</w:t>
            </w:r>
            <w:r>
              <w:rPr>
                <w:i/>
                <w:sz w:val="11"/>
              </w:rPr>
              <w:t>x</w:t>
            </w:r>
          </w:p>
        </w:tc>
        <w:tc>
          <w:tcPr>
            <w:tcW w:w="5497" w:type="dxa"/>
          </w:tcPr>
          <w:p w14:paraId="7D58B399" w14:textId="77777777" w:rsidR="00A2416E" w:rsidRDefault="00534832">
            <w:pPr>
              <w:pStyle w:val="TableParagraph"/>
              <w:spacing w:before="38" w:line="230" w:lineRule="auto"/>
              <w:ind w:left="85" w:right="198"/>
              <w:jc w:val="both"/>
              <w:rPr>
                <w:sz w:val="19"/>
              </w:rPr>
            </w:pPr>
            <w:r>
              <w:rPr>
                <w:sz w:val="19"/>
              </w:rPr>
              <w:t>suma de las emisiones de gases de efecto invernadero expresadas como g CO</w:t>
            </w:r>
            <w:r>
              <w:rPr>
                <w:sz w:val="11"/>
              </w:rPr>
              <w:t>2</w:t>
            </w:r>
            <w:r>
              <w:rPr>
                <w:sz w:val="19"/>
              </w:rPr>
              <w:t>eq/MJ de todos los biocomponentes y componentes fósiles incluidos en los combustibles que se han suministrado</w:t>
            </w:r>
          </w:p>
        </w:tc>
      </w:tr>
      <w:tr w:rsidR="00A2416E" w14:paraId="5FB64182" w14:textId="77777777">
        <w:trPr>
          <w:trHeight w:val="521"/>
        </w:trPr>
        <w:tc>
          <w:tcPr>
            <w:tcW w:w="800" w:type="dxa"/>
          </w:tcPr>
          <w:p w14:paraId="3D51B5E0" w14:textId="77777777" w:rsidR="00A2416E" w:rsidRDefault="00534832">
            <w:pPr>
              <w:pStyle w:val="TableParagraph"/>
              <w:spacing w:before="32"/>
              <w:ind w:left="200"/>
              <w:rPr>
                <w:i/>
                <w:sz w:val="11"/>
              </w:rPr>
            </w:pPr>
            <w:r>
              <w:rPr>
                <w:i/>
                <w:sz w:val="19"/>
              </w:rPr>
              <w:t>MJ</w:t>
            </w:r>
            <w:r>
              <w:rPr>
                <w:i/>
                <w:sz w:val="11"/>
              </w:rPr>
              <w:t>x</w:t>
            </w:r>
          </w:p>
        </w:tc>
        <w:tc>
          <w:tcPr>
            <w:tcW w:w="5497" w:type="dxa"/>
          </w:tcPr>
          <w:p w14:paraId="02BB1F8E" w14:textId="77777777" w:rsidR="00A2416E" w:rsidRDefault="00534832">
            <w:pPr>
              <w:pStyle w:val="TableParagraph"/>
              <w:spacing w:before="32" w:line="252" w:lineRule="auto"/>
              <w:ind w:left="85" w:right="170"/>
              <w:rPr>
                <w:sz w:val="19"/>
              </w:rPr>
            </w:pPr>
            <w:r>
              <w:rPr>
                <w:sz w:val="19"/>
              </w:rPr>
              <w:t>energía incluida en los componentes fósiles y los biocomponentes incluidos en los combustibles que se han suministrado, expresada en megajulios</w:t>
            </w:r>
          </w:p>
        </w:tc>
      </w:tr>
      <w:tr w:rsidR="00A2416E" w14:paraId="5072D8FC" w14:textId="77777777">
        <w:trPr>
          <w:trHeight w:val="521"/>
        </w:trPr>
        <w:tc>
          <w:tcPr>
            <w:tcW w:w="800" w:type="dxa"/>
          </w:tcPr>
          <w:p w14:paraId="6DFBF789" w14:textId="77777777" w:rsidR="00A2416E" w:rsidRDefault="00534832">
            <w:pPr>
              <w:pStyle w:val="TableParagraph"/>
              <w:spacing w:before="32"/>
              <w:ind w:left="200"/>
              <w:rPr>
                <w:i/>
                <w:sz w:val="19"/>
              </w:rPr>
            </w:pPr>
            <w:r>
              <w:rPr>
                <w:i/>
                <w:sz w:val="19"/>
              </w:rPr>
              <w:t>AF</w:t>
            </w:r>
          </w:p>
        </w:tc>
        <w:tc>
          <w:tcPr>
            <w:tcW w:w="5497" w:type="dxa"/>
          </w:tcPr>
          <w:p w14:paraId="76543568" w14:textId="77777777" w:rsidR="00A2416E" w:rsidRDefault="00534832">
            <w:pPr>
              <w:pStyle w:val="TableParagraph"/>
              <w:spacing w:before="32"/>
              <w:ind w:left="85"/>
              <w:rPr>
                <w:sz w:val="19"/>
              </w:rPr>
            </w:pPr>
            <w:r>
              <w:rPr>
                <w:sz w:val="19"/>
              </w:rPr>
              <w:t>factores de corrección para la eficiencia del sistema de conducción de acuerdo con la tabla que se indica</w:t>
            </w:r>
          </w:p>
          <w:p w14:paraId="1791D3B1" w14:textId="77777777" w:rsidR="00A2416E" w:rsidRDefault="00534832">
            <w:pPr>
              <w:pStyle w:val="TableParagraph"/>
              <w:spacing w:before="12"/>
              <w:ind w:left="85"/>
              <w:rPr>
                <w:sz w:val="19"/>
              </w:rPr>
            </w:pPr>
            <w:r>
              <w:rPr>
                <w:sz w:val="19"/>
              </w:rPr>
              <w:t>a continuación</w:t>
            </w:r>
          </w:p>
        </w:tc>
      </w:tr>
      <w:tr w:rsidR="00A2416E" w14:paraId="690B8266" w14:textId="77777777">
        <w:trPr>
          <w:trHeight w:val="297"/>
        </w:trPr>
        <w:tc>
          <w:tcPr>
            <w:tcW w:w="800" w:type="dxa"/>
          </w:tcPr>
          <w:p w14:paraId="60FB116A" w14:textId="77777777" w:rsidR="00A2416E" w:rsidRDefault="00534832">
            <w:pPr>
              <w:pStyle w:val="TableParagraph"/>
              <w:spacing w:before="32"/>
              <w:ind w:left="200"/>
              <w:rPr>
                <w:i/>
                <w:sz w:val="19"/>
              </w:rPr>
            </w:pPr>
            <w:r>
              <w:rPr>
                <w:i/>
                <w:sz w:val="19"/>
              </w:rPr>
              <w:t>UER</w:t>
            </w:r>
          </w:p>
        </w:tc>
        <w:tc>
          <w:tcPr>
            <w:tcW w:w="5497" w:type="dxa"/>
          </w:tcPr>
          <w:p w14:paraId="1AD7EF7E" w14:textId="77777777" w:rsidR="00A2416E" w:rsidRDefault="00534832">
            <w:pPr>
              <w:pStyle w:val="TableParagraph"/>
              <w:spacing w:before="32" w:line="245" w:lineRule="exact"/>
              <w:ind w:left="85"/>
              <w:rPr>
                <w:sz w:val="19"/>
              </w:rPr>
            </w:pPr>
            <w:r>
              <w:rPr>
                <w:sz w:val="19"/>
              </w:rPr>
              <w:t>reducción de las emisiones iniciales medida como g CO</w:t>
            </w:r>
            <w:r>
              <w:rPr>
                <w:sz w:val="11"/>
              </w:rPr>
              <w:t>2</w:t>
            </w:r>
            <w:r>
              <w:rPr>
                <w:sz w:val="19"/>
              </w:rPr>
              <w:t>eq</w:t>
            </w:r>
          </w:p>
        </w:tc>
      </w:tr>
    </w:tbl>
    <w:p w14:paraId="799663C9" w14:textId="77777777" w:rsidR="00A2416E" w:rsidRDefault="00534832">
      <w:pPr>
        <w:pStyle w:val="Brdtext"/>
        <w:spacing w:before="132"/>
        <w:ind w:left="400"/>
        <w:jc w:val="both"/>
      </w:pPr>
      <w:r>
        <w:t>Las emisiones se corregirán en función de la eficiencia del sistema de propulsión y de las emisiones iniciales.</w:t>
      </w:r>
    </w:p>
    <w:p w14:paraId="197F02F8" w14:textId="77777777" w:rsidR="00A2416E" w:rsidRDefault="00A2416E">
      <w:pPr>
        <w:pStyle w:val="Brdtext"/>
        <w:rPr>
          <w:sz w:val="28"/>
        </w:rPr>
      </w:pPr>
    </w:p>
    <w:tbl>
      <w:tblPr>
        <w:tblStyle w:val="TableNormal1"/>
        <w:tblW w:w="0" w:type="auto"/>
        <w:tblInd w:w="407" w:type="dxa"/>
        <w:tblLayout w:type="fixed"/>
        <w:tblLook w:val="01E0" w:firstRow="1" w:lastRow="1" w:firstColumn="1" w:lastColumn="1" w:noHBand="0" w:noVBand="0"/>
      </w:tblPr>
      <w:tblGrid>
        <w:gridCol w:w="3368"/>
        <w:gridCol w:w="1656"/>
      </w:tblGrid>
      <w:tr w:rsidR="00A2416E" w14:paraId="28F08263" w14:textId="77777777" w:rsidTr="00581179">
        <w:trPr>
          <w:trHeight w:val="262"/>
        </w:trPr>
        <w:tc>
          <w:tcPr>
            <w:tcW w:w="3368" w:type="dxa"/>
            <w:tcBorders>
              <w:top w:val="single" w:sz="4" w:space="0" w:color="000000"/>
              <w:bottom w:val="single" w:sz="4" w:space="0" w:color="000000"/>
            </w:tcBorders>
          </w:tcPr>
          <w:p w14:paraId="38A19BC4" w14:textId="77777777" w:rsidR="00A2416E" w:rsidRDefault="00534832">
            <w:pPr>
              <w:pStyle w:val="TableParagraph"/>
              <w:spacing w:before="67"/>
              <w:ind w:left="0"/>
              <w:rPr>
                <w:b/>
                <w:sz w:val="16"/>
              </w:rPr>
            </w:pPr>
            <w:r>
              <w:rPr>
                <w:b/>
                <w:sz w:val="16"/>
              </w:rPr>
              <w:t>Área principal de uso</w:t>
            </w:r>
          </w:p>
        </w:tc>
        <w:tc>
          <w:tcPr>
            <w:tcW w:w="1656" w:type="dxa"/>
            <w:tcBorders>
              <w:top w:val="single" w:sz="4" w:space="0" w:color="000000"/>
              <w:bottom w:val="single" w:sz="4" w:space="0" w:color="000000"/>
            </w:tcBorders>
          </w:tcPr>
          <w:p w14:paraId="2AE18678" w14:textId="77777777" w:rsidR="00A2416E" w:rsidRDefault="00534832">
            <w:pPr>
              <w:pStyle w:val="TableParagraph"/>
              <w:spacing w:before="67"/>
              <w:ind w:left="237"/>
              <w:rPr>
                <w:b/>
                <w:sz w:val="16"/>
              </w:rPr>
            </w:pPr>
            <w:r>
              <w:rPr>
                <w:b/>
                <w:sz w:val="16"/>
              </w:rPr>
              <w:t>Factor de eficiencia</w:t>
            </w:r>
          </w:p>
        </w:tc>
      </w:tr>
      <w:tr w:rsidR="00A2416E" w14:paraId="63DF21ED" w14:textId="77777777">
        <w:trPr>
          <w:trHeight w:val="295"/>
        </w:trPr>
        <w:tc>
          <w:tcPr>
            <w:tcW w:w="3368" w:type="dxa"/>
            <w:tcBorders>
              <w:top w:val="single" w:sz="4" w:space="0" w:color="000000"/>
            </w:tcBorders>
          </w:tcPr>
          <w:p w14:paraId="2DC6CCCF" w14:textId="77777777" w:rsidR="00A2416E" w:rsidRDefault="00534832">
            <w:pPr>
              <w:pStyle w:val="TableParagraph"/>
              <w:spacing w:before="72"/>
              <w:ind w:left="0"/>
              <w:rPr>
                <w:sz w:val="17"/>
              </w:rPr>
            </w:pPr>
            <w:r>
              <w:rPr>
                <w:sz w:val="17"/>
              </w:rPr>
              <w:t>Motores de combustión interna</w:t>
            </w:r>
          </w:p>
        </w:tc>
        <w:tc>
          <w:tcPr>
            <w:tcW w:w="1656" w:type="dxa"/>
            <w:tcBorders>
              <w:top w:val="single" w:sz="4" w:space="0" w:color="000000"/>
            </w:tcBorders>
          </w:tcPr>
          <w:p w14:paraId="3EABE78F" w14:textId="77777777" w:rsidR="00A2416E" w:rsidRDefault="00534832">
            <w:pPr>
              <w:pStyle w:val="TableParagraph"/>
              <w:spacing w:before="72"/>
              <w:ind w:left="237"/>
              <w:rPr>
                <w:sz w:val="17"/>
              </w:rPr>
            </w:pPr>
            <w:r>
              <w:rPr>
                <w:sz w:val="17"/>
              </w:rPr>
              <w:t>1</w:t>
            </w:r>
          </w:p>
        </w:tc>
      </w:tr>
      <w:tr w:rsidR="00A2416E" w14:paraId="17A28BEE" w14:textId="77777777">
        <w:trPr>
          <w:trHeight w:val="242"/>
        </w:trPr>
        <w:tc>
          <w:tcPr>
            <w:tcW w:w="3368" w:type="dxa"/>
          </w:tcPr>
          <w:p w14:paraId="02257E28" w14:textId="77777777" w:rsidR="00A2416E" w:rsidRDefault="00534832">
            <w:pPr>
              <w:pStyle w:val="TableParagraph"/>
              <w:spacing w:before="20"/>
              <w:ind w:left="0"/>
              <w:rPr>
                <w:sz w:val="17"/>
              </w:rPr>
            </w:pPr>
            <w:r>
              <w:rPr>
                <w:sz w:val="17"/>
              </w:rPr>
              <w:t>Sistemas eléctricos con batería</w:t>
            </w:r>
          </w:p>
        </w:tc>
        <w:tc>
          <w:tcPr>
            <w:tcW w:w="1656" w:type="dxa"/>
          </w:tcPr>
          <w:p w14:paraId="73657E13" w14:textId="77777777" w:rsidR="00A2416E" w:rsidRDefault="00534832">
            <w:pPr>
              <w:pStyle w:val="TableParagraph"/>
              <w:spacing w:before="20"/>
              <w:ind w:left="237"/>
              <w:rPr>
                <w:sz w:val="17"/>
              </w:rPr>
            </w:pPr>
            <w:r>
              <w:rPr>
                <w:sz w:val="17"/>
              </w:rPr>
              <w:t>0,4</w:t>
            </w:r>
          </w:p>
        </w:tc>
      </w:tr>
      <w:tr w:rsidR="00A2416E" w14:paraId="320937A7" w14:textId="77777777">
        <w:trPr>
          <w:trHeight w:val="287"/>
        </w:trPr>
        <w:tc>
          <w:tcPr>
            <w:tcW w:w="3368" w:type="dxa"/>
            <w:tcBorders>
              <w:bottom w:val="single" w:sz="4" w:space="0" w:color="000000"/>
            </w:tcBorders>
          </w:tcPr>
          <w:p w14:paraId="51DED897" w14:textId="77777777" w:rsidR="00A2416E" w:rsidRDefault="00534832">
            <w:pPr>
              <w:pStyle w:val="TableParagraph"/>
              <w:spacing w:before="20"/>
              <w:ind w:left="0"/>
              <w:rPr>
                <w:sz w:val="17"/>
              </w:rPr>
            </w:pPr>
            <w:r>
              <w:rPr>
                <w:sz w:val="17"/>
              </w:rPr>
              <w:t>Sistema de accionamiento eléctrico de pila de combustible de hidrógeno</w:t>
            </w:r>
          </w:p>
        </w:tc>
        <w:tc>
          <w:tcPr>
            <w:tcW w:w="1656" w:type="dxa"/>
            <w:tcBorders>
              <w:bottom w:val="single" w:sz="4" w:space="0" w:color="000000"/>
            </w:tcBorders>
          </w:tcPr>
          <w:p w14:paraId="6D27FC5C" w14:textId="77777777" w:rsidR="00A2416E" w:rsidRDefault="00534832">
            <w:pPr>
              <w:pStyle w:val="TableParagraph"/>
              <w:spacing w:before="20"/>
              <w:ind w:left="237"/>
              <w:rPr>
                <w:sz w:val="17"/>
              </w:rPr>
            </w:pPr>
            <w:r>
              <w:rPr>
                <w:sz w:val="17"/>
              </w:rPr>
              <w:t>0,4</w:t>
            </w:r>
          </w:p>
        </w:tc>
      </w:tr>
    </w:tbl>
    <w:p w14:paraId="26A8E09B" w14:textId="77777777" w:rsidR="00A2416E" w:rsidRDefault="00A2416E">
      <w:pPr>
        <w:pStyle w:val="Brdtext"/>
        <w:spacing w:before="10"/>
        <w:rPr>
          <w:sz w:val="28"/>
        </w:rPr>
      </w:pPr>
    </w:p>
    <w:p w14:paraId="37BD531B" w14:textId="77777777" w:rsidR="00A2416E" w:rsidRDefault="00534832">
      <w:pPr>
        <w:pStyle w:val="Brdtext"/>
        <w:spacing w:before="1" w:line="273" w:lineRule="auto"/>
        <w:ind w:left="400" w:right="238"/>
        <w:jc w:val="both"/>
      </w:pPr>
      <w:r>
        <w:rPr>
          <w:b/>
        </w:rPr>
        <w:t>Artículo 12 bis</w:t>
      </w:r>
      <w:r>
        <w:t>. Como base de la información ambiental, el proveedor de combustible calculará la intensidad de los gases de efecto invernadero de los productos comercializados de acuerdo con la siguiente fórmula:</w:t>
      </w:r>
    </w:p>
    <w:p w14:paraId="752A0082" w14:textId="77777777" w:rsidR="00A2416E" w:rsidRDefault="00534832">
      <w:pPr>
        <w:pStyle w:val="Brdtext"/>
        <w:spacing w:before="177" w:line="170" w:lineRule="auto"/>
        <w:ind w:left="400" w:right="3425" w:firstLine="808"/>
      </w:pPr>
      <w:r>
        <w:rPr>
          <w:color w:val="010102"/>
        </w:rPr>
        <w:t xml:space="preserve">∑ </w:t>
      </w:r>
      <w:r>
        <w:rPr>
          <w:color w:val="010102"/>
          <w:sz w:val="12"/>
        </w:rPr>
        <w:t xml:space="preserve">x </w:t>
      </w:r>
      <w:r>
        <w:rPr>
          <w:color w:val="010102"/>
        </w:rPr>
        <w:t>(GHGi</w:t>
      </w:r>
      <w:r>
        <w:rPr>
          <w:color w:val="010102"/>
          <w:sz w:val="12"/>
        </w:rPr>
        <w:t xml:space="preserve">x </w:t>
      </w:r>
      <w:r>
        <w:rPr>
          <w:color w:val="010102"/>
        </w:rPr>
        <w:t>× MJ</w:t>
      </w:r>
      <w:r>
        <w:rPr>
          <w:color w:val="010102"/>
          <w:sz w:val="12"/>
        </w:rPr>
        <w:t>x</w:t>
      </w:r>
      <w:r>
        <w:rPr>
          <w:color w:val="010102"/>
        </w:rPr>
        <w:t>) GHGi</w:t>
      </w:r>
      <w:r>
        <w:rPr>
          <w:color w:val="010102"/>
          <w:sz w:val="11"/>
        </w:rPr>
        <w:t xml:space="preserve">a </w:t>
      </w:r>
      <w:r>
        <w:rPr>
          <w:color w:val="010102"/>
        </w:rPr>
        <w:t>= ––––––––––––––––</w:t>
      </w:r>
    </w:p>
    <w:p w14:paraId="676262ED" w14:textId="77777777" w:rsidR="00A2416E" w:rsidRDefault="00534832">
      <w:pPr>
        <w:spacing w:line="201" w:lineRule="auto"/>
        <w:ind w:left="1610"/>
        <w:rPr>
          <w:sz w:val="12"/>
        </w:rPr>
      </w:pPr>
      <w:r>
        <w:rPr>
          <w:color w:val="010102"/>
          <w:sz w:val="19"/>
        </w:rPr>
        <w:t xml:space="preserve">∑ </w:t>
      </w:r>
      <w:r>
        <w:rPr>
          <w:color w:val="010102"/>
          <w:sz w:val="12"/>
        </w:rPr>
        <w:t xml:space="preserve">x </w:t>
      </w:r>
      <w:r>
        <w:rPr>
          <w:color w:val="010102"/>
          <w:sz w:val="19"/>
        </w:rPr>
        <w:t>MJ</w:t>
      </w:r>
      <w:r>
        <w:rPr>
          <w:color w:val="010102"/>
          <w:sz w:val="12"/>
        </w:rPr>
        <w:t>x</w:t>
      </w:r>
    </w:p>
    <w:p w14:paraId="447A06EC" w14:textId="77777777" w:rsidR="00A2416E" w:rsidRDefault="00534832">
      <w:pPr>
        <w:pStyle w:val="Rubrik2"/>
        <w:spacing w:line="228" w:lineRule="auto"/>
        <w:ind w:left="200" w:right="134"/>
      </w:pPr>
      <w:r>
        <w:br w:type="column"/>
      </w:r>
      <w:r>
        <w:t>STEMFS 2021:2</w:t>
      </w:r>
    </w:p>
    <w:p w14:paraId="186869FF" w14:textId="77777777" w:rsidR="00A2416E" w:rsidRDefault="00A2416E">
      <w:pPr>
        <w:spacing w:line="228" w:lineRule="auto"/>
        <w:sectPr w:rsidR="00A2416E">
          <w:pgSz w:w="9360" w:h="13720"/>
          <w:pgMar w:top="940" w:right="580" w:bottom="280" w:left="620" w:header="720" w:footer="720" w:gutter="0"/>
          <w:cols w:num="2" w:space="720" w:equalWidth="0">
            <w:col w:w="6538" w:space="427"/>
            <w:col w:w="1195"/>
          </w:cols>
        </w:sectPr>
      </w:pPr>
    </w:p>
    <w:p w14:paraId="78B72271" w14:textId="77777777" w:rsidR="00A2416E" w:rsidRDefault="00534832">
      <w:pPr>
        <w:pStyle w:val="Brdtext"/>
        <w:spacing w:before="129" w:after="58"/>
        <w:ind w:left="400"/>
      </w:pPr>
      <w:r>
        <w:t>Donde:</w:t>
      </w:r>
    </w:p>
    <w:tbl>
      <w:tblPr>
        <w:tblStyle w:val="TableNormal1"/>
        <w:tblW w:w="0" w:type="auto"/>
        <w:tblInd w:w="207" w:type="dxa"/>
        <w:tblLayout w:type="fixed"/>
        <w:tblLook w:val="01E0" w:firstRow="1" w:lastRow="1" w:firstColumn="1" w:lastColumn="1" w:noHBand="0" w:noVBand="0"/>
      </w:tblPr>
      <w:tblGrid>
        <w:gridCol w:w="777"/>
        <w:gridCol w:w="5495"/>
      </w:tblGrid>
      <w:tr w:rsidR="00A2416E" w14:paraId="595F037B" w14:textId="77777777">
        <w:trPr>
          <w:trHeight w:val="242"/>
        </w:trPr>
        <w:tc>
          <w:tcPr>
            <w:tcW w:w="777" w:type="dxa"/>
          </w:tcPr>
          <w:p w14:paraId="24B13BD8" w14:textId="77777777" w:rsidR="00A2416E" w:rsidRDefault="00534832">
            <w:pPr>
              <w:pStyle w:val="TableParagraph"/>
              <w:spacing w:before="0" w:line="211" w:lineRule="exact"/>
              <w:ind w:left="200"/>
              <w:rPr>
                <w:i/>
                <w:sz w:val="19"/>
              </w:rPr>
            </w:pPr>
            <w:r>
              <w:rPr>
                <w:i/>
                <w:sz w:val="19"/>
              </w:rPr>
              <w:t>a</w:t>
            </w:r>
          </w:p>
        </w:tc>
        <w:tc>
          <w:tcPr>
            <w:tcW w:w="5495" w:type="dxa"/>
          </w:tcPr>
          <w:p w14:paraId="3E518B6F" w14:textId="77777777" w:rsidR="00A2416E" w:rsidRDefault="00534832">
            <w:pPr>
              <w:pStyle w:val="TableParagraph"/>
              <w:spacing w:before="0" w:line="210" w:lineRule="exact"/>
              <w:ind w:left="57"/>
              <w:rPr>
                <w:sz w:val="19"/>
              </w:rPr>
            </w:pPr>
            <w:r>
              <w:rPr>
                <w:sz w:val="19"/>
              </w:rPr>
              <w:t>productos combustibles que se han suministrado y que serán notificados</w:t>
            </w:r>
          </w:p>
        </w:tc>
      </w:tr>
      <w:tr w:rsidR="00A2416E" w14:paraId="32F5B9EE" w14:textId="77777777">
        <w:trPr>
          <w:trHeight w:val="273"/>
        </w:trPr>
        <w:tc>
          <w:tcPr>
            <w:tcW w:w="777" w:type="dxa"/>
          </w:tcPr>
          <w:p w14:paraId="2D155D93" w14:textId="77777777" w:rsidR="00A2416E" w:rsidRDefault="00534832">
            <w:pPr>
              <w:pStyle w:val="TableParagraph"/>
              <w:spacing w:before="23"/>
              <w:ind w:left="200"/>
              <w:rPr>
                <w:i/>
                <w:sz w:val="19"/>
              </w:rPr>
            </w:pPr>
            <w:r>
              <w:rPr>
                <w:i/>
                <w:sz w:val="19"/>
              </w:rPr>
              <w:t>x</w:t>
            </w:r>
          </w:p>
        </w:tc>
        <w:tc>
          <w:tcPr>
            <w:tcW w:w="5495" w:type="dxa"/>
          </w:tcPr>
          <w:p w14:paraId="27B3ACB7" w14:textId="77777777" w:rsidR="00A2416E" w:rsidRDefault="00534832">
            <w:pPr>
              <w:pStyle w:val="TableParagraph"/>
              <w:spacing w:before="23"/>
              <w:ind w:left="57"/>
              <w:rPr>
                <w:sz w:val="19"/>
              </w:rPr>
            </w:pPr>
            <w:r>
              <w:rPr>
                <w:sz w:val="19"/>
              </w:rPr>
              <w:t>componentes del producto que deben notificarse</w:t>
            </w:r>
          </w:p>
        </w:tc>
      </w:tr>
      <w:tr w:rsidR="00A2416E" w14:paraId="64FD007D" w14:textId="77777777">
        <w:trPr>
          <w:trHeight w:val="526"/>
        </w:trPr>
        <w:tc>
          <w:tcPr>
            <w:tcW w:w="777" w:type="dxa"/>
          </w:tcPr>
          <w:p w14:paraId="17EAA3F3" w14:textId="77777777" w:rsidR="00A2416E" w:rsidRDefault="00534832">
            <w:pPr>
              <w:pStyle w:val="TableParagraph"/>
              <w:spacing w:before="23"/>
              <w:ind w:left="200"/>
              <w:rPr>
                <w:i/>
                <w:sz w:val="11"/>
              </w:rPr>
            </w:pPr>
            <w:r>
              <w:rPr>
                <w:i/>
                <w:sz w:val="19"/>
              </w:rPr>
              <w:t>GHGi</w:t>
            </w:r>
            <w:r>
              <w:rPr>
                <w:i/>
                <w:sz w:val="11"/>
              </w:rPr>
              <w:t>x</w:t>
            </w:r>
          </w:p>
        </w:tc>
        <w:tc>
          <w:tcPr>
            <w:tcW w:w="5495" w:type="dxa"/>
          </w:tcPr>
          <w:p w14:paraId="1FA05581" w14:textId="77777777" w:rsidR="00A2416E" w:rsidRDefault="00534832">
            <w:pPr>
              <w:pStyle w:val="TableParagraph"/>
              <w:spacing w:before="17" w:line="230" w:lineRule="exact"/>
              <w:ind w:left="57"/>
              <w:rPr>
                <w:sz w:val="19"/>
              </w:rPr>
            </w:pPr>
            <w:r>
              <w:rPr>
                <w:sz w:val="19"/>
              </w:rPr>
              <w:t>intensidad de los gases de efecto invernadero para los respectivos componentes incluidos en el producto a, expresada como g CO</w:t>
            </w:r>
            <w:r>
              <w:rPr>
                <w:sz w:val="11"/>
              </w:rPr>
              <w:t>2</w:t>
            </w:r>
            <w:r>
              <w:rPr>
                <w:sz w:val="19"/>
              </w:rPr>
              <w:t>eq/MJ</w:t>
            </w:r>
          </w:p>
        </w:tc>
      </w:tr>
      <w:tr w:rsidR="00A2416E" w14:paraId="473B90F4" w14:textId="77777777">
        <w:trPr>
          <w:trHeight w:val="480"/>
        </w:trPr>
        <w:tc>
          <w:tcPr>
            <w:tcW w:w="777" w:type="dxa"/>
          </w:tcPr>
          <w:p w14:paraId="5908B850" w14:textId="77777777" w:rsidR="00A2416E" w:rsidRDefault="00534832">
            <w:pPr>
              <w:pStyle w:val="TableParagraph"/>
              <w:spacing w:before="0"/>
              <w:ind w:left="200"/>
              <w:rPr>
                <w:i/>
                <w:sz w:val="11"/>
              </w:rPr>
            </w:pPr>
            <w:r>
              <w:rPr>
                <w:i/>
                <w:sz w:val="19"/>
              </w:rPr>
              <w:t>MJ</w:t>
            </w:r>
            <w:r>
              <w:rPr>
                <w:i/>
                <w:sz w:val="11"/>
              </w:rPr>
              <w:t>x</w:t>
            </w:r>
          </w:p>
        </w:tc>
        <w:tc>
          <w:tcPr>
            <w:tcW w:w="5495" w:type="dxa"/>
          </w:tcPr>
          <w:p w14:paraId="3E93CD66" w14:textId="77777777" w:rsidR="00A2416E" w:rsidRDefault="00534832">
            <w:pPr>
              <w:pStyle w:val="TableParagraph"/>
              <w:spacing w:before="0" w:line="252" w:lineRule="auto"/>
              <w:ind w:left="57"/>
              <w:rPr>
                <w:sz w:val="19"/>
              </w:rPr>
            </w:pPr>
            <w:r>
              <w:rPr>
                <w:sz w:val="19"/>
              </w:rPr>
              <w:t>energía incluida en los componentes que se incluyen en el producto a, expresada en megajulios</w:t>
            </w:r>
          </w:p>
        </w:tc>
      </w:tr>
      <w:tr w:rsidR="00A2416E" w14:paraId="245B7179" w14:textId="77777777">
        <w:trPr>
          <w:trHeight w:val="702"/>
        </w:trPr>
        <w:tc>
          <w:tcPr>
            <w:tcW w:w="777" w:type="dxa"/>
          </w:tcPr>
          <w:p w14:paraId="5334C4BE" w14:textId="77777777" w:rsidR="00A2416E" w:rsidRDefault="00534832">
            <w:pPr>
              <w:pStyle w:val="TableParagraph"/>
              <w:spacing w:before="23"/>
              <w:ind w:left="200"/>
              <w:rPr>
                <w:i/>
                <w:sz w:val="11"/>
              </w:rPr>
            </w:pPr>
            <w:r>
              <w:rPr>
                <w:i/>
                <w:sz w:val="19"/>
              </w:rPr>
              <w:t>GHGi</w:t>
            </w:r>
            <w:r>
              <w:rPr>
                <w:i/>
                <w:sz w:val="11"/>
              </w:rPr>
              <w:t>a</w:t>
            </w:r>
          </w:p>
        </w:tc>
        <w:tc>
          <w:tcPr>
            <w:tcW w:w="5495" w:type="dxa"/>
          </w:tcPr>
          <w:p w14:paraId="2A6CA0A4" w14:textId="77777777" w:rsidR="00A2416E" w:rsidRDefault="00534832">
            <w:pPr>
              <w:pStyle w:val="TableParagraph"/>
              <w:spacing w:before="17" w:line="230" w:lineRule="exact"/>
              <w:ind w:left="57" w:right="197"/>
              <w:jc w:val="both"/>
              <w:rPr>
                <w:sz w:val="19"/>
              </w:rPr>
            </w:pPr>
            <w:r>
              <w:rPr>
                <w:sz w:val="19"/>
              </w:rPr>
              <w:t>emisiones de gases de efecto invernadero expresadas como g CO</w:t>
            </w:r>
            <w:r>
              <w:rPr>
                <w:sz w:val="11"/>
              </w:rPr>
              <w:t>2</w:t>
            </w:r>
            <w:r>
              <w:rPr>
                <w:sz w:val="19"/>
              </w:rPr>
              <w:t>eq/MJ de todos los biocomponentes y componentes fósiles incluidos en el producto que se han suministrado.</w:t>
            </w:r>
          </w:p>
        </w:tc>
      </w:tr>
    </w:tbl>
    <w:p w14:paraId="5772BB0F" w14:textId="3FB185E9" w:rsidR="00A2416E" w:rsidRDefault="00581179" w:rsidP="00581179">
      <w:pPr>
        <w:pStyle w:val="Rubrik3"/>
        <w:ind w:left="0" w:right="155"/>
      </w:pPr>
      <w:r>
        <w:t xml:space="preserve">                                                                                                                                              </w:t>
      </w:r>
      <w:r w:rsidR="00534832">
        <w:t>3</w:t>
      </w:r>
    </w:p>
    <w:p w14:paraId="677F036A" w14:textId="77777777" w:rsidR="00A2416E" w:rsidRDefault="00A2416E">
      <w:pPr>
        <w:jc w:val="right"/>
        <w:sectPr w:rsidR="00A2416E">
          <w:type w:val="continuous"/>
          <w:pgSz w:w="9360" w:h="13720"/>
          <w:pgMar w:top="900" w:right="580" w:bottom="280" w:left="620" w:header="720" w:footer="720" w:gutter="0"/>
          <w:cols w:space="720"/>
        </w:sectPr>
      </w:pPr>
    </w:p>
    <w:p w14:paraId="0EB2F8F7" w14:textId="77777777" w:rsidR="00A2416E" w:rsidRDefault="00534832">
      <w:pPr>
        <w:spacing w:before="73" w:line="228" w:lineRule="auto"/>
        <w:ind w:left="117" w:right="19"/>
        <w:rPr>
          <w:b/>
          <w:sz w:val="21"/>
        </w:rPr>
      </w:pPr>
      <w:bookmarkStart w:id="3" w:name="Utsläppsminskning_i_tidigare_led"/>
      <w:bookmarkStart w:id="4" w:name="Ikraftträdandebestämmelser"/>
      <w:bookmarkEnd w:id="3"/>
      <w:bookmarkEnd w:id="4"/>
      <w:r>
        <w:rPr>
          <w:b/>
          <w:sz w:val="21"/>
        </w:rPr>
        <w:lastRenderedPageBreak/>
        <w:t>STEMFS 2021:2</w:t>
      </w:r>
    </w:p>
    <w:p w14:paraId="0305CE16" w14:textId="77777777" w:rsidR="00A2416E" w:rsidRDefault="00534832">
      <w:pPr>
        <w:pStyle w:val="Brdtext"/>
        <w:spacing w:before="72" w:line="273" w:lineRule="auto"/>
        <w:ind w:left="117" w:right="381"/>
        <w:jc w:val="both"/>
      </w:pPr>
      <w:r>
        <w:br w:type="column"/>
      </w:r>
      <w:r>
        <w:rPr>
          <w:b/>
        </w:rPr>
        <w:t>Artículo 13</w:t>
      </w:r>
      <w:r>
        <w:t>. En los cálculos en virtud del artículo 12, el proveedor de combustible deberá calcular las emisiones de gases de efecto invernadero de los componentes fósiles de acuerdo con los valores normales ponderados del anexo 1.</w:t>
      </w:r>
    </w:p>
    <w:p w14:paraId="10BFD7DE" w14:textId="77777777" w:rsidR="00A2416E" w:rsidRDefault="00534832">
      <w:pPr>
        <w:pStyle w:val="Brdtext"/>
        <w:spacing w:before="115" w:line="273" w:lineRule="auto"/>
        <w:ind w:left="117" w:right="381"/>
        <w:jc w:val="both"/>
      </w:pPr>
      <w:r>
        <w:t>En los cálculos en virtud del artículo 12 bis, el proveedor de combustible deberá calcular las emisiones de gases de efecto invernadero de los componentes fósiles de acuerdo con los valores normales para la fuente de materia prima específica del anexo 1.</w:t>
      </w:r>
    </w:p>
    <w:p w14:paraId="2AC92A22" w14:textId="77777777" w:rsidR="00A2416E" w:rsidRDefault="00A2416E">
      <w:pPr>
        <w:pStyle w:val="Brdtext"/>
        <w:spacing w:before="5"/>
        <w:rPr>
          <w:sz w:val="26"/>
        </w:rPr>
      </w:pPr>
    </w:p>
    <w:p w14:paraId="0262139A" w14:textId="77777777" w:rsidR="00A2416E" w:rsidRDefault="00534832">
      <w:pPr>
        <w:pStyle w:val="Rubrik2"/>
        <w:spacing w:before="0"/>
      </w:pPr>
      <w:r>
        <w:t>Reducción de las emisiones iniciales</w:t>
      </w:r>
    </w:p>
    <w:p w14:paraId="0796A5BC" w14:textId="77777777" w:rsidR="00A2416E" w:rsidRDefault="00534832">
      <w:pPr>
        <w:pStyle w:val="Brdtext"/>
        <w:spacing w:before="141" w:line="273" w:lineRule="auto"/>
        <w:ind w:left="117" w:right="380"/>
        <w:jc w:val="both"/>
      </w:pPr>
      <w:r>
        <w:rPr>
          <w:b/>
        </w:rPr>
        <w:t>Artículo 16</w:t>
      </w:r>
      <w:r>
        <w:t>. Para que se le acredite a un proveedor de combustible una reducción de las emisiones iniciales en el cálculo de la intensidad de los gases de efecto invernadero según el artículo 12, el proveedor de combustible deberá haber notificado a la Agencia de Energía de Suecia lo siguiente:</w:t>
      </w:r>
    </w:p>
    <w:p w14:paraId="3960C5E9" w14:textId="77777777" w:rsidR="00A2416E" w:rsidRDefault="00534832">
      <w:pPr>
        <w:pStyle w:val="Liststycke"/>
        <w:numPr>
          <w:ilvl w:val="0"/>
          <w:numId w:val="1"/>
        </w:numPr>
        <w:tabs>
          <w:tab w:val="left" w:pos="316"/>
        </w:tabs>
        <w:jc w:val="both"/>
        <w:rPr>
          <w:sz w:val="19"/>
        </w:rPr>
      </w:pPr>
      <w:r>
        <w:rPr>
          <w:sz w:val="19"/>
        </w:rPr>
        <w:t>la fecha de inicio del proyecto, que deberá ser posterior al 1 de enero de 2011;</w:t>
      </w:r>
    </w:p>
    <w:p w14:paraId="50955759" w14:textId="77777777" w:rsidR="00A2416E" w:rsidRDefault="00534832">
      <w:pPr>
        <w:pStyle w:val="Liststycke"/>
        <w:numPr>
          <w:ilvl w:val="0"/>
          <w:numId w:val="1"/>
        </w:numPr>
        <w:tabs>
          <w:tab w:val="left" w:pos="316"/>
        </w:tabs>
        <w:jc w:val="both"/>
        <w:rPr>
          <w:sz w:val="19"/>
        </w:rPr>
      </w:pPr>
      <w:r>
        <w:rPr>
          <w:sz w:val="19"/>
        </w:rPr>
        <w:t>las reducciones de emisiones anuales como g CO</w:t>
      </w:r>
      <w:r>
        <w:rPr>
          <w:sz w:val="11"/>
        </w:rPr>
        <w:t>2</w:t>
      </w:r>
      <w:r>
        <w:rPr>
          <w:sz w:val="19"/>
        </w:rPr>
        <w:t>eq;</w:t>
      </w:r>
    </w:p>
    <w:p w14:paraId="0C44C87A" w14:textId="77777777" w:rsidR="00A2416E" w:rsidRDefault="00534832">
      <w:pPr>
        <w:pStyle w:val="Liststycke"/>
        <w:numPr>
          <w:ilvl w:val="0"/>
          <w:numId w:val="1"/>
        </w:numPr>
        <w:tabs>
          <w:tab w:val="left" w:pos="316"/>
        </w:tabs>
        <w:spacing w:before="25"/>
        <w:jc w:val="both"/>
        <w:rPr>
          <w:sz w:val="19"/>
        </w:rPr>
      </w:pPr>
      <w:r>
        <w:rPr>
          <w:sz w:val="19"/>
        </w:rPr>
        <w:t>el período durante el cual tuvo lugar la reducción reclamada;</w:t>
      </w:r>
    </w:p>
    <w:p w14:paraId="45CBAD50" w14:textId="77777777" w:rsidR="00A2416E" w:rsidRDefault="00534832">
      <w:pPr>
        <w:pStyle w:val="Liststycke"/>
        <w:numPr>
          <w:ilvl w:val="0"/>
          <w:numId w:val="1"/>
        </w:numPr>
        <w:tabs>
          <w:tab w:val="left" w:pos="316"/>
        </w:tabs>
        <w:spacing w:line="252" w:lineRule="auto"/>
        <w:ind w:right="381"/>
        <w:jc w:val="both"/>
        <w:rPr>
          <w:sz w:val="19"/>
        </w:rPr>
      </w:pPr>
      <w:r>
        <w:rPr>
          <w:sz w:val="19"/>
        </w:rPr>
        <w:t>la ubicación geográfica del proyecto más cercana a la fuente de emisiones, como coordenadas de latitud y longitud en grados hasta el cuarto decimal;</w:t>
      </w:r>
    </w:p>
    <w:p w14:paraId="31C4AA5C" w14:textId="77777777" w:rsidR="00A2416E" w:rsidRDefault="00534832">
      <w:pPr>
        <w:pStyle w:val="Liststycke"/>
        <w:numPr>
          <w:ilvl w:val="0"/>
          <w:numId w:val="1"/>
        </w:numPr>
        <w:tabs>
          <w:tab w:val="left" w:pos="316"/>
        </w:tabs>
        <w:spacing w:before="65" w:line="230" w:lineRule="auto"/>
        <w:ind w:right="382"/>
        <w:jc w:val="both"/>
        <w:rPr>
          <w:sz w:val="19"/>
        </w:rPr>
      </w:pPr>
      <w:r>
        <w:rPr>
          <w:sz w:val="19"/>
        </w:rPr>
        <w:t>la norma mínima para las emisiones anuales antes de la instalación de las medidas de reducción y las emisiones anuales después de que las medidas de reducción se hayan implementado como CO</w:t>
      </w:r>
      <w:r>
        <w:rPr>
          <w:sz w:val="11"/>
        </w:rPr>
        <w:t>2</w:t>
      </w:r>
      <w:r>
        <w:rPr>
          <w:sz w:val="19"/>
        </w:rPr>
        <w:t>eq/MJ para la materia prima producida;</w:t>
      </w:r>
    </w:p>
    <w:p w14:paraId="60C84C29" w14:textId="77777777" w:rsidR="00A2416E" w:rsidRDefault="00534832">
      <w:pPr>
        <w:pStyle w:val="Liststycke"/>
        <w:numPr>
          <w:ilvl w:val="0"/>
          <w:numId w:val="1"/>
        </w:numPr>
        <w:tabs>
          <w:tab w:val="left" w:pos="316"/>
        </w:tabs>
        <w:jc w:val="both"/>
        <w:rPr>
          <w:sz w:val="19"/>
        </w:rPr>
      </w:pPr>
      <w:r>
        <w:rPr>
          <w:sz w:val="19"/>
        </w:rPr>
        <w:t>un número de certificado no reutilizable que identifique de manera exclusiva el sistema</w:t>
      </w:r>
    </w:p>
    <w:p w14:paraId="7F1E9855" w14:textId="77777777" w:rsidR="00A2416E" w:rsidRDefault="00534832">
      <w:pPr>
        <w:pStyle w:val="Brdtext"/>
        <w:spacing w:before="12"/>
        <w:ind w:left="315"/>
        <w:jc w:val="both"/>
      </w:pPr>
      <w:r>
        <w:t>y las reducciones de gases de efecto invernadero reclamadas;</w:t>
      </w:r>
    </w:p>
    <w:p w14:paraId="53C6F41B" w14:textId="77777777" w:rsidR="00A2416E" w:rsidRDefault="00534832">
      <w:pPr>
        <w:pStyle w:val="Liststycke"/>
        <w:numPr>
          <w:ilvl w:val="0"/>
          <w:numId w:val="1"/>
        </w:numPr>
        <w:tabs>
          <w:tab w:val="left" w:pos="316"/>
        </w:tabs>
        <w:jc w:val="both"/>
        <w:rPr>
          <w:sz w:val="19"/>
        </w:rPr>
      </w:pPr>
      <w:r>
        <w:rPr>
          <w:sz w:val="19"/>
        </w:rPr>
        <w:t>un número no reutilizable que identifique de forma exclusiva el método de cálculo</w:t>
      </w:r>
    </w:p>
    <w:p w14:paraId="128F9A23" w14:textId="77777777" w:rsidR="00A2416E" w:rsidRDefault="00534832">
      <w:pPr>
        <w:pStyle w:val="Brdtext"/>
        <w:spacing w:before="11"/>
        <w:ind w:left="315"/>
        <w:jc w:val="both"/>
      </w:pPr>
      <w:r>
        <w:t>y el sistema asociado.</w:t>
      </w:r>
    </w:p>
    <w:p w14:paraId="2A18DA87" w14:textId="77777777" w:rsidR="00A2416E" w:rsidRDefault="00A2416E">
      <w:pPr>
        <w:pStyle w:val="Brdtext"/>
        <w:rPr>
          <w:sz w:val="29"/>
        </w:rPr>
      </w:pPr>
    </w:p>
    <w:p w14:paraId="16842E29" w14:textId="77777777" w:rsidR="00A2416E" w:rsidRDefault="00534832">
      <w:pPr>
        <w:pStyle w:val="Rubrik2"/>
        <w:spacing w:before="0"/>
      </w:pPr>
      <w:r>
        <w:t>Disposiciones de entrada en vigor</w:t>
      </w:r>
    </w:p>
    <w:p w14:paraId="67EB8873" w14:textId="77777777" w:rsidR="00A2416E" w:rsidRDefault="00534832" w:rsidP="00581179">
      <w:pPr>
        <w:pStyle w:val="Brdtext"/>
        <w:spacing w:before="140" w:line="461" w:lineRule="auto"/>
        <w:ind w:left="119" w:right="1077"/>
      </w:pPr>
      <w:r>
        <w:t>El presente Reglamento entrará en vigor el 24 de febrero de 2021. En nombre de la Agencia de Energía de Suecia,</w:t>
      </w:r>
    </w:p>
    <w:p w14:paraId="51DE8E66" w14:textId="77777777" w:rsidR="00A2416E" w:rsidRDefault="00A2416E">
      <w:pPr>
        <w:spacing w:line="460" w:lineRule="auto"/>
        <w:sectPr w:rsidR="00A2416E">
          <w:pgSz w:w="9360" w:h="13720"/>
          <w:pgMar w:top="940" w:right="580" w:bottom="280" w:left="620" w:header="720" w:footer="720" w:gutter="0"/>
          <w:cols w:num="2" w:space="720" w:equalWidth="0">
            <w:col w:w="997" w:space="703"/>
            <w:col w:w="6460"/>
          </w:cols>
        </w:sectPr>
      </w:pPr>
    </w:p>
    <w:p w14:paraId="6209CB19" w14:textId="77777777" w:rsidR="00A2416E" w:rsidRDefault="00A2416E">
      <w:pPr>
        <w:pStyle w:val="Brdtext"/>
        <w:spacing w:before="8"/>
        <w:rPr>
          <w:sz w:val="28"/>
        </w:rPr>
      </w:pPr>
    </w:p>
    <w:p w14:paraId="2CC17B70" w14:textId="77777777" w:rsidR="00A2416E" w:rsidRDefault="00534832">
      <w:pPr>
        <w:pStyle w:val="Brdtext"/>
        <w:spacing w:before="92"/>
        <w:ind w:left="1817"/>
      </w:pPr>
      <w:r>
        <w:t>Robert Andrén</w:t>
      </w:r>
    </w:p>
    <w:p w14:paraId="15A94D1C" w14:textId="77777777" w:rsidR="00A2416E" w:rsidRDefault="00A2416E">
      <w:pPr>
        <w:pStyle w:val="Brdtext"/>
        <w:spacing w:before="6"/>
        <w:rPr>
          <w:sz w:val="17"/>
        </w:rPr>
      </w:pPr>
    </w:p>
    <w:p w14:paraId="1AFFE159" w14:textId="77777777" w:rsidR="00A2416E" w:rsidRDefault="00534832">
      <w:pPr>
        <w:pStyle w:val="Brdtext"/>
        <w:ind w:left="3265" w:right="2636"/>
        <w:jc w:val="center"/>
      </w:pPr>
      <w:r>
        <w:t>Ulf Jonson</w:t>
      </w:r>
    </w:p>
    <w:p w14:paraId="6574D352" w14:textId="77777777" w:rsidR="00A2416E" w:rsidRDefault="00A2416E">
      <w:pPr>
        <w:pStyle w:val="Brdtext"/>
        <w:rPr>
          <w:sz w:val="20"/>
        </w:rPr>
      </w:pPr>
    </w:p>
    <w:p w14:paraId="4DDBCF46" w14:textId="77777777" w:rsidR="00A2416E" w:rsidRDefault="00A2416E">
      <w:pPr>
        <w:pStyle w:val="Brdtext"/>
        <w:rPr>
          <w:sz w:val="20"/>
        </w:rPr>
      </w:pPr>
    </w:p>
    <w:p w14:paraId="04AB8C25" w14:textId="77777777" w:rsidR="00A2416E" w:rsidRDefault="00A2416E">
      <w:pPr>
        <w:pStyle w:val="Brdtext"/>
        <w:rPr>
          <w:sz w:val="20"/>
        </w:rPr>
      </w:pPr>
    </w:p>
    <w:p w14:paraId="442C2781" w14:textId="77777777" w:rsidR="00A2416E" w:rsidRDefault="00A2416E">
      <w:pPr>
        <w:pStyle w:val="Brdtext"/>
        <w:rPr>
          <w:sz w:val="20"/>
        </w:rPr>
      </w:pPr>
    </w:p>
    <w:p w14:paraId="6CF46550" w14:textId="77777777" w:rsidR="00A2416E" w:rsidRDefault="00A2416E">
      <w:pPr>
        <w:pStyle w:val="Brdtext"/>
        <w:rPr>
          <w:sz w:val="20"/>
        </w:rPr>
      </w:pPr>
    </w:p>
    <w:p w14:paraId="21A9696E" w14:textId="77777777" w:rsidR="00CD6DDB" w:rsidRDefault="00CD6DDB" w:rsidP="00581179">
      <w:pPr>
        <w:pStyle w:val="Rubrik3"/>
        <w:spacing w:before="112"/>
        <w:ind w:left="0"/>
      </w:pPr>
    </w:p>
    <w:p w14:paraId="247B32BC" w14:textId="7B3E63F2" w:rsidR="00A2416E" w:rsidRDefault="00534832" w:rsidP="00581179">
      <w:pPr>
        <w:pStyle w:val="Rubrik3"/>
        <w:spacing w:before="112"/>
        <w:ind w:left="0"/>
      </w:pPr>
      <w:r>
        <w:t>4</w:t>
      </w:r>
    </w:p>
    <w:p w14:paraId="25560BB9" w14:textId="77777777" w:rsidR="00A2416E" w:rsidRDefault="00A2416E">
      <w:pPr>
        <w:sectPr w:rsidR="00A2416E">
          <w:type w:val="continuous"/>
          <w:pgSz w:w="9360" w:h="13720"/>
          <w:pgMar w:top="900" w:right="580" w:bottom="280" w:left="620" w:header="720" w:footer="720" w:gutter="0"/>
          <w:cols w:space="720"/>
        </w:sectPr>
      </w:pPr>
    </w:p>
    <w:p w14:paraId="710C7F3D" w14:textId="77777777" w:rsidR="00A2416E" w:rsidRDefault="00534832">
      <w:pPr>
        <w:spacing w:before="71"/>
        <w:ind w:right="38"/>
        <w:jc w:val="right"/>
        <w:rPr>
          <w:b/>
          <w:sz w:val="26"/>
        </w:rPr>
      </w:pPr>
      <w:bookmarkStart w:id="5" w:name="Bilaga_1"/>
      <w:bookmarkStart w:id="6" w:name="Genomsnittliga_normalvärden_för_växthusg"/>
      <w:bookmarkEnd w:id="5"/>
      <w:bookmarkEnd w:id="6"/>
      <w:r>
        <w:rPr>
          <w:b/>
          <w:sz w:val="26"/>
        </w:rPr>
        <w:lastRenderedPageBreak/>
        <w:t>Anexo 1</w:t>
      </w:r>
    </w:p>
    <w:p w14:paraId="077A287F" w14:textId="77777777" w:rsidR="00A2416E" w:rsidRDefault="00A2416E">
      <w:pPr>
        <w:pStyle w:val="Brdtext"/>
        <w:spacing w:before="6"/>
        <w:rPr>
          <w:b/>
          <w:sz w:val="28"/>
        </w:rPr>
      </w:pPr>
    </w:p>
    <w:p w14:paraId="747041D0" w14:textId="77777777" w:rsidR="00A2416E" w:rsidRDefault="00534832">
      <w:pPr>
        <w:spacing w:line="228" w:lineRule="auto"/>
        <w:ind w:left="400"/>
        <w:rPr>
          <w:b/>
        </w:rPr>
      </w:pPr>
      <w:r>
        <w:rPr>
          <w:b/>
        </w:rPr>
        <w:t>Intensidad normal de los gases de efecto invernadero del ciclo de vida medio para los componentes de combustibles fósiles</w:t>
      </w:r>
    </w:p>
    <w:p w14:paraId="1199B2D0" w14:textId="77777777" w:rsidR="00A2416E" w:rsidRDefault="00534832">
      <w:pPr>
        <w:pStyle w:val="Rubrik2"/>
        <w:spacing w:before="93" w:line="228" w:lineRule="auto"/>
        <w:ind w:left="400" w:right="134"/>
      </w:pPr>
      <w:r>
        <w:br w:type="column"/>
      </w:r>
      <w:r>
        <w:t>STEMFS 2021:2</w:t>
      </w:r>
    </w:p>
    <w:p w14:paraId="506D9EEB" w14:textId="77777777" w:rsidR="00A2416E" w:rsidRDefault="00A2416E">
      <w:pPr>
        <w:spacing w:line="228" w:lineRule="auto"/>
        <w:sectPr w:rsidR="00A2416E">
          <w:pgSz w:w="9360" w:h="13720"/>
          <w:pgMar w:top="920" w:right="580" w:bottom="280" w:left="620" w:header="720" w:footer="720" w:gutter="0"/>
          <w:cols w:num="2" w:space="720" w:equalWidth="0">
            <w:col w:w="6337" w:space="428"/>
            <w:col w:w="1395"/>
          </w:cols>
        </w:sectPr>
      </w:pPr>
    </w:p>
    <w:p w14:paraId="1876708B" w14:textId="77777777" w:rsidR="00A2416E" w:rsidRDefault="00A2416E">
      <w:pPr>
        <w:pStyle w:val="Brdtext"/>
        <w:spacing w:before="9"/>
        <w:rPr>
          <w:b/>
          <w:sz w:val="17"/>
        </w:rPr>
      </w:pPr>
    </w:p>
    <w:tbl>
      <w:tblPr>
        <w:tblStyle w:val="TableNormal1"/>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1803"/>
        <w:gridCol w:w="1361"/>
        <w:gridCol w:w="1574"/>
      </w:tblGrid>
      <w:tr w:rsidR="00A2416E" w14:paraId="13BAB754" w14:textId="77777777">
        <w:trPr>
          <w:trHeight w:val="895"/>
        </w:trPr>
        <w:tc>
          <w:tcPr>
            <w:tcW w:w="2230" w:type="dxa"/>
            <w:tcBorders>
              <w:left w:val="nil"/>
              <w:right w:val="single" w:sz="6" w:space="0" w:color="000000"/>
            </w:tcBorders>
          </w:tcPr>
          <w:p w14:paraId="12C84FCD" w14:textId="77777777" w:rsidR="00A2416E" w:rsidRDefault="00534832">
            <w:pPr>
              <w:pStyle w:val="TableParagraph"/>
              <w:spacing w:before="67"/>
              <w:ind w:left="7"/>
              <w:rPr>
                <w:b/>
                <w:sz w:val="16"/>
              </w:rPr>
            </w:pPr>
            <w:r>
              <w:rPr>
                <w:b/>
                <w:sz w:val="16"/>
              </w:rPr>
              <w:t>Fuente y proceso de la materia prima</w:t>
            </w:r>
          </w:p>
        </w:tc>
        <w:tc>
          <w:tcPr>
            <w:tcW w:w="1803" w:type="dxa"/>
            <w:tcBorders>
              <w:left w:val="single" w:sz="6" w:space="0" w:color="000000"/>
              <w:right w:val="single" w:sz="6" w:space="0" w:color="000000"/>
            </w:tcBorders>
          </w:tcPr>
          <w:p w14:paraId="29AA3401" w14:textId="77777777" w:rsidR="00A2416E" w:rsidRDefault="00534832">
            <w:pPr>
              <w:pStyle w:val="TableParagraph"/>
              <w:spacing w:before="67" w:line="247" w:lineRule="auto"/>
              <w:ind w:right="113"/>
              <w:rPr>
                <w:b/>
                <w:sz w:val="16"/>
              </w:rPr>
            </w:pPr>
            <w:r>
              <w:rPr>
                <w:b/>
                <w:sz w:val="16"/>
              </w:rPr>
              <w:t>Combustible comercializado</w:t>
            </w:r>
          </w:p>
        </w:tc>
        <w:tc>
          <w:tcPr>
            <w:tcW w:w="1361" w:type="dxa"/>
            <w:tcBorders>
              <w:left w:val="single" w:sz="6" w:space="0" w:color="000000"/>
              <w:right w:val="single" w:sz="6" w:space="0" w:color="000000"/>
            </w:tcBorders>
          </w:tcPr>
          <w:p w14:paraId="0199DD9D" w14:textId="77777777" w:rsidR="00A2416E" w:rsidRDefault="00534832">
            <w:pPr>
              <w:pStyle w:val="TableParagraph"/>
              <w:spacing w:before="67" w:line="247" w:lineRule="auto"/>
              <w:ind w:right="134"/>
              <w:rPr>
                <w:b/>
                <w:sz w:val="16"/>
              </w:rPr>
            </w:pPr>
            <w:r>
              <w:rPr>
                <w:b/>
                <w:sz w:val="16"/>
              </w:rPr>
              <w:t>Intensidad de gases de efecto invernadero del ciclo de vida (gCO</w:t>
            </w:r>
            <w:r>
              <w:rPr>
                <w:b/>
                <w:sz w:val="9"/>
              </w:rPr>
              <w:t>2</w:t>
            </w:r>
            <w:r>
              <w:rPr>
                <w:b/>
                <w:sz w:val="16"/>
              </w:rPr>
              <w:t>eq/MJ)</w:t>
            </w:r>
          </w:p>
        </w:tc>
        <w:tc>
          <w:tcPr>
            <w:tcW w:w="1574" w:type="dxa"/>
            <w:tcBorders>
              <w:left w:val="single" w:sz="6" w:space="0" w:color="000000"/>
              <w:right w:val="nil"/>
            </w:tcBorders>
          </w:tcPr>
          <w:p w14:paraId="06D77BF2" w14:textId="77777777" w:rsidR="00A2416E" w:rsidRDefault="00534832" w:rsidP="00CD6DDB">
            <w:pPr>
              <w:pStyle w:val="TableParagraph"/>
              <w:spacing w:before="67" w:line="247" w:lineRule="auto"/>
              <w:ind w:left="113"/>
              <w:rPr>
                <w:b/>
                <w:sz w:val="16"/>
              </w:rPr>
            </w:pPr>
            <w:r>
              <w:rPr>
                <w:b/>
                <w:sz w:val="16"/>
              </w:rPr>
              <w:t>Intensidad de gases de efecto invernadero del ciclo de vida ponderado (gCO</w:t>
            </w:r>
            <w:r>
              <w:rPr>
                <w:b/>
                <w:sz w:val="9"/>
              </w:rPr>
              <w:t>2</w:t>
            </w:r>
            <w:r>
              <w:rPr>
                <w:b/>
                <w:sz w:val="16"/>
              </w:rPr>
              <w:t>eq/MJ)</w:t>
            </w:r>
          </w:p>
        </w:tc>
      </w:tr>
      <w:tr w:rsidR="00A2416E" w14:paraId="3873426A" w14:textId="77777777">
        <w:trPr>
          <w:trHeight w:val="280"/>
        </w:trPr>
        <w:tc>
          <w:tcPr>
            <w:tcW w:w="2230" w:type="dxa"/>
            <w:tcBorders>
              <w:left w:val="nil"/>
              <w:bottom w:val="single" w:sz="6" w:space="0" w:color="000000"/>
              <w:right w:val="single" w:sz="6" w:space="0" w:color="000000"/>
            </w:tcBorders>
          </w:tcPr>
          <w:p w14:paraId="7D17CA45" w14:textId="77777777" w:rsidR="00A2416E" w:rsidRDefault="00534832">
            <w:pPr>
              <w:pStyle w:val="TableParagraph"/>
              <w:spacing w:before="44"/>
              <w:ind w:left="7"/>
              <w:rPr>
                <w:sz w:val="10"/>
              </w:rPr>
            </w:pPr>
            <w:r>
              <w:rPr>
                <w:sz w:val="17"/>
              </w:rPr>
              <w:t>Petróleo crudo convencional</w:t>
            </w:r>
            <w:r>
              <w:rPr>
                <w:sz w:val="10"/>
              </w:rPr>
              <w:t>1</w:t>
            </w:r>
          </w:p>
        </w:tc>
        <w:tc>
          <w:tcPr>
            <w:tcW w:w="1803" w:type="dxa"/>
            <w:vMerge w:val="restart"/>
            <w:tcBorders>
              <w:left w:val="single" w:sz="6" w:space="0" w:color="000000"/>
              <w:bottom w:val="single" w:sz="6" w:space="0" w:color="000000"/>
              <w:right w:val="single" w:sz="6" w:space="0" w:color="000000"/>
            </w:tcBorders>
          </w:tcPr>
          <w:p w14:paraId="14B7BCD5" w14:textId="77777777" w:rsidR="00A2416E" w:rsidRDefault="00534832">
            <w:pPr>
              <w:pStyle w:val="TableParagraph"/>
              <w:spacing w:before="44"/>
              <w:rPr>
                <w:sz w:val="17"/>
              </w:rPr>
            </w:pPr>
            <w:r>
              <w:rPr>
                <w:sz w:val="17"/>
              </w:rPr>
              <w:t>Gasolina</w:t>
            </w:r>
          </w:p>
        </w:tc>
        <w:tc>
          <w:tcPr>
            <w:tcW w:w="1361" w:type="dxa"/>
            <w:tcBorders>
              <w:left w:val="single" w:sz="6" w:space="0" w:color="000000"/>
              <w:bottom w:val="single" w:sz="6" w:space="0" w:color="000000"/>
              <w:right w:val="single" w:sz="6" w:space="0" w:color="000000"/>
            </w:tcBorders>
          </w:tcPr>
          <w:p w14:paraId="67D3E7B5" w14:textId="77777777" w:rsidR="00A2416E" w:rsidRDefault="00534832">
            <w:pPr>
              <w:pStyle w:val="TableParagraph"/>
              <w:spacing w:before="44"/>
              <w:rPr>
                <w:sz w:val="17"/>
              </w:rPr>
            </w:pPr>
            <w:r>
              <w:rPr>
                <w:sz w:val="17"/>
              </w:rPr>
              <w:t>93.2</w:t>
            </w:r>
          </w:p>
        </w:tc>
        <w:tc>
          <w:tcPr>
            <w:tcW w:w="1574" w:type="dxa"/>
            <w:tcBorders>
              <w:left w:val="single" w:sz="6" w:space="0" w:color="000000"/>
              <w:bottom w:val="single" w:sz="6" w:space="0" w:color="000000"/>
              <w:right w:val="nil"/>
            </w:tcBorders>
          </w:tcPr>
          <w:p w14:paraId="476CEAA9" w14:textId="77777777" w:rsidR="00A2416E" w:rsidRDefault="00534832">
            <w:pPr>
              <w:pStyle w:val="TableParagraph"/>
              <w:spacing w:before="44"/>
              <w:rPr>
                <w:sz w:val="17"/>
              </w:rPr>
            </w:pPr>
            <w:r>
              <w:rPr>
                <w:sz w:val="17"/>
              </w:rPr>
              <w:t>93.3</w:t>
            </w:r>
          </w:p>
        </w:tc>
      </w:tr>
      <w:tr w:rsidR="00A2416E" w14:paraId="73B9A7AC" w14:textId="77777777">
        <w:trPr>
          <w:trHeight w:val="272"/>
        </w:trPr>
        <w:tc>
          <w:tcPr>
            <w:tcW w:w="2230" w:type="dxa"/>
            <w:tcBorders>
              <w:top w:val="single" w:sz="6" w:space="0" w:color="000000"/>
              <w:left w:val="nil"/>
              <w:bottom w:val="single" w:sz="6" w:space="0" w:color="000000"/>
              <w:right w:val="single" w:sz="6" w:space="0" w:color="000000"/>
            </w:tcBorders>
          </w:tcPr>
          <w:p w14:paraId="38C7C15D" w14:textId="77777777" w:rsidR="00A2416E" w:rsidRDefault="00534832">
            <w:pPr>
              <w:pStyle w:val="TableParagraph"/>
              <w:ind w:left="7"/>
              <w:rPr>
                <w:sz w:val="17"/>
              </w:rPr>
            </w:pPr>
            <w:r>
              <w:rPr>
                <w:sz w:val="17"/>
              </w:rPr>
              <w:t>Gas natural licuado</w:t>
            </w:r>
          </w:p>
        </w:tc>
        <w:tc>
          <w:tcPr>
            <w:tcW w:w="1803" w:type="dxa"/>
            <w:vMerge/>
            <w:tcBorders>
              <w:top w:val="nil"/>
              <w:left w:val="single" w:sz="6" w:space="0" w:color="000000"/>
              <w:bottom w:val="single" w:sz="6" w:space="0" w:color="000000"/>
              <w:right w:val="single" w:sz="6" w:space="0" w:color="000000"/>
            </w:tcBorders>
          </w:tcPr>
          <w:p w14:paraId="6251D2FE"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78183BAD"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54B66125" w14:textId="77777777" w:rsidR="00A2416E" w:rsidRDefault="00A2416E">
            <w:pPr>
              <w:pStyle w:val="TableParagraph"/>
              <w:spacing w:before="0"/>
              <w:ind w:left="0"/>
              <w:rPr>
                <w:sz w:val="16"/>
              </w:rPr>
            </w:pPr>
          </w:p>
        </w:tc>
      </w:tr>
      <w:tr w:rsidR="00A2416E" w14:paraId="4BAF8354" w14:textId="77777777">
        <w:trPr>
          <w:trHeight w:val="462"/>
        </w:trPr>
        <w:tc>
          <w:tcPr>
            <w:tcW w:w="2230" w:type="dxa"/>
            <w:tcBorders>
              <w:top w:val="single" w:sz="6" w:space="0" w:color="000000"/>
              <w:left w:val="nil"/>
              <w:bottom w:val="single" w:sz="6" w:space="0" w:color="000000"/>
              <w:right w:val="single" w:sz="6" w:space="0" w:color="000000"/>
            </w:tcBorders>
          </w:tcPr>
          <w:p w14:paraId="34626C85" w14:textId="77777777" w:rsidR="00A2416E" w:rsidRDefault="00534832">
            <w:pPr>
              <w:pStyle w:val="TableParagraph"/>
              <w:spacing w:before="41" w:line="232" w:lineRule="auto"/>
              <w:ind w:left="7" w:right="396"/>
              <w:rPr>
                <w:sz w:val="17"/>
              </w:rPr>
            </w:pPr>
            <w:r>
              <w:rPr>
                <w:sz w:val="17"/>
              </w:rPr>
              <w:t>Aceite sintético obtenido a partir de carbón</w:t>
            </w:r>
          </w:p>
        </w:tc>
        <w:tc>
          <w:tcPr>
            <w:tcW w:w="1803" w:type="dxa"/>
            <w:vMerge/>
            <w:tcBorders>
              <w:top w:val="nil"/>
              <w:left w:val="single" w:sz="6" w:space="0" w:color="000000"/>
              <w:bottom w:val="single" w:sz="6" w:space="0" w:color="000000"/>
              <w:right w:val="single" w:sz="6" w:space="0" w:color="000000"/>
            </w:tcBorders>
          </w:tcPr>
          <w:p w14:paraId="3EE9E7AF"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2E69F559"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31F629D4" w14:textId="77777777" w:rsidR="00A2416E" w:rsidRDefault="00A2416E">
            <w:pPr>
              <w:pStyle w:val="TableParagraph"/>
              <w:spacing w:before="0"/>
              <w:ind w:left="0"/>
              <w:rPr>
                <w:sz w:val="16"/>
              </w:rPr>
            </w:pPr>
          </w:p>
        </w:tc>
      </w:tr>
      <w:tr w:rsidR="00A2416E" w14:paraId="12BEE648" w14:textId="77777777">
        <w:trPr>
          <w:trHeight w:val="272"/>
        </w:trPr>
        <w:tc>
          <w:tcPr>
            <w:tcW w:w="2230" w:type="dxa"/>
            <w:tcBorders>
              <w:top w:val="single" w:sz="6" w:space="0" w:color="000000"/>
              <w:left w:val="nil"/>
              <w:bottom w:val="single" w:sz="6" w:space="0" w:color="000000"/>
              <w:right w:val="single" w:sz="6" w:space="0" w:color="000000"/>
            </w:tcBorders>
          </w:tcPr>
          <w:p w14:paraId="274E1B23" w14:textId="77777777" w:rsidR="00A2416E" w:rsidRDefault="00534832">
            <w:pPr>
              <w:pStyle w:val="TableParagraph"/>
              <w:ind w:left="7"/>
              <w:rPr>
                <w:sz w:val="10"/>
              </w:rPr>
            </w:pPr>
            <w:r>
              <w:rPr>
                <w:sz w:val="17"/>
              </w:rPr>
              <w:t>Betún natural</w:t>
            </w:r>
            <w:r>
              <w:rPr>
                <w:sz w:val="10"/>
              </w:rPr>
              <w:t>2</w:t>
            </w:r>
          </w:p>
        </w:tc>
        <w:tc>
          <w:tcPr>
            <w:tcW w:w="1803" w:type="dxa"/>
            <w:vMerge/>
            <w:tcBorders>
              <w:top w:val="nil"/>
              <w:left w:val="single" w:sz="6" w:space="0" w:color="000000"/>
              <w:bottom w:val="single" w:sz="6" w:space="0" w:color="000000"/>
              <w:right w:val="single" w:sz="6" w:space="0" w:color="000000"/>
            </w:tcBorders>
          </w:tcPr>
          <w:p w14:paraId="7A73DD9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A08B575" w14:textId="77777777" w:rsidR="00A2416E" w:rsidRDefault="00534832">
            <w:pPr>
              <w:pStyle w:val="TableParagraph"/>
              <w:rPr>
                <w:sz w:val="17"/>
              </w:rPr>
            </w:pPr>
            <w:r>
              <w:rPr>
                <w:sz w:val="17"/>
              </w:rPr>
              <w:t>107</w:t>
            </w:r>
          </w:p>
        </w:tc>
        <w:tc>
          <w:tcPr>
            <w:tcW w:w="1574" w:type="dxa"/>
            <w:tcBorders>
              <w:top w:val="single" w:sz="6" w:space="0" w:color="000000"/>
              <w:left w:val="single" w:sz="6" w:space="0" w:color="000000"/>
              <w:bottom w:val="single" w:sz="6" w:space="0" w:color="000000"/>
              <w:right w:val="nil"/>
            </w:tcBorders>
          </w:tcPr>
          <w:p w14:paraId="4B262DFB" w14:textId="77777777" w:rsidR="00A2416E" w:rsidRDefault="00A2416E">
            <w:pPr>
              <w:pStyle w:val="TableParagraph"/>
              <w:spacing w:before="0"/>
              <w:ind w:left="0"/>
              <w:rPr>
                <w:sz w:val="16"/>
              </w:rPr>
            </w:pPr>
          </w:p>
        </w:tc>
      </w:tr>
      <w:tr w:rsidR="00A2416E" w14:paraId="417E91C6" w14:textId="77777777">
        <w:trPr>
          <w:trHeight w:val="272"/>
        </w:trPr>
        <w:tc>
          <w:tcPr>
            <w:tcW w:w="2230" w:type="dxa"/>
            <w:tcBorders>
              <w:top w:val="single" w:sz="6" w:space="0" w:color="000000"/>
              <w:left w:val="nil"/>
              <w:bottom w:val="single" w:sz="6" w:space="0" w:color="000000"/>
              <w:right w:val="single" w:sz="6" w:space="0" w:color="000000"/>
            </w:tcBorders>
          </w:tcPr>
          <w:p w14:paraId="40950171" w14:textId="77777777" w:rsidR="00A2416E" w:rsidRDefault="00534832">
            <w:pPr>
              <w:pStyle w:val="TableParagraph"/>
              <w:ind w:left="7"/>
              <w:rPr>
                <w:sz w:val="10"/>
              </w:rPr>
            </w:pPr>
            <w:r>
              <w:rPr>
                <w:sz w:val="17"/>
              </w:rPr>
              <w:t>Esquisto petrolífero</w:t>
            </w:r>
            <w:r>
              <w:rPr>
                <w:sz w:val="10"/>
              </w:rPr>
              <w:t>3</w:t>
            </w:r>
          </w:p>
        </w:tc>
        <w:tc>
          <w:tcPr>
            <w:tcW w:w="1803" w:type="dxa"/>
            <w:vMerge/>
            <w:tcBorders>
              <w:top w:val="nil"/>
              <w:left w:val="single" w:sz="6" w:space="0" w:color="000000"/>
              <w:bottom w:val="single" w:sz="6" w:space="0" w:color="000000"/>
              <w:right w:val="single" w:sz="6" w:space="0" w:color="000000"/>
            </w:tcBorders>
          </w:tcPr>
          <w:p w14:paraId="2F6529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56E707F0" w14:textId="77777777" w:rsidR="00A2416E" w:rsidRDefault="00534832">
            <w:pPr>
              <w:pStyle w:val="TableParagraph"/>
              <w:rPr>
                <w:sz w:val="17"/>
              </w:rPr>
            </w:pPr>
            <w:r>
              <w:rPr>
                <w:sz w:val="17"/>
              </w:rPr>
              <w:t>131.3</w:t>
            </w:r>
          </w:p>
        </w:tc>
        <w:tc>
          <w:tcPr>
            <w:tcW w:w="1574" w:type="dxa"/>
            <w:tcBorders>
              <w:top w:val="single" w:sz="6" w:space="0" w:color="000000"/>
              <w:left w:val="single" w:sz="6" w:space="0" w:color="000000"/>
              <w:bottom w:val="single" w:sz="6" w:space="0" w:color="000000"/>
              <w:right w:val="nil"/>
            </w:tcBorders>
          </w:tcPr>
          <w:p w14:paraId="78286A2F" w14:textId="77777777" w:rsidR="00A2416E" w:rsidRDefault="00A2416E">
            <w:pPr>
              <w:pStyle w:val="TableParagraph"/>
              <w:spacing w:before="0"/>
              <w:ind w:left="0"/>
              <w:rPr>
                <w:sz w:val="16"/>
              </w:rPr>
            </w:pPr>
          </w:p>
        </w:tc>
      </w:tr>
      <w:tr w:rsidR="00A2416E" w14:paraId="7B1F697D" w14:textId="77777777">
        <w:trPr>
          <w:trHeight w:val="272"/>
        </w:trPr>
        <w:tc>
          <w:tcPr>
            <w:tcW w:w="2230" w:type="dxa"/>
            <w:tcBorders>
              <w:top w:val="single" w:sz="6" w:space="0" w:color="000000"/>
              <w:left w:val="nil"/>
              <w:bottom w:val="single" w:sz="6" w:space="0" w:color="000000"/>
              <w:right w:val="single" w:sz="6" w:space="0" w:color="000000"/>
            </w:tcBorders>
          </w:tcPr>
          <w:p w14:paraId="2FAB26C8" w14:textId="77777777" w:rsidR="00A2416E" w:rsidRDefault="00534832">
            <w:pPr>
              <w:pStyle w:val="TableParagraph"/>
              <w:ind w:left="7"/>
              <w:rPr>
                <w:sz w:val="10"/>
              </w:rPr>
            </w:pPr>
            <w:r>
              <w:rPr>
                <w:sz w:val="17"/>
              </w:rPr>
              <w:t>Petróleo crudo convencional</w:t>
            </w:r>
            <w:r>
              <w:rPr>
                <w:sz w:val="10"/>
              </w:rPr>
              <w:t>1</w:t>
            </w:r>
          </w:p>
        </w:tc>
        <w:tc>
          <w:tcPr>
            <w:tcW w:w="1803" w:type="dxa"/>
            <w:vMerge w:val="restart"/>
            <w:tcBorders>
              <w:top w:val="single" w:sz="6" w:space="0" w:color="000000"/>
              <w:left w:val="single" w:sz="6" w:space="0" w:color="000000"/>
              <w:bottom w:val="single" w:sz="6" w:space="0" w:color="000000"/>
              <w:right w:val="single" w:sz="6" w:space="0" w:color="000000"/>
            </w:tcBorders>
          </w:tcPr>
          <w:p w14:paraId="53FB95EE" w14:textId="77777777" w:rsidR="00A2416E" w:rsidRDefault="00534832">
            <w:pPr>
              <w:pStyle w:val="TableParagraph"/>
              <w:rPr>
                <w:sz w:val="17"/>
              </w:rPr>
            </w:pPr>
            <w:r>
              <w:rPr>
                <w:sz w:val="17"/>
              </w:rPr>
              <w:t>Diésel o gasóleo</w:t>
            </w:r>
          </w:p>
        </w:tc>
        <w:tc>
          <w:tcPr>
            <w:tcW w:w="1361" w:type="dxa"/>
            <w:tcBorders>
              <w:top w:val="single" w:sz="6" w:space="0" w:color="000000"/>
              <w:left w:val="single" w:sz="6" w:space="0" w:color="000000"/>
              <w:bottom w:val="single" w:sz="6" w:space="0" w:color="000000"/>
              <w:right w:val="single" w:sz="6" w:space="0" w:color="000000"/>
            </w:tcBorders>
          </w:tcPr>
          <w:p w14:paraId="75B3AC0A" w14:textId="77777777" w:rsidR="00A2416E" w:rsidRDefault="00534832">
            <w:pPr>
              <w:pStyle w:val="TableParagraph"/>
              <w:rPr>
                <w:sz w:val="17"/>
              </w:rPr>
            </w:pPr>
            <w:r>
              <w:rPr>
                <w:sz w:val="17"/>
              </w:rPr>
              <w:t>95</w:t>
            </w:r>
          </w:p>
        </w:tc>
        <w:tc>
          <w:tcPr>
            <w:tcW w:w="1574" w:type="dxa"/>
            <w:tcBorders>
              <w:top w:val="single" w:sz="6" w:space="0" w:color="000000"/>
              <w:left w:val="single" w:sz="6" w:space="0" w:color="000000"/>
              <w:bottom w:val="single" w:sz="6" w:space="0" w:color="000000"/>
              <w:right w:val="nil"/>
            </w:tcBorders>
          </w:tcPr>
          <w:p w14:paraId="08DC0102" w14:textId="77777777" w:rsidR="00A2416E" w:rsidRDefault="00534832">
            <w:pPr>
              <w:pStyle w:val="TableParagraph"/>
              <w:rPr>
                <w:sz w:val="17"/>
              </w:rPr>
            </w:pPr>
            <w:r>
              <w:rPr>
                <w:sz w:val="17"/>
              </w:rPr>
              <w:t>95.1</w:t>
            </w:r>
          </w:p>
        </w:tc>
      </w:tr>
      <w:tr w:rsidR="00A2416E" w14:paraId="45915519" w14:textId="77777777">
        <w:trPr>
          <w:trHeight w:val="272"/>
        </w:trPr>
        <w:tc>
          <w:tcPr>
            <w:tcW w:w="2230" w:type="dxa"/>
            <w:tcBorders>
              <w:top w:val="single" w:sz="6" w:space="0" w:color="000000"/>
              <w:left w:val="nil"/>
              <w:bottom w:val="single" w:sz="6" w:space="0" w:color="000000"/>
              <w:right w:val="single" w:sz="6" w:space="0" w:color="000000"/>
            </w:tcBorders>
          </w:tcPr>
          <w:p w14:paraId="7F1ED059" w14:textId="77777777" w:rsidR="00A2416E" w:rsidRDefault="00534832">
            <w:pPr>
              <w:pStyle w:val="TableParagraph"/>
              <w:ind w:left="7"/>
              <w:rPr>
                <w:sz w:val="17"/>
              </w:rPr>
            </w:pPr>
            <w:r>
              <w:rPr>
                <w:sz w:val="17"/>
              </w:rPr>
              <w:t>Gas natural licuado</w:t>
            </w:r>
          </w:p>
        </w:tc>
        <w:tc>
          <w:tcPr>
            <w:tcW w:w="1803" w:type="dxa"/>
            <w:vMerge/>
            <w:tcBorders>
              <w:top w:val="nil"/>
              <w:left w:val="single" w:sz="6" w:space="0" w:color="000000"/>
              <w:bottom w:val="single" w:sz="6" w:space="0" w:color="000000"/>
              <w:right w:val="single" w:sz="6" w:space="0" w:color="000000"/>
            </w:tcBorders>
          </w:tcPr>
          <w:p w14:paraId="5C2BF4EB"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1D5FCEB0"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7F88FE51" w14:textId="77777777" w:rsidR="00A2416E" w:rsidRDefault="00A2416E">
            <w:pPr>
              <w:pStyle w:val="TableParagraph"/>
              <w:spacing w:before="0"/>
              <w:ind w:left="0"/>
              <w:rPr>
                <w:sz w:val="16"/>
              </w:rPr>
            </w:pPr>
          </w:p>
        </w:tc>
      </w:tr>
      <w:tr w:rsidR="00A2416E" w14:paraId="4428360F" w14:textId="77777777">
        <w:trPr>
          <w:trHeight w:val="462"/>
        </w:trPr>
        <w:tc>
          <w:tcPr>
            <w:tcW w:w="2230" w:type="dxa"/>
            <w:tcBorders>
              <w:top w:val="single" w:sz="6" w:space="0" w:color="000000"/>
              <w:left w:val="nil"/>
              <w:bottom w:val="single" w:sz="6" w:space="0" w:color="000000"/>
              <w:right w:val="single" w:sz="6" w:space="0" w:color="000000"/>
            </w:tcBorders>
          </w:tcPr>
          <w:p w14:paraId="737A7AAB" w14:textId="77777777" w:rsidR="00A2416E" w:rsidRDefault="00534832">
            <w:pPr>
              <w:pStyle w:val="TableParagraph"/>
              <w:spacing w:before="41" w:line="232" w:lineRule="auto"/>
              <w:ind w:left="7" w:right="396"/>
              <w:rPr>
                <w:sz w:val="17"/>
              </w:rPr>
            </w:pPr>
            <w:r>
              <w:rPr>
                <w:sz w:val="17"/>
              </w:rPr>
              <w:t>Aceite sintético obtenido a partir de carbón</w:t>
            </w:r>
          </w:p>
        </w:tc>
        <w:tc>
          <w:tcPr>
            <w:tcW w:w="1803" w:type="dxa"/>
            <w:vMerge/>
            <w:tcBorders>
              <w:top w:val="nil"/>
              <w:left w:val="single" w:sz="6" w:space="0" w:color="000000"/>
              <w:bottom w:val="single" w:sz="6" w:space="0" w:color="000000"/>
              <w:right w:val="single" w:sz="6" w:space="0" w:color="000000"/>
            </w:tcBorders>
          </w:tcPr>
          <w:p w14:paraId="3CC0E3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ED5A614"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75511F3C" w14:textId="77777777" w:rsidR="00A2416E" w:rsidRDefault="00A2416E">
            <w:pPr>
              <w:pStyle w:val="TableParagraph"/>
              <w:spacing w:before="0"/>
              <w:ind w:left="0"/>
              <w:rPr>
                <w:sz w:val="16"/>
              </w:rPr>
            </w:pPr>
          </w:p>
        </w:tc>
      </w:tr>
      <w:tr w:rsidR="00A2416E" w14:paraId="70AAD108" w14:textId="77777777">
        <w:trPr>
          <w:trHeight w:val="272"/>
        </w:trPr>
        <w:tc>
          <w:tcPr>
            <w:tcW w:w="2230" w:type="dxa"/>
            <w:tcBorders>
              <w:top w:val="single" w:sz="6" w:space="0" w:color="000000"/>
              <w:left w:val="nil"/>
              <w:bottom w:val="single" w:sz="6" w:space="0" w:color="000000"/>
              <w:right w:val="single" w:sz="6" w:space="0" w:color="000000"/>
            </w:tcBorders>
          </w:tcPr>
          <w:p w14:paraId="55AEC1A1" w14:textId="77777777" w:rsidR="00A2416E" w:rsidRDefault="00534832">
            <w:pPr>
              <w:pStyle w:val="TableParagraph"/>
              <w:ind w:left="7"/>
              <w:rPr>
                <w:sz w:val="10"/>
              </w:rPr>
            </w:pPr>
            <w:r>
              <w:rPr>
                <w:sz w:val="17"/>
              </w:rPr>
              <w:t>Betún natural</w:t>
            </w:r>
            <w:r>
              <w:rPr>
                <w:sz w:val="10"/>
              </w:rPr>
              <w:t>2</w:t>
            </w:r>
          </w:p>
        </w:tc>
        <w:tc>
          <w:tcPr>
            <w:tcW w:w="1803" w:type="dxa"/>
            <w:vMerge/>
            <w:tcBorders>
              <w:top w:val="nil"/>
              <w:left w:val="single" w:sz="6" w:space="0" w:color="000000"/>
              <w:bottom w:val="single" w:sz="6" w:space="0" w:color="000000"/>
              <w:right w:val="single" w:sz="6" w:space="0" w:color="000000"/>
            </w:tcBorders>
          </w:tcPr>
          <w:p w14:paraId="2C4711B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3D7F2CE3" w14:textId="77777777" w:rsidR="00A2416E" w:rsidRDefault="00534832">
            <w:pPr>
              <w:pStyle w:val="TableParagraph"/>
              <w:rPr>
                <w:sz w:val="17"/>
              </w:rPr>
            </w:pPr>
            <w:r>
              <w:rPr>
                <w:sz w:val="17"/>
              </w:rPr>
              <w:t>108,5</w:t>
            </w:r>
          </w:p>
        </w:tc>
        <w:tc>
          <w:tcPr>
            <w:tcW w:w="1574" w:type="dxa"/>
            <w:tcBorders>
              <w:top w:val="single" w:sz="6" w:space="0" w:color="000000"/>
              <w:left w:val="single" w:sz="6" w:space="0" w:color="000000"/>
              <w:bottom w:val="single" w:sz="6" w:space="0" w:color="000000"/>
              <w:right w:val="nil"/>
            </w:tcBorders>
          </w:tcPr>
          <w:p w14:paraId="52E9DC07" w14:textId="77777777" w:rsidR="00A2416E" w:rsidRDefault="00A2416E">
            <w:pPr>
              <w:pStyle w:val="TableParagraph"/>
              <w:spacing w:before="0"/>
              <w:ind w:left="0"/>
              <w:rPr>
                <w:sz w:val="16"/>
              </w:rPr>
            </w:pPr>
          </w:p>
        </w:tc>
      </w:tr>
      <w:tr w:rsidR="00A2416E" w14:paraId="676BFD6A" w14:textId="77777777">
        <w:trPr>
          <w:trHeight w:val="272"/>
        </w:trPr>
        <w:tc>
          <w:tcPr>
            <w:tcW w:w="2230" w:type="dxa"/>
            <w:tcBorders>
              <w:top w:val="single" w:sz="6" w:space="0" w:color="000000"/>
              <w:left w:val="nil"/>
              <w:bottom w:val="single" w:sz="6" w:space="0" w:color="000000"/>
              <w:right w:val="single" w:sz="6" w:space="0" w:color="000000"/>
            </w:tcBorders>
          </w:tcPr>
          <w:p w14:paraId="64220D99" w14:textId="77777777" w:rsidR="00A2416E" w:rsidRDefault="00534832">
            <w:pPr>
              <w:pStyle w:val="TableParagraph"/>
              <w:ind w:left="7"/>
              <w:rPr>
                <w:sz w:val="10"/>
              </w:rPr>
            </w:pPr>
            <w:r>
              <w:rPr>
                <w:sz w:val="17"/>
              </w:rPr>
              <w:t>Esquisto petrolífero</w:t>
            </w:r>
            <w:r>
              <w:rPr>
                <w:sz w:val="10"/>
              </w:rPr>
              <w:t>3</w:t>
            </w:r>
          </w:p>
        </w:tc>
        <w:tc>
          <w:tcPr>
            <w:tcW w:w="1803" w:type="dxa"/>
            <w:vMerge/>
            <w:tcBorders>
              <w:top w:val="nil"/>
              <w:left w:val="single" w:sz="6" w:space="0" w:color="000000"/>
              <w:bottom w:val="single" w:sz="6" w:space="0" w:color="000000"/>
              <w:right w:val="single" w:sz="6" w:space="0" w:color="000000"/>
            </w:tcBorders>
          </w:tcPr>
          <w:p w14:paraId="0970A3CA"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14843DD" w14:textId="77777777" w:rsidR="00A2416E" w:rsidRDefault="00534832">
            <w:pPr>
              <w:pStyle w:val="TableParagraph"/>
              <w:rPr>
                <w:sz w:val="17"/>
              </w:rPr>
            </w:pPr>
            <w:r>
              <w:rPr>
                <w:sz w:val="17"/>
              </w:rPr>
              <w:t>133.7</w:t>
            </w:r>
          </w:p>
        </w:tc>
        <w:tc>
          <w:tcPr>
            <w:tcW w:w="1574" w:type="dxa"/>
            <w:tcBorders>
              <w:top w:val="single" w:sz="6" w:space="0" w:color="000000"/>
              <w:left w:val="single" w:sz="6" w:space="0" w:color="000000"/>
              <w:bottom w:val="single" w:sz="6" w:space="0" w:color="000000"/>
              <w:right w:val="nil"/>
            </w:tcBorders>
          </w:tcPr>
          <w:p w14:paraId="0C605A11" w14:textId="77777777" w:rsidR="00A2416E" w:rsidRDefault="00A2416E">
            <w:pPr>
              <w:pStyle w:val="TableParagraph"/>
              <w:spacing w:before="0"/>
              <w:ind w:left="0"/>
              <w:rPr>
                <w:sz w:val="16"/>
              </w:rPr>
            </w:pPr>
          </w:p>
        </w:tc>
      </w:tr>
      <w:tr w:rsidR="00A2416E" w14:paraId="6EFD38CA" w14:textId="77777777">
        <w:trPr>
          <w:trHeight w:val="462"/>
        </w:trPr>
        <w:tc>
          <w:tcPr>
            <w:tcW w:w="2230" w:type="dxa"/>
            <w:tcBorders>
              <w:top w:val="single" w:sz="6" w:space="0" w:color="000000"/>
              <w:left w:val="nil"/>
              <w:bottom w:val="single" w:sz="6" w:space="0" w:color="000000"/>
              <w:right w:val="single" w:sz="6" w:space="0" w:color="000000"/>
            </w:tcBorders>
          </w:tcPr>
          <w:p w14:paraId="34E5B109" w14:textId="77777777" w:rsidR="00A2416E" w:rsidRDefault="00534832">
            <w:pPr>
              <w:pStyle w:val="TableParagraph"/>
              <w:ind w:left="7"/>
              <w:rPr>
                <w:sz w:val="17"/>
              </w:rPr>
            </w:pPr>
            <w:r>
              <w:rPr>
                <w:sz w:val="17"/>
              </w:rPr>
              <w:t>Todas las fuentes fósiles</w:t>
            </w:r>
          </w:p>
        </w:tc>
        <w:tc>
          <w:tcPr>
            <w:tcW w:w="1803" w:type="dxa"/>
            <w:tcBorders>
              <w:top w:val="single" w:sz="6" w:space="0" w:color="000000"/>
              <w:left w:val="single" w:sz="6" w:space="0" w:color="000000"/>
              <w:bottom w:val="single" w:sz="6" w:space="0" w:color="000000"/>
              <w:right w:val="single" w:sz="6" w:space="0" w:color="000000"/>
            </w:tcBorders>
          </w:tcPr>
          <w:p w14:paraId="6AC584D4" w14:textId="77777777" w:rsidR="00A2416E" w:rsidRDefault="00534832" w:rsidP="00CD6DDB">
            <w:pPr>
              <w:pStyle w:val="TableParagraph"/>
              <w:spacing w:before="41" w:line="233" w:lineRule="auto"/>
              <w:ind w:left="113"/>
              <w:rPr>
                <w:sz w:val="17"/>
              </w:rPr>
            </w:pPr>
            <w:r>
              <w:rPr>
                <w:sz w:val="17"/>
              </w:rPr>
              <w:t>GLP en un motor de encendido por chispa</w:t>
            </w:r>
          </w:p>
        </w:tc>
        <w:tc>
          <w:tcPr>
            <w:tcW w:w="1361" w:type="dxa"/>
            <w:tcBorders>
              <w:top w:val="single" w:sz="6" w:space="0" w:color="000000"/>
              <w:left w:val="single" w:sz="6" w:space="0" w:color="000000"/>
              <w:bottom w:val="single" w:sz="6" w:space="0" w:color="000000"/>
              <w:right w:val="single" w:sz="6" w:space="0" w:color="000000"/>
            </w:tcBorders>
          </w:tcPr>
          <w:p w14:paraId="36859BB2" w14:textId="77777777" w:rsidR="00A2416E" w:rsidRDefault="00534832">
            <w:pPr>
              <w:pStyle w:val="TableParagraph"/>
              <w:rPr>
                <w:sz w:val="17"/>
              </w:rPr>
            </w:pPr>
            <w:r>
              <w:rPr>
                <w:sz w:val="17"/>
              </w:rPr>
              <w:t>73.6</w:t>
            </w:r>
          </w:p>
        </w:tc>
        <w:tc>
          <w:tcPr>
            <w:tcW w:w="1574" w:type="dxa"/>
            <w:tcBorders>
              <w:top w:val="single" w:sz="6" w:space="0" w:color="000000"/>
              <w:left w:val="single" w:sz="6" w:space="0" w:color="000000"/>
              <w:bottom w:val="single" w:sz="6" w:space="0" w:color="000000"/>
              <w:right w:val="nil"/>
            </w:tcBorders>
          </w:tcPr>
          <w:p w14:paraId="3EB2DE0C" w14:textId="77777777" w:rsidR="00A2416E" w:rsidRDefault="00534832">
            <w:pPr>
              <w:pStyle w:val="TableParagraph"/>
              <w:rPr>
                <w:sz w:val="17"/>
              </w:rPr>
            </w:pPr>
            <w:r>
              <w:rPr>
                <w:sz w:val="17"/>
              </w:rPr>
              <w:t>73.6</w:t>
            </w:r>
          </w:p>
        </w:tc>
      </w:tr>
      <w:tr w:rsidR="00A2416E" w14:paraId="235193A8" w14:textId="77777777">
        <w:trPr>
          <w:trHeight w:val="652"/>
        </w:trPr>
        <w:tc>
          <w:tcPr>
            <w:tcW w:w="2230" w:type="dxa"/>
            <w:tcBorders>
              <w:top w:val="single" w:sz="6" w:space="0" w:color="000000"/>
              <w:left w:val="nil"/>
              <w:bottom w:val="single" w:sz="6" w:space="0" w:color="000000"/>
              <w:right w:val="single" w:sz="6" w:space="0" w:color="000000"/>
            </w:tcBorders>
          </w:tcPr>
          <w:p w14:paraId="037893B3" w14:textId="77777777" w:rsidR="00A2416E" w:rsidRDefault="00534832">
            <w:pPr>
              <w:pStyle w:val="TableParagraph"/>
              <w:ind w:left="7"/>
              <w:rPr>
                <w:sz w:val="17"/>
              </w:rPr>
            </w:pPr>
            <w:r>
              <w:rPr>
                <w:sz w:val="17"/>
              </w:rPr>
              <w:t>Gas natural, combinación energética de la UE</w:t>
            </w:r>
          </w:p>
        </w:tc>
        <w:tc>
          <w:tcPr>
            <w:tcW w:w="1803" w:type="dxa"/>
            <w:tcBorders>
              <w:top w:val="single" w:sz="6" w:space="0" w:color="000000"/>
              <w:left w:val="single" w:sz="6" w:space="0" w:color="000000"/>
              <w:bottom w:val="single" w:sz="6" w:space="0" w:color="000000"/>
              <w:right w:val="single" w:sz="6" w:space="0" w:color="000000"/>
            </w:tcBorders>
          </w:tcPr>
          <w:p w14:paraId="43C6E64F" w14:textId="77777777" w:rsidR="00A2416E" w:rsidRDefault="00534832" w:rsidP="00CD6DDB">
            <w:pPr>
              <w:pStyle w:val="TableParagraph"/>
              <w:spacing w:before="41" w:line="233" w:lineRule="auto"/>
              <w:ind w:left="113"/>
              <w:rPr>
                <w:sz w:val="17"/>
              </w:rPr>
            </w:pPr>
            <w:r>
              <w:rPr>
                <w:sz w:val="17"/>
              </w:rPr>
              <w:t>Gas natural comprimido en un motor de encendido por chispa</w:t>
            </w:r>
          </w:p>
        </w:tc>
        <w:tc>
          <w:tcPr>
            <w:tcW w:w="1361" w:type="dxa"/>
            <w:tcBorders>
              <w:top w:val="single" w:sz="6" w:space="0" w:color="000000"/>
              <w:left w:val="single" w:sz="6" w:space="0" w:color="000000"/>
              <w:bottom w:val="single" w:sz="6" w:space="0" w:color="000000"/>
              <w:right w:val="single" w:sz="6" w:space="0" w:color="000000"/>
            </w:tcBorders>
          </w:tcPr>
          <w:p w14:paraId="407E4BF3" w14:textId="77777777" w:rsidR="00A2416E" w:rsidRDefault="00534832">
            <w:pPr>
              <w:pStyle w:val="TableParagraph"/>
              <w:rPr>
                <w:sz w:val="17"/>
              </w:rPr>
            </w:pPr>
            <w:r>
              <w:rPr>
                <w:sz w:val="17"/>
              </w:rPr>
              <w:t>69.3</w:t>
            </w:r>
          </w:p>
        </w:tc>
        <w:tc>
          <w:tcPr>
            <w:tcW w:w="1574" w:type="dxa"/>
            <w:tcBorders>
              <w:top w:val="single" w:sz="6" w:space="0" w:color="000000"/>
              <w:left w:val="single" w:sz="6" w:space="0" w:color="000000"/>
              <w:bottom w:val="single" w:sz="6" w:space="0" w:color="000000"/>
              <w:right w:val="nil"/>
            </w:tcBorders>
          </w:tcPr>
          <w:p w14:paraId="48348EA8" w14:textId="77777777" w:rsidR="00A2416E" w:rsidRDefault="00534832">
            <w:pPr>
              <w:pStyle w:val="TableParagraph"/>
              <w:rPr>
                <w:sz w:val="17"/>
              </w:rPr>
            </w:pPr>
            <w:r>
              <w:rPr>
                <w:sz w:val="17"/>
              </w:rPr>
              <w:t>69.3</w:t>
            </w:r>
          </w:p>
        </w:tc>
      </w:tr>
      <w:tr w:rsidR="00A2416E" w14:paraId="748DCDF5" w14:textId="77777777">
        <w:trPr>
          <w:trHeight w:val="652"/>
        </w:trPr>
        <w:tc>
          <w:tcPr>
            <w:tcW w:w="2230" w:type="dxa"/>
            <w:tcBorders>
              <w:top w:val="single" w:sz="6" w:space="0" w:color="000000"/>
              <w:left w:val="nil"/>
              <w:bottom w:val="single" w:sz="6" w:space="0" w:color="000000"/>
              <w:right w:val="single" w:sz="6" w:space="0" w:color="000000"/>
            </w:tcBorders>
          </w:tcPr>
          <w:p w14:paraId="0B9A5898" w14:textId="77777777" w:rsidR="00A2416E" w:rsidRDefault="00534832">
            <w:pPr>
              <w:pStyle w:val="TableParagraph"/>
              <w:ind w:left="7"/>
              <w:rPr>
                <w:sz w:val="17"/>
              </w:rPr>
            </w:pPr>
            <w:r>
              <w:rPr>
                <w:sz w:val="17"/>
              </w:rPr>
              <w:t>Gas natural, combinación energética de la UE</w:t>
            </w:r>
          </w:p>
        </w:tc>
        <w:tc>
          <w:tcPr>
            <w:tcW w:w="1803" w:type="dxa"/>
            <w:tcBorders>
              <w:top w:val="single" w:sz="6" w:space="0" w:color="000000"/>
              <w:left w:val="single" w:sz="6" w:space="0" w:color="000000"/>
              <w:bottom w:val="single" w:sz="6" w:space="0" w:color="000000"/>
              <w:right w:val="single" w:sz="6" w:space="0" w:color="000000"/>
            </w:tcBorders>
          </w:tcPr>
          <w:p w14:paraId="3B457A6A" w14:textId="77777777" w:rsidR="00A2416E" w:rsidRDefault="00534832" w:rsidP="00CD6DDB">
            <w:pPr>
              <w:pStyle w:val="TableParagraph"/>
              <w:spacing w:before="41" w:line="233" w:lineRule="auto"/>
              <w:ind w:left="113"/>
              <w:rPr>
                <w:sz w:val="17"/>
              </w:rPr>
            </w:pPr>
            <w:r>
              <w:rPr>
                <w:sz w:val="17"/>
              </w:rPr>
              <w:t>Gas natural licuado (GNL) en un motor de encendido por chispa</w:t>
            </w:r>
          </w:p>
        </w:tc>
        <w:tc>
          <w:tcPr>
            <w:tcW w:w="1361" w:type="dxa"/>
            <w:tcBorders>
              <w:top w:val="single" w:sz="6" w:space="0" w:color="000000"/>
              <w:left w:val="single" w:sz="6" w:space="0" w:color="000000"/>
              <w:bottom w:val="single" w:sz="6" w:space="0" w:color="000000"/>
              <w:right w:val="single" w:sz="6" w:space="0" w:color="000000"/>
            </w:tcBorders>
          </w:tcPr>
          <w:p w14:paraId="7375FB03" w14:textId="77777777" w:rsidR="00A2416E" w:rsidRDefault="00534832">
            <w:pPr>
              <w:pStyle w:val="TableParagraph"/>
              <w:rPr>
                <w:sz w:val="17"/>
              </w:rPr>
            </w:pPr>
            <w:r>
              <w:rPr>
                <w:sz w:val="17"/>
              </w:rPr>
              <w:t>74.5</w:t>
            </w:r>
          </w:p>
        </w:tc>
        <w:tc>
          <w:tcPr>
            <w:tcW w:w="1574" w:type="dxa"/>
            <w:tcBorders>
              <w:top w:val="single" w:sz="6" w:space="0" w:color="000000"/>
              <w:left w:val="single" w:sz="6" w:space="0" w:color="000000"/>
              <w:bottom w:val="single" w:sz="6" w:space="0" w:color="000000"/>
              <w:right w:val="nil"/>
            </w:tcBorders>
          </w:tcPr>
          <w:p w14:paraId="102B9F60" w14:textId="77777777" w:rsidR="00A2416E" w:rsidRDefault="00534832">
            <w:pPr>
              <w:pStyle w:val="TableParagraph"/>
              <w:rPr>
                <w:sz w:val="17"/>
              </w:rPr>
            </w:pPr>
            <w:r>
              <w:rPr>
                <w:sz w:val="17"/>
              </w:rPr>
              <w:t>74.5</w:t>
            </w:r>
          </w:p>
        </w:tc>
      </w:tr>
      <w:tr w:rsidR="00A2416E" w14:paraId="6E44497F" w14:textId="77777777">
        <w:trPr>
          <w:trHeight w:val="652"/>
        </w:trPr>
        <w:tc>
          <w:tcPr>
            <w:tcW w:w="2230" w:type="dxa"/>
            <w:tcBorders>
              <w:top w:val="single" w:sz="6" w:space="0" w:color="000000"/>
              <w:left w:val="nil"/>
              <w:bottom w:val="single" w:sz="6" w:space="0" w:color="000000"/>
              <w:right w:val="single" w:sz="6" w:space="0" w:color="000000"/>
            </w:tcBorders>
          </w:tcPr>
          <w:p w14:paraId="7F233705" w14:textId="77777777" w:rsidR="00A2416E" w:rsidRDefault="00534832" w:rsidP="00CD6DDB">
            <w:pPr>
              <w:pStyle w:val="TableParagraph"/>
              <w:spacing w:before="41" w:line="232" w:lineRule="auto"/>
              <w:ind w:left="6"/>
              <w:rPr>
                <w:sz w:val="17"/>
              </w:rPr>
            </w:pPr>
            <w:r>
              <w:rPr>
                <w:sz w:val="17"/>
              </w:rPr>
              <w:t>Reacción de Sabatier de hidrógeno por electrólisis con</w:t>
            </w:r>
          </w:p>
          <w:p w14:paraId="0502C750" w14:textId="77777777" w:rsidR="00A2416E" w:rsidRDefault="00534832" w:rsidP="00CD6DDB">
            <w:pPr>
              <w:pStyle w:val="TableParagraph"/>
              <w:spacing w:before="0" w:line="191" w:lineRule="exact"/>
              <w:ind w:left="6"/>
              <w:rPr>
                <w:sz w:val="17"/>
              </w:rPr>
            </w:pPr>
            <w:r>
              <w:rPr>
                <w:sz w:val="17"/>
              </w:rPr>
              <w:t>energías renovables no biológicas</w:t>
            </w:r>
          </w:p>
        </w:tc>
        <w:tc>
          <w:tcPr>
            <w:tcW w:w="1803" w:type="dxa"/>
            <w:tcBorders>
              <w:top w:val="single" w:sz="6" w:space="0" w:color="000000"/>
              <w:left w:val="single" w:sz="6" w:space="0" w:color="000000"/>
              <w:bottom w:val="single" w:sz="6" w:space="0" w:color="000000"/>
              <w:right w:val="single" w:sz="6" w:space="0" w:color="000000"/>
            </w:tcBorders>
          </w:tcPr>
          <w:p w14:paraId="56A4EB5A" w14:textId="77777777" w:rsidR="00A2416E" w:rsidRDefault="00534832">
            <w:pPr>
              <w:pStyle w:val="TableParagraph"/>
              <w:spacing w:before="41" w:line="232" w:lineRule="auto"/>
              <w:ind w:right="164"/>
              <w:rPr>
                <w:sz w:val="17"/>
              </w:rPr>
            </w:pPr>
            <w:r>
              <w:rPr>
                <w:sz w:val="17"/>
              </w:rPr>
              <w:t>Metano sintético comprimido en un motor de encendido por chispa</w:t>
            </w:r>
          </w:p>
        </w:tc>
        <w:tc>
          <w:tcPr>
            <w:tcW w:w="1361" w:type="dxa"/>
            <w:tcBorders>
              <w:top w:val="single" w:sz="6" w:space="0" w:color="000000"/>
              <w:left w:val="single" w:sz="6" w:space="0" w:color="000000"/>
              <w:bottom w:val="single" w:sz="6" w:space="0" w:color="000000"/>
              <w:right w:val="single" w:sz="6" w:space="0" w:color="000000"/>
            </w:tcBorders>
          </w:tcPr>
          <w:p w14:paraId="0FE5CABE" w14:textId="77777777" w:rsidR="00A2416E" w:rsidRDefault="00534832">
            <w:pPr>
              <w:pStyle w:val="TableParagraph"/>
              <w:rPr>
                <w:sz w:val="17"/>
              </w:rPr>
            </w:pPr>
            <w:r>
              <w:rPr>
                <w:sz w:val="17"/>
              </w:rPr>
              <w:t>3.3</w:t>
            </w:r>
          </w:p>
        </w:tc>
        <w:tc>
          <w:tcPr>
            <w:tcW w:w="1574" w:type="dxa"/>
            <w:tcBorders>
              <w:top w:val="single" w:sz="6" w:space="0" w:color="000000"/>
              <w:left w:val="single" w:sz="6" w:space="0" w:color="000000"/>
              <w:bottom w:val="single" w:sz="6" w:space="0" w:color="000000"/>
              <w:right w:val="nil"/>
            </w:tcBorders>
          </w:tcPr>
          <w:p w14:paraId="7D9F95D7" w14:textId="77777777" w:rsidR="00A2416E" w:rsidRDefault="00534832">
            <w:pPr>
              <w:pStyle w:val="TableParagraph"/>
              <w:rPr>
                <w:sz w:val="17"/>
              </w:rPr>
            </w:pPr>
            <w:r>
              <w:rPr>
                <w:sz w:val="17"/>
              </w:rPr>
              <w:t>3.3</w:t>
            </w:r>
          </w:p>
        </w:tc>
      </w:tr>
      <w:tr w:rsidR="00A2416E" w14:paraId="3DEDD229" w14:textId="77777777">
        <w:trPr>
          <w:trHeight w:val="462"/>
        </w:trPr>
        <w:tc>
          <w:tcPr>
            <w:tcW w:w="2230" w:type="dxa"/>
            <w:tcBorders>
              <w:top w:val="single" w:sz="6" w:space="0" w:color="000000"/>
              <w:left w:val="nil"/>
              <w:bottom w:val="single" w:sz="6" w:space="0" w:color="000000"/>
              <w:right w:val="single" w:sz="6" w:space="0" w:color="000000"/>
            </w:tcBorders>
          </w:tcPr>
          <w:p w14:paraId="4CC478A9" w14:textId="77777777" w:rsidR="00A2416E" w:rsidRDefault="00534832" w:rsidP="00CD6DDB">
            <w:pPr>
              <w:pStyle w:val="TableParagraph"/>
              <w:spacing w:before="41" w:line="233" w:lineRule="auto"/>
              <w:ind w:left="6"/>
              <w:rPr>
                <w:sz w:val="17"/>
              </w:rPr>
            </w:pPr>
            <w:r>
              <w:rPr>
                <w:sz w:val="17"/>
              </w:rPr>
              <w:t>Gas natural a través del reformado de vapor</w:t>
            </w:r>
          </w:p>
        </w:tc>
        <w:tc>
          <w:tcPr>
            <w:tcW w:w="1803" w:type="dxa"/>
            <w:tcBorders>
              <w:top w:val="single" w:sz="6" w:space="0" w:color="000000"/>
              <w:left w:val="single" w:sz="6" w:space="0" w:color="000000"/>
              <w:bottom w:val="single" w:sz="6" w:space="0" w:color="000000"/>
              <w:right w:val="single" w:sz="6" w:space="0" w:color="000000"/>
            </w:tcBorders>
          </w:tcPr>
          <w:p w14:paraId="2855B80C" w14:textId="77777777" w:rsidR="00A2416E" w:rsidRDefault="00534832" w:rsidP="00CD6DDB">
            <w:pPr>
              <w:pStyle w:val="TableParagraph"/>
              <w:spacing w:before="41" w:line="233" w:lineRule="auto"/>
              <w:ind w:left="113"/>
              <w:rPr>
                <w:sz w:val="17"/>
              </w:rPr>
            </w:pPr>
            <w:r>
              <w:rPr>
                <w:sz w:val="17"/>
              </w:rPr>
              <w:t>Hidrógeno comprimido para pila de combustible</w:t>
            </w:r>
          </w:p>
        </w:tc>
        <w:tc>
          <w:tcPr>
            <w:tcW w:w="1361" w:type="dxa"/>
            <w:tcBorders>
              <w:top w:val="single" w:sz="6" w:space="0" w:color="000000"/>
              <w:left w:val="single" w:sz="6" w:space="0" w:color="000000"/>
              <w:bottom w:val="single" w:sz="6" w:space="0" w:color="000000"/>
              <w:right w:val="single" w:sz="6" w:space="0" w:color="000000"/>
            </w:tcBorders>
          </w:tcPr>
          <w:p w14:paraId="7B82773A" w14:textId="77777777" w:rsidR="00A2416E" w:rsidRDefault="00534832">
            <w:pPr>
              <w:pStyle w:val="TableParagraph"/>
              <w:rPr>
                <w:sz w:val="17"/>
              </w:rPr>
            </w:pPr>
            <w:r>
              <w:rPr>
                <w:sz w:val="17"/>
              </w:rPr>
              <w:t>104,3</w:t>
            </w:r>
          </w:p>
        </w:tc>
        <w:tc>
          <w:tcPr>
            <w:tcW w:w="1574" w:type="dxa"/>
            <w:tcBorders>
              <w:top w:val="single" w:sz="6" w:space="0" w:color="000000"/>
              <w:left w:val="single" w:sz="6" w:space="0" w:color="000000"/>
              <w:bottom w:val="single" w:sz="6" w:space="0" w:color="000000"/>
              <w:right w:val="nil"/>
            </w:tcBorders>
          </w:tcPr>
          <w:p w14:paraId="5724E83A" w14:textId="77777777" w:rsidR="00A2416E" w:rsidRDefault="00534832">
            <w:pPr>
              <w:pStyle w:val="TableParagraph"/>
              <w:rPr>
                <w:sz w:val="17"/>
              </w:rPr>
            </w:pPr>
            <w:r>
              <w:rPr>
                <w:sz w:val="17"/>
              </w:rPr>
              <w:t>104,3</w:t>
            </w:r>
          </w:p>
        </w:tc>
      </w:tr>
      <w:tr w:rsidR="00A2416E" w14:paraId="08CAB5BA" w14:textId="77777777">
        <w:trPr>
          <w:trHeight w:val="462"/>
        </w:trPr>
        <w:tc>
          <w:tcPr>
            <w:tcW w:w="2230" w:type="dxa"/>
            <w:tcBorders>
              <w:top w:val="single" w:sz="6" w:space="0" w:color="000000"/>
              <w:left w:val="nil"/>
              <w:bottom w:val="single" w:sz="6" w:space="0" w:color="000000"/>
              <w:right w:val="single" w:sz="6" w:space="0" w:color="000000"/>
            </w:tcBorders>
          </w:tcPr>
          <w:p w14:paraId="67A4479C" w14:textId="77777777" w:rsidR="00A2416E" w:rsidRDefault="00534832" w:rsidP="00CD6DDB">
            <w:pPr>
              <w:pStyle w:val="TableParagraph"/>
              <w:spacing w:before="41" w:line="233" w:lineRule="auto"/>
              <w:ind w:left="6"/>
              <w:rPr>
                <w:sz w:val="17"/>
              </w:rPr>
            </w:pPr>
            <w:r>
              <w:rPr>
                <w:sz w:val="17"/>
              </w:rPr>
              <w:t>Electrólisis totalmente alimentada por energía no biológica renovable</w:t>
            </w:r>
          </w:p>
        </w:tc>
        <w:tc>
          <w:tcPr>
            <w:tcW w:w="1803" w:type="dxa"/>
            <w:tcBorders>
              <w:top w:val="single" w:sz="6" w:space="0" w:color="000000"/>
              <w:left w:val="single" w:sz="6" w:space="0" w:color="000000"/>
              <w:bottom w:val="single" w:sz="6" w:space="0" w:color="000000"/>
              <w:right w:val="single" w:sz="6" w:space="0" w:color="000000"/>
            </w:tcBorders>
          </w:tcPr>
          <w:p w14:paraId="245C07E9" w14:textId="77777777" w:rsidR="00A2416E" w:rsidRDefault="00534832" w:rsidP="00CD6DDB">
            <w:pPr>
              <w:pStyle w:val="TableParagraph"/>
              <w:spacing w:before="41" w:line="233" w:lineRule="auto"/>
              <w:ind w:left="113"/>
              <w:rPr>
                <w:sz w:val="17"/>
              </w:rPr>
            </w:pPr>
            <w:r>
              <w:rPr>
                <w:sz w:val="17"/>
              </w:rPr>
              <w:t>Hidrógeno comprimido para pila de combustible</w:t>
            </w:r>
          </w:p>
        </w:tc>
        <w:tc>
          <w:tcPr>
            <w:tcW w:w="1361" w:type="dxa"/>
            <w:tcBorders>
              <w:top w:val="single" w:sz="6" w:space="0" w:color="000000"/>
              <w:left w:val="single" w:sz="6" w:space="0" w:color="000000"/>
              <w:bottom w:val="single" w:sz="6" w:space="0" w:color="000000"/>
              <w:right w:val="single" w:sz="6" w:space="0" w:color="000000"/>
            </w:tcBorders>
          </w:tcPr>
          <w:p w14:paraId="79A8401F" w14:textId="77777777" w:rsidR="00A2416E" w:rsidRDefault="00534832">
            <w:pPr>
              <w:pStyle w:val="TableParagraph"/>
              <w:rPr>
                <w:sz w:val="17"/>
              </w:rPr>
            </w:pPr>
            <w:r>
              <w:rPr>
                <w:sz w:val="17"/>
              </w:rPr>
              <w:t>9.1</w:t>
            </w:r>
          </w:p>
        </w:tc>
        <w:tc>
          <w:tcPr>
            <w:tcW w:w="1574" w:type="dxa"/>
            <w:tcBorders>
              <w:top w:val="single" w:sz="6" w:space="0" w:color="000000"/>
              <w:left w:val="single" w:sz="6" w:space="0" w:color="000000"/>
              <w:bottom w:val="single" w:sz="6" w:space="0" w:color="000000"/>
              <w:right w:val="nil"/>
            </w:tcBorders>
          </w:tcPr>
          <w:p w14:paraId="46B0D43B" w14:textId="77777777" w:rsidR="00A2416E" w:rsidRDefault="00534832">
            <w:pPr>
              <w:pStyle w:val="TableParagraph"/>
              <w:rPr>
                <w:sz w:val="17"/>
              </w:rPr>
            </w:pPr>
            <w:r>
              <w:rPr>
                <w:sz w:val="17"/>
              </w:rPr>
              <w:t>9.1</w:t>
            </w:r>
          </w:p>
        </w:tc>
      </w:tr>
      <w:tr w:rsidR="00A2416E" w14:paraId="0C1EC040" w14:textId="77777777">
        <w:trPr>
          <w:trHeight w:val="462"/>
        </w:trPr>
        <w:tc>
          <w:tcPr>
            <w:tcW w:w="2230" w:type="dxa"/>
            <w:tcBorders>
              <w:top w:val="single" w:sz="6" w:space="0" w:color="000000"/>
              <w:left w:val="nil"/>
              <w:bottom w:val="single" w:sz="6" w:space="0" w:color="000000"/>
              <w:right w:val="single" w:sz="6" w:space="0" w:color="000000"/>
            </w:tcBorders>
          </w:tcPr>
          <w:p w14:paraId="63AA4F53" w14:textId="77777777" w:rsidR="00A2416E" w:rsidRDefault="00534832">
            <w:pPr>
              <w:pStyle w:val="TableParagraph"/>
              <w:ind w:left="7"/>
              <w:rPr>
                <w:sz w:val="17"/>
              </w:rPr>
            </w:pPr>
            <w:r>
              <w:rPr>
                <w:sz w:val="17"/>
              </w:rPr>
              <w:t>Carbón</w:t>
            </w:r>
          </w:p>
        </w:tc>
        <w:tc>
          <w:tcPr>
            <w:tcW w:w="1803" w:type="dxa"/>
            <w:tcBorders>
              <w:top w:val="single" w:sz="6" w:space="0" w:color="000000"/>
              <w:left w:val="single" w:sz="6" w:space="0" w:color="000000"/>
              <w:bottom w:val="single" w:sz="6" w:space="0" w:color="000000"/>
              <w:right w:val="single" w:sz="6" w:space="0" w:color="000000"/>
            </w:tcBorders>
          </w:tcPr>
          <w:p w14:paraId="17B20A2E" w14:textId="77777777" w:rsidR="00A2416E" w:rsidRDefault="00534832" w:rsidP="00CD6DDB">
            <w:pPr>
              <w:pStyle w:val="TableParagraph"/>
              <w:spacing w:before="41" w:line="233" w:lineRule="auto"/>
              <w:ind w:left="113"/>
              <w:rPr>
                <w:sz w:val="17"/>
              </w:rPr>
            </w:pPr>
            <w:r>
              <w:rPr>
                <w:sz w:val="17"/>
              </w:rPr>
              <w:t>Hidrógeno comprimido para pila de combustible</w:t>
            </w:r>
          </w:p>
        </w:tc>
        <w:tc>
          <w:tcPr>
            <w:tcW w:w="1361" w:type="dxa"/>
            <w:tcBorders>
              <w:top w:val="single" w:sz="6" w:space="0" w:color="000000"/>
              <w:left w:val="single" w:sz="6" w:space="0" w:color="000000"/>
              <w:bottom w:val="single" w:sz="6" w:space="0" w:color="000000"/>
              <w:right w:val="single" w:sz="6" w:space="0" w:color="000000"/>
            </w:tcBorders>
          </w:tcPr>
          <w:p w14:paraId="243D5730" w14:textId="77777777" w:rsidR="00A2416E" w:rsidRDefault="00534832">
            <w:pPr>
              <w:pStyle w:val="TableParagraph"/>
              <w:rPr>
                <w:sz w:val="17"/>
              </w:rPr>
            </w:pPr>
            <w:r>
              <w:rPr>
                <w:sz w:val="17"/>
              </w:rPr>
              <w:t>234.4</w:t>
            </w:r>
          </w:p>
        </w:tc>
        <w:tc>
          <w:tcPr>
            <w:tcW w:w="1574" w:type="dxa"/>
            <w:tcBorders>
              <w:top w:val="single" w:sz="6" w:space="0" w:color="000000"/>
              <w:left w:val="single" w:sz="6" w:space="0" w:color="000000"/>
              <w:bottom w:val="single" w:sz="6" w:space="0" w:color="000000"/>
              <w:right w:val="nil"/>
            </w:tcBorders>
          </w:tcPr>
          <w:p w14:paraId="6046830F" w14:textId="77777777" w:rsidR="00A2416E" w:rsidRDefault="00534832">
            <w:pPr>
              <w:pStyle w:val="TableParagraph"/>
              <w:rPr>
                <w:sz w:val="17"/>
              </w:rPr>
            </w:pPr>
            <w:r>
              <w:rPr>
                <w:sz w:val="17"/>
              </w:rPr>
              <w:t>234.4</w:t>
            </w:r>
          </w:p>
        </w:tc>
      </w:tr>
      <w:tr w:rsidR="00A2416E" w14:paraId="789D2C95" w14:textId="77777777">
        <w:trPr>
          <w:trHeight w:val="462"/>
        </w:trPr>
        <w:tc>
          <w:tcPr>
            <w:tcW w:w="2230" w:type="dxa"/>
            <w:tcBorders>
              <w:top w:val="single" w:sz="6" w:space="0" w:color="000000"/>
              <w:left w:val="nil"/>
              <w:bottom w:val="single" w:sz="6" w:space="0" w:color="000000"/>
              <w:right w:val="single" w:sz="6" w:space="0" w:color="000000"/>
            </w:tcBorders>
          </w:tcPr>
          <w:p w14:paraId="12C21D03" w14:textId="77777777" w:rsidR="00A2416E" w:rsidRDefault="00534832">
            <w:pPr>
              <w:pStyle w:val="TableParagraph"/>
              <w:spacing w:before="41" w:line="232" w:lineRule="auto"/>
              <w:ind w:left="7" w:right="174"/>
              <w:rPr>
                <w:sz w:val="17"/>
              </w:rPr>
            </w:pPr>
            <w:r>
              <w:rPr>
                <w:sz w:val="17"/>
              </w:rPr>
              <w:t>Carbón con captura de carbono y almacenamiento de emisiones de proceso</w:t>
            </w:r>
          </w:p>
        </w:tc>
        <w:tc>
          <w:tcPr>
            <w:tcW w:w="1803" w:type="dxa"/>
            <w:tcBorders>
              <w:top w:val="single" w:sz="6" w:space="0" w:color="000000"/>
              <w:left w:val="single" w:sz="6" w:space="0" w:color="000000"/>
              <w:bottom w:val="single" w:sz="6" w:space="0" w:color="000000"/>
              <w:right w:val="single" w:sz="6" w:space="0" w:color="000000"/>
            </w:tcBorders>
          </w:tcPr>
          <w:p w14:paraId="3BDFB3B0" w14:textId="77777777" w:rsidR="00A2416E" w:rsidRDefault="00534832">
            <w:pPr>
              <w:pStyle w:val="TableParagraph"/>
              <w:spacing w:before="41" w:line="232" w:lineRule="auto"/>
              <w:ind w:right="135"/>
              <w:rPr>
                <w:sz w:val="17"/>
              </w:rPr>
            </w:pPr>
            <w:r>
              <w:rPr>
                <w:sz w:val="17"/>
              </w:rPr>
              <w:t>Hidrógeno comprimido para pila de combustible</w:t>
            </w:r>
          </w:p>
        </w:tc>
        <w:tc>
          <w:tcPr>
            <w:tcW w:w="1361" w:type="dxa"/>
            <w:tcBorders>
              <w:top w:val="single" w:sz="6" w:space="0" w:color="000000"/>
              <w:left w:val="single" w:sz="6" w:space="0" w:color="000000"/>
              <w:bottom w:val="single" w:sz="6" w:space="0" w:color="000000"/>
              <w:right w:val="single" w:sz="6" w:space="0" w:color="000000"/>
            </w:tcBorders>
          </w:tcPr>
          <w:p w14:paraId="0FFD383D" w14:textId="77777777" w:rsidR="00A2416E" w:rsidRDefault="00534832">
            <w:pPr>
              <w:pStyle w:val="TableParagraph"/>
              <w:rPr>
                <w:sz w:val="17"/>
              </w:rPr>
            </w:pPr>
            <w:r>
              <w:rPr>
                <w:sz w:val="17"/>
              </w:rPr>
              <w:t>52.7</w:t>
            </w:r>
          </w:p>
        </w:tc>
        <w:tc>
          <w:tcPr>
            <w:tcW w:w="1574" w:type="dxa"/>
            <w:tcBorders>
              <w:top w:val="single" w:sz="6" w:space="0" w:color="000000"/>
              <w:left w:val="single" w:sz="6" w:space="0" w:color="000000"/>
              <w:bottom w:val="single" w:sz="6" w:space="0" w:color="000000"/>
              <w:right w:val="nil"/>
            </w:tcBorders>
          </w:tcPr>
          <w:p w14:paraId="006332B6" w14:textId="77777777" w:rsidR="00A2416E" w:rsidRDefault="00534832">
            <w:pPr>
              <w:pStyle w:val="TableParagraph"/>
              <w:rPr>
                <w:sz w:val="17"/>
              </w:rPr>
            </w:pPr>
            <w:r>
              <w:rPr>
                <w:sz w:val="17"/>
              </w:rPr>
              <w:t>52.7</w:t>
            </w:r>
          </w:p>
        </w:tc>
      </w:tr>
      <w:tr w:rsidR="00A2416E" w14:paraId="1F750C81" w14:textId="77777777">
        <w:trPr>
          <w:trHeight w:val="462"/>
        </w:trPr>
        <w:tc>
          <w:tcPr>
            <w:tcW w:w="2230" w:type="dxa"/>
            <w:tcBorders>
              <w:top w:val="single" w:sz="6" w:space="0" w:color="000000"/>
              <w:left w:val="nil"/>
              <w:bottom w:val="single" w:sz="6" w:space="0" w:color="000000"/>
              <w:right w:val="single" w:sz="6" w:space="0" w:color="000000"/>
            </w:tcBorders>
          </w:tcPr>
          <w:p w14:paraId="40C44060" w14:textId="77777777" w:rsidR="00A2416E" w:rsidRDefault="00534832" w:rsidP="00CD6DDB">
            <w:pPr>
              <w:pStyle w:val="TableParagraph"/>
              <w:spacing w:before="41" w:line="233" w:lineRule="auto"/>
              <w:ind w:left="6"/>
              <w:rPr>
                <w:sz w:val="17"/>
              </w:rPr>
            </w:pPr>
            <w:r>
              <w:rPr>
                <w:sz w:val="17"/>
              </w:rPr>
              <w:t>Residuos plásticos extraídos de materias primas fósiles</w:t>
            </w:r>
          </w:p>
        </w:tc>
        <w:tc>
          <w:tcPr>
            <w:tcW w:w="1803" w:type="dxa"/>
            <w:tcBorders>
              <w:top w:val="single" w:sz="6" w:space="0" w:color="000000"/>
              <w:left w:val="single" w:sz="6" w:space="0" w:color="000000"/>
              <w:bottom w:val="single" w:sz="6" w:space="0" w:color="000000"/>
              <w:right w:val="single" w:sz="6" w:space="0" w:color="000000"/>
            </w:tcBorders>
          </w:tcPr>
          <w:p w14:paraId="43E6687C" w14:textId="77777777" w:rsidR="00A2416E" w:rsidRDefault="00534832" w:rsidP="00CD6DDB">
            <w:pPr>
              <w:pStyle w:val="TableParagraph"/>
              <w:spacing w:before="41" w:line="233" w:lineRule="auto"/>
              <w:ind w:left="113"/>
              <w:rPr>
                <w:sz w:val="17"/>
              </w:rPr>
            </w:pPr>
            <w:r>
              <w:rPr>
                <w:sz w:val="17"/>
              </w:rPr>
              <w:t>Gasolina, diésel o gasóleo</w:t>
            </w:r>
          </w:p>
        </w:tc>
        <w:tc>
          <w:tcPr>
            <w:tcW w:w="1361" w:type="dxa"/>
            <w:tcBorders>
              <w:top w:val="single" w:sz="6" w:space="0" w:color="000000"/>
              <w:left w:val="single" w:sz="6" w:space="0" w:color="000000"/>
              <w:bottom w:val="single" w:sz="6" w:space="0" w:color="000000"/>
              <w:right w:val="single" w:sz="6" w:space="0" w:color="000000"/>
            </w:tcBorders>
          </w:tcPr>
          <w:p w14:paraId="79432D11" w14:textId="77777777" w:rsidR="00A2416E" w:rsidRDefault="00534832">
            <w:pPr>
              <w:pStyle w:val="TableParagraph"/>
              <w:rPr>
                <w:sz w:val="17"/>
              </w:rPr>
            </w:pPr>
            <w:r>
              <w:rPr>
                <w:sz w:val="17"/>
              </w:rPr>
              <w:t>86</w:t>
            </w:r>
          </w:p>
        </w:tc>
        <w:tc>
          <w:tcPr>
            <w:tcW w:w="1574" w:type="dxa"/>
            <w:tcBorders>
              <w:top w:val="single" w:sz="6" w:space="0" w:color="000000"/>
              <w:left w:val="single" w:sz="6" w:space="0" w:color="000000"/>
              <w:bottom w:val="single" w:sz="6" w:space="0" w:color="000000"/>
              <w:right w:val="nil"/>
            </w:tcBorders>
          </w:tcPr>
          <w:p w14:paraId="2124E515" w14:textId="77777777" w:rsidR="00A2416E" w:rsidRDefault="00534832">
            <w:pPr>
              <w:pStyle w:val="TableParagraph"/>
              <w:rPr>
                <w:sz w:val="17"/>
              </w:rPr>
            </w:pPr>
            <w:r>
              <w:rPr>
                <w:sz w:val="17"/>
              </w:rPr>
              <w:t>86</w:t>
            </w:r>
          </w:p>
        </w:tc>
      </w:tr>
    </w:tbl>
    <w:p w14:paraId="686D7B57" w14:textId="77777777" w:rsidR="00A2416E" w:rsidRDefault="00534832">
      <w:pPr>
        <w:spacing w:before="126" w:line="232" w:lineRule="auto"/>
        <w:ind w:left="400" w:right="1902"/>
        <w:rPr>
          <w:sz w:val="17"/>
        </w:rPr>
      </w:pPr>
      <w:r>
        <w:rPr>
          <w:sz w:val="10"/>
        </w:rPr>
        <w:t xml:space="preserve">1 </w:t>
      </w:r>
      <w:r>
        <w:rPr>
          <w:sz w:val="17"/>
        </w:rPr>
        <w:t>El petróleo crudo convencional significa cualquier materia prima de refinería que presente una gravedad de API (American Petroleum Institute) superior a 10 grados si se encuentra en una formación de depósito en su lugar de origen, medida según el método de ensayo ASTM D287, y no clasificada en la definición del código NC 2714</w:t>
      </w:r>
    </w:p>
    <w:p w14:paraId="4B21A793" w14:textId="77777777" w:rsidR="00A2416E" w:rsidRDefault="00534832">
      <w:pPr>
        <w:tabs>
          <w:tab w:val="right" w:pos="7997"/>
        </w:tabs>
        <w:spacing w:line="238" w:lineRule="exact"/>
        <w:ind w:left="400"/>
        <w:rPr>
          <w:rFonts w:ascii="HelveticaNeueLT Std Cn" w:hAnsi="HelveticaNeueLT Std Cn"/>
          <w:sz w:val="20"/>
        </w:rPr>
      </w:pPr>
      <w:r>
        <w:rPr>
          <w:sz w:val="17"/>
        </w:rPr>
        <w:t>según lo establecido en el Reglamento (CEE) n.º 2658/87.</w:t>
      </w:r>
      <w:r>
        <w:rPr>
          <w:sz w:val="17"/>
        </w:rPr>
        <w:tab/>
      </w:r>
      <w:r>
        <w:rPr>
          <w:rFonts w:ascii="HelveticaNeueLT Std Cn" w:hAnsi="HelveticaNeueLT Std Cn"/>
          <w:sz w:val="20"/>
        </w:rPr>
        <w:t>5</w:t>
      </w:r>
    </w:p>
    <w:p w14:paraId="65268C9D" w14:textId="77777777" w:rsidR="00A2416E" w:rsidRDefault="00A2416E">
      <w:pPr>
        <w:spacing w:line="238"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12ED578D" w14:textId="77777777" w:rsidR="00A2416E" w:rsidRDefault="00534832">
      <w:pPr>
        <w:pStyle w:val="Rubrik2"/>
        <w:spacing w:line="228" w:lineRule="auto"/>
        <w:ind w:right="19"/>
      </w:pPr>
      <w:r>
        <w:lastRenderedPageBreak/>
        <w:t>STEMFS 2021:2</w:t>
      </w:r>
    </w:p>
    <w:p w14:paraId="36448102" w14:textId="77777777" w:rsidR="00A2416E" w:rsidRDefault="00534832">
      <w:pPr>
        <w:spacing w:before="81" w:line="232" w:lineRule="auto"/>
        <w:ind w:left="117" w:right="437"/>
        <w:rPr>
          <w:sz w:val="17"/>
        </w:rPr>
      </w:pPr>
      <w:r>
        <w:br w:type="column"/>
      </w:r>
      <w:r>
        <w:rPr>
          <w:sz w:val="10"/>
        </w:rPr>
        <w:t xml:space="preserve">2 </w:t>
      </w:r>
      <w:r>
        <w:rPr>
          <w:sz w:val="17"/>
        </w:rPr>
        <w:t>Betún natural significa cualquier materia prima de refinería que a) tenga una gravedad del Instituto Americano del Petróleo (API) de 10 grados o menos cuando se encuentre en una formación de depósito en el lugar de extracción, tal como se define con arreglo al método de ensayo de la American Society for Testing and Materials (ASTM) D287; b) tiene una viscosidad media anual a temperatura del depósito superior a la calculada por la ecuación Viscosity (Centipoise) = 518,98e-0,038T, donde T es la temperatura en Celsius; c) se inscribe en la definición de arenas bituminosas del código 2714 de la nomenclatura combinada (NC), tal como se recoge en el Reglamento (CEE) n.º 2658/87 del Consejo; y d) que se caracteriza por el hecho de que la movilización de la fuente de la materia prima se lleva a cabo mediante extracción minera o drenaje por gravedad asistido por temperatura, donde la energía térmica se deriva principalmente de fuentes distintas a la propia fuente de la materia prima.</w:t>
      </w:r>
    </w:p>
    <w:p w14:paraId="7D15F9D2" w14:textId="77777777" w:rsidR="00A2416E" w:rsidRDefault="00534832">
      <w:pPr>
        <w:spacing w:before="89" w:line="232" w:lineRule="auto"/>
        <w:ind w:left="117" w:right="473"/>
        <w:rPr>
          <w:sz w:val="17"/>
        </w:rPr>
      </w:pPr>
      <w:r>
        <w:rPr>
          <w:sz w:val="10"/>
        </w:rPr>
        <w:t xml:space="preserve">3 </w:t>
      </w:r>
      <w:r>
        <w:rPr>
          <w:sz w:val="17"/>
        </w:rPr>
        <w:t>La pizarra bituminosa se refiere a cualquier fuente de materia prima de refinería situada en una formación rocosa que contenga querógeno sólido y clasificada en la definición de pizarras bituminosas del código NC 2714, tal como se establece en el Reglamento (CEE) n.º 2658/87. La movilización de la fuente de la materia prima se logra mediante la extracción minera o el drenaje por gravedad asistido por temperatura.</w:t>
      </w:r>
    </w:p>
    <w:p w14:paraId="4F1DF429" w14:textId="77777777" w:rsidR="00A2416E" w:rsidRDefault="00A2416E">
      <w:pPr>
        <w:spacing w:line="232" w:lineRule="auto"/>
        <w:rPr>
          <w:sz w:val="17"/>
        </w:rPr>
        <w:sectPr w:rsidR="00A2416E">
          <w:pgSz w:w="9360" w:h="13720"/>
          <w:pgMar w:top="940" w:right="580" w:bottom="280" w:left="620" w:header="720" w:footer="720" w:gutter="0"/>
          <w:cols w:num="2" w:space="720" w:equalWidth="0">
            <w:col w:w="997" w:space="703"/>
            <w:col w:w="6460"/>
          </w:cols>
        </w:sectPr>
      </w:pPr>
    </w:p>
    <w:p w14:paraId="4B2CA0EF" w14:textId="77777777" w:rsidR="00A2416E" w:rsidRDefault="00A2416E">
      <w:pPr>
        <w:pStyle w:val="Brdtext"/>
        <w:rPr>
          <w:sz w:val="26"/>
        </w:rPr>
      </w:pPr>
    </w:p>
    <w:p w14:paraId="0A26DB13" w14:textId="77777777" w:rsidR="00A2416E" w:rsidRDefault="00A2416E">
      <w:pPr>
        <w:pStyle w:val="Brdtext"/>
        <w:rPr>
          <w:sz w:val="26"/>
        </w:rPr>
      </w:pPr>
    </w:p>
    <w:p w14:paraId="0FAF311C" w14:textId="77777777" w:rsidR="00A2416E" w:rsidRDefault="00A2416E">
      <w:pPr>
        <w:pStyle w:val="Brdtext"/>
        <w:rPr>
          <w:sz w:val="26"/>
        </w:rPr>
      </w:pPr>
    </w:p>
    <w:p w14:paraId="4EFBC468" w14:textId="77777777" w:rsidR="00A2416E" w:rsidRDefault="00A2416E">
      <w:pPr>
        <w:pStyle w:val="Brdtext"/>
        <w:rPr>
          <w:sz w:val="26"/>
        </w:rPr>
      </w:pPr>
    </w:p>
    <w:p w14:paraId="2BAA9D54" w14:textId="77777777" w:rsidR="00A2416E" w:rsidRDefault="00A2416E">
      <w:pPr>
        <w:pStyle w:val="Brdtext"/>
        <w:rPr>
          <w:sz w:val="26"/>
        </w:rPr>
      </w:pPr>
    </w:p>
    <w:p w14:paraId="4B62674C" w14:textId="77777777" w:rsidR="00A2416E" w:rsidRDefault="00A2416E">
      <w:pPr>
        <w:pStyle w:val="Brdtext"/>
        <w:rPr>
          <w:sz w:val="26"/>
        </w:rPr>
      </w:pPr>
    </w:p>
    <w:p w14:paraId="1921A8E7" w14:textId="77777777" w:rsidR="00A2416E" w:rsidRDefault="00A2416E">
      <w:pPr>
        <w:pStyle w:val="Brdtext"/>
        <w:rPr>
          <w:sz w:val="26"/>
        </w:rPr>
      </w:pPr>
    </w:p>
    <w:p w14:paraId="3B5954AD" w14:textId="77777777" w:rsidR="00A2416E" w:rsidRDefault="00A2416E">
      <w:pPr>
        <w:pStyle w:val="Brdtext"/>
        <w:rPr>
          <w:sz w:val="26"/>
        </w:rPr>
      </w:pPr>
    </w:p>
    <w:p w14:paraId="6D123182" w14:textId="77777777" w:rsidR="00A2416E" w:rsidRDefault="00A2416E">
      <w:pPr>
        <w:pStyle w:val="Brdtext"/>
        <w:rPr>
          <w:sz w:val="26"/>
        </w:rPr>
      </w:pPr>
    </w:p>
    <w:p w14:paraId="6E023F0F" w14:textId="77777777" w:rsidR="00A2416E" w:rsidRDefault="00A2416E">
      <w:pPr>
        <w:pStyle w:val="Brdtext"/>
        <w:rPr>
          <w:sz w:val="26"/>
        </w:rPr>
      </w:pPr>
    </w:p>
    <w:p w14:paraId="673A25F2" w14:textId="77777777" w:rsidR="00A2416E" w:rsidRDefault="00A2416E">
      <w:pPr>
        <w:pStyle w:val="Brdtext"/>
        <w:rPr>
          <w:sz w:val="26"/>
        </w:rPr>
      </w:pPr>
    </w:p>
    <w:p w14:paraId="3CCEACBA" w14:textId="77777777" w:rsidR="00A2416E" w:rsidRDefault="00A2416E">
      <w:pPr>
        <w:pStyle w:val="Brdtext"/>
        <w:rPr>
          <w:sz w:val="26"/>
        </w:rPr>
      </w:pPr>
    </w:p>
    <w:p w14:paraId="5FC5200E" w14:textId="77777777" w:rsidR="00A2416E" w:rsidRDefault="00A2416E">
      <w:pPr>
        <w:pStyle w:val="Brdtext"/>
        <w:rPr>
          <w:sz w:val="26"/>
        </w:rPr>
      </w:pPr>
    </w:p>
    <w:p w14:paraId="286B93AD" w14:textId="77777777" w:rsidR="00A2416E" w:rsidRDefault="00A2416E">
      <w:pPr>
        <w:pStyle w:val="Brdtext"/>
        <w:rPr>
          <w:sz w:val="26"/>
        </w:rPr>
      </w:pPr>
    </w:p>
    <w:p w14:paraId="420D1E7A" w14:textId="77777777" w:rsidR="00A2416E" w:rsidRDefault="00A2416E">
      <w:pPr>
        <w:pStyle w:val="Brdtext"/>
        <w:rPr>
          <w:sz w:val="26"/>
        </w:rPr>
      </w:pPr>
    </w:p>
    <w:p w14:paraId="0C5704DE" w14:textId="77777777" w:rsidR="00A2416E" w:rsidRDefault="00A2416E">
      <w:pPr>
        <w:pStyle w:val="Brdtext"/>
        <w:rPr>
          <w:sz w:val="26"/>
        </w:rPr>
      </w:pPr>
    </w:p>
    <w:p w14:paraId="01626443" w14:textId="77777777" w:rsidR="00A2416E" w:rsidRDefault="00A2416E">
      <w:pPr>
        <w:pStyle w:val="Brdtext"/>
        <w:rPr>
          <w:sz w:val="26"/>
        </w:rPr>
      </w:pPr>
    </w:p>
    <w:p w14:paraId="36AD06E0" w14:textId="77777777" w:rsidR="00A2416E" w:rsidRDefault="00A2416E">
      <w:pPr>
        <w:pStyle w:val="Brdtext"/>
        <w:rPr>
          <w:sz w:val="26"/>
        </w:rPr>
      </w:pPr>
    </w:p>
    <w:p w14:paraId="26EDA37B" w14:textId="77777777" w:rsidR="00A2416E" w:rsidRDefault="00A2416E">
      <w:pPr>
        <w:pStyle w:val="Brdtext"/>
        <w:rPr>
          <w:sz w:val="26"/>
        </w:rPr>
      </w:pPr>
    </w:p>
    <w:p w14:paraId="05A57E67" w14:textId="77777777" w:rsidR="00A2416E" w:rsidRDefault="00A2416E">
      <w:pPr>
        <w:pStyle w:val="Brdtext"/>
        <w:rPr>
          <w:sz w:val="26"/>
        </w:rPr>
      </w:pPr>
    </w:p>
    <w:p w14:paraId="38EEEB4B" w14:textId="77777777" w:rsidR="00A2416E" w:rsidRDefault="00A2416E">
      <w:pPr>
        <w:pStyle w:val="Brdtext"/>
        <w:rPr>
          <w:sz w:val="26"/>
        </w:rPr>
      </w:pPr>
    </w:p>
    <w:p w14:paraId="40C566BA" w14:textId="77777777" w:rsidR="00A2416E" w:rsidRDefault="00A2416E">
      <w:pPr>
        <w:pStyle w:val="Brdtext"/>
        <w:rPr>
          <w:sz w:val="26"/>
        </w:rPr>
      </w:pPr>
    </w:p>
    <w:p w14:paraId="7002B62C" w14:textId="77777777" w:rsidR="00A2416E" w:rsidRDefault="00A2416E">
      <w:pPr>
        <w:pStyle w:val="Brdtext"/>
        <w:rPr>
          <w:sz w:val="26"/>
        </w:rPr>
      </w:pPr>
    </w:p>
    <w:p w14:paraId="3313B690" w14:textId="77777777" w:rsidR="00A2416E" w:rsidRDefault="00A2416E">
      <w:pPr>
        <w:pStyle w:val="Brdtext"/>
        <w:rPr>
          <w:sz w:val="26"/>
        </w:rPr>
      </w:pPr>
    </w:p>
    <w:p w14:paraId="164F8077" w14:textId="77777777" w:rsidR="00A2416E" w:rsidRDefault="00A2416E">
      <w:pPr>
        <w:pStyle w:val="Brdtext"/>
        <w:rPr>
          <w:sz w:val="26"/>
        </w:rPr>
      </w:pPr>
    </w:p>
    <w:p w14:paraId="03001A05" w14:textId="77777777" w:rsidR="00A2416E" w:rsidRDefault="00A2416E">
      <w:pPr>
        <w:pStyle w:val="Brdtext"/>
        <w:rPr>
          <w:sz w:val="26"/>
        </w:rPr>
      </w:pPr>
    </w:p>
    <w:p w14:paraId="35F2DB8D" w14:textId="77777777" w:rsidR="00A2416E" w:rsidRDefault="00A2416E">
      <w:pPr>
        <w:pStyle w:val="Brdtext"/>
        <w:rPr>
          <w:sz w:val="26"/>
        </w:rPr>
      </w:pPr>
    </w:p>
    <w:p w14:paraId="40DD90BC" w14:textId="77777777" w:rsidR="00A2416E" w:rsidRDefault="00534832">
      <w:pPr>
        <w:pStyle w:val="Rubrik3"/>
        <w:spacing w:before="224"/>
      </w:pPr>
      <w:r>
        <w:t>6</w:t>
      </w:r>
    </w:p>
    <w:p w14:paraId="0F0644FB" w14:textId="77777777" w:rsidR="00A2416E" w:rsidRDefault="00A2416E">
      <w:pPr>
        <w:sectPr w:rsidR="00A2416E">
          <w:type w:val="continuous"/>
          <w:pgSz w:w="9360" w:h="13720"/>
          <w:pgMar w:top="900" w:right="580" w:bottom="280" w:left="620" w:header="720" w:footer="720" w:gutter="0"/>
          <w:cols w:space="720"/>
        </w:sectPr>
      </w:pPr>
    </w:p>
    <w:p w14:paraId="7E910C00" w14:textId="77777777" w:rsidR="00A2416E" w:rsidRDefault="00A2416E">
      <w:pPr>
        <w:pStyle w:val="Brdtext"/>
        <w:spacing w:before="5"/>
        <w:rPr>
          <w:rFonts w:ascii="HelveticaNeueLT Std Cn"/>
          <w:sz w:val="17"/>
        </w:rPr>
      </w:pPr>
    </w:p>
    <w:p w14:paraId="1D864C65" w14:textId="77777777" w:rsidR="00A2416E" w:rsidRDefault="00A2416E">
      <w:pPr>
        <w:rPr>
          <w:rFonts w:ascii="HelveticaNeueLT Std Cn"/>
          <w:sz w:val="17"/>
        </w:rPr>
        <w:sectPr w:rsidR="00A2416E">
          <w:pgSz w:w="9360" w:h="13720"/>
          <w:pgMar w:top="1280" w:right="580" w:bottom="280" w:left="620" w:header="720" w:footer="720" w:gutter="0"/>
          <w:cols w:space="720"/>
        </w:sectPr>
      </w:pPr>
    </w:p>
    <w:p w14:paraId="442D83DA" w14:textId="77777777" w:rsidR="00A2416E" w:rsidRDefault="00A2416E">
      <w:pPr>
        <w:pStyle w:val="Brdtext"/>
        <w:rPr>
          <w:rFonts w:ascii="HelveticaNeueLT Std Cn"/>
          <w:sz w:val="20"/>
        </w:rPr>
      </w:pPr>
    </w:p>
    <w:p w14:paraId="21280EC6" w14:textId="77777777" w:rsidR="00A2416E" w:rsidRDefault="00A2416E">
      <w:pPr>
        <w:pStyle w:val="Brdtext"/>
        <w:rPr>
          <w:rFonts w:ascii="HelveticaNeueLT Std Cn"/>
          <w:sz w:val="20"/>
        </w:rPr>
      </w:pPr>
    </w:p>
    <w:p w14:paraId="18CB8DD6" w14:textId="77777777" w:rsidR="00A2416E" w:rsidRDefault="00A2416E">
      <w:pPr>
        <w:pStyle w:val="Brdtext"/>
        <w:rPr>
          <w:rFonts w:ascii="HelveticaNeueLT Std Cn"/>
          <w:sz w:val="20"/>
        </w:rPr>
      </w:pPr>
    </w:p>
    <w:p w14:paraId="540CFE4B" w14:textId="77777777" w:rsidR="00A2416E" w:rsidRDefault="00A2416E">
      <w:pPr>
        <w:pStyle w:val="Brdtext"/>
        <w:rPr>
          <w:rFonts w:ascii="HelveticaNeueLT Std Cn"/>
          <w:sz w:val="20"/>
        </w:rPr>
      </w:pPr>
    </w:p>
    <w:p w14:paraId="11845BE4" w14:textId="77777777" w:rsidR="00A2416E" w:rsidRDefault="00A2416E">
      <w:pPr>
        <w:pStyle w:val="Brdtext"/>
        <w:rPr>
          <w:rFonts w:ascii="HelveticaNeueLT Std Cn"/>
          <w:sz w:val="20"/>
        </w:rPr>
      </w:pPr>
    </w:p>
    <w:p w14:paraId="1DC5E8BC" w14:textId="77777777" w:rsidR="00A2416E" w:rsidRDefault="00A2416E">
      <w:pPr>
        <w:pStyle w:val="Brdtext"/>
        <w:rPr>
          <w:rFonts w:ascii="HelveticaNeueLT Std Cn"/>
          <w:sz w:val="20"/>
        </w:rPr>
      </w:pPr>
    </w:p>
    <w:p w14:paraId="4C7E42E5" w14:textId="77777777" w:rsidR="00A2416E" w:rsidRDefault="00A2416E">
      <w:pPr>
        <w:pStyle w:val="Brdtext"/>
        <w:rPr>
          <w:rFonts w:ascii="HelveticaNeueLT Std Cn"/>
          <w:sz w:val="20"/>
        </w:rPr>
      </w:pPr>
    </w:p>
    <w:p w14:paraId="22D939CA" w14:textId="77777777" w:rsidR="00A2416E" w:rsidRDefault="00A2416E">
      <w:pPr>
        <w:pStyle w:val="Brdtext"/>
        <w:rPr>
          <w:rFonts w:ascii="HelveticaNeueLT Std Cn"/>
          <w:sz w:val="20"/>
        </w:rPr>
      </w:pPr>
    </w:p>
    <w:p w14:paraId="028AB1C2" w14:textId="77777777" w:rsidR="00A2416E" w:rsidRDefault="00A2416E">
      <w:pPr>
        <w:pStyle w:val="Brdtext"/>
        <w:rPr>
          <w:rFonts w:ascii="HelveticaNeueLT Std Cn"/>
          <w:sz w:val="20"/>
        </w:rPr>
      </w:pPr>
    </w:p>
    <w:p w14:paraId="1DD21BDF" w14:textId="77777777" w:rsidR="00A2416E" w:rsidRDefault="00A2416E">
      <w:pPr>
        <w:pStyle w:val="Brdtext"/>
        <w:rPr>
          <w:rFonts w:ascii="HelveticaNeueLT Std Cn"/>
          <w:sz w:val="20"/>
        </w:rPr>
      </w:pPr>
    </w:p>
    <w:p w14:paraId="2083FCED" w14:textId="77777777" w:rsidR="00A2416E" w:rsidRDefault="00A2416E">
      <w:pPr>
        <w:pStyle w:val="Brdtext"/>
        <w:rPr>
          <w:rFonts w:ascii="HelveticaNeueLT Std Cn"/>
          <w:sz w:val="20"/>
        </w:rPr>
      </w:pPr>
    </w:p>
    <w:p w14:paraId="028AE273" w14:textId="77777777" w:rsidR="00A2416E" w:rsidRDefault="00A2416E">
      <w:pPr>
        <w:pStyle w:val="Brdtext"/>
        <w:rPr>
          <w:rFonts w:ascii="HelveticaNeueLT Std Cn"/>
          <w:sz w:val="20"/>
        </w:rPr>
      </w:pPr>
    </w:p>
    <w:p w14:paraId="251DFACB" w14:textId="77777777" w:rsidR="00A2416E" w:rsidRDefault="00A2416E">
      <w:pPr>
        <w:pStyle w:val="Brdtext"/>
        <w:rPr>
          <w:rFonts w:ascii="HelveticaNeueLT Std Cn"/>
          <w:sz w:val="20"/>
        </w:rPr>
      </w:pPr>
    </w:p>
    <w:p w14:paraId="0A2B0D40" w14:textId="77777777" w:rsidR="00A2416E" w:rsidRDefault="00A2416E">
      <w:pPr>
        <w:pStyle w:val="Brdtext"/>
        <w:rPr>
          <w:rFonts w:ascii="HelveticaNeueLT Std Cn"/>
          <w:sz w:val="20"/>
        </w:rPr>
      </w:pPr>
    </w:p>
    <w:p w14:paraId="30A81004" w14:textId="77777777" w:rsidR="00A2416E" w:rsidRDefault="00A2416E">
      <w:pPr>
        <w:pStyle w:val="Brdtext"/>
        <w:rPr>
          <w:rFonts w:ascii="HelveticaNeueLT Std Cn"/>
          <w:sz w:val="20"/>
        </w:rPr>
      </w:pPr>
    </w:p>
    <w:p w14:paraId="3A7B3309" w14:textId="77777777" w:rsidR="00A2416E" w:rsidRDefault="00A2416E">
      <w:pPr>
        <w:pStyle w:val="Brdtext"/>
        <w:rPr>
          <w:rFonts w:ascii="HelveticaNeueLT Std Cn"/>
          <w:sz w:val="20"/>
        </w:rPr>
      </w:pPr>
    </w:p>
    <w:p w14:paraId="2361A1FC" w14:textId="77777777" w:rsidR="00A2416E" w:rsidRDefault="00A2416E">
      <w:pPr>
        <w:pStyle w:val="Brdtext"/>
        <w:rPr>
          <w:rFonts w:ascii="HelveticaNeueLT Std Cn"/>
          <w:sz w:val="20"/>
        </w:rPr>
      </w:pPr>
    </w:p>
    <w:p w14:paraId="738FFF7C" w14:textId="77777777" w:rsidR="00A2416E" w:rsidRDefault="00A2416E">
      <w:pPr>
        <w:pStyle w:val="Brdtext"/>
        <w:rPr>
          <w:rFonts w:ascii="HelveticaNeueLT Std Cn"/>
          <w:sz w:val="20"/>
        </w:rPr>
      </w:pPr>
    </w:p>
    <w:p w14:paraId="76492810" w14:textId="77777777" w:rsidR="00A2416E" w:rsidRDefault="00A2416E">
      <w:pPr>
        <w:pStyle w:val="Brdtext"/>
        <w:rPr>
          <w:rFonts w:ascii="HelveticaNeueLT Std Cn"/>
          <w:sz w:val="20"/>
        </w:rPr>
      </w:pPr>
    </w:p>
    <w:p w14:paraId="6F92DCEE" w14:textId="77777777" w:rsidR="00A2416E" w:rsidRDefault="00A2416E">
      <w:pPr>
        <w:pStyle w:val="Brdtext"/>
        <w:rPr>
          <w:rFonts w:ascii="HelveticaNeueLT Std Cn"/>
          <w:sz w:val="20"/>
        </w:rPr>
      </w:pPr>
    </w:p>
    <w:p w14:paraId="70327EAF" w14:textId="77777777" w:rsidR="00A2416E" w:rsidRDefault="00A2416E">
      <w:pPr>
        <w:pStyle w:val="Brdtext"/>
        <w:rPr>
          <w:rFonts w:ascii="HelveticaNeueLT Std Cn"/>
          <w:sz w:val="20"/>
        </w:rPr>
      </w:pPr>
    </w:p>
    <w:p w14:paraId="5C32F2E3" w14:textId="77777777" w:rsidR="00A2416E" w:rsidRDefault="00A2416E">
      <w:pPr>
        <w:pStyle w:val="Brdtext"/>
        <w:rPr>
          <w:rFonts w:ascii="HelveticaNeueLT Std Cn"/>
          <w:sz w:val="20"/>
        </w:rPr>
      </w:pPr>
    </w:p>
    <w:p w14:paraId="299CDD49" w14:textId="77777777" w:rsidR="00A2416E" w:rsidRDefault="00A2416E">
      <w:pPr>
        <w:pStyle w:val="Brdtext"/>
        <w:rPr>
          <w:rFonts w:ascii="HelveticaNeueLT Std Cn"/>
          <w:sz w:val="20"/>
        </w:rPr>
      </w:pPr>
    </w:p>
    <w:p w14:paraId="01E205CD" w14:textId="77777777" w:rsidR="00A2416E" w:rsidRDefault="00A2416E">
      <w:pPr>
        <w:pStyle w:val="Brdtext"/>
        <w:rPr>
          <w:rFonts w:ascii="HelveticaNeueLT Std Cn"/>
          <w:sz w:val="20"/>
        </w:rPr>
      </w:pPr>
    </w:p>
    <w:p w14:paraId="57053980" w14:textId="77777777" w:rsidR="00A2416E" w:rsidRDefault="00A2416E">
      <w:pPr>
        <w:pStyle w:val="Brdtext"/>
        <w:rPr>
          <w:rFonts w:ascii="HelveticaNeueLT Std Cn"/>
          <w:sz w:val="20"/>
        </w:rPr>
      </w:pPr>
    </w:p>
    <w:p w14:paraId="7E7BCDE6" w14:textId="77777777" w:rsidR="00A2416E" w:rsidRDefault="00A2416E">
      <w:pPr>
        <w:pStyle w:val="Brdtext"/>
        <w:rPr>
          <w:rFonts w:ascii="HelveticaNeueLT Std Cn"/>
          <w:sz w:val="20"/>
        </w:rPr>
      </w:pPr>
    </w:p>
    <w:p w14:paraId="6E96DEB2" w14:textId="77777777" w:rsidR="00A2416E" w:rsidRDefault="00A2416E">
      <w:pPr>
        <w:pStyle w:val="Brdtext"/>
        <w:rPr>
          <w:rFonts w:ascii="HelveticaNeueLT Std Cn"/>
          <w:sz w:val="20"/>
        </w:rPr>
      </w:pPr>
    </w:p>
    <w:p w14:paraId="2CEA5378" w14:textId="77777777" w:rsidR="00A2416E" w:rsidRDefault="00A2416E">
      <w:pPr>
        <w:pStyle w:val="Brdtext"/>
        <w:rPr>
          <w:rFonts w:ascii="HelveticaNeueLT Std Cn"/>
          <w:sz w:val="20"/>
        </w:rPr>
      </w:pPr>
    </w:p>
    <w:p w14:paraId="3490DF5D" w14:textId="77777777" w:rsidR="00A2416E" w:rsidRDefault="00A2416E">
      <w:pPr>
        <w:pStyle w:val="Brdtext"/>
        <w:rPr>
          <w:rFonts w:ascii="HelveticaNeueLT Std Cn"/>
          <w:sz w:val="20"/>
        </w:rPr>
      </w:pPr>
    </w:p>
    <w:p w14:paraId="34D5B22D" w14:textId="77777777" w:rsidR="00A2416E" w:rsidRDefault="00A2416E">
      <w:pPr>
        <w:pStyle w:val="Brdtext"/>
        <w:rPr>
          <w:rFonts w:ascii="HelveticaNeueLT Std Cn"/>
          <w:sz w:val="20"/>
        </w:rPr>
      </w:pPr>
    </w:p>
    <w:p w14:paraId="05213574" w14:textId="77777777" w:rsidR="00A2416E" w:rsidRDefault="00A2416E">
      <w:pPr>
        <w:pStyle w:val="Brdtext"/>
        <w:rPr>
          <w:rFonts w:ascii="HelveticaNeueLT Std Cn"/>
          <w:sz w:val="20"/>
        </w:rPr>
      </w:pPr>
    </w:p>
    <w:p w14:paraId="660C5318" w14:textId="77777777" w:rsidR="00A2416E" w:rsidRDefault="00A2416E">
      <w:pPr>
        <w:pStyle w:val="Brdtext"/>
        <w:rPr>
          <w:rFonts w:ascii="HelveticaNeueLT Std Cn"/>
          <w:sz w:val="20"/>
        </w:rPr>
      </w:pPr>
    </w:p>
    <w:p w14:paraId="01DCA327" w14:textId="77777777" w:rsidR="00A2416E" w:rsidRDefault="00A2416E">
      <w:pPr>
        <w:pStyle w:val="Brdtext"/>
        <w:rPr>
          <w:rFonts w:ascii="HelveticaNeueLT Std Cn"/>
          <w:sz w:val="20"/>
        </w:rPr>
      </w:pPr>
    </w:p>
    <w:p w14:paraId="086BC412" w14:textId="77777777" w:rsidR="00A2416E" w:rsidRDefault="00A2416E">
      <w:pPr>
        <w:pStyle w:val="Brdtext"/>
        <w:rPr>
          <w:rFonts w:ascii="HelveticaNeueLT Std Cn"/>
          <w:sz w:val="20"/>
        </w:rPr>
      </w:pPr>
    </w:p>
    <w:p w14:paraId="294DA329" w14:textId="77777777" w:rsidR="00A2416E" w:rsidRDefault="00A2416E">
      <w:pPr>
        <w:pStyle w:val="Brdtext"/>
        <w:rPr>
          <w:rFonts w:ascii="HelveticaNeueLT Std Cn"/>
          <w:sz w:val="20"/>
        </w:rPr>
      </w:pPr>
    </w:p>
    <w:p w14:paraId="22792458" w14:textId="77777777" w:rsidR="00A2416E" w:rsidRDefault="00A2416E">
      <w:pPr>
        <w:pStyle w:val="Brdtext"/>
        <w:rPr>
          <w:rFonts w:ascii="HelveticaNeueLT Std Cn"/>
          <w:sz w:val="20"/>
        </w:rPr>
      </w:pPr>
    </w:p>
    <w:p w14:paraId="1C740100" w14:textId="77777777" w:rsidR="00A2416E" w:rsidRDefault="00A2416E">
      <w:pPr>
        <w:pStyle w:val="Brdtext"/>
        <w:rPr>
          <w:rFonts w:ascii="HelveticaNeueLT Std Cn"/>
          <w:sz w:val="20"/>
        </w:rPr>
      </w:pPr>
    </w:p>
    <w:p w14:paraId="29572199" w14:textId="77777777" w:rsidR="00A2416E" w:rsidRDefault="00A2416E">
      <w:pPr>
        <w:pStyle w:val="Brdtext"/>
        <w:rPr>
          <w:rFonts w:ascii="HelveticaNeueLT Std Cn"/>
          <w:sz w:val="20"/>
        </w:rPr>
      </w:pPr>
    </w:p>
    <w:p w14:paraId="0EB0BC72" w14:textId="77777777" w:rsidR="00A2416E" w:rsidRDefault="00A2416E">
      <w:pPr>
        <w:pStyle w:val="Brdtext"/>
        <w:rPr>
          <w:rFonts w:ascii="HelveticaNeueLT Std Cn"/>
          <w:sz w:val="20"/>
        </w:rPr>
      </w:pPr>
    </w:p>
    <w:p w14:paraId="2D3A12AE" w14:textId="77777777" w:rsidR="00A2416E" w:rsidRDefault="00A2416E">
      <w:pPr>
        <w:pStyle w:val="Brdtext"/>
        <w:rPr>
          <w:rFonts w:ascii="HelveticaNeueLT Std Cn"/>
          <w:sz w:val="20"/>
        </w:rPr>
      </w:pPr>
    </w:p>
    <w:p w14:paraId="27EB7451" w14:textId="77777777" w:rsidR="00A2416E" w:rsidRDefault="00A2416E">
      <w:pPr>
        <w:pStyle w:val="Brdtext"/>
        <w:rPr>
          <w:rFonts w:ascii="HelveticaNeueLT Std Cn"/>
          <w:sz w:val="20"/>
        </w:rPr>
      </w:pPr>
    </w:p>
    <w:p w14:paraId="0EDA141E" w14:textId="77777777" w:rsidR="00A2416E" w:rsidRDefault="00A2416E">
      <w:pPr>
        <w:pStyle w:val="Brdtext"/>
        <w:rPr>
          <w:rFonts w:ascii="HelveticaNeueLT Std Cn"/>
          <w:sz w:val="20"/>
        </w:rPr>
      </w:pPr>
    </w:p>
    <w:p w14:paraId="5F428612" w14:textId="77777777" w:rsidR="00A2416E" w:rsidRDefault="00A2416E">
      <w:pPr>
        <w:pStyle w:val="Brdtext"/>
        <w:rPr>
          <w:rFonts w:ascii="HelveticaNeueLT Std Cn"/>
          <w:sz w:val="20"/>
        </w:rPr>
      </w:pPr>
    </w:p>
    <w:p w14:paraId="161E4775" w14:textId="77777777" w:rsidR="00A2416E" w:rsidRDefault="00A2416E">
      <w:pPr>
        <w:pStyle w:val="Brdtext"/>
        <w:rPr>
          <w:rFonts w:ascii="HelveticaNeueLT Std Cn"/>
          <w:sz w:val="20"/>
        </w:rPr>
      </w:pPr>
    </w:p>
    <w:p w14:paraId="22A8064F" w14:textId="77777777" w:rsidR="00A2416E" w:rsidRDefault="00A2416E">
      <w:pPr>
        <w:pStyle w:val="Brdtext"/>
        <w:rPr>
          <w:rFonts w:ascii="HelveticaNeueLT Std Cn"/>
          <w:sz w:val="20"/>
        </w:rPr>
      </w:pPr>
    </w:p>
    <w:p w14:paraId="2306BE05" w14:textId="77777777" w:rsidR="00A2416E" w:rsidRDefault="00A2416E">
      <w:pPr>
        <w:pStyle w:val="Brdtext"/>
        <w:rPr>
          <w:rFonts w:ascii="HelveticaNeueLT Std Cn"/>
          <w:sz w:val="20"/>
        </w:rPr>
      </w:pPr>
    </w:p>
    <w:p w14:paraId="54B49DEE" w14:textId="77777777" w:rsidR="00A2416E" w:rsidRDefault="00A2416E">
      <w:pPr>
        <w:pStyle w:val="Brdtext"/>
        <w:rPr>
          <w:rFonts w:ascii="HelveticaNeueLT Std Cn"/>
          <w:sz w:val="20"/>
        </w:rPr>
      </w:pPr>
    </w:p>
    <w:p w14:paraId="301BA4AE" w14:textId="77777777" w:rsidR="00A2416E" w:rsidRDefault="00A2416E">
      <w:pPr>
        <w:pStyle w:val="Brdtext"/>
        <w:rPr>
          <w:rFonts w:ascii="HelveticaNeueLT Std Cn"/>
          <w:sz w:val="20"/>
        </w:rPr>
      </w:pPr>
    </w:p>
    <w:p w14:paraId="2F896C4C" w14:textId="77777777" w:rsidR="00A2416E" w:rsidRDefault="00A2416E">
      <w:pPr>
        <w:pStyle w:val="Brdtext"/>
        <w:rPr>
          <w:rFonts w:ascii="HelveticaNeueLT Std Cn"/>
          <w:sz w:val="20"/>
        </w:rPr>
      </w:pPr>
    </w:p>
    <w:p w14:paraId="460C6538" w14:textId="77777777" w:rsidR="00A2416E" w:rsidRDefault="00A2416E">
      <w:pPr>
        <w:pStyle w:val="Brdtext"/>
        <w:spacing w:before="5"/>
        <w:rPr>
          <w:rFonts w:ascii="HelveticaNeueLT Std Cn"/>
          <w:sz w:val="16"/>
        </w:rPr>
      </w:pPr>
    </w:p>
    <w:p w14:paraId="6493E55E" w14:textId="77777777" w:rsidR="00A2416E" w:rsidRDefault="00534832">
      <w:pPr>
        <w:spacing w:before="94"/>
        <w:ind w:left="3265" w:right="3303"/>
        <w:jc w:val="center"/>
        <w:rPr>
          <w:sz w:val="16"/>
        </w:rPr>
      </w:pPr>
      <w:r>
        <w:rPr>
          <w:sz w:val="16"/>
        </w:rPr>
        <w:t>Arkitektkopia AB, 2021</w:t>
      </w:r>
    </w:p>
    <w:sectPr w:rsidR="00A2416E">
      <w:pgSz w:w="9360" w:h="13720"/>
      <w:pgMar w:top="12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022"/>
    <w:multiLevelType w:val="hybridMultilevel"/>
    <w:tmpl w:val="9C32ADD2"/>
    <w:lvl w:ilvl="0" w:tplc="DCE0122A">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46349384">
      <w:numFmt w:val="bullet"/>
      <w:lvlText w:val="•"/>
      <w:lvlJc w:val="left"/>
      <w:pPr>
        <w:ind w:left="933" w:hanging="199"/>
      </w:pPr>
      <w:rPr>
        <w:rFonts w:hint="default"/>
        <w:lang w:val="sv-SE" w:eastAsia="sv-SE" w:bidi="sv-SE"/>
      </w:rPr>
    </w:lvl>
    <w:lvl w:ilvl="2" w:tplc="CC300154">
      <w:numFmt w:val="bullet"/>
      <w:lvlText w:val="•"/>
      <w:lvlJc w:val="left"/>
      <w:pPr>
        <w:ind w:left="1546" w:hanging="199"/>
      </w:pPr>
      <w:rPr>
        <w:rFonts w:hint="default"/>
        <w:lang w:val="sv-SE" w:eastAsia="sv-SE" w:bidi="sv-SE"/>
      </w:rPr>
    </w:lvl>
    <w:lvl w:ilvl="3" w:tplc="49C20834">
      <w:numFmt w:val="bullet"/>
      <w:lvlText w:val="•"/>
      <w:lvlJc w:val="left"/>
      <w:pPr>
        <w:ind w:left="2160" w:hanging="199"/>
      </w:pPr>
      <w:rPr>
        <w:rFonts w:hint="default"/>
        <w:lang w:val="sv-SE" w:eastAsia="sv-SE" w:bidi="sv-SE"/>
      </w:rPr>
    </w:lvl>
    <w:lvl w:ilvl="4" w:tplc="265016FE">
      <w:numFmt w:val="bullet"/>
      <w:lvlText w:val="•"/>
      <w:lvlJc w:val="left"/>
      <w:pPr>
        <w:ind w:left="2773" w:hanging="199"/>
      </w:pPr>
      <w:rPr>
        <w:rFonts w:hint="default"/>
        <w:lang w:val="sv-SE" w:eastAsia="sv-SE" w:bidi="sv-SE"/>
      </w:rPr>
    </w:lvl>
    <w:lvl w:ilvl="5" w:tplc="4BD2233C">
      <w:numFmt w:val="bullet"/>
      <w:lvlText w:val="•"/>
      <w:lvlJc w:val="left"/>
      <w:pPr>
        <w:ind w:left="3386" w:hanging="199"/>
      </w:pPr>
      <w:rPr>
        <w:rFonts w:hint="default"/>
        <w:lang w:val="sv-SE" w:eastAsia="sv-SE" w:bidi="sv-SE"/>
      </w:rPr>
    </w:lvl>
    <w:lvl w:ilvl="6" w:tplc="3E8E58BE">
      <w:numFmt w:val="bullet"/>
      <w:lvlText w:val="•"/>
      <w:lvlJc w:val="left"/>
      <w:pPr>
        <w:ind w:left="4000" w:hanging="199"/>
      </w:pPr>
      <w:rPr>
        <w:rFonts w:hint="default"/>
        <w:lang w:val="sv-SE" w:eastAsia="sv-SE" w:bidi="sv-SE"/>
      </w:rPr>
    </w:lvl>
    <w:lvl w:ilvl="7" w:tplc="D1A2B188">
      <w:numFmt w:val="bullet"/>
      <w:lvlText w:val="•"/>
      <w:lvlJc w:val="left"/>
      <w:pPr>
        <w:ind w:left="4613" w:hanging="199"/>
      </w:pPr>
      <w:rPr>
        <w:rFonts w:hint="default"/>
        <w:lang w:val="sv-SE" w:eastAsia="sv-SE" w:bidi="sv-SE"/>
      </w:rPr>
    </w:lvl>
    <w:lvl w:ilvl="8" w:tplc="2B70E1B6">
      <w:numFmt w:val="bullet"/>
      <w:lvlText w:val="•"/>
      <w:lvlJc w:val="left"/>
      <w:pPr>
        <w:ind w:left="5226" w:hanging="199"/>
      </w:pPr>
      <w:rPr>
        <w:rFonts w:hint="default"/>
        <w:lang w:val="sv-SE" w:eastAsia="sv-SE" w:bidi="sv-SE"/>
      </w:rPr>
    </w:lvl>
  </w:abstractNum>
  <w:abstractNum w:abstractNumId="1" w15:restartNumberingAfterBreak="0">
    <w:nsid w:val="481C1347"/>
    <w:multiLevelType w:val="hybridMultilevel"/>
    <w:tmpl w:val="9C7E1930"/>
    <w:lvl w:ilvl="0" w:tplc="C744F9C0">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FEB4DD82">
      <w:numFmt w:val="bullet"/>
      <w:lvlText w:val="•"/>
      <w:lvlJc w:val="left"/>
      <w:pPr>
        <w:ind w:left="933" w:hanging="199"/>
      </w:pPr>
      <w:rPr>
        <w:rFonts w:hint="default"/>
        <w:lang w:val="sv-SE" w:eastAsia="sv-SE" w:bidi="sv-SE"/>
      </w:rPr>
    </w:lvl>
    <w:lvl w:ilvl="2" w:tplc="50BA73C2">
      <w:numFmt w:val="bullet"/>
      <w:lvlText w:val="•"/>
      <w:lvlJc w:val="left"/>
      <w:pPr>
        <w:ind w:left="1546" w:hanging="199"/>
      </w:pPr>
      <w:rPr>
        <w:rFonts w:hint="default"/>
        <w:lang w:val="sv-SE" w:eastAsia="sv-SE" w:bidi="sv-SE"/>
      </w:rPr>
    </w:lvl>
    <w:lvl w:ilvl="3" w:tplc="4ED00D5E">
      <w:numFmt w:val="bullet"/>
      <w:lvlText w:val="•"/>
      <w:lvlJc w:val="left"/>
      <w:pPr>
        <w:ind w:left="2160" w:hanging="199"/>
      </w:pPr>
      <w:rPr>
        <w:rFonts w:hint="default"/>
        <w:lang w:val="sv-SE" w:eastAsia="sv-SE" w:bidi="sv-SE"/>
      </w:rPr>
    </w:lvl>
    <w:lvl w:ilvl="4" w:tplc="20641262">
      <w:numFmt w:val="bullet"/>
      <w:lvlText w:val="•"/>
      <w:lvlJc w:val="left"/>
      <w:pPr>
        <w:ind w:left="2773" w:hanging="199"/>
      </w:pPr>
      <w:rPr>
        <w:rFonts w:hint="default"/>
        <w:lang w:val="sv-SE" w:eastAsia="sv-SE" w:bidi="sv-SE"/>
      </w:rPr>
    </w:lvl>
    <w:lvl w:ilvl="5" w:tplc="A4BE9D08">
      <w:numFmt w:val="bullet"/>
      <w:lvlText w:val="•"/>
      <w:lvlJc w:val="left"/>
      <w:pPr>
        <w:ind w:left="3386" w:hanging="199"/>
      </w:pPr>
      <w:rPr>
        <w:rFonts w:hint="default"/>
        <w:lang w:val="sv-SE" w:eastAsia="sv-SE" w:bidi="sv-SE"/>
      </w:rPr>
    </w:lvl>
    <w:lvl w:ilvl="6" w:tplc="CCC41658">
      <w:numFmt w:val="bullet"/>
      <w:lvlText w:val="•"/>
      <w:lvlJc w:val="left"/>
      <w:pPr>
        <w:ind w:left="4000" w:hanging="199"/>
      </w:pPr>
      <w:rPr>
        <w:rFonts w:hint="default"/>
        <w:lang w:val="sv-SE" w:eastAsia="sv-SE" w:bidi="sv-SE"/>
      </w:rPr>
    </w:lvl>
    <w:lvl w:ilvl="7" w:tplc="905C7B2E">
      <w:numFmt w:val="bullet"/>
      <w:lvlText w:val="•"/>
      <w:lvlJc w:val="left"/>
      <w:pPr>
        <w:ind w:left="4613" w:hanging="199"/>
      </w:pPr>
      <w:rPr>
        <w:rFonts w:hint="default"/>
        <w:lang w:val="sv-SE" w:eastAsia="sv-SE" w:bidi="sv-SE"/>
      </w:rPr>
    </w:lvl>
    <w:lvl w:ilvl="8" w:tplc="0A20BB10">
      <w:numFmt w:val="bullet"/>
      <w:lvlText w:val="•"/>
      <w:lvlJc w:val="left"/>
      <w:pPr>
        <w:ind w:left="5226" w:hanging="199"/>
      </w:pPr>
      <w:rPr>
        <w:rFonts w:hint="default"/>
        <w:lang w:val="sv-SE" w:eastAsia="sv-SE" w:bidi="sv-SE"/>
      </w:rPr>
    </w:lvl>
  </w:abstractNum>
  <w:abstractNum w:abstractNumId="2" w15:restartNumberingAfterBreak="0">
    <w:nsid w:val="5BD660CD"/>
    <w:multiLevelType w:val="hybridMultilevel"/>
    <w:tmpl w:val="E2CC420E"/>
    <w:lvl w:ilvl="0" w:tplc="87C8823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D8EA215C">
      <w:numFmt w:val="bullet"/>
      <w:lvlText w:val="•"/>
      <w:lvlJc w:val="left"/>
      <w:pPr>
        <w:ind w:left="933" w:hanging="199"/>
      </w:pPr>
      <w:rPr>
        <w:rFonts w:hint="default"/>
        <w:lang w:val="sv-SE" w:eastAsia="sv-SE" w:bidi="sv-SE"/>
      </w:rPr>
    </w:lvl>
    <w:lvl w:ilvl="2" w:tplc="2D1CE9CC">
      <w:numFmt w:val="bullet"/>
      <w:lvlText w:val="•"/>
      <w:lvlJc w:val="left"/>
      <w:pPr>
        <w:ind w:left="1546" w:hanging="199"/>
      </w:pPr>
      <w:rPr>
        <w:rFonts w:hint="default"/>
        <w:lang w:val="sv-SE" w:eastAsia="sv-SE" w:bidi="sv-SE"/>
      </w:rPr>
    </w:lvl>
    <w:lvl w:ilvl="3" w:tplc="F2682940">
      <w:numFmt w:val="bullet"/>
      <w:lvlText w:val="•"/>
      <w:lvlJc w:val="left"/>
      <w:pPr>
        <w:ind w:left="2160" w:hanging="199"/>
      </w:pPr>
      <w:rPr>
        <w:rFonts w:hint="default"/>
        <w:lang w:val="sv-SE" w:eastAsia="sv-SE" w:bidi="sv-SE"/>
      </w:rPr>
    </w:lvl>
    <w:lvl w:ilvl="4" w:tplc="C7582D32">
      <w:numFmt w:val="bullet"/>
      <w:lvlText w:val="•"/>
      <w:lvlJc w:val="left"/>
      <w:pPr>
        <w:ind w:left="2773" w:hanging="199"/>
      </w:pPr>
      <w:rPr>
        <w:rFonts w:hint="default"/>
        <w:lang w:val="sv-SE" w:eastAsia="sv-SE" w:bidi="sv-SE"/>
      </w:rPr>
    </w:lvl>
    <w:lvl w:ilvl="5" w:tplc="4C42FF80">
      <w:numFmt w:val="bullet"/>
      <w:lvlText w:val="•"/>
      <w:lvlJc w:val="left"/>
      <w:pPr>
        <w:ind w:left="3386" w:hanging="199"/>
      </w:pPr>
      <w:rPr>
        <w:rFonts w:hint="default"/>
        <w:lang w:val="sv-SE" w:eastAsia="sv-SE" w:bidi="sv-SE"/>
      </w:rPr>
    </w:lvl>
    <w:lvl w:ilvl="6" w:tplc="8EB06906">
      <w:numFmt w:val="bullet"/>
      <w:lvlText w:val="•"/>
      <w:lvlJc w:val="left"/>
      <w:pPr>
        <w:ind w:left="4000" w:hanging="199"/>
      </w:pPr>
      <w:rPr>
        <w:rFonts w:hint="default"/>
        <w:lang w:val="sv-SE" w:eastAsia="sv-SE" w:bidi="sv-SE"/>
      </w:rPr>
    </w:lvl>
    <w:lvl w:ilvl="7" w:tplc="A57C080A">
      <w:numFmt w:val="bullet"/>
      <w:lvlText w:val="•"/>
      <w:lvlJc w:val="left"/>
      <w:pPr>
        <w:ind w:left="4613" w:hanging="199"/>
      </w:pPr>
      <w:rPr>
        <w:rFonts w:hint="default"/>
        <w:lang w:val="sv-SE" w:eastAsia="sv-SE" w:bidi="sv-SE"/>
      </w:rPr>
    </w:lvl>
    <w:lvl w:ilvl="8" w:tplc="D0B8D752">
      <w:numFmt w:val="bullet"/>
      <w:lvlText w:val="•"/>
      <w:lvlJc w:val="left"/>
      <w:pPr>
        <w:ind w:left="5226" w:hanging="199"/>
      </w:pPr>
      <w:rPr>
        <w:rFonts w:hint="default"/>
        <w:lang w:val="sv-SE" w:eastAsia="sv-SE" w:bidi="sv-SE"/>
      </w:rPr>
    </w:lvl>
  </w:abstractNum>
  <w:abstractNum w:abstractNumId="3" w15:restartNumberingAfterBreak="0">
    <w:nsid w:val="75B322EB"/>
    <w:multiLevelType w:val="hybridMultilevel"/>
    <w:tmpl w:val="9434F28E"/>
    <w:lvl w:ilvl="0" w:tplc="B284F896">
      <w:start w:val="4"/>
      <w:numFmt w:val="decimal"/>
      <w:lvlText w:val="%1"/>
      <w:lvlJc w:val="left"/>
      <w:pPr>
        <w:ind w:left="117" w:hanging="191"/>
        <w:jc w:val="left"/>
      </w:pPr>
      <w:rPr>
        <w:rFonts w:ascii="Times New Roman" w:eastAsia="Times New Roman" w:hAnsi="Times New Roman" w:cs="Times New Roman" w:hint="default"/>
        <w:b/>
        <w:bCs/>
        <w:spacing w:val="-8"/>
        <w:w w:val="100"/>
        <w:sz w:val="19"/>
        <w:szCs w:val="19"/>
        <w:lang w:val="sv-SE" w:eastAsia="sv-SE" w:bidi="sv-SE"/>
      </w:rPr>
    </w:lvl>
    <w:lvl w:ilvl="1" w:tplc="393E4A44">
      <w:numFmt w:val="bullet"/>
      <w:lvlText w:val="•"/>
      <w:lvlJc w:val="left"/>
      <w:pPr>
        <w:ind w:left="400" w:hanging="191"/>
      </w:pPr>
      <w:rPr>
        <w:rFonts w:hint="default"/>
        <w:lang w:val="sv-SE" w:eastAsia="sv-SE" w:bidi="sv-SE"/>
      </w:rPr>
    </w:lvl>
    <w:lvl w:ilvl="2" w:tplc="6742EC7E">
      <w:numFmt w:val="bullet"/>
      <w:lvlText w:val="•"/>
      <w:lvlJc w:val="left"/>
      <w:pPr>
        <w:ind w:left="892" w:hanging="191"/>
      </w:pPr>
      <w:rPr>
        <w:rFonts w:hint="default"/>
        <w:lang w:val="sv-SE" w:eastAsia="sv-SE" w:bidi="sv-SE"/>
      </w:rPr>
    </w:lvl>
    <w:lvl w:ilvl="3" w:tplc="458C596A">
      <w:numFmt w:val="bullet"/>
      <w:lvlText w:val="•"/>
      <w:lvlJc w:val="left"/>
      <w:pPr>
        <w:ind w:left="1385" w:hanging="191"/>
      </w:pPr>
      <w:rPr>
        <w:rFonts w:hint="default"/>
        <w:lang w:val="sv-SE" w:eastAsia="sv-SE" w:bidi="sv-SE"/>
      </w:rPr>
    </w:lvl>
    <w:lvl w:ilvl="4" w:tplc="A57C0292">
      <w:numFmt w:val="bullet"/>
      <w:lvlText w:val="•"/>
      <w:lvlJc w:val="left"/>
      <w:pPr>
        <w:ind w:left="1878" w:hanging="191"/>
      </w:pPr>
      <w:rPr>
        <w:rFonts w:hint="default"/>
        <w:lang w:val="sv-SE" w:eastAsia="sv-SE" w:bidi="sv-SE"/>
      </w:rPr>
    </w:lvl>
    <w:lvl w:ilvl="5" w:tplc="EAD81622">
      <w:numFmt w:val="bullet"/>
      <w:lvlText w:val="•"/>
      <w:lvlJc w:val="left"/>
      <w:pPr>
        <w:ind w:left="2371" w:hanging="191"/>
      </w:pPr>
      <w:rPr>
        <w:rFonts w:hint="default"/>
        <w:lang w:val="sv-SE" w:eastAsia="sv-SE" w:bidi="sv-SE"/>
      </w:rPr>
    </w:lvl>
    <w:lvl w:ilvl="6" w:tplc="79FE8E66">
      <w:numFmt w:val="bullet"/>
      <w:lvlText w:val="•"/>
      <w:lvlJc w:val="left"/>
      <w:pPr>
        <w:ind w:left="2864" w:hanging="191"/>
      </w:pPr>
      <w:rPr>
        <w:rFonts w:hint="default"/>
        <w:lang w:val="sv-SE" w:eastAsia="sv-SE" w:bidi="sv-SE"/>
      </w:rPr>
    </w:lvl>
    <w:lvl w:ilvl="7" w:tplc="48705B1C">
      <w:numFmt w:val="bullet"/>
      <w:lvlText w:val="•"/>
      <w:lvlJc w:val="left"/>
      <w:pPr>
        <w:ind w:left="3357" w:hanging="191"/>
      </w:pPr>
      <w:rPr>
        <w:rFonts w:hint="default"/>
        <w:lang w:val="sv-SE" w:eastAsia="sv-SE" w:bidi="sv-SE"/>
      </w:rPr>
    </w:lvl>
    <w:lvl w:ilvl="8" w:tplc="9DD4479E">
      <w:numFmt w:val="bullet"/>
      <w:lvlText w:val="•"/>
      <w:lvlJc w:val="left"/>
      <w:pPr>
        <w:ind w:left="3850" w:hanging="191"/>
      </w:pPr>
      <w:rPr>
        <w:rFonts w:hint="default"/>
        <w:lang w:val="sv-SE" w:eastAsia="sv-SE" w:bidi="sv-SE"/>
      </w:rPr>
    </w:lvl>
  </w:abstractNum>
  <w:abstractNum w:abstractNumId="4" w15:restartNumberingAfterBreak="0">
    <w:nsid w:val="781053DB"/>
    <w:multiLevelType w:val="hybridMultilevel"/>
    <w:tmpl w:val="78DE761A"/>
    <w:lvl w:ilvl="0" w:tplc="46523CC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0C929874">
      <w:numFmt w:val="bullet"/>
      <w:lvlText w:val="•"/>
      <w:lvlJc w:val="left"/>
      <w:pPr>
        <w:ind w:left="933" w:hanging="199"/>
      </w:pPr>
      <w:rPr>
        <w:rFonts w:hint="default"/>
        <w:lang w:val="sv-SE" w:eastAsia="sv-SE" w:bidi="sv-SE"/>
      </w:rPr>
    </w:lvl>
    <w:lvl w:ilvl="2" w:tplc="1D466E7E">
      <w:numFmt w:val="bullet"/>
      <w:lvlText w:val="•"/>
      <w:lvlJc w:val="left"/>
      <w:pPr>
        <w:ind w:left="1546" w:hanging="199"/>
      </w:pPr>
      <w:rPr>
        <w:rFonts w:hint="default"/>
        <w:lang w:val="sv-SE" w:eastAsia="sv-SE" w:bidi="sv-SE"/>
      </w:rPr>
    </w:lvl>
    <w:lvl w:ilvl="3" w:tplc="7B32C61C">
      <w:numFmt w:val="bullet"/>
      <w:lvlText w:val="•"/>
      <w:lvlJc w:val="left"/>
      <w:pPr>
        <w:ind w:left="2160" w:hanging="199"/>
      </w:pPr>
      <w:rPr>
        <w:rFonts w:hint="default"/>
        <w:lang w:val="sv-SE" w:eastAsia="sv-SE" w:bidi="sv-SE"/>
      </w:rPr>
    </w:lvl>
    <w:lvl w:ilvl="4" w:tplc="CC2A008E">
      <w:numFmt w:val="bullet"/>
      <w:lvlText w:val="•"/>
      <w:lvlJc w:val="left"/>
      <w:pPr>
        <w:ind w:left="2773" w:hanging="199"/>
      </w:pPr>
      <w:rPr>
        <w:rFonts w:hint="default"/>
        <w:lang w:val="sv-SE" w:eastAsia="sv-SE" w:bidi="sv-SE"/>
      </w:rPr>
    </w:lvl>
    <w:lvl w:ilvl="5" w:tplc="BFD03AA2">
      <w:numFmt w:val="bullet"/>
      <w:lvlText w:val="•"/>
      <w:lvlJc w:val="left"/>
      <w:pPr>
        <w:ind w:left="3386" w:hanging="199"/>
      </w:pPr>
      <w:rPr>
        <w:rFonts w:hint="default"/>
        <w:lang w:val="sv-SE" w:eastAsia="sv-SE" w:bidi="sv-SE"/>
      </w:rPr>
    </w:lvl>
    <w:lvl w:ilvl="6" w:tplc="BFA48664">
      <w:numFmt w:val="bullet"/>
      <w:lvlText w:val="•"/>
      <w:lvlJc w:val="left"/>
      <w:pPr>
        <w:ind w:left="4000" w:hanging="199"/>
      </w:pPr>
      <w:rPr>
        <w:rFonts w:hint="default"/>
        <w:lang w:val="sv-SE" w:eastAsia="sv-SE" w:bidi="sv-SE"/>
      </w:rPr>
    </w:lvl>
    <w:lvl w:ilvl="7" w:tplc="4F0CD3C6">
      <w:numFmt w:val="bullet"/>
      <w:lvlText w:val="•"/>
      <w:lvlJc w:val="left"/>
      <w:pPr>
        <w:ind w:left="4613" w:hanging="199"/>
      </w:pPr>
      <w:rPr>
        <w:rFonts w:hint="default"/>
        <w:lang w:val="sv-SE" w:eastAsia="sv-SE" w:bidi="sv-SE"/>
      </w:rPr>
    </w:lvl>
    <w:lvl w:ilvl="8" w:tplc="00F4FAC6">
      <w:numFmt w:val="bullet"/>
      <w:lvlText w:val="•"/>
      <w:lvlJc w:val="left"/>
      <w:pPr>
        <w:ind w:left="5226" w:hanging="199"/>
      </w:pPr>
      <w:rPr>
        <w:rFonts w:hint="default"/>
        <w:lang w:val="sv-SE" w:eastAsia="sv-SE" w:bidi="sv-S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2416E"/>
    <w:rsid w:val="00534832"/>
    <w:rsid w:val="00581179"/>
    <w:rsid w:val="00581354"/>
    <w:rsid w:val="00A2416E"/>
    <w:rsid w:val="00A812BE"/>
    <w:rsid w:val="00CB6CEC"/>
    <w:rsid w:val="00CD6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978AA5"/>
  <w15:docId w15:val="{3431FC6E-06A0-4218-8771-913709B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sv-SE" w:bidi="sv-SE"/>
    </w:rPr>
  </w:style>
  <w:style w:type="paragraph" w:styleId="Rubrik1">
    <w:name w:val="heading 1"/>
    <w:basedOn w:val="Normal"/>
    <w:uiPriority w:val="9"/>
    <w:qFormat/>
    <w:pPr>
      <w:spacing w:before="71"/>
      <w:ind w:right="33"/>
      <w:outlineLvl w:val="0"/>
    </w:pPr>
    <w:rPr>
      <w:b/>
      <w:bCs/>
      <w:sz w:val="26"/>
      <w:szCs w:val="26"/>
    </w:rPr>
  </w:style>
  <w:style w:type="paragraph" w:styleId="Rubrik2">
    <w:name w:val="heading 2"/>
    <w:basedOn w:val="Normal"/>
    <w:uiPriority w:val="9"/>
    <w:unhideWhenUsed/>
    <w:qFormat/>
    <w:pPr>
      <w:spacing w:before="73"/>
      <w:ind w:left="117"/>
      <w:outlineLvl w:val="1"/>
    </w:pPr>
    <w:rPr>
      <w:b/>
      <w:bCs/>
      <w:sz w:val="21"/>
      <w:szCs w:val="21"/>
    </w:rPr>
  </w:style>
  <w:style w:type="paragraph" w:styleId="Rubrik3">
    <w:name w:val="heading 3"/>
    <w:basedOn w:val="Normal"/>
    <w:uiPriority w:val="9"/>
    <w:unhideWhenUsed/>
    <w:qFormat/>
    <w:pPr>
      <w:spacing w:before="1"/>
      <w:ind w:left="117"/>
      <w:outlineLvl w:val="2"/>
    </w:pPr>
    <w:rPr>
      <w:rFonts w:ascii="HelveticaNeueLT Std Cn" w:eastAsia="HelveticaNeueLT Std Cn" w:hAnsi="HelveticaNeueLT Std Cn" w:cs="HelveticaNeueLT Std C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9"/>
      <w:szCs w:val="19"/>
    </w:rPr>
  </w:style>
  <w:style w:type="paragraph" w:styleId="Liststycke">
    <w:name w:val="List Paragraph"/>
    <w:basedOn w:val="Normal"/>
    <w:uiPriority w:val="1"/>
    <w:qFormat/>
    <w:pPr>
      <w:spacing w:before="68"/>
      <w:ind w:left="315" w:hanging="199"/>
    </w:pPr>
  </w:style>
  <w:style w:type="paragraph" w:customStyle="1" w:styleId="TableParagraph">
    <w:name w:val="Table Paragraph"/>
    <w:basedOn w:val="Normal"/>
    <w:uiPriority w:val="1"/>
    <w:qFormat/>
    <w:pPr>
      <w:spacing w:before="36"/>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1933</Words>
  <Characters>10246</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STEMFS 2021:2 Föreskrifter om ändring av Statens energimyndighets föreskrifter (STEMFS 2017:3) om rapportering och beräkning enligt drivmedelslagen</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STEMFS 2021:2 Föreskrifter om ändring av Statens energimyndighets föreskrifter (STEMFS 2017:3) om rapportering och beräkning enligt drivmedelslagen</dc:title>
  <dc:creator>Rikard Janson (chefsjurist)</dc:creator>
  <cp:keywords>STEMFS 2021:2 Föreskrifter om ändring av Statens energimyndighets föreskrifter (STEMFS 2017:3) om rapportering och beräkning enligt drivmedelslagen</cp:keywords>
  <cp:lastModifiedBy>Edison Moises Parraga Chica</cp:lastModifiedBy>
  <cp:revision>4</cp:revision>
  <dcterms:created xsi:type="dcterms:W3CDTF">2021-04-07T09:34:00Z</dcterms:created>
  <dcterms:modified xsi:type="dcterms:W3CDTF">2022-01-17T13:36:00Z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InDesign 16.0 (Windows)</vt:lpwstr>
  </property>
  <property fmtid="{D5CDD505-2E9C-101B-9397-08002B2CF9AE}" pid="4" name="LastSaved">
    <vt:filetime>2021-04-07T00:00:00Z</vt:filetime>
  </property>
</Properties>
</file>