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D8119F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0019</w:t>
      </w:r>
      <w:bookmarkStart w:id="0" w:name="_GoBack"/>
      <w:bookmarkEnd w:id="0"/>
      <w:r w:rsidR="00CA739A">
        <w:rPr>
          <w:rFonts w:ascii="Courier New" w:hAnsi="Courier New"/>
          <w:sz w:val="20"/>
          <w:szCs w:val="20"/>
        </w:rPr>
        <w:t xml:space="preserve"> A-- CS- ------ 2020012</w:t>
      </w:r>
      <w:r w:rsidR="003F74CC">
        <w:rPr>
          <w:rFonts w:ascii="Courier New" w:hAnsi="Courier New"/>
          <w:sz w:val="20"/>
          <w:szCs w:val="20"/>
        </w:rPr>
        <w:t>4</w:t>
      </w:r>
      <w:r w:rsidR="00CA739A">
        <w:rPr>
          <w:rFonts w:ascii="Courier New" w:hAnsi="Courier New"/>
          <w:sz w:val="20"/>
          <w:szCs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Nařízení obecní rady města Vídně, kterým se stanovuj</w:t>
      </w:r>
      <w:r w:rsidR="00ED4618">
        <w:rPr>
          <w:rFonts w:ascii="Arial" w:hAnsi="Arial"/>
          <w:b/>
          <w:bCs/>
        </w:rPr>
        <w:t>e Energetický územní plán pro 16</w:t>
      </w:r>
      <w:r>
        <w:rPr>
          <w:rFonts w:ascii="Arial" w:hAnsi="Arial"/>
          <w:b/>
          <w:bCs/>
        </w:rPr>
        <w:t xml:space="preserve">. obvod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Podle § 2b Stavebního řádu pro Vídeň (BO), Zemská sbírka zákonů pro Vídeň č.11/1930, naposledy změněného zákonem Zemské sbírky zákonů pro Vídeň č. 71/2018, se nařizuje: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Pro oblasti, které jsou v příloze zobrazeny oranžovým šrafováním a jsou oranžově ohraničeny, se stanovuje Energetický územní plán podle § 2b BO. Dopravní plochy jsou z platnosti nařízení vyjmuty.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Příloha (přiložený plán) tvoří součást tohoto nařízení.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V oblastech zachycených v Energetickém územním plánu jsou pro topná zařízení a zařízení na přípravu TUV v novostavbách podle § 60 odst. 1 písm. a BO přípustné pouze vysoce efektivní alternativní systémy vyjmenované v § 118 odst. 3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Toto nařízení bylo notifikováno (notifikační číslo 2020/xx/A) na základě ustanovení směrnice (EU) 2015/1535 Evropského parlamentu a Rady ze dne 9. září 2015 o informačních řízeních v oblasti norem a technických předpisů a předpisů pro služby informační společnosti, Úř. věst. č. L 241 ze dne 17.9.2015.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Toto nařízení vstupuje v platnost tři měsíce po jeho vyhlášení.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Toto nařízení se nevztahuje na žádná stavební řízení, která byla již zahájena před vstupem nařízení v platnost.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Předsedající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Příloha</w:t>
      </w:r>
    </w:p>
    <w:p w:rsidR="0040032E" w:rsidRPr="0040032E" w:rsidRDefault="00ED4618" w:rsidP="0040032E">
      <w:pPr>
        <w:rPr>
          <w:rFonts w:ascii="Arial" w:hAnsi="Arial" w:cs="Arial"/>
        </w:rPr>
      </w:pPr>
      <w:r>
        <w:rPr>
          <w:rFonts w:ascii="Arial" w:hAnsi="Arial"/>
        </w:rPr>
        <w:t>Plán č. Bez16</w:t>
      </w:r>
      <w:r w:rsidR="00253ECD"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0E" w:rsidRDefault="00D0700E" w:rsidP="00F76E71">
      <w:pPr>
        <w:spacing w:after="0" w:line="240" w:lineRule="auto"/>
      </w:pPr>
      <w:r>
        <w:separator/>
      </w:r>
    </w:p>
  </w:endnote>
  <w:endnote w:type="continuationSeparator" w:id="0">
    <w:p w:rsidR="00D0700E" w:rsidRDefault="00D0700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0E" w:rsidRDefault="00D0700E" w:rsidP="00F76E71">
      <w:pPr>
        <w:spacing w:after="0" w:line="240" w:lineRule="auto"/>
      </w:pPr>
      <w:r>
        <w:separator/>
      </w:r>
    </w:p>
  </w:footnote>
  <w:footnote w:type="continuationSeparator" w:id="0">
    <w:p w:rsidR="00D0700E" w:rsidRDefault="00D0700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3F74CC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B1B11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0700E"/>
    <w:rsid w:val="00D66204"/>
    <w:rsid w:val="00D8119F"/>
    <w:rsid w:val="00DA51F3"/>
    <w:rsid w:val="00DB0F7E"/>
    <w:rsid w:val="00EA0AD0"/>
    <w:rsid w:val="00EA5230"/>
    <w:rsid w:val="00ED4618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65989C2E-8E04-4F9E-AA02-F737C712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7</cp:revision>
  <cp:lastPrinted>2019-07-25T07:15:00Z</cp:lastPrinted>
  <dcterms:created xsi:type="dcterms:W3CDTF">2020-01-13T13:29:00Z</dcterms:created>
  <dcterms:modified xsi:type="dcterms:W3CDTF">2020-01-23T15:57:00Z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