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80401" w:rsidRPr="00080401" w14:paraId="3EF4E0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1036" w14:textId="1470ADA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caps/>
                <w:sz w:val="24"/>
                <w:rFonts w:ascii="Times New Roman" w:hAnsi="Times New Roman"/>
              </w:rPr>
              <w:t xml:space="preserve">FEDERALNA SŁUŻBA PUBLICZNA DS. ZDROWIA</w:t>
            </w:r>
          </w:p>
        </w:tc>
      </w:tr>
      <w:tr w:rsidR="00080401" w:rsidRPr="00080401" w14:paraId="488AE5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416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Projekt ustawy o wprowadzeniu oceny możliwości naprawy i trwałości oraz rozpowszechnianiu informacji na temat okresu kompatybilności oprogramowania produktów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7A4BB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BF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87188A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B367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FILIP,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E6A3CE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BELGÓW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B0270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do wszystkich żyjących i przyszłych obywateli,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CD592E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Z POZDROWIENIAMI.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ECBB64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4354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Na wniosek naszego Ministra ds. Klimatu, Środowiska, Zrównoważonego Rozwoju i Zielonego Ładu,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7CE85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E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3553BC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5F92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SPIS TREŚCI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F63E4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651FB7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Celem projektu tej ustawy jest promowanie napraw i wydłużania trwałości użytkowej produktów w celu ograniczenia ich wpływu na środowisko.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Projekt ustawy stanowi również podstawę prawną do stworzenia oceny możliwości naprawy, która zostanie uzupełniona o ocenę trwałości, obowiązek dostarczania informacji na temat okresu kompatybilności oprogramowania oraz rozporządzenia wykonawcze, które zostaną wydane w tym kontekście.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228D3E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3066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E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AF46B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864A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NOTA WYJAŚNIAJĄCA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A490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4D893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Panie i panowie,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494FDD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DAB6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Projekt ten ma na celu promowanie napraw i wydłużania trwałości użytkowej produktów w celu ograniczenia ich wpływu na środowisko.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W tym celu wprowadza się ocenę możliwości naprawy i trwałości.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Te oceny są obliczane na podstawie obiektywnych kryteriów, które umożliwiają ocenę możliwości naprawy i trwałości produktu.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Projekt przewiduje również wprowadzenie obowiązku dostarczania informacji na temat okresu kompatybilności oprogramowania.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Obowiązek ten polega na informowaniu użytkownika końcowego o okresie, przez jaki produkt będzie w stanie przyjmować kolejne aktualizacje, które są niezbędne do jego prawidłowego funkcjonowania.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BA4FD2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Stworzenie oceny możliwości naprawy, która zostanie ostatecznie uzupełniona o ocenę trwałości i wprowadzenie obowiązku dostarczania informacji na temat okresu kompatybilności oprogramowania, ma na celu wydłużenie trwałości użytkowej produktów, co ze względów środowiskowych jest obecnie niezbędne.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39040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Każdego roku na rynek belgijski jest wprowadzanych około 160 milionów urządzeń elektrycznych i elektronicznych o masie 245 000 ton.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Szacuje się, że 420 milionów sztuk jest nadal w obiegu, z czego 87% nadal jest w użyciu.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Te urządzenia gospodarstwa domowego, od sprzętu RTV i AGD po małe urządzenia elektroniczne, takie jak smartfony i laptopy, mają znaczący wpływ na środowisko.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FFE810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Ponadto każdego roku wytwarzanych jest około 120 000 ton odpadów elektrycznych i elektronicznych.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Liczba ta jest w rzeczywistości zaniżona, ponieważ znaczna część tych odpadów znika za pośrednictwem kanałów, dla których nie przewiduje się żadnej metody rejestracji.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Część tych odpadów jest przetwarzana nielegalnymi kanałami.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Niektóre urządzenia wycofane z eksploatacji są nawet eksportowane do krajów, w których nie ma możliwości recyklingu i w których utylizacja odpadów odbywa się bez kontroli, ze szkodą dla środowiska i zdrowia.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Dłuższa trwałość użytkowa zmniejszy zatem ilość odpadów.</w:t>
            </w:r>
            <w:r>
              <w:rPr>
                <w:sz w:val="24"/>
                <w:rFonts w:ascii="Times New Roman" w:hAnsi="Times New Roman"/>
              </w:rPr>
              <w:t xml:space="preserve">    </w:t>
            </w:r>
          </w:p>
          <w:p w14:paraId="11A84A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Ponadto szybkie pozbywanie się tych produktów prowadzi do utraty znacznej ilości surowców.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W rzeczywistości około 14% śladu materiałowego związanego z wykorzystaniem towarów konsumpcyjnych przez belgijskie gospodarstwa domowe pochodzi z urządzeń elektrycznych.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Wydobycie surowców prowadzi do dużej presji środowiskowej na poziomie lokalnym w wyniku działalności wydobywczej.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Powoduje to poważne zakłócenia ekosystemów oraz lokalne skażenia wody i gleby.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Rosnące zapotrzebowanie na surowce prowadzi do planów otwarcia nowych kopalń w Europie.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Rośnie również zapotrzebowanie na górnictwo głębinowe na dużą skalę.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Takie wydobycie doprowadziłoby do zakłócenia środowiska morskiego.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Niektóre z tych surowców są uważane za krytyczne, tj. są ważne z ekonomicznego punktu widzenia, ale nie są one pozyskiwane ze względów gospodarczych lub geopolitycznych.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03169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Lista surowców uznanych za krytyczne, po raz pierwszy sporządzona przez Komisję Europejską w 2011 r., powiększa się w miarę jej aktualizacji.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Stanowi to zatem zagrożenie dla transformacji energetycznej i cyfryzacji, które wymagają wielu surowców uznanych za krytyczne, zwłaszcza w dziedzinie tworzenia infrastruktury do wytwarzania i magazynowania zielonej energii (panele słoneczne, turbiny wiatrowe i akumulatory).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ACEB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Produkcja urządzeń elektrycznych jest źródłem znacznych emisji CO2.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Około 16% śladu węglowego związanego z wykorzystaniem towarów konsumpcyjnych przez belgijskie gospodarstwa domowe pochodzi z urządzeń elektrycznych.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Produkcja urządzeń elektrycznych powoduje emisję około 3 000 000 ton CO2 rocznie.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Dłuższa trwałość użytkowa urządzeń prowadzi zatem do zmniejszenia emisji CO2 w całym łańcuchu produkcyjnym.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ED71E5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Ze względów społeczno-ekonomicznych pożądane jest również, aby na rynku była dostępna większa liczba urządzeń, które są łatwiejsze do naprawy.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Podczas gdy nowe urządzenia są produkowane głównie poza Belgią, naprawa wpływa na tworzenie miejsc pracy na szczeblu lokalnym.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Branża napraw już dziś odgrywa istotną rolę.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Belg wydaje średnio 10 euro rocznie na naprawę sprzętu gospodarstwa domowego.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 kwota uwzględnia tylko te naprawy, dla których istnieją oficjalne dane liczbowe.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Szacunki wskazują, że w praktyce około połowa napraw odbywa się w środowisku nieoficjalnym.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Dłuższa trwałość użytkowa zmniejsza koszt cyklu życia urządzenia.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Jest to koszt, który uwzględnia zarówno cenę zakupu, jak i trwałość użytkową urządzenia, a także koszt jego konserwacji i napraw.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Studia przypadków dla odkurzaczy i pralek pokazują, że naprawa urządzenia jest często tańsza niż zastąpienie go nowym.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Urządzenia o dłuższej trwałości użytkowej tworzą również większy rynek sprzedaży urządzeń używanych.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Prawie 40% gospodarstw domowych posiada jedno lub więcej urządzeń używanych.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10% urządzeń to urządzenia używane.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21% używanych urządzeń elektrycznych zastępuje nowe.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Nie tylko zmniejsza to szkody środowiskowe, ale także zapewnia urządzenia w niższej cenie, dzięki czemu urządzenia dobrej jakości są dostępne dla większej liczby osób.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B36B3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Niniejsza inicjatywa ustawodawcza jest częścią federalnego planu działania na rzecz gospodarki o obiegu zamkniętym przyjętego przez Radę Ministrów w dniu 17 grudnia 2021 r.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Jest ona w dużej mierze zainspirowana przez Francję, która wdrożyła ocenę możliwości naprawy oraz obowiązek dostarczania informacji na temat kompatybilności oprogramowania w dniu 1</w:t>
            </w:r>
            <w:r>
              <w:rPr>
                <w:sz w:val="24"/>
                <w:rFonts w:ascii="Times New Roman" w:hAnsi="Times New Roman"/>
              </w:rPr>
              <w:t xml:space="preserve"> stycznia 2021 r. w ramach ustawy o przeciwdziałaniu odpadom oraz na rzecz gospodarki o obiegu zamkniętym ogłoszonej 10 lutego 2020 r.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7263BA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Niniejsza inicjatywa ustawodawcza przyczynia się zatem do ochrony środowiska naturalnego poprzez promowanie produktów trwałych i zapewniających możliwość naprawy.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Ułatwi ona użytkownikowi końcowemu uzyskanie informacji na temat możliwości naprawy i trwałości produktu, który chce kupić.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 drugie, przewiduje ona, że wprowadzenie omawianych produktów do obrotu będzie uzależnione od uzyskania minimalnego wyniku.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0CA975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Projekt ustawy jest zatem narzędziem do walki z szybkim starzeniem się produktów, tak aby uniknąć ich przedwczesnej utylizacji i zachować zasoby naturalne niezbędne do ich produkcji.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1C7DC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Zakres tych środków będzie realizowany etapami.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Kategorie produktów, o których mowa, zostaną zdefiniowane i mogą zostać poszerzone na mocy dekretów królewskich rozpatrzonych w Radzie Ministrów.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123C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Przekazywanie ocen oraz informacji na temat kompatybilności oprogramowania zostanie również określone w dekrecie królewskim.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Jest to uzasadnione z organizacyjnego punktu widzenia.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Praca etapowa zapewnia praktyczną wykonalność tych środków, które wymagają pewnego czasu na dostosowanie.</w:t>
            </w:r>
            <w:r>
              <w:rPr>
                <w:sz w:val="24"/>
                <w:rFonts w:ascii="Times New Roman" w:hAnsi="Times New Roman"/>
              </w:rPr>
              <w:t xml:space="preserve">   </w:t>
            </w:r>
          </w:p>
        </w:tc>
      </w:tr>
      <w:tr w:rsidR="00080401" w:rsidRPr="00080401" w14:paraId="6E75A05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9A4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47C2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704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UWAGI DO ARTYKUŁÓW</w:t>
            </w: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8C7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E9F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Artykuł 1</w:t>
            </w:r>
            <w:r>
              <w:rPr>
                <w:sz w:val="19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6B68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704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określa konstytucyjne podstawy kompetencji.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10BBE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11E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AE36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8D1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zawiera definicje poszczególnych terminów użytych w ustawie i jej dekretach.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66F30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3EA7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3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9DD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5F6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zawiera cel ustawy.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1A44E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4332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4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64E96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1B8B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W tym artykule określono kryteria, które należy wziąć pod uwagę przy ustalaniu oceny możliwości naprawy.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7A929A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rozpatrzonego w Radzie Ministrów listę produktów objętych oceną możliwości naprawy, normy techniczne według kategorii produktów umożliwiające ustalenie wyników dla każdego z kryteriów oceny oraz sposób obliczania ogólnej oceny możliwości naprawy.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B034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metody i format komunikacji oceny, a także dostępność norm technicznych.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5C8BF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rozpatrzonego w Radzie Ministrów minimalną wartość oceny możliwości naprawy dla każdej odpowiedniej kategorii produktów jako warunek ich wprowadzenia do obrotu.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Regiony są zaangażowane w ten projekt dekretu królewskiego w ramach Międzyresortowej Konferencji ds. Środowiska.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Zwrócono się do Centralnej Rady Gospodarczej, Rady ds. Konsumentów i Federalnej Rady ds. Zrównoważonego Rozwoju o wydanie opinii w sprawie tego projektu dekretu królewskiego.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15F76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AF2741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D618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071E1F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9B9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przewiduje, że osoba odpowiedzialna za wprowadzenie produktów na rynek będzie zobowiązana do dostarczenia informacji na temat okresu kompatybilności oprogramowania tych produktów.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5C954F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rozpatrzonego w Radzie Ministrów wykaz objętych nim produktów.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CD0C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metody i format komunikacji informacji na temat okresu kompatybilności oprogramowania.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Król określa również dostępność parametrów, które umożliwiły ustalenie okresu kompatybilności oprogramowania.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</w:tc>
      </w:tr>
      <w:tr w:rsidR="00080401" w:rsidRPr="00080401" w14:paraId="7299DE1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202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0B4B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369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rozpatrzonego w Radzie Ministrów listę produktów objętych oceną trwałości, normy techniczne według kategorii produktów umożliwiające ustalenie wyników dla każdego z kryteriów oceny oraz sposób obliczania ogólnej oceny trwałości.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198E9F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metody i format komunikacji oceny, a także dostępność norm technicznych.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25540D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rozpatrzonego w Radzie Ministrów minimalną wartość oceny trwałości dla każdej odpowiedniej kategorii produktów jako warunek ich wprowadzenia do obrotu.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Regiony są zaangażowane w ten projekt dekretu królewskiego w ramach Międzyresortowej Konferencji ds. Środowiska.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Zwrócono się do Centralnej Rady Gospodarczej, Rady ds. Konsumentów i Federalnej Rady ds. Zrównoważonego Rozwoju o wydanie opinii w sprawie tego projektu dekretu królewskiego.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3BA4445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W niniejszym artykule ustanawia się kryterium oceny trwałości, które w drugim etapie uzupełni ocenę możliwości naprawy.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DF13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4F1A1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ABC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Artykuł 7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A1FD2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230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przewiduje przetwarzanie danych osobowych w art. 8, 9, 10 i 11.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FA3C10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32EF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Artykuł 8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23DA8F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131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określa odpowiedzialność producentów, importerów, dystrybutorów i sprzedawców produktów poprzez rozróżnienie między dostarczaniem informacji a rozpowszechnianiem informacji.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48E8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1DC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Artykuł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8EBBE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F4A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określa inspektorów właściwych do kontroli projektu ustawy.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Są to służby kontrolne Dyrekcji Generalnej ds. Środowiska Federalnej Służby Publicznej ds. Zdrowia, Bezpieczeństwa Łańcucha Żywnościowego oraz Środowiska.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3F182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Król określa na mocy dekretu królewskiego przepisy techniczne dotyczące kontroli, w tym w kontekście kontroli produktów sprzedawanych online.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2095C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B730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Artykuł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3372E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4B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zawiera system sankcji karnych przewidzianych w art. 4 ust. 4 i art. 6 ust. 4.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E7F6B4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39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Artykuł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26040B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CA8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zawiera przepisy proceduralne mające zastosowanie do sankcji karnych.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717AF5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F4B4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Artykuł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EA16E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F9B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zawiera system sankcji administracyjnych przewidzianych w projekcie ustawy.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FBADDE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CD31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Artykuł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B59F02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03B9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 artykuł dotyczy wejścia w życie ustawy, a konkretnie sześć miesięcy po jej opublikowaniu w belgijskim Dzienniku Urzędowym.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49F0B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11F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0A51C2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98F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NINIEJSZYM USTANAWIAMY, CO NASTĘPUJE: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66F4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22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449058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C4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Minister ds. Klimatu, Środowiska, Zrównoważonego Rozwoju i Zielonego Ładu jest odpowiedzialny za wprowadzenie w naszym imieniu do Izby Reprezentantów następującego projektu ustawy: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95015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9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6B404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0536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ROZDZIAŁ I – Przepisy wstępne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334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925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516A9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F6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 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6162BDF" w14:textId="77777777" w:rsidTr="00080401">
        <w:trPr>
          <w:trHeight w:val="57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20A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Niniejsza ustawa reguluje kwestię, o której mowa w art. 74 Konstytucji.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90569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E077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F2526A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9ED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Do celów niniejszej ustawy stosuje się następujące definicje: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18A2F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E30465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„ocena możliwości naprawy”: ocena możliwości demontażu i naprawy produktu;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D07D11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 „kompatybilność oprogramowania”: informacje na temat okresu, przez jaki producent lub dostawca obsługują i aktualizują system operacyjny lub oprogramowanie w celu zapewnienia normalnego użytkowania produktu przez ostrożnego i rozsądnego użytkownika;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FEE77B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 „ocena trwałości”: ocena solidności i niezawodności produktu;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737F3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 „norma techniczna”: norma dotycząca charakterystyki technicznej produktu w celu obliczenia wyniku dla każdego kryterium;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BE47C1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 „instrukcja konserwacji”: dokument informacyjny mający na celu wyjaśnienie i ułatwienie konserwacji produktu;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790B5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(6) „instrukcja naprawy”: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dokument informacyjny mający na celu wyjaśnienie i ułatwienie naprawy produktu;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B40C8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(7) „niezawodność produktu”: prawdopodobieństwo, że produkt będzie pełnił swoje zamierzone funkcje w określonym czasie;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5152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(8) „solidność produktu”: solidność i wytrzymałość produktu;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9CF948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(9) „wprowadzenie do obrotu”:</w:t>
            </w:r>
            <w:r>
              <w:rPr>
                <w:sz w:val="24"/>
                <w:rFonts w:ascii="Times New Roman" w:hAnsi="Times New Roman"/>
              </w:rPr>
              <w:t xml:space="preserve">  </w:t>
            </w:r>
            <w:r>
              <w:rPr>
                <w:sz w:val="24"/>
                <w:rFonts w:ascii="Times New Roman" w:hAnsi="Times New Roman"/>
              </w:rPr>
              <w:t xml:space="preserve">wprowadzanie, importowanie lub przechowywanie w celu sprzedaży lub udostępnianie stronom trzecim, oferowanie sprzedaży, sprzedaż, wynajem, leasing lub przekazanie odpłatnie lub nieodpłatnie, w tym sprzedaż online;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B8244E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(10)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„osoba odpowiedzialna za wprowadzenie do obrotu”: producenci, importerzy, dystrybutorzy i sprzedawcy produktów objętych oceną możliwości naprawy i trwałości oraz obowiązkiem dostarczania informacji na temat okresu kompatybilności oprogramowania.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F9B2D4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D94F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8CC7A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97EF23" w14:textId="77777777" w:rsidTr="00080401">
        <w:trPr>
          <w:trHeight w:val="48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DF14" w14:textId="74ABF0C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4"/>
                <w:shd w:val="clear" w:color="auto" w:fill="FFFFFF"/>
                <w:rStyle w:val="normaltextrun"/>
                <w:b/>
                <w:rFonts w:ascii="Times New Roman" w:hAnsi="Times New Roman"/>
              </w:rPr>
              <w:t xml:space="preserve">ROZDZIAŁ II – Przepisy ogólne</w:t>
            </w:r>
            <w:r>
              <w:rPr>
                <w:color w:val="000000"/>
                <w:sz w:val="24"/>
                <w:shd w:val="clear" w:color="auto" w:fill="FFFFFF"/>
                <w:rStyle w:val="eop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8925D4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DE8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538D7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3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E5F231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F03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1B1E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Celem tej ustawy jest ochrona środowiska poprzez wprowadzenie oceny możliwości naprawy, która zostanie uzupełniona oceną trwałości, a także informowanie o kompatybilności oprogramowania produktów w celu promowania ich naprawy i wydłużenia okresu ich użytkowania.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Produkty objęte niniejszą ustawą odnoszą się wyłącznie do sprzedawanych nowych produktów, z wyłączeniem produktów używanych.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7876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1FA3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36C3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1564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Rozdział III – Ocena możliwości naprawy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2E45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143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FCDCFB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E5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4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4D9F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73F2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Dla produktów, o których mowa w art. 4 ust. 2, ustala się ocenę możliwości naprawy na podstawie następujących kryteriów: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C2DBB0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Dostępność informacji technicznych oraz instrukcji konserwacji i naprawy.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16D579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Łatwość demontażu danego produktu.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AC6C18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Dostępność na rynku części zamiennych oraz czas ich dostawy.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5FA5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Cena części zamiennych.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FE076F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Inne kryteria związane z produktem.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141F8E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AF61E0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EEA5B8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rozpatrzonego w Radzie Ministrów listę produktów objętych oceną możliwości naprawy oraz normy techniczne według kategorii produktów umożliwiające ustalenie wyników dla każdego z powyższych kryteriów.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również sposób obliczania ogólnej oceny możliwości naprawy.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FC6A00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metody i format komunikacji oceny możliwości naprawy.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również dostępność norm technicznych i obliczenie wyniku.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1F6707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rozpatrzonego w Radzie Ministrów minimalną wartość oceny możliwości naprawy dla każdej odpowiedniej kategorii produktów określonych w art. 4 ust. 2 niniejszej ustawy jako warunek ich wprowadzenia do obrotu.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Regiony są zaangażowane w ten projekt dekretu królewskiego w ramach Międzyresortowej Konferencji ds. Środowiska.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Zwrócono się do Centralnej Rady Gospodarczej, Rady ds. Konsumentów i Federalnej Rady ds. Zrównoważonego Rozwoju o wydanie opinii w sprawie tego projektu dekretu królewskiego.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645F8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A8353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8AA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5BA228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DE94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ROZDZIAŁ IV – Informacje na temat kompatybilności oprogramowania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71089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B6C9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F3F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A3B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27115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AEC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W przypadku produktów, o których mowa w art. 5 ust. 2, osoba odpowiedzialna za wprowadzenie do obrotu dostarcza</w:t>
            </w:r>
            <w:r>
              <w:rPr>
                <w:sz w:val="24"/>
                <w:rFonts w:ascii="Times New Roman" w:hAnsi="Times New Roman"/>
              </w:rPr>
              <w:t xml:space="preserve"> użytkownikowi końcowemu informacje na temat okresu kompatybilności oprogramowania.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A597A2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Ocena utrzymania cech występujących przy zakupie produktu uwzględnia zużycie związane z czasem, przez jaki produkt jest używany przez ostrożnego i starannego użytkownika.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5AF37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F4F33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922C6D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633F63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rozpatrzonego w Radzie Ministrów wykaz produktów objętych obowiązkiem dostarczania informacji na temat okresu kompatybilności oprogramowania.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727A2F7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47CCA7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metody i format komunikacji informacji na temat kompatybilności oprogramowania.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również dostępność parametrów, które umożliwiły ustalenie okresu kompatybilności oprogramowania.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7009B18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EF28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60287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BE294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Rozdział V – Ocena trwałości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116C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E7D1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D8F54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8E0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D3F0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915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Ocena trwałości, która uzupełnia ocenę możliwości naprawy, o której mowa w art. 4, dla produktów, o których mowa w art. 6 ust. 2, obliczona na podstawie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szczególnej niezawodności i solidności każdej kategorii produktów.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C4DD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rozpatrzonego w Radzie Ministrów listę produktów objętych oceną trwałości oraz normy techniczne umożliwiające ustalenie wyników i metodę obliczania wyników.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769B8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metody i format komunikacji oceny trwałości.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również dostępność informacji, które umożliwiły ustalenie oceny trwałości.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DDF5E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królewskiego rozpatrzonego w Radzie Ministrów minimalną wartość oceny trwałości dla każdej odpowiedniej kategorii produktów określonych w art. 6 ust. 2 niniejszej ustawy jako warunek ich wprowadzenia do obrotu.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Regiony są zaangażowane w ten projekt dekretu królewskiego w ramach Międzyresortowej Konferencji ds. Środowiska.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Zwrócono się do Centralnej Rady Gospodarczej, Rady ds. Konsumentów i Federalnej Rady ds. Zrównoważonego Rozwoju o wydanie opinii w sprawie tego projektu dekretu królewskiego.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644A7C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6D0F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b/>
                <w:rFonts w:ascii="Times New Roman" w:hAnsi="Times New Roman"/>
              </w:rPr>
              <w:t xml:space="preserve">Rozdział VI – Przetwarzanie danych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C07B43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BC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B0C16D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9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Artykuł 7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46A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4D7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Federalna Służba Publiczna ds. Zdrowia jest jedyną organizacją publiczną właściwą i odpowiedzialną za przetwarzanie danych osobowych w ramach art. 8, 9, 10 i 11 niniejszej ustawy.</w:t>
            </w:r>
            <w:r>
              <w:rPr>
                <w:sz w:val="24"/>
                <w:rFonts w:ascii="Times New Roman" w:hAnsi="Times New Roman"/>
              </w:rPr>
              <w:t xml:space="preserve"> 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Maksymalny okres przechowywania danych osobowych, które mają być przetwarzane, wynosi pięć lat.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4F4AE4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06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Rozdział VII – Odpowiedzialność</w:t>
            </w:r>
            <w:r>
              <w:rPr>
                <w:rFonts w:ascii="Times New Roman" w:hAnsi="Times New Roman"/>
              </w:rPr>
              <w:t xml:space="preserve"> </w:t>
            </w:r>
          </w:p>
          <w:p w14:paraId="4AE4C20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08C21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DAC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94C3C5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807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Artykuł 8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0351C5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3605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Producenci i importerzy produktów, o których mowa w art. 4 ust. 2, art. 5 ust. 2 i art. 6 ust. 2 niniejszej ustawy, są odpowiedzialni za zapewnienie oceny możliwości naprawy,</w:t>
            </w:r>
            <w:r>
              <w:rPr>
                <w:sz w:val="24"/>
                <w:rFonts w:ascii="Times New Roman" w:hAnsi="Times New Roman"/>
              </w:rPr>
              <w:t xml:space="preserve"> oceny trwałości oraz informacji na temat okresu kompatybilności oprogramowania produktów.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88302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509AA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Sprzedawcy i dystrybutorzy produktów, o których mowa w art. 4 ust. 2, art. 5 ust. 2 i art. 6 ust. 2 niniejszej ustawy, są odpowiedzialni za przekazanie oceny możliwości naprawy, oceny</w:t>
            </w:r>
            <w:r>
              <w:rPr>
                <w:sz w:val="24"/>
                <w:rFonts w:ascii="Times New Roman" w:hAnsi="Times New Roman"/>
              </w:rPr>
              <w:t xml:space="preserve"> trwałości oraz informacji na temat okresu kompatybilności oprogramowania produktów.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EEBE2B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Są oni również odpowiedzialni za dostęp do informacji technicznych.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65031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228710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D274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707A33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407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Rozdział VIII – Kontrola i sankcje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E1657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B75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85BB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1A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A8AA01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3120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Wdrożenie tej ustawy będzie nadzorowane przez departament kontroli Dyrekcji Generalnej ds. Środowiska Federalnej Służby Publicznej ds. Zdrowia, Bezpieczeństwa Łańcucha Żywnościowego oraz Środowiska.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B97B09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55EA2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Król określa na mocy dekretu ministerialnego przepisy techniczne dotyczące kontroli, w tym w kontekście kontroli produktów sprzedawanych online, w tym zasady nakładania kar administracyjnych.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22DF77F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B4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C4DE62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F28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10EFB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486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Każdy, kto narusza art. 4 ust. 4 i art. 6 ust. 4 niniejszej ustawy, podlega karze grzywny w wysokości od 100 do 100 000 EUR.</w:t>
            </w:r>
            <w:r>
              <w:rPr>
                <w:sz w:val="24"/>
                <w:rFonts w:ascii="Segoe UI" w:hAnsi="Segoe UI"/>
              </w:rPr>
              <w:t xml:space="preserve">  </w:t>
            </w:r>
          </w:p>
          <w:p w14:paraId="7E302A8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Kary grzywny przewidziane w § 1 muszą zostać podwyższone zgodnie z ustawą z dnia 5 marca 1952 r. o opłatach dodatkowych do kar grzywny.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8DCBBB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1AFFC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1D33F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02598D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W celu ochrony środowiska sędzia karny może zarządzić następujące środki: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D64DA13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zakaz importu produktu będącego przedmiotem wykroczenia;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(2) wycofanie z obrotu produktu będącego przedmiotem wykroczenia;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(3) opublikowanie orzeczenia według uznania sędziego oraz na koszt skazanego.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E2B2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76F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324B8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0BA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Członkowie personelu statutowego lub kontraktowego powołanego przez króla zgodnie z art. 9 ust. 2 niniejszej ustawy przesyłają protokół stwierdzający popełnienie wykroczenia.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F14ED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0EE977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Prokurator podejmuje decyzję o wszczęciu postępowania karnego.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Postępowanie karne wyklucza możliwość zastosowania kary administracyjnej, nawet jeśli w przypadku uniewinnienia postępowanie zostanie zamknięte.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4C35314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6FB400" w14:textId="77777777" w:rsidR="00880EA5" w:rsidRDefault="00080401" w:rsidP="00080401">
            <w:pPr>
              <w:spacing w:after="0" w:line="240" w:lineRule="auto"/>
              <w:jc w:val="both"/>
              <w:textAlignment w:val="baseline"/>
              <w:rPr>
                <w:sz w:val="24"/>
                <w:rFonts w:ascii="Segoe UI" w:hAnsi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W ciągu trzech miesięcy od daty otrzymania protokołu prokurator ma obowiązek powiadomić o swojej decyzji urzędnika wyznaczonego przez Króla zgodnie z art. 9 ust. 2 niniejszej ustawy.</w:t>
            </w:r>
          </w:p>
          <w:p w14:paraId="2FB05F77" w14:textId="09083F43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W przypadku gdy prokurator odstąpi od postępowania karnego lub nie powiadomi o swojej decyzji w wyznaczonym terminie, zgodnie z art. 9 ust. 2 niniejszej ustawy urzędnik rządowy wyznaczony przez Króla, zgodnie z warunkami przez niego ustanowionymi, podejmuje decyzję, po umożliwieniu zainteresowanej osobie przedstawienia obrony, czy stosowne jest zaproponowanie kary administracyjnej w związku z popełnionym wykroczeniem.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4B169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Urzędnik może zaproponować sprawcy karę administracyjną po umożliwieniu zainteresowanej osobie przedstawienia obrony.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W przypadku braku propozycji kary administracyjnej protokół przekazuje się prokuratorowi.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W przypadku złożenia propozycji kary administracyjnej kopię protokołu przesyła się prokuratorowi do celów informacyjnych.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7ADBDA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52592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7609D0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ACF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03EC49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136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1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Niezależnie od zgodności z art. 10 niniejszej ustawy kara administracyjna w wysokości od 100 do 30 000 EUR nakładana jest w przypadku naruszenia art. 4, 5 i 6.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</w:t>
            </w:r>
          </w:p>
          <w:p w14:paraId="3018CFF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42EF6BF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60E64E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2.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Opłaty dodatkowe, o których mowa w art. 1 ust. 1 ustawy z dnia 5 marca 1952 r. o opłatach dodatkowych do kar grzywny, stosuje się również do kar administracyjnych, o których mowa w §1 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niniejszego artykułu.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 </w:t>
            </w:r>
          </w:p>
          <w:p w14:paraId="2142FC1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1CED5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3.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Za zarządzanie i wydawanie kar administracyjnych odpowiada Wydział Prawny Federalnej Służby Publicznej ds. Zdrowia, Bezpieczeństwa Łańcucha Żywnościowego oraz Środowiska.</w:t>
            </w:r>
            <w:r>
              <w:rPr>
                <w:color w:val="000000"/>
                <w:sz w:val="24"/>
                <w:rFonts w:ascii="Segoe UI" w:hAnsi="Segoe UI"/>
              </w:rPr>
              <w:t xml:space="preserve"> </w:t>
            </w:r>
          </w:p>
          <w:p w14:paraId="16F0D1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FB2C7E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8AC532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4.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Kary administracyjne nakładane w wyniku protokołu sporządzonego przez departamenty, o których mowa w art. 9 ust. 1, są wypłacane Funduszowi Budżetowemu na surowce i produkty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05FE84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C25EF0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2FF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973EE5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AB8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ROZDZIAŁ IX – Przepisy końcowe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CBD48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BAEC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48C1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E12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Artykuł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D17A4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D5F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Niniejsza ustawa wchodzi w życie sześć miesięcy po dacie publikacji w belgijskim Dzienniku Urzędowym.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3BD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0B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49F71F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BB13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Wydano w Brukseli dnia .../.../2022 r.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AD46D3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5B4C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W imieniu Króla: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2E2A157" w14:textId="77777777" w:rsidTr="00080401">
        <w:trPr>
          <w:trHeight w:val="2235"/>
        </w:trPr>
        <w:tc>
          <w:tcPr>
            <w:tcW w:w="9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1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382747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B9F2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994EC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70E5B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8287B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40D89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FILIPA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6614E1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DFCB61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1C2278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72BB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Minister ds. Klimatu, Środowiska, Zrównoważonego Rozwoju i Zielonego Ładu,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914EC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D34E0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5B23BCE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31AD4426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5F1C3860" w14:textId="77777777" w:rsidR="00080401" w:rsidRDefault="00080401" w:rsidP="0008040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8AB9B28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Z. KHATTABI</w:t>
            </w:r>
            <w:r>
              <w:rPr>
                <w:rStyle w:val="eop"/>
              </w:rPr>
              <w:t xml:space="preserve"> </w:t>
            </w:r>
          </w:p>
          <w:p w14:paraId="0343013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89A0E68" w14:textId="77777777" w:rsidR="006E076C" w:rsidRDefault="006E076C"/>
    <w:sectPr w:rsidR="006E076C" w:rsidSect="001B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1"/>
    <w:rsid w:val="00080401"/>
    <w:rsid w:val="001B64FB"/>
    <w:rsid w:val="005770C7"/>
    <w:rsid w:val="006E076C"/>
    <w:rsid w:val="007B4C8F"/>
    <w:rsid w:val="008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86F"/>
  <w15:chartTrackingRefBased/>
  <w15:docId w15:val="{6A6BA2B3-5A85-40BE-8A42-DE457D1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080401"/>
  </w:style>
  <w:style w:type="character" w:customStyle="1" w:styleId="eop">
    <w:name w:val="eop"/>
    <w:basedOn w:val="DefaultParagraphFont"/>
    <w:rsid w:val="00080401"/>
  </w:style>
  <w:style w:type="character" w:customStyle="1" w:styleId="scxw201559074">
    <w:name w:val="scxw201559074"/>
    <w:basedOn w:val="DefaultParagraphFont"/>
    <w:rsid w:val="0008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Echakafi (SPF Santé Publique - FOD Volksgezondheid)</dc:creator>
  <cp:keywords/>
  <dc:description/>
  <cp:lastModifiedBy>Dimitris Dimitriadis</cp:lastModifiedBy>
  <cp:revision>3</cp:revision>
  <dcterms:created xsi:type="dcterms:W3CDTF">2022-09-21T09:27:00Z</dcterms:created>
  <dcterms:modified xsi:type="dcterms:W3CDTF">2022-09-26T11:32:00Z</dcterms:modified>
</cp:coreProperties>
</file>