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8FF7" w14:textId="77777777" w:rsidR="009811D9" w:rsidRPr="009811D9" w:rsidRDefault="009811D9" w:rsidP="009811D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Odredba št. 2021-1943 z dne 31. decembra 2021 o obdobju razpoložljivosti rezervnih delov za večnamenske mobilne telefone in prenosne računalnike</w:t>
      </w:r>
    </w:p>
    <w:p w14:paraId="192BF00B" w14:textId="77777777" w:rsidR="009811D9" w:rsidRPr="009811D9" w:rsidRDefault="009811D9" w:rsidP="009811D9">
      <w:pPr>
        <w:spacing w:after="0" w:line="240" w:lineRule="auto"/>
        <w:rPr>
          <w:rFonts w:ascii="Times New Roman" w:eastAsia="Times New Roman" w:hAnsi="Times New Roman" w:cs="Times New Roman"/>
          <w:sz w:val="24"/>
          <w:szCs w:val="24"/>
        </w:rPr>
      </w:pPr>
      <w:r>
        <w:rPr>
          <w:rFonts w:ascii="Times New Roman" w:hAnsi="Times New Roman"/>
          <w:sz w:val="24"/>
        </w:rPr>
        <w:t>Št.: ECOC2105006D</w:t>
      </w:r>
      <w:r>
        <w:rPr>
          <w:rFonts w:ascii="Times New Roman" w:hAnsi="Times New Roman"/>
          <w:sz w:val="24"/>
        </w:rPr>
        <w:br/>
        <w:t xml:space="preserve">ELI: https://www.legifrance.gouv.fr/eli/decret/2021/12/31/ECOC2105006D/jo/texte </w:t>
      </w:r>
      <w:r>
        <w:rPr>
          <w:rFonts w:ascii="Times New Roman" w:hAnsi="Times New Roman"/>
          <w:sz w:val="24"/>
        </w:rPr>
        <w:br/>
        <w:t xml:space="preserve">Alias: https://www.legifrance.gouv.fr/eli/decret/2021/12/31/2021-1943/jo/texte </w:t>
      </w:r>
      <w:r>
        <w:rPr>
          <w:rFonts w:ascii="Times New Roman" w:hAnsi="Times New Roman"/>
          <w:sz w:val="24"/>
        </w:rPr>
        <w:br/>
        <w:t xml:space="preserve">JORF št. 0001 z dne 1. januarja 2022 </w:t>
      </w:r>
      <w:r>
        <w:rPr>
          <w:rFonts w:ascii="Times New Roman" w:hAnsi="Times New Roman"/>
          <w:sz w:val="24"/>
        </w:rPr>
        <w:br/>
        <w:t>Besedilo št. 17</w:t>
      </w:r>
    </w:p>
    <w:p w14:paraId="45A48C65"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Ciljno občinstvo: proizvajalci in uvozniki prenosnih računalnikov in pametnih telefonov; </w:t>
      </w:r>
      <w:r>
        <w:rPr>
          <w:rFonts w:ascii="Times New Roman" w:hAnsi="Times New Roman"/>
          <w:sz w:val="24"/>
        </w:rPr>
        <w:br/>
        <w:t xml:space="preserve">Predmet: za določitev seznama kategorij opreme (prenosnih računalnikov in pametnih telefonov) in rezervnih delov, ki bodo dostopni na trgu za obdobje najmanj petih let od datuma, ko je bila na trg dana zadnja enota zadevnega modela opreme; </w:t>
      </w:r>
      <w:r>
        <w:rPr>
          <w:rFonts w:ascii="Times New Roman" w:hAnsi="Times New Roman"/>
          <w:sz w:val="24"/>
        </w:rPr>
        <w:br/>
        <w:t xml:space="preserve">Začetek veljavnosti: 1. januar 2022; </w:t>
      </w:r>
      <w:r>
        <w:rPr>
          <w:rFonts w:ascii="Times New Roman" w:hAnsi="Times New Roman"/>
          <w:sz w:val="24"/>
        </w:rPr>
        <w:br/>
        <w:t xml:space="preserve">Obvestilo: Ta odredba se izdaja za uporabo člena L. 111-4 zakonika o varstvu potrošnikov, ki od proizvajalcev (proizvajalcev in uvoznikov) gospodinjskih aparatov, manjših računalniških in telekomunikacijskih naprav, zaslonov in monitorjev zahteva, da dajo rezervne dele na voljo v obdobju trženja zadevnih modelov proizvodov, pa tudi v dodatnem minimalnem obdobju po tem, ko je zadnja enota teh modelov dana na trg. To dodatno minimalno obdobje ne sme trajati manj kot pet let. Določbe o obdobju razpoložljivosti delov za nekatere gospodinjske aparate, zaslone in monitorje so določene tudi v izvedbenih uredbah za Direktivo 2009/125/ES Evropskega parlamenta in Sveta z dne 21. oktobra 2009 o vzpostavitvi okvira za določanje zahtev za okoljsko primerno zasnovo izdelkov, povezanih z energijo. </w:t>
      </w:r>
      <w:r>
        <w:rPr>
          <w:rFonts w:ascii="Times New Roman" w:hAnsi="Times New Roman"/>
          <w:sz w:val="24"/>
        </w:rPr>
        <w:br/>
        <w:t xml:space="preserve">Sklicevanje  Ta sklep je na voljo na spletni strani Légifrance (http://www.legifrance.gouv.fr).  </w:t>
      </w:r>
    </w:p>
    <w:p w14:paraId="54AAD396" w14:textId="7B5F9704"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Predsednik vlade,</w:t>
      </w:r>
      <w:r>
        <w:rPr>
          <w:rFonts w:ascii="Times New Roman" w:hAnsi="Times New Roman"/>
          <w:sz w:val="24"/>
        </w:rPr>
        <w:br/>
        <w:t>Na podlagi poročila ministra za gospodarstvo, finance in okrevanje,</w:t>
      </w:r>
      <w:r>
        <w:rPr>
          <w:rFonts w:ascii="Times New Roman" w:hAnsi="Times New Roman"/>
          <w:sz w:val="24"/>
        </w:rPr>
        <w:br/>
        <w:t>ob upoštevanju Direktive (EU) 2015/1535 Evropskega parlamenta in Sveta z dne 9. septembra 2015 o določitvi postopka za zbiranje informacij na področju tehničnih predpisov in pravil za storitve informacijske družbe, kot tudi obvestilo, poslano Evropski komisiji 28. junija 2021;</w:t>
      </w:r>
      <w:r>
        <w:rPr>
          <w:rFonts w:ascii="Times New Roman" w:hAnsi="Times New Roman"/>
          <w:sz w:val="24"/>
        </w:rPr>
        <w:br/>
        <w:t>ob upoštevanju civilnega zakonika, zlasti člena 1;</w:t>
      </w:r>
      <w:r>
        <w:rPr>
          <w:rFonts w:ascii="Times New Roman" w:hAnsi="Times New Roman"/>
          <w:sz w:val="24"/>
        </w:rPr>
        <w:br/>
        <w:t>Ob upoštevanju zakonika o varstvu potrošnikov, zlasti člena L. 111-4, kakor je bil spremenjen s členom 19 zakona št. 2020-105 z dne 10. februarja 2020 o boju proti odpadkih in krožnemu gospodarstvu; kakor je bil spremenjen s členom 30 Zakona št. 2021</w:t>
      </w:r>
      <w:r w:rsidR="00D2516B">
        <w:rPr>
          <w:rFonts w:ascii="Times New Roman" w:hAnsi="Times New Roman"/>
          <w:sz w:val="24"/>
        </w:rPr>
        <w:t>-</w:t>
      </w:r>
      <w:r>
        <w:rPr>
          <w:rFonts w:ascii="Times New Roman" w:hAnsi="Times New Roman"/>
          <w:sz w:val="24"/>
        </w:rPr>
        <w:t>1104 z dne 22. avgusta 2021 o boju proti podnebnim motnjam in krepitvi odpornosti na njihove učinke;</w:t>
      </w:r>
      <w:r>
        <w:rPr>
          <w:rFonts w:ascii="Times New Roman" w:hAnsi="Times New Roman"/>
          <w:sz w:val="24"/>
        </w:rPr>
        <w:br/>
        <w:t>ob upoštevanju Zakona št. 2020-105 o preprečevanju nastajanja odpadkov in krožnem gospodarstvu, zlasti členov 16, 19 in 130 tega zakona,</w:t>
      </w:r>
      <w:r>
        <w:rPr>
          <w:rFonts w:ascii="Times New Roman" w:hAnsi="Times New Roman"/>
          <w:sz w:val="24"/>
        </w:rPr>
        <w:br/>
        <w:t>po poslušanju državnega sveta (finančni oddelek);</w:t>
      </w:r>
      <w:r>
        <w:rPr>
          <w:rFonts w:ascii="Times New Roman" w:hAnsi="Times New Roman"/>
          <w:sz w:val="24"/>
        </w:rPr>
        <w:br/>
        <w:t>glede na nujnost,</w:t>
      </w:r>
      <w:r>
        <w:rPr>
          <w:rFonts w:ascii="Times New Roman" w:hAnsi="Times New Roman"/>
          <w:sz w:val="24"/>
        </w:rPr>
        <w:br/>
      </w:r>
      <w:r w:rsidR="00D2516B">
        <w:rPr>
          <w:rFonts w:ascii="Times New Roman" w:hAnsi="Times New Roman"/>
          <w:sz w:val="24"/>
        </w:rPr>
        <w:t>O</w:t>
      </w:r>
      <w:r>
        <w:rPr>
          <w:rFonts w:ascii="Times New Roman" w:hAnsi="Times New Roman"/>
          <w:sz w:val="24"/>
        </w:rPr>
        <w:t>dreja:</w:t>
      </w:r>
    </w:p>
    <w:p w14:paraId="3883F39D"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w:t>
      </w:r>
    </w:p>
    <w:p w14:paraId="3925AADF"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Za členom D. 111-4 zakonika o varstvu potrošnikov se vstavijo trije naslednji členi: </w:t>
      </w:r>
    </w:p>
    <w:p w14:paraId="751908DF"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xml:space="preserve">„Člen R 111-4-1. - V členu L. 111–4 se uporabljajo naslednje opredelitve pojmov: </w:t>
      </w:r>
      <w:r>
        <w:rPr>
          <w:rFonts w:ascii="Times New Roman" w:hAnsi="Times New Roman"/>
          <w:sz w:val="24"/>
        </w:rPr>
        <w:br/>
        <w:t xml:space="preserve">„Prenosni računalnik“ opredeljen kot računalnik, posebej zasnovan tako, da je prenosen in da dolgo časa deluje bodisi z neposredno povezavo na vir napajanja izmeničnega toka bodisi brez nje. Prenosni računalniki uporabljajo integriran zaslon z vidno diagonalo najmanj 22,86 cm (9 palcev) in lahko delujejo na integrirani bateriji ali drugem prenosnem viru energije; </w:t>
      </w:r>
      <w:r>
        <w:rPr>
          <w:rFonts w:ascii="Times New Roman" w:hAnsi="Times New Roman"/>
          <w:sz w:val="24"/>
        </w:rPr>
        <w:br/>
        <w:t xml:space="preserve">„tablični računalnik“ je opredeljen kot prenosni računalnik z zaslonom na dotik in fizično tipkovnico; </w:t>
      </w:r>
      <w:r>
        <w:rPr>
          <w:rFonts w:ascii="Times New Roman" w:hAnsi="Times New Roman"/>
          <w:sz w:val="24"/>
        </w:rPr>
        <w:br/>
        <w:t xml:space="preserve">„tablica“ je opredeljena kot prenosni računalnik z vgrajenim zaslonom na dotik, vendar brez negibne fizične tipkovnice; </w:t>
      </w:r>
      <w:r>
        <w:rPr>
          <w:rFonts w:ascii="Times New Roman" w:hAnsi="Times New Roman"/>
          <w:sz w:val="24"/>
        </w:rPr>
        <w:br/>
        <w:t xml:space="preserve">„računalnik, znan kot odjemalec mobilne svetlobe“, je opredeljen kot prenosni računalnik, ki se za osnovno funkcionalnost zanaša na povezavo z oddaljenimi računalniškimi viri (računalniški strežnik, oddaljena delovna postaja) in nima vgrajenega pomnilniškega diska; </w:t>
      </w:r>
      <w:r>
        <w:rPr>
          <w:rFonts w:ascii="Times New Roman" w:hAnsi="Times New Roman"/>
          <w:sz w:val="24"/>
        </w:rPr>
        <w:br/>
        <w:t xml:space="preserve">„večnamenski mobilni telefon“ je opredeljen kot elektronska naprava, ki se uporablja za komunikacijo na dolge razdalje prek mobilnega omrežja baznih postaj in ima podobne funkcije kot brezžični prenosnik, namenjen predvsem baterijskemu načinu in z otipnim vmesnikom. </w:t>
      </w:r>
    </w:p>
    <w:p w14:paraId="5C764760" w14:textId="51AD6CF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„Člen R. 111</w:t>
      </w:r>
      <w:r w:rsidR="00D2516B">
        <w:rPr>
          <w:rFonts w:ascii="Times New Roman" w:hAnsi="Times New Roman"/>
          <w:sz w:val="24"/>
        </w:rPr>
        <w:t>-</w:t>
      </w:r>
      <w:r>
        <w:rPr>
          <w:rFonts w:ascii="Times New Roman" w:hAnsi="Times New Roman"/>
          <w:sz w:val="24"/>
        </w:rPr>
        <w:t>4-2</w:t>
      </w:r>
      <w:r w:rsidR="00D2516B">
        <w:rPr>
          <w:rFonts w:ascii="Times New Roman" w:hAnsi="Times New Roman"/>
          <w:sz w:val="24"/>
        </w:rPr>
        <w:t xml:space="preserve"> -</w:t>
      </w:r>
      <w:r>
        <w:rPr>
          <w:rFonts w:ascii="Times New Roman" w:hAnsi="Times New Roman"/>
          <w:sz w:val="24"/>
        </w:rPr>
        <w:t xml:space="preserve"> Proizvajalci in uvozniki prenosnih računalnikov, razen tabličnih računalnikov, tablic in računalnikov, znanih kot mobilni odjemalci svetlobe, zagotovijo: </w:t>
      </w:r>
      <w:r>
        <w:rPr>
          <w:rFonts w:ascii="Times New Roman" w:hAnsi="Times New Roman"/>
          <w:sz w:val="24"/>
        </w:rPr>
        <w:br/>
        <w:t xml:space="preserve">„1. Od dneva dajanja prve enote modela na nacionalni trg, razpoložljivost naslednjih rezervnih delov tega modela: </w:t>
      </w:r>
      <w:r>
        <w:rPr>
          <w:rFonts w:ascii="Times New Roman" w:hAnsi="Times New Roman"/>
          <w:sz w:val="24"/>
        </w:rPr>
        <w:br/>
        <w:t xml:space="preserve">„a) masovna pomnilniška komponenta (HDD – SSD); </w:t>
      </w:r>
      <w:r>
        <w:rPr>
          <w:rFonts w:ascii="Times New Roman" w:hAnsi="Times New Roman"/>
          <w:sz w:val="24"/>
        </w:rPr>
        <w:br/>
        <w:t xml:space="preserve">„b) prikazovalna naprava; </w:t>
      </w:r>
      <w:r>
        <w:rPr>
          <w:rFonts w:ascii="Times New Roman" w:hAnsi="Times New Roman"/>
          <w:sz w:val="24"/>
        </w:rPr>
        <w:br/>
        <w:t xml:space="preserve">„c) baterije; </w:t>
      </w:r>
      <w:r>
        <w:rPr>
          <w:rFonts w:ascii="Times New Roman" w:hAnsi="Times New Roman"/>
          <w:sz w:val="24"/>
        </w:rPr>
        <w:br/>
        <w:t xml:space="preserve">„d) napajalni konektorji; </w:t>
      </w:r>
      <w:r>
        <w:rPr>
          <w:rFonts w:ascii="Times New Roman" w:hAnsi="Times New Roman"/>
          <w:sz w:val="24"/>
        </w:rPr>
        <w:br/>
        <w:t xml:space="preserve">„e) polnilniki; </w:t>
      </w:r>
      <w:r>
        <w:rPr>
          <w:rFonts w:ascii="Times New Roman" w:hAnsi="Times New Roman"/>
          <w:sz w:val="24"/>
        </w:rPr>
        <w:br/>
        <w:t xml:space="preserve">„2. Najpozneje dve leti po datumu, ko je prva enota modela dana na nacionalni trg, razpoložljivost naslednjih rezervnih delov za navedeni model: </w:t>
      </w:r>
      <w:r>
        <w:rPr>
          <w:rFonts w:ascii="Times New Roman" w:hAnsi="Times New Roman"/>
          <w:sz w:val="24"/>
        </w:rPr>
        <w:br/>
        <w:t xml:space="preserve">„a) matične plošče; </w:t>
      </w:r>
      <w:r>
        <w:rPr>
          <w:rFonts w:ascii="Times New Roman" w:hAnsi="Times New Roman"/>
          <w:sz w:val="24"/>
        </w:rPr>
        <w:br/>
        <w:t xml:space="preserve">„b) pomnilniki z naključnim dostopom; </w:t>
      </w:r>
      <w:r>
        <w:rPr>
          <w:rFonts w:ascii="Times New Roman" w:hAnsi="Times New Roman"/>
          <w:sz w:val="24"/>
        </w:rPr>
        <w:br/>
        <w:t xml:space="preserve">„c) ventilatorji; </w:t>
      </w:r>
      <w:r>
        <w:rPr>
          <w:rFonts w:ascii="Times New Roman" w:hAnsi="Times New Roman"/>
          <w:sz w:val="24"/>
        </w:rPr>
        <w:br/>
        <w:t xml:space="preserve">„d) odvodniki toplote; </w:t>
      </w:r>
      <w:r>
        <w:rPr>
          <w:rFonts w:ascii="Times New Roman" w:hAnsi="Times New Roman"/>
          <w:sz w:val="24"/>
        </w:rPr>
        <w:br/>
        <w:t xml:space="preserve">„e) tipkovnica; </w:t>
      </w:r>
      <w:r>
        <w:rPr>
          <w:rFonts w:ascii="Times New Roman" w:hAnsi="Times New Roman"/>
          <w:sz w:val="24"/>
        </w:rPr>
        <w:br/>
        <w:t xml:space="preserve">„f) vrata, konektorji. </w:t>
      </w:r>
      <w:r>
        <w:rPr>
          <w:rFonts w:ascii="Times New Roman" w:hAnsi="Times New Roman"/>
          <w:sz w:val="24"/>
        </w:rPr>
        <w:br/>
        <w:t xml:space="preserve">„Prav tako zagotovijo, da so rezervni deli iz 1. in 2. na voljo najmanj pet let od datuma, ko je bila zadnja enota zadevnega modela dana na nacionalni trg. </w:t>
      </w:r>
    </w:p>
    <w:p w14:paraId="409D0B29" w14:textId="5FCF7CE8"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„Člen R. 111</w:t>
      </w:r>
      <w:r w:rsidR="00D2516B">
        <w:rPr>
          <w:rFonts w:ascii="Times New Roman" w:hAnsi="Times New Roman"/>
          <w:sz w:val="24"/>
        </w:rPr>
        <w:t>-</w:t>
      </w:r>
      <w:r>
        <w:rPr>
          <w:rFonts w:ascii="Times New Roman" w:hAnsi="Times New Roman"/>
          <w:sz w:val="24"/>
        </w:rPr>
        <w:t xml:space="preserve">4-3 </w:t>
      </w:r>
      <w:r w:rsidR="00D2516B">
        <w:rPr>
          <w:rFonts w:ascii="Times New Roman" w:hAnsi="Times New Roman"/>
          <w:sz w:val="24"/>
        </w:rPr>
        <w:t>-</w:t>
      </w:r>
      <w:r>
        <w:rPr>
          <w:rFonts w:ascii="Times New Roman" w:hAnsi="Times New Roman"/>
          <w:sz w:val="24"/>
        </w:rPr>
        <w:t xml:space="preserve"> Proizvajalci in uvozniki večnamenskih mobilnih telefonov zagotovijo: </w:t>
      </w:r>
      <w:r>
        <w:rPr>
          <w:rFonts w:ascii="Times New Roman" w:hAnsi="Times New Roman"/>
          <w:sz w:val="24"/>
        </w:rPr>
        <w:br/>
        <w:t xml:space="preserve">„1. Od dneva dajanja prve enote modela na nacionalni trg, razpoložljivost naslednjih rezervnih delov tega modela: </w:t>
      </w:r>
      <w:r>
        <w:rPr>
          <w:rFonts w:ascii="Times New Roman" w:hAnsi="Times New Roman"/>
          <w:sz w:val="24"/>
        </w:rPr>
        <w:br/>
        <w:t xml:space="preserve">„a) prikazovalne enote; </w:t>
      </w:r>
      <w:r>
        <w:rPr>
          <w:rFonts w:ascii="Times New Roman" w:hAnsi="Times New Roman"/>
          <w:sz w:val="24"/>
        </w:rPr>
        <w:br/>
        <w:t xml:space="preserve">„b) baterije; </w:t>
      </w:r>
      <w:r>
        <w:rPr>
          <w:rFonts w:ascii="Times New Roman" w:hAnsi="Times New Roman"/>
          <w:sz w:val="24"/>
        </w:rPr>
        <w:br/>
        <w:t xml:space="preserve">„c) sprednje kamere; </w:t>
      </w:r>
      <w:r>
        <w:rPr>
          <w:rFonts w:ascii="Times New Roman" w:hAnsi="Times New Roman"/>
          <w:sz w:val="24"/>
        </w:rPr>
        <w:br/>
        <w:t xml:space="preserve">„d) zadnje kamere; </w:t>
      </w:r>
      <w:r>
        <w:rPr>
          <w:rFonts w:ascii="Times New Roman" w:hAnsi="Times New Roman"/>
          <w:sz w:val="24"/>
        </w:rPr>
        <w:br/>
        <w:t xml:space="preserve">„e) polnilnike; </w:t>
      </w:r>
      <w:r>
        <w:rPr>
          <w:rFonts w:ascii="Times New Roman" w:hAnsi="Times New Roman"/>
          <w:sz w:val="24"/>
        </w:rPr>
        <w:br/>
      </w:r>
      <w:r>
        <w:rPr>
          <w:rFonts w:ascii="Times New Roman" w:hAnsi="Times New Roman"/>
          <w:sz w:val="24"/>
        </w:rPr>
        <w:lastRenderedPageBreak/>
        <w:t xml:space="preserve">„2. Najpozneje dve leti po datumu, ko je prva enota modela dana na nacionalni trg, razpoložljivost naslednjih rezervnih delov za navedeni model: </w:t>
      </w:r>
      <w:r>
        <w:rPr>
          <w:rFonts w:ascii="Times New Roman" w:hAnsi="Times New Roman"/>
          <w:sz w:val="24"/>
        </w:rPr>
        <w:br/>
        <w:t xml:space="preserve">„a) konektorje polnilnika; </w:t>
      </w:r>
      <w:r>
        <w:rPr>
          <w:rFonts w:ascii="Times New Roman" w:hAnsi="Times New Roman"/>
          <w:sz w:val="24"/>
        </w:rPr>
        <w:br/>
        <w:t xml:space="preserve">„b) konektorje; </w:t>
      </w:r>
      <w:r>
        <w:rPr>
          <w:rFonts w:ascii="Times New Roman" w:hAnsi="Times New Roman"/>
          <w:sz w:val="24"/>
        </w:rPr>
        <w:br/>
        <w:t xml:space="preserve">„c) matične plošče; </w:t>
      </w:r>
      <w:r>
        <w:rPr>
          <w:rFonts w:ascii="Times New Roman" w:hAnsi="Times New Roman"/>
          <w:sz w:val="24"/>
        </w:rPr>
        <w:br/>
        <w:t xml:space="preserve">„d) tipke; </w:t>
      </w:r>
      <w:r>
        <w:rPr>
          <w:rFonts w:ascii="Times New Roman" w:hAnsi="Times New Roman"/>
          <w:sz w:val="24"/>
        </w:rPr>
        <w:br/>
        <w:t xml:space="preserve">„e) mikrofone; </w:t>
      </w:r>
      <w:r>
        <w:rPr>
          <w:rFonts w:ascii="Times New Roman" w:hAnsi="Times New Roman"/>
          <w:sz w:val="24"/>
        </w:rPr>
        <w:br/>
        <w:t xml:space="preserve">„f) zvočnike. </w:t>
      </w:r>
      <w:r>
        <w:rPr>
          <w:rFonts w:ascii="Times New Roman" w:hAnsi="Times New Roman"/>
          <w:sz w:val="24"/>
        </w:rPr>
        <w:br/>
        <w:t>„Prav tako zagotovijo, da so rezervni deli iz 1. in 2. na voljo najmanj pet let od datuma, ko je bila zadnja enota zadevnega modela dana na nacionalni trg.“</w:t>
      </w:r>
    </w:p>
    <w:p w14:paraId="63C20334"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2</w:t>
      </w:r>
    </w:p>
    <w:p w14:paraId="2501BD88"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uporabo te uredbe je pristojen minister za gospodarstvo, finance in okrevanje, ki se objavi v Uradnem listu Republike Francije in začne veljati takoj.</w:t>
      </w:r>
    </w:p>
    <w:p w14:paraId="4ED0C380"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Podpisano dne 31. decembra 2021.</w:t>
      </w:r>
    </w:p>
    <w:p w14:paraId="39E8EF13" w14:textId="70426013"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sidR="00D2516B">
        <w:rPr>
          <w:rFonts w:ascii="Times New Roman" w:hAnsi="Times New Roman"/>
          <w:sz w:val="24"/>
        </w:rPr>
        <w:t>Jean Castex</w:t>
      </w:r>
      <w:r w:rsidR="00D2516B">
        <w:rPr>
          <w:rFonts w:ascii="Times New Roman" w:hAnsi="Times New Roman"/>
          <w:sz w:val="24"/>
        </w:rPr>
        <w:br/>
      </w:r>
      <w:r>
        <w:rPr>
          <w:rFonts w:ascii="Times New Roman" w:hAnsi="Times New Roman"/>
          <w:sz w:val="24"/>
        </w:rPr>
        <w:t>Predsednik vlade,</w:t>
      </w:r>
    </w:p>
    <w:p w14:paraId="3828831F" w14:textId="233A1210"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gospodarstvo, finance in</w:t>
      </w:r>
      <w:r w:rsidR="00D2516B">
        <w:rPr>
          <w:rFonts w:ascii="Times New Roman" w:hAnsi="Times New Roman"/>
          <w:sz w:val="24"/>
        </w:rPr>
        <w:t xml:space="preserve"> </w:t>
      </w:r>
      <w:r>
        <w:rPr>
          <w:rFonts w:ascii="Times New Roman" w:hAnsi="Times New Roman"/>
          <w:sz w:val="24"/>
        </w:rPr>
        <w:t>okrevanje</w:t>
      </w:r>
      <w:r>
        <w:rPr>
          <w:rFonts w:ascii="Times New Roman" w:hAnsi="Times New Roman"/>
          <w:sz w:val="24"/>
        </w:rPr>
        <w:br/>
        <w:t xml:space="preserve">Bruno </w:t>
      </w:r>
      <w:r w:rsidR="00D2516B">
        <w:rPr>
          <w:rFonts w:ascii="Times New Roman" w:hAnsi="Times New Roman"/>
          <w:sz w:val="24"/>
        </w:rPr>
        <w:t>Le Maire</w:t>
      </w:r>
    </w:p>
    <w:p w14:paraId="053B003A" w14:textId="77777777" w:rsidR="00AB5D0A" w:rsidRDefault="00AB5D0A"/>
    <w:sectPr w:rsidR="00AB5D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0879" w14:textId="77777777" w:rsidR="00454ABA" w:rsidRDefault="00454ABA" w:rsidP="002A157D">
      <w:pPr>
        <w:spacing w:after="0" w:line="240" w:lineRule="auto"/>
      </w:pPr>
      <w:r>
        <w:separator/>
      </w:r>
    </w:p>
  </w:endnote>
  <w:endnote w:type="continuationSeparator" w:id="0">
    <w:p w14:paraId="46665815" w14:textId="77777777" w:rsidR="00454ABA" w:rsidRDefault="00454ABA" w:rsidP="002A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D593" w14:textId="77777777" w:rsidR="00454ABA" w:rsidRDefault="00454ABA" w:rsidP="002A157D">
      <w:pPr>
        <w:spacing w:after="0" w:line="240" w:lineRule="auto"/>
      </w:pPr>
      <w:r>
        <w:separator/>
      </w:r>
    </w:p>
  </w:footnote>
  <w:footnote w:type="continuationSeparator" w:id="0">
    <w:p w14:paraId="0D5730FC" w14:textId="77777777" w:rsidR="00454ABA" w:rsidRDefault="00454ABA" w:rsidP="002A15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D9"/>
    <w:rsid w:val="00094139"/>
    <w:rsid w:val="002A157D"/>
    <w:rsid w:val="003E4C59"/>
    <w:rsid w:val="00454ABA"/>
    <w:rsid w:val="009811D9"/>
    <w:rsid w:val="00AB5D0A"/>
    <w:rsid w:val="00D2516B"/>
    <w:rsid w:val="00DB31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F5137"/>
  <w15:chartTrackingRefBased/>
  <w15:docId w15:val="{4EFA3766-1A45-4A3F-AA36-24CE8901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5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57D"/>
  </w:style>
  <w:style w:type="paragraph" w:styleId="Footer">
    <w:name w:val="footer"/>
    <w:basedOn w:val="Normal"/>
    <w:link w:val="FooterChar"/>
    <w:uiPriority w:val="99"/>
    <w:unhideWhenUsed/>
    <w:rsid w:val="002A15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919352">
      <w:bodyDiv w:val="1"/>
      <w:marLeft w:val="0"/>
      <w:marRight w:val="0"/>
      <w:marTop w:val="0"/>
      <w:marBottom w:val="0"/>
      <w:divBdr>
        <w:top w:val="none" w:sz="0" w:space="0" w:color="auto"/>
        <w:left w:val="none" w:sz="0" w:space="0" w:color="auto"/>
        <w:bottom w:val="none" w:sz="0" w:space="0" w:color="auto"/>
        <w:right w:val="none" w:sz="0" w:space="0" w:color="auto"/>
      </w:divBdr>
      <w:divsChild>
        <w:div w:id="12885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4937</Characters>
  <Application>Microsoft Office Word</Application>
  <DocSecurity>0</DocSecurity>
  <Lines>114</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3</cp:revision>
  <dcterms:created xsi:type="dcterms:W3CDTF">2022-03-07T10:03:00Z</dcterms:created>
  <dcterms:modified xsi:type="dcterms:W3CDTF">2022-03-07T10:16:00Z</dcterms:modified>
</cp:coreProperties>
</file>