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06" w:rsidRPr="003D079F" w:rsidRDefault="004C1E06" w:rsidP="004C1E06">
      <w:pPr>
        <w:rPr>
          <w:rFonts w:ascii="Courier New" w:hAnsi="Courier New"/>
          <w:sz w:val="20"/>
          <w:lang w:val="sv-SE"/>
        </w:rPr>
      </w:pPr>
      <w:r w:rsidRPr="003D079F">
        <w:rPr>
          <w:rFonts w:ascii="Courier New" w:hAnsi="Courier New"/>
          <w:sz w:val="20"/>
          <w:lang w:val="sv-SE"/>
        </w:rPr>
        <w:t>1. ------IND- 2020 0174 D-- EN- ------ 20200429 --- --- PROJET</w:t>
      </w:r>
    </w:p>
    <w:p w:rsidR="00E83886" w:rsidRPr="003D079F" w:rsidRDefault="006F34CB" w:rsidP="00715217">
      <w:pPr>
        <w:pStyle w:val="VorblattDokumentstatus"/>
        <w:keepNext/>
        <w:rPr>
          <w:lang w:val="sv-SE"/>
        </w:rPr>
      </w:pPr>
      <w:r w:rsidRPr="003D079F">
        <w:rPr>
          <w:lang w:val="sv-SE"/>
        </w:rPr>
        <w:t>Draft Act</w:t>
      </w:r>
    </w:p>
    <w:p w:rsidR="00E83886" w:rsidRPr="00CB1818" w:rsidRDefault="009635BF" w:rsidP="00715217">
      <w:pPr>
        <w:pStyle w:val="Initiant"/>
        <w:keepNext/>
      </w:pPr>
      <w:r>
        <w:t>of the Federal Government</w:t>
      </w:r>
    </w:p>
    <w:p w:rsidR="00E83886" w:rsidRPr="00CB1818" w:rsidRDefault="00E83886" w:rsidP="00715217">
      <w:pPr>
        <w:pStyle w:val="VorblattBezeichnung"/>
        <w:keepNext/>
      </w:pPr>
      <w:r>
        <w:t>Draft Act amending the Network Enforcement Act</w:t>
      </w:r>
    </w:p>
    <w:p w:rsidR="00E83886" w:rsidRPr="00CB1818" w:rsidRDefault="00E83886" w:rsidP="00715217">
      <w:pPr>
        <w:pStyle w:val="VorblattTitelProblemundZiel"/>
        <w:keepNext/>
      </w:pPr>
      <w:r>
        <w:t>A. Problem and objective</w:t>
      </w:r>
    </w:p>
    <w:p w:rsidR="001F15A2" w:rsidRPr="00CB1818" w:rsidRDefault="002037BC" w:rsidP="001F15A2">
      <w:pPr>
        <w:pStyle w:val="Text"/>
      </w:pPr>
      <w:r>
        <w:t>The need to combat criminal hate speech online remains unchanged. Citizens are entitled to expect that criminal attacks, as well as incitement to hatred or threats, will not be tolerated. This also applies online. In addition, criminal hate speech can become a breeding ground for physical assaults on citizens. The murder of the Kassel government president Walter Lübcke and the assassinations in the vicinity of the synagogue in Halle (Saale) are worrying indicators. This also applies to the extremist attack in Hanau in February 2020 by a perpetrator who previously posted and disseminated racist content in social networks.</w:t>
      </w:r>
    </w:p>
    <w:p w:rsidR="002037BC" w:rsidRPr="00CB1818" w:rsidRDefault="002037BC" w:rsidP="00B60471">
      <w:pPr>
        <w:pStyle w:val="Text"/>
      </w:pPr>
      <w:r>
        <w:t>Criminal hate speech can also cause severe intimidation. This can lead to a reduction in social or political engagement, or to citizens withdrawing from online discourse or not participating in it at all in the first place. The intimidating effects of criminal hate speech endanger not only the freedom of expression and action of the individual, but also democratic discourse as such and thus the foundations of our democracy as a whole.</w:t>
      </w:r>
    </w:p>
    <w:p w:rsidR="00F84B41" w:rsidRPr="00CB1818" w:rsidRDefault="00F84B41" w:rsidP="00B60471">
      <w:pPr>
        <w:pStyle w:val="Text"/>
      </w:pPr>
      <w:r>
        <w:t>It should also be kept in mind that hate speech is often directed against women or minorities, which particularly endangers peaceful coexistence in a free, open and democratic society.</w:t>
      </w:r>
    </w:p>
    <w:p w:rsidR="00330094" w:rsidRPr="00CB1818" w:rsidRDefault="007437B5" w:rsidP="002037BC">
      <w:pPr>
        <w:pStyle w:val="Text"/>
      </w:pPr>
      <w:r>
        <w:t xml:space="preserve">The approach of the Network Enforcement Act (NetzDG), which came into force on 1 October 2017, of consolidating the existing responsibility of the social network providers when dealing with complaints about unlawful content that has come to their attention, has generally proven itself. The social network providers have made costs to implement the requirements for complaint management. The procedures for submitting complaints about unlawful content have been revised and German criminal law has been added as a benchmark. According to the legally required transparency reports, the providers </w:t>
      </w:r>
      <w:r w:rsidR="003D079F">
        <w:t xml:space="preserve">are </w:t>
      </w:r>
      <w:r>
        <w:t>also usually successful in quickly checking the submitted complaints. After all, the major providers have designated process agents and recipients as domestic contacts.</w:t>
      </w:r>
    </w:p>
    <w:p w:rsidR="00330094" w:rsidRPr="00CB1818" w:rsidRDefault="002037BC" w:rsidP="002037BC">
      <w:pPr>
        <w:pStyle w:val="Text"/>
      </w:pPr>
      <w:r>
        <w:t>However, previous practical experience with the NetzDG shows that some provisions should be refined. For example, the user-friendliness of the reporting channels for submitting complaints about unlawful content, some of which are still too complicated or concealed, is to be improved. In addition, the information content and the comparability of the transparency reports to be submitted as per § 2 NetzDG should be increased. In the case of disputes between complainants or users with the social network provider about the (completed or rejected) removal of content, there are currently no rules for simple out-of-court dispute resolution; appropriate procedures are to be created. In the case of domestic process agents (§ 5(1) NetzDG), there are different opinions in legal practice regarding the exact scope of application; it should be made clear that the process agent is also responsible for reinstatement complaints. When applying the NetzDG, the competent Federal Office of Justice has not yet been able to issue any orders to remedy deficiencies; a supervisory power to that effect is to be introduced.</w:t>
      </w:r>
    </w:p>
    <w:p w:rsidR="00EF60DE" w:rsidRPr="00CB1818" w:rsidRDefault="002037BC">
      <w:pPr>
        <w:pStyle w:val="Text"/>
      </w:pPr>
      <w:r>
        <w:lastRenderedPageBreak/>
        <w:t>It is also important to implement new legal requirements under EU law. The NetzDG must be adapted to the new requirements of the amended 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OJ L 95 of 15.4.2010, p. 1; L 263. p. 15; hereinafter AVMSD). Following the amendments made by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 the AVMSD contains new requirements for compliance provisions to protect from inappropriate content in video sharing platform services (VSPs). Some of these services are already covered by the NetzDG. However, unlike the NetzDG in force, the AVMSD also requires the introduction of compliance requirements for small and subject-driven providers: in addition, the division of responsibilities between the Member States, as provided for in the AVMSD, must be observed.</w:t>
      </w:r>
    </w:p>
    <w:p w:rsidR="00E83886" w:rsidRPr="00CB1818" w:rsidRDefault="00E83886" w:rsidP="00715217">
      <w:pPr>
        <w:pStyle w:val="VorblattTitelLsung"/>
        <w:keepNext/>
      </w:pPr>
      <w:r>
        <w:t>B. Solution</w:t>
      </w:r>
    </w:p>
    <w:p w:rsidR="00E83886" w:rsidRPr="00CB1818" w:rsidRDefault="002037BC">
      <w:pPr>
        <w:pStyle w:val="Text"/>
        <w:rPr>
          <w:rStyle w:val="Marker"/>
          <w:color w:val="auto"/>
        </w:rPr>
      </w:pPr>
      <w:r>
        <w:rPr>
          <w:rStyle w:val="Marker"/>
          <w:color w:val="auto"/>
        </w:rPr>
        <w:t>The NetzDG must be supplemented. The information obligations in § 2 NetzDG must be added to in order to increase the information content and the comparability of the transparency reports. The necessary user-friendliness of the reporting channels for the transmission of complaints about unlawful content is to be clarified in § 3(1)(2) NetzDG. Furthermore, a procedure for dealing with appeals to measures taken by the social network provider and a recognition option for an arbitration body for such disputes is to be introduced. It must be made clear that the domestic process agent (§ 5(1) NetzDG) is also responsible for reinstatement complaints. The powers of the Federal Office of Justice must be expanded to include supervisory powers. In addition, special provisions must be established to cover video sharing platform services.</w:t>
      </w:r>
    </w:p>
    <w:p w:rsidR="00BC109E" w:rsidRPr="00CB1818" w:rsidRDefault="00BC109E" w:rsidP="001F598A">
      <w:pPr>
        <w:pStyle w:val="Text"/>
      </w:pPr>
      <w:r>
        <w:t>Among other things, it is expected that the supplementary provisions will further improve the fight against criminal content on the platforms of the providers covered and make it more transparent. Furthermore, it is expected that the settlement of disputes between complainants and users with the providers will be simpler and more effective in the future. Finally, it is foreseeable that the enforcement of claims under civil law due to the violation of absolutely protected rights on account of unlawful content will be simplified.</w:t>
      </w:r>
    </w:p>
    <w:p w:rsidR="00E83886" w:rsidRPr="00CB1818" w:rsidRDefault="00E83886" w:rsidP="00715217">
      <w:pPr>
        <w:pStyle w:val="VorblattTitelAlternativen"/>
        <w:keepNext/>
      </w:pPr>
      <w:r>
        <w:t>C. Alternatives</w:t>
      </w:r>
    </w:p>
    <w:p w:rsidR="00800164" w:rsidRPr="00CB1818" w:rsidRDefault="00800164" w:rsidP="00BB6818">
      <w:pPr>
        <w:pStyle w:val="Text"/>
      </w:pPr>
      <w:r>
        <w:t>The aim of the Draft Act is firstly to implement the AVMSD’s requirements on compliance obligations for video sharing platform services. Although implementation could alternatively have been carried out in other laws, implementation in the NetzDG is preferable due to the large overlap with requirements already provided for in the NetzDG. Another aim of the Draft Act is to refine the provisions of the NetzDG in consideration of practical experience. In view of the sometimes considerable need for clarification (e.g. on the user-friendliness of the reporting channels and the process agent’s scope of application), waiting for future fine proceedings by the Federal Office of Justice relating to this or leaving the NetzDG in its current state do not seem to be appropriate alternatives.</w:t>
      </w:r>
    </w:p>
    <w:p w:rsidR="00E83886" w:rsidRPr="00CB1818" w:rsidRDefault="00E83886" w:rsidP="00715217">
      <w:pPr>
        <w:pStyle w:val="VorblattTitelHaushaltsausgabenohneErfllungsaufwand"/>
        <w:keepNext/>
      </w:pPr>
      <w:r>
        <w:t>D. Budgetary expenditure without compliance costs</w:t>
      </w:r>
    </w:p>
    <w:p w:rsidR="00800164" w:rsidRPr="00CB1818" w:rsidRDefault="00450990" w:rsidP="00800164">
      <w:pPr>
        <w:pStyle w:val="Text"/>
      </w:pPr>
      <w:r>
        <w:t xml:space="preserve">The additional requirement of EUR 1 064 987 resulting from the administration's compliance costs (see explanatory notes on the compliance costs) leads to corresponding </w:t>
      </w:r>
      <w:r>
        <w:lastRenderedPageBreak/>
        <w:t>budgetary burdens. The reason for this is a resulting need for staff at the Federal Ministry of Justice and Consumer Protection and at the Federal Office of Justice totalling (rounded) a total of 6.5 posts in professional grade service, 4 posts in executive grade service and 1.5 posts in mid-level service.</w:t>
      </w:r>
    </w:p>
    <w:p w:rsidR="00E83886" w:rsidRPr="00CB1818" w:rsidRDefault="00800164" w:rsidP="00657D1F">
      <w:pPr>
        <w:pStyle w:val="Text"/>
      </w:pPr>
      <w:r>
        <w:t>The additional material and staffing requirements will be compensated for in individual plan 07 in terms of funds and jobs. Decisions on the details of covering the additional requirements will be made in future budget allocation processes.</w:t>
      </w:r>
    </w:p>
    <w:p w:rsidR="00E83886" w:rsidRPr="00CB1818" w:rsidRDefault="00E83886" w:rsidP="00715217">
      <w:pPr>
        <w:pStyle w:val="VorblattTitelErfllungsaufwand"/>
        <w:keepNext/>
      </w:pPr>
      <w:r>
        <w:t>E. Compliance costs</w:t>
      </w:r>
    </w:p>
    <w:p w:rsidR="00E83886" w:rsidRPr="00CB1818" w:rsidRDefault="00E83886" w:rsidP="00715217">
      <w:pPr>
        <w:pStyle w:val="VorblattTitelErfllungsaufwandBrgerinnenundBrger"/>
        <w:keepNext/>
      </w:pPr>
      <w:r>
        <w:t>E.1 Compliance costs for citizens</w:t>
      </w:r>
    </w:p>
    <w:p w:rsidR="00FF4995" w:rsidRPr="00CB1818" w:rsidRDefault="00D80C85" w:rsidP="00657D1F">
      <w:pPr>
        <w:pStyle w:val="Text"/>
      </w:pPr>
      <w:r>
        <w:t>None.</w:t>
      </w:r>
    </w:p>
    <w:p w:rsidR="00E83886" w:rsidRPr="00CB1818" w:rsidRDefault="00E83886" w:rsidP="00715217">
      <w:pPr>
        <w:pStyle w:val="VorblattTitelErfllungsaufwandWirtschaft"/>
        <w:keepNext/>
      </w:pPr>
      <w:r>
        <w:t>E.2 Compliance costs for businesses</w:t>
      </w:r>
    </w:p>
    <w:p w:rsidR="00800164" w:rsidRPr="00CB1818" w:rsidRDefault="00800164" w:rsidP="00BB6818">
      <w:pPr>
        <w:pStyle w:val="Text"/>
      </w:pPr>
      <w:r>
        <w:t>The draft introduces some new obligations to be met by social network providers and certain video sharing platform services. This results in a one-time compliance cost of EUR 284 000 and EUR 2 279 000 annually.</w:t>
      </w:r>
    </w:p>
    <w:p w:rsidR="00800164" w:rsidRPr="00CB1818" w:rsidRDefault="00800164" w:rsidP="00BB6818">
      <w:pPr>
        <w:pStyle w:val="Text"/>
      </w:pPr>
      <w:r>
        <w:t>One-to-one implementation of Article 28b AVMSD incurs EUR 45 400 of this on a one-time basis and EUR 89 400 each year. This makes a running compliance cost of EUR 2 189 600 relevant in the scope of the ‘one-in-one-out rule’. Compensation is provided from the relief resulting from the Act to Promote Fair Competition (Gesetz zur Stärkung des fairen Wettbewerbs).</w:t>
      </w:r>
    </w:p>
    <w:p w:rsidR="00E83886" w:rsidRPr="00CB1818" w:rsidRDefault="00E83886" w:rsidP="00715217">
      <w:pPr>
        <w:pStyle w:val="VorblattTitelErfllungsaufwandVerwaltung"/>
        <w:keepNext/>
      </w:pPr>
      <w:r>
        <w:t>E.3 Administrative compliance costs</w:t>
      </w:r>
    </w:p>
    <w:p w:rsidR="00800164" w:rsidRPr="00CB1818" w:rsidRDefault="00800164" w:rsidP="00030FC3">
      <w:pPr>
        <w:pStyle w:val="Text"/>
      </w:pPr>
      <w:r>
        <w:t>It is expected that federal compliance costs of EUR 1 064 987 will be incurred on an annual basis. The draft itself results in additional costs of EUR 1 348 893 per year due to additional personnel costs of EUR 1 239 112 for the Federal Office of Justice as well as EUR 109 780 for the Federal Ministry of Justice and Consumer Protection. At the same time, however, it must be taken into account that the draft leads to savings in the fulfilment of the tasks already required under the current legal situation at the Federal Office of Justice in the area of the NetzDG. These amount to EUR 283 906 in savings on personnel costs.</w:t>
      </w:r>
    </w:p>
    <w:p w:rsidR="00E83886" w:rsidRPr="00CB1818" w:rsidRDefault="00E83886" w:rsidP="00715217">
      <w:pPr>
        <w:pStyle w:val="VorblattTitelWeitereKosten"/>
        <w:keepNext/>
      </w:pPr>
      <w:r>
        <w:t>F. Additional costs</w:t>
      </w:r>
    </w:p>
    <w:p w:rsidR="00800164" w:rsidRPr="00CB1818" w:rsidRDefault="00800164" w:rsidP="00BB6818">
      <w:pPr>
        <w:pStyle w:val="Text"/>
      </w:pPr>
      <w:r>
        <w:t>Additional costs of EUR 63 000 per year are expected for the administrations of justice of the federal states. No impact on the level of prices, in particular on the level of consumer prices is anticipated.</w:t>
      </w:r>
    </w:p>
    <w:p w:rsidR="00E83886" w:rsidRPr="00CB1818" w:rsidRDefault="00E83886" w:rsidP="00E83886">
      <w:pPr>
        <w:sectPr w:rsidR="00E83886" w:rsidRPr="00CB1818" w:rsidSect="00D9408F">
          <w:headerReference w:type="default" r:id="rId9"/>
          <w:headerReference w:type="first" r:id="rId10"/>
          <w:pgSz w:w="11907" w:h="16839"/>
          <w:pgMar w:top="1134" w:right="1417" w:bottom="1134" w:left="1701" w:header="709" w:footer="709" w:gutter="0"/>
          <w:pgNumType w:start="1"/>
          <w:cols w:space="708"/>
          <w:titlePg/>
          <w:docGrid w:linePitch="360"/>
        </w:sectPr>
      </w:pPr>
    </w:p>
    <w:p w:rsidR="00E83886" w:rsidRPr="00CB1818" w:rsidRDefault="0044741B">
      <w:pPr>
        <w:pStyle w:val="Dokumentstatus"/>
      </w:pPr>
      <w:r>
        <w:lastRenderedPageBreak/>
        <w:t>Draft Act of the Federal Government</w:t>
      </w:r>
    </w:p>
    <w:p w:rsidR="00E83886" w:rsidRPr="00CB1818" w:rsidRDefault="00E83886">
      <w:pPr>
        <w:pStyle w:val="Bezeichnungnderungsdokument"/>
      </w:pPr>
      <w:r>
        <w:t>Draft Act amending the Network Enforcement Act</w:t>
      </w:r>
      <w:r w:rsidR="0016324D" w:rsidRPr="00CB1818">
        <w:rPr>
          <w:rStyle w:val="FootnoteReference"/>
        </w:rPr>
        <w:footnoteReference w:id="1"/>
      </w:r>
      <w:r w:rsidR="0016324D" w:rsidRPr="00CB1818">
        <w:rPr>
          <w:rStyle w:val="FootnoteReference"/>
        </w:rPr>
        <w:t>)</w:t>
      </w:r>
      <w:r>
        <w:rPr>
          <w:rStyle w:val="FootnoteReference"/>
        </w:rPr>
        <w:t>)</w:t>
      </w:r>
      <w:r>
        <w:t xml:space="preserve"> </w:t>
      </w:r>
      <w:r w:rsidR="00AC22B6" w:rsidRPr="00CB1818">
        <w:rPr>
          <w:rStyle w:val="FootnoteReference"/>
        </w:rPr>
        <w:footnoteReference w:id="2"/>
      </w:r>
      <w:r w:rsidR="00AC22B6" w:rsidRPr="00CB1818">
        <w:rPr>
          <w:rStyle w:val="FootnoteReference"/>
        </w:rPr>
        <w:t>)</w:t>
      </w:r>
      <w:r>
        <w:rPr>
          <w:rStyle w:val="FootnoteReference"/>
        </w:rPr>
        <w:t>)</w:t>
      </w:r>
    </w:p>
    <w:p w:rsidR="00E83886" w:rsidRPr="00CB1818" w:rsidRDefault="00E83886">
      <w:pPr>
        <w:pStyle w:val="Ausfertigungsdatumnderungsdokument"/>
      </w:pPr>
      <w:r>
        <w:t>Dated ...</w:t>
      </w:r>
    </w:p>
    <w:p w:rsidR="00E83886" w:rsidRPr="00CB1818" w:rsidRDefault="00E83886">
      <w:pPr>
        <w:pStyle w:val="EingangsformelStandardnderungsdokument"/>
      </w:pPr>
      <w:r>
        <w:t>The Federal Parliament has adopted the following Act:</w:t>
      </w:r>
    </w:p>
    <w:p w:rsidR="00E83886" w:rsidRPr="00CB1818" w:rsidRDefault="00CF3579" w:rsidP="00CF3579">
      <w:pPr>
        <w:pStyle w:val="ArtikelBezeichner"/>
        <w:numPr>
          <w:ilvl w:val="0"/>
          <w:numId w:val="0"/>
        </w:numPr>
      </w:pPr>
      <w:r>
        <w:t>Article 1</w:t>
      </w:r>
    </w:p>
    <w:p w:rsidR="00E83886" w:rsidRPr="00CB1818" w:rsidRDefault="00BC2E28">
      <w:pPr>
        <w:pStyle w:val="Artikelberschrift"/>
      </w:pPr>
      <w:r>
        <w:t>Amendment to the Network Enforcement Act</w:t>
      </w:r>
    </w:p>
    <w:p w:rsidR="00E83886" w:rsidRPr="00CB1818" w:rsidRDefault="00BC2E28" w:rsidP="00715217">
      <w:pPr>
        <w:pStyle w:val="JuristischerAbsatznichtnummeriert"/>
        <w:keepNext/>
      </w:pPr>
      <w:r>
        <w:t>The Network Enforcement Act of 1 September 2017 (Federal Law Gazette I p. 3352), [last] amended by … [Article 6 of the Draft Act to Combat Right-Wing Extremism and Hate Crime, Bundesrat document 87/20] is amended as follows:</w:t>
      </w:r>
    </w:p>
    <w:p w:rsidR="009C3C3B" w:rsidRPr="00CB1818" w:rsidRDefault="009C3C3B" w:rsidP="00FD2509">
      <w:pPr>
        <w:pStyle w:val="NummerierungStufe1"/>
      </w:pPr>
      <w:r>
        <w:t xml:space="preserve">In § 1(2), the words </w:t>
      </w:r>
      <w:r>
        <w:rPr>
          <w:rStyle w:val="RevisionText"/>
        </w:rPr>
        <w:t>‘§§ 2 and 3a’</w:t>
      </w:r>
      <w:r>
        <w:t xml:space="preserve"> are replaced by the words </w:t>
      </w:r>
      <w:r>
        <w:rPr>
          <w:rStyle w:val="RevisionText"/>
        </w:rPr>
        <w:t>‘§§ 2 to 3b’</w:t>
      </w:r>
      <w:r>
        <w:t>.</w:t>
      </w:r>
    </w:p>
    <w:p w:rsidR="00FD2509" w:rsidRPr="00CB1818" w:rsidRDefault="00D563DB" w:rsidP="00715217">
      <w:pPr>
        <w:pStyle w:val="NummerierungStufe1"/>
        <w:keepNext/>
      </w:pPr>
      <w:r>
        <w:t>§ 2(2) is amended as follows:</w:t>
      </w:r>
    </w:p>
    <w:p w:rsidR="00D563DB" w:rsidRPr="00CB1818" w:rsidRDefault="00D563DB" w:rsidP="00715217">
      <w:pPr>
        <w:pStyle w:val="NummerierungStufe2"/>
        <w:keepNext/>
      </w:pPr>
      <w:r>
        <w:t>Point 2 is replaced by the following points 2 and 3:</w:t>
      </w:r>
    </w:p>
    <w:p w:rsidR="00D563DB" w:rsidRPr="00CB1818" w:rsidRDefault="00D563DB" w:rsidP="00FD1FA8">
      <w:pPr>
        <w:pStyle w:val="RevisionNummerierungStufe1manuell"/>
        <w:tabs>
          <w:tab w:val="clear" w:pos="425"/>
          <w:tab w:val="left" w:pos="1350"/>
        </w:tabs>
        <w:ind w:left="1350" w:hanging="500"/>
      </w:pPr>
      <w:r>
        <w:t>‘2.</w:t>
      </w:r>
      <w:r>
        <w:tab/>
        <w:t>The nature, basic outline of the functioning and scope of any procedures used to automatically recognise content that is to be removed or blocked, including general information on the training data used and the review of the results of these procedures by the provider, as well as information on the extent to which scientific and research groups are supported in the evaluation of these procedures,</w:t>
      </w:r>
    </w:p>
    <w:p w:rsidR="00200260" w:rsidRPr="00CB1818" w:rsidRDefault="00E43EFE" w:rsidP="00FD1FA8">
      <w:pPr>
        <w:pStyle w:val="RevisionNummerierungStufe1manuell"/>
        <w:tabs>
          <w:tab w:val="clear" w:pos="425"/>
          <w:tab w:val="left" w:pos="1350"/>
        </w:tabs>
        <w:ind w:left="1350"/>
      </w:pPr>
      <w:r>
        <w:t>3.</w:t>
      </w:r>
      <w:r>
        <w:tab/>
        <w:t>Description of the mechanisms for the transmission of complaints about unlawful content, description of the decision criteria for the removal and blocking of unlawful content and description of the review procedure, including the order of the review as to whether unlawful content is at hand or whether contractual provisions between provider and user are being violated,’.</w:t>
      </w:r>
    </w:p>
    <w:p w:rsidR="00E43EFE" w:rsidRPr="00CB1818" w:rsidRDefault="00E43EFE" w:rsidP="003764C3">
      <w:pPr>
        <w:pStyle w:val="NummerierungStufe2"/>
      </w:pPr>
      <w:r>
        <w:t>The previous points 3 to 6 become points 4 to 7.</w:t>
      </w:r>
    </w:p>
    <w:p w:rsidR="00DE0035" w:rsidRPr="00CB1818" w:rsidRDefault="00E43EFE" w:rsidP="003764C3">
      <w:pPr>
        <w:pStyle w:val="NummerierungStufe2"/>
      </w:pPr>
      <w:r>
        <w:t xml:space="preserve">The previous point 7 becomes point 8 and the words </w:t>
      </w:r>
      <w:r>
        <w:rPr>
          <w:rStyle w:val="RevisionText"/>
        </w:rPr>
        <w:t>‘according to the total number as well as’</w:t>
      </w:r>
      <w:r>
        <w:t xml:space="preserve"> are inserted after the word </w:t>
      </w:r>
      <w:r>
        <w:rPr>
          <w:rStyle w:val="RevisionText"/>
        </w:rPr>
        <w:t>‘led,’</w:t>
      </w:r>
      <w:r>
        <w:t xml:space="preserve"> and a comma and the words </w:t>
      </w:r>
      <w:r>
        <w:rPr>
          <w:rStyle w:val="RevisionText"/>
        </w:rPr>
        <w:t>‘which step in the test sequence pursuant to point 3 led to the removal or blocking’</w:t>
      </w:r>
      <w:r>
        <w:t xml:space="preserve"> are inserted after the words</w:t>
      </w:r>
      <w:r w:rsidR="003D079F">
        <w:t xml:space="preserve"> </w:t>
      </w:r>
      <w:r>
        <w:rPr>
          <w:rStyle w:val="RevisionText"/>
        </w:rPr>
        <w:t>‘users took place’</w:t>
      </w:r>
      <w:r>
        <w:t>.</w:t>
      </w:r>
    </w:p>
    <w:p w:rsidR="008D6E45" w:rsidRPr="00CB1818" w:rsidRDefault="00E43EFE" w:rsidP="00715217">
      <w:pPr>
        <w:pStyle w:val="NummerierungStufe2"/>
        <w:keepNext/>
      </w:pPr>
      <w:r>
        <w:lastRenderedPageBreak/>
        <w:t>The previous point 8 becomes point 9 and is worded as follows:</w:t>
      </w:r>
    </w:p>
    <w:p w:rsidR="008D6E45" w:rsidRPr="00CB1818" w:rsidRDefault="008D6E45" w:rsidP="00FD1FA8">
      <w:pPr>
        <w:pStyle w:val="RevisionNummerierungStufe1manuell"/>
        <w:tabs>
          <w:tab w:val="clear" w:pos="425"/>
          <w:tab w:val="left" w:pos="1350"/>
        </w:tabs>
        <w:suppressAutoHyphens/>
        <w:ind w:left="1350" w:hanging="500"/>
      </w:pPr>
      <w:r>
        <w:t>‘9.</w:t>
      </w:r>
      <w:r>
        <w:tab/>
        <w:t>the respective number of complaints about unlawful content that resulted in the removal or blocking of the unlawful content within 24 hours, within 48 hours or within a week of receipt, or at a later time, broken down by complaints from complaints offices and users as well as broken down according to the reason for the complaint,’.</w:t>
      </w:r>
    </w:p>
    <w:p w:rsidR="003764C3" w:rsidRPr="00CB1818" w:rsidRDefault="00E43EFE" w:rsidP="003764C3">
      <w:pPr>
        <w:pStyle w:val="NummerierungStufe2"/>
      </w:pPr>
      <w:r>
        <w:t>The previous point 9 becomes point 10 and the full stop at the end is replaced by a comma.</w:t>
      </w:r>
    </w:p>
    <w:p w:rsidR="003764C3" w:rsidRPr="00CB1818" w:rsidRDefault="0018480A" w:rsidP="00715217">
      <w:pPr>
        <w:pStyle w:val="NummerierungStufe2"/>
        <w:keepNext/>
      </w:pPr>
      <w:r>
        <w:t>The following points 11 and 14 are added:</w:t>
      </w:r>
    </w:p>
    <w:p w:rsidR="003764C3" w:rsidRPr="00435424" w:rsidRDefault="003764C3" w:rsidP="00FD1FA8">
      <w:pPr>
        <w:pStyle w:val="RevisionNummerierungStufe1manuell"/>
        <w:tabs>
          <w:tab w:val="clear" w:pos="425"/>
          <w:tab w:val="left" w:pos="1350"/>
        </w:tabs>
        <w:ind w:left="1350" w:hanging="500"/>
        <w:rPr>
          <w:bCs/>
        </w:rPr>
      </w:pPr>
      <w:r>
        <w:t>‘11.</w:t>
      </w:r>
      <w:r>
        <w:tab/>
        <w:t>Number of appeals received in the reporting period as per § 3b(1)(2), according to the total number and broken down according to appeals by complainants and users for whom the contested content was saved, each with details on how many cases the appeal was remedied in,</w:t>
      </w:r>
    </w:p>
    <w:p w:rsidR="008E07D9" w:rsidRPr="00435424" w:rsidRDefault="003764C3" w:rsidP="00715217">
      <w:pPr>
        <w:pStyle w:val="RevisionNummerierungStufe1manuell"/>
        <w:keepNext/>
        <w:tabs>
          <w:tab w:val="clear" w:pos="425"/>
          <w:tab w:val="left" w:pos="1350"/>
        </w:tabs>
        <w:ind w:left="1350"/>
        <w:rPr>
          <w:bCs/>
        </w:rPr>
      </w:pPr>
      <w:r>
        <w:t>12.</w:t>
      </w:r>
      <w:r>
        <w:tab/>
        <w:t>Information on whether and to what extent scientific and research groups were granted access to information from the provider in the reporting period in order to enable them to be anonymously evaluated as to whether</w:t>
      </w:r>
    </w:p>
    <w:p w:rsidR="008E07D9" w:rsidRPr="00CB1818" w:rsidRDefault="00487BD1" w:rsidP="00382B89">
      <w:pPr>
        <w:pStyle w:val="RevisionNummerierungStufe2"/>
        <w:tabs>
          <w:tab w:val="clear" w:pos="850"/>
          <w:tab w:val="num" w:pos="1775"/>
        </w:tabs>
        <w:ind w:left="1775"/>
      </w:pPr>
      <w:r>
        <w:t>removed or blocked unlawful content is linked to characteristics as defined by § 1 of the General Equal Treatment Act of 14 August 2006 (Federal Law Gazette I p. 1897), last amended by Article 8 of the Act of 3 April 2013 (Federal Law Gazette I p. 610), as amended,</w:t>
      </w:r>
    </w:p>
    <w:p w:rsidR="005B0C0E" w:rsidRPr="00CB1818" w:rsidRDefault="005E0AEC" w:rsidP="00382B89">
      <w:pPr>
        <w:pStyle w:val="RevisionNummerierungStufe2"/>
        <w:tabs>
          <w:tab w:val="clear" w:pos="850"/>
          <w:tab w:val="num" w:pos="1775"/>
        </w:tabs>
        <w:ind w:left="1775"/>
      </w:pPr>
      <w:r>
        <w:t>the dissemination of unlawful content affects certain user groups in specific ways and</w:t>
      </w:r>
    </w:p>
    <w:p w:rsidR="00321605" w:rsidRPr="00CB1818" w:rsidRDefault="005B0C0E" w:rsidP="00382B89">
      <w:pPr>
        <w:pStyle w:val="RevisionNummerierungStufe2"/>
        <w:tabs>
          <w:tab w:val="clear" w:pos="850"/>
          <w:tab w:val="num" w:pos="1775"/>
        </w:tabs>
        <w:ind w:left="1775"/>
      </w:pPr>
      <w:r>
        <w:t>organised structures or coordinated behaviours form the basis of the dissemination.</w:t>
      </w:r>
    </w:p>
    <w:p w:rsidR="003764C3" w:rsidRPr="00435424" w:rsidRDefault="00321605" w:rsidP="00FD1FA8">
      <w:pPr>
        <w:pStyle w:val="RevisionNummerierungStufe1manuell"/>
        <w:tabs>
          <w:tab w:val="clear" w:pos="425"/>
          <w:tab w:val="left" w:pos="1350"/>
        </w:tabs>
        <w:ind w:left="1350"/>
        <w:rPr>
          <w:bCs/>
        </w:rPr>
      </w:pPr>
      <w:r>
        <w:t>13.</w:t>
      </w:r>
      <w:r>
        <w:tab/>
        <w:t>other measures by the provider to protect and support those affected by unlawful content,</w:t>
      </w:r>
    </w:p>
    <w:p w:rsidR="003764C3" w:rsidRPr="00435424" w:rsidRDefault="003764C3" w:rsidP="00FD1FA8">
      <w:pPr>
        <w:pStyle w:val="RevisionNummerierungStufe1manuell"/>
        <w:tabs>
          <w:tab w:val="clear" w:pos="425"/>
          <w:tab w:val="left" w:pos="1350"/>
        </w:tabs>
        <w:ind w:left="1350"/>
        <w:rPr>
          <w:bCs/>
        </w:rPr>
      </w:pPr>
      <w:r>
        <w:t>14.</w:t>
      </w:r>
      <w:r>
        <w:tab/>
        <w:t>a summary with a tabular overview showing the total number of complaints received about unlawful content, the percentage of content removed or blocked in response to these complaints, the number of appeals and the percentage of decisions changed based on these appeals, the corresponding numbers for the two previous reporting periods, combined with an explanation of significant differences and possible reasons for them.’</w:t>
      </w:r>
    </w:p>
    <w:p w:rsidR="00BE13DB" w:rsidRPr="00CB1818" w:rsidRDefault="00BE13DB" w:rsidP="00715217">
      <w:pPr>
        <w:pStyle w:val="NummerierungStufe1"/>
        <w:keepNext/>
      </w:pPr>
      <w:r>
        <w:t>§ 3 is amended as follows:</w:t>
      </w:r>
    </w:p>
    <w:p w:rsidR="00BE13DB" w:rsidRPr="00CB1818" w:rsidRDefault="00BE13DB" w:rsidP="00BE13DB">
      <w:pPr>
        <w:pStyle w:val="NummerierungStufe2"/>
      </w:pPr>
      <w:r>
        <w:t xml:space="preserve">In paragraph 1(2), the words </w:t>
      </w:r>
      <w:r>
        <w:rPr>
          <w:rStyle w:val="RevisionText"/>
        </w:rPr>
        <w:t>‘while perceiving the content’</w:t>
      </w:r>
      <w:r>
        <w:t xml:space="preserve"> are added after the word </w:t>
      </w:r>
      <w:r>
        <w:rPr>
          <w:rStyle w:val="RevisionText"/>
        </w:rPr>
        <w:t>‘a’</w:t>
      </w:r>
      <w:r>
        <w:t xml:space="preserve"> and a comma and the words </w:t>
      </w:r>
      <w:r>
        <w:rPr>
          <w:rStyle w:val="RevisionText"/>
        </w:rPr>
        <w:t>‘easy to use’</w:t>
      </w:r>
      <w:r>
        <w:t xml:space="preserve"> are added after the word </w:t>
      </w:r>
      <w:r>
        <w:rPr>
          <w:rStyle w:val="RevisionText"/>
        </w:rPr>
        <w:t>‘attainable’</w:t>
      </w:r>
      <w:r>
        <w:t>.</w:t>
      </w:r>
    </w:p>
    <w:p w:rsidR="00BE13DB" w:rsidRPr="00CB1818" w:rsidRDefault="00BE13DB" w:rsidP="00715217">
      <w:pPr>
        <w:pStyle w:val="NummerierungStufe2"/>
        <w:keepNext/>
      </w:pPr>
      <w:r>
        <w:t>Paragraph 2 is amended as follows:</w:t>
      </w:r>
    </w:p>
    <w:p w:rsidR="001B5632" w:rsidRPr="00CB1818" w:rsidRDefault="001B5632" w:rsidP="001B5632">
      <w:pPr>
        <w:pStyle w:val="NummerierungStufe3"/>
      </w:pPr>
      <w:r>
        <w:t xml:space="preserve">In point 3(b) the words </w:t>
      </w:r>
      <w:r>
        <w:rPr>
          <w:rStyle w:val="RevisionText"/>
        </w:rPr>
        <w:t>‘the social network’</w:t>
      </w:r>
      <w:r>
        <w:t xml:space="preserve"> are replaced by the words </w:t>
      </w:r>
      <w:r>
        <w:rPr>
          <w:rStyle w:val="RevisionText"/>
        </w:rPr>
        <w:t>‘the social network provider’</w:t>
      </w:r>
      <w:r>
        <w:t>.</w:t>
      </w:r>
    </w:p>
    <w:p w:rsidR="00AE356F" w:rsidRPr="00CB1818" w:rsidRDefault="00CE245D" w:rsidP="00715217">
      <w:pPr>
        <w:pStyle w:val="NummerierungStufe3"/>
        <w:keepNext/>
      </w:pPr>
      <w:r>
        <w:t>Paragraphs 4 and 5 are worded as follows:</w:t>
      </w:r>
    </w:p>
    <w:p w:rsidR="00CE245D" w:rsidRPr="00435424" w:rsidRDefault="00AE356F" w:rsidP="00FD1FA8">
      <w:pPr>
        <w:pStyle w:val="RevisionNummerierungStufe1manuell"/>
        <w:tabs>
          <w:tab w:val="clear" w:pos="425"/>
          <w:tab w:val="left" w:pos="1776"/>
        </w:tabs>
        <w:ind w:left="1776" w:hanging="500"/>
        <w:rPr>
          <w:bCs/>
        </w:rPr>
      </w:pPr>
      <w:r>
        <w:t>‘4.</w:t>
      </w:r>
      <w:r>
        <w:tab/>
        <w:t xml:space="preserve">in the event of removal, secures the content for evidence and for this purpose saves it for a period of </w:t>
      </w:r>
      <w:r w:rsidR="002C2CBC">
        <w:t>10</w:t>
      </w:r>
      <w:r>
        <w:t xml:space="preserve"> weeks within the scope of </w:t>
      </w:r>
      <w:r>
        <w:lastRenderedPageBreak/>
        <w:t>Directive 2000/31/EC of the European Parliament and of the Council of 8 June 2000 on certain legal aspects of information society services, in particular electronic commerce, in the Internal Market (Directive on E-commerce) (OJ L 178, 17.7.2000, p. 1) and 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(OJ L 95, 15.4.2010, p. 1; L 263, 6.10.2010, p. 15) as amended by Directive (EU) 2018/1808 (OJ L 303, 28.11.2018, p. 69),</w:t>
      </w:r>
    </w:p>
    <w:p w:rsidR="008331B2" w:rsidRPr="00CB1818" w:rsidRDefault="008A766D" w:rsidP="00715217">
      <w:pPr>
        <w:pStyle w:val="RevisionNummerierungStufe1manuell"/>
        <w:keepNext/>
        <w:tabs>
          <w:tab w:val="clear" w:pos="425"/>
          <w:tab w:val="left" w:pos="1776"/>
        </w:tabs>
        <w:ind w:left="1776"/>
        <w:rPr>
          <w:bCs/>
        </w:rPr>
      </w:pPr>
      <w:r>
        <w:t>5.</w:t>
      </w:r>
      <w:r>
        <w:tab/>
        <w:t>to inform the complainant and the user for whom the contested content was saved about each decision without delay, and in doing so</w:t>
      </w:r>
    </w:p>
    <w:p w:rsidR="008331B2" w:rsidRPr="00CB1818" w:rsidRDefault="008331B2" w:rsidP="00FD1FA8">
      <w:pPr>
        <w:pStyle w:val="RevisionNummerierungStufe2"/>
        <w:numPr>
          <w:ilvl w:val="4"/>
          <w:numId w:val="7"/>
        </w:numPr>
        <w:tabs>
          <w:tab w:val="clear" w:pos="850"/>
          <w:tab w:val="num" w:pos="2201"/>
        </w:tabs>
        <w:ind w:left="2201"/>
      </w:pPr>
      <w:r>
        <w:t>justifies his decision,</w:t>
      </w:r>
    </w:p>
    <w:p w:rsidR="008A766D" w:rsidRPr="00CB1818" w:rsidRDefault="006465AD" w:rsidP="00FD1FA8">
      <w:pPr>
        <w:pStyle w:val="RevisionNummerierungStufe2"/>
        <w:tabs>
          <w:tab w:val="clear" w:pos="850"/>
          <w:tab w:val="num" w:pos="2201"/>
        </w:tabs>
        <w:ind w:left="2201"/>
      </w:pPr>
      <w:r>
        <w:t>indicates the possibility of an appeal as per § 3b(1)(2), the procedure provided for this as per § 3b(1)(3), the deadline as per § 3b(1)(2) and that the content of the appeal can be passed on within the scope of the procedure as per § 3b(2)(1), and</w:t>
      </w:r>
    </w:p>
    <w:p w:rsidR="008331B2" w:rsidRPr="00CB1818" w:rsidRDefault="008331B2" w:rsidP="00FD1FA8">
      <w:pPr>
        <w:pStyle w:val="RevisionNummerierungStufe2"/>
        <w:tabs>
          <w:tab w:val="clear" w:pos="850"/>
          <w:tab w:val="num" w:pos="2201"/>
        </w:tabs>
        <w:ind w:left="2201"/>
      </w:pPr>
      <w:r>
        <w:t>informs the complainant that he can file a notice of an offence and, if necessary, an application for prosecution against the user for whom the contested content has been saved, and about the website on which he can receive further information about this.’</w:t>
      </w:r>
    </w:p>
    <w:p w:rsidR="00D31A36" w:rsidRPr="00CB1818" w:rsidRDefault="00E94ACD" w:rsidP="00715217">
      <w:pPr>
        <w:pStyle w:val="NummerierungStufe3"/>
        <w:keepNext/>
      </w:pPr>
      <w:r>
        <w:t>The following sentences are added:</w:t>
      </w:r>
    </w:p>
    <w:p w:rsidR="00D31A36" w:rsidRPr="00CB1818" w:rsidRDefault="00D31A36" w:rsidP="00FD1FA8">
      <w:pPr>
        <w:pStyle w:val="RevisionJuristischerAbsatzFolgeabsatz"/>
        <w:ind w:left="1276"/>
        <w:rPr>
          <w:rStyle w:val="RevisionText"/>
        </w:rPr>
      </w:pPr>
      <w:r>
        <w:rPr>
          <w:rStyle w:val="RevisionText"/>
        </w:rPr>
        <w:t>‘In the cases of sentence 1(3)(b), the social network provider may disclose the contested content, information on the time of sharing or making the content accessible and the extent of its dissemination, as well as the content in a recognisable context (if necessary for the purpose of the decision) to the recognised self-regulation body. The self-regulation body is authorised to process the personal data concerned to the extent necessary for the review. Any inaccuracy of the decision taken by the self-regulation body in the cases of sentence 1(3)(b) does not constitute a violation of paragraph 1(1) by the social network provider.’</w:t>
      </w:r>
    </w:p>
    <w:p w:rsidR="008331B2" w:rsidRPr="00CB1818" w:rsidRDefault="008331B2" w:rsidP="00715217">
      <w:pPr>
        <w:pStyle w:val="NummerierungStufe2"/>
        <w:keepNext/>
      </w:pPr>
      <w:r>
        <w:t>Paragraph 6 is amended as follows:</w:t>
      </w:r>
    </w:p>
    <w:p w:rsidR="009E7D6E" w:rsidRPr="00CB1818" w:rsidRDefault="002F6D0D" w:rsidP="008331B2">
      <w:pPr>
        <w:pStyle w:val="NummerierungStufe3"/>
      </w:pPr>
      <w:r>
        <w:t xml:space="preserve">In point 3, the word </w:t>
      </w:r>
      <w:r>
        <w:rPr>
          <w:rStyle w:val="RevisionText"/>
        </w:rPr>
        <w:t>‘provides,’</w:t>
      </w:r>
      <w:r>
        <w:t xml:space="preserve"> is replaced by the words </w:t>
      </w:r>
      <w:r>
        <w:rPr>
          <w:rStyle w:val="RevisionText"/>
        </w:rPr>
        <w:t>‘provides at the request of the complainant and at the request of the user for whom the contested content has been saved, and’</w:t>
      </w:r>
      <w:r>
        <w:t>.</w:t>
      </w:r>
    </w:p>
    <w:p w:rsidR="008331B2" w:rsidRPr="00CB1818" w:rsidRDefault="008331B2" w:rsidP="008331B2">
      <w:pPr>
        <w:pStyle w:val="NummerierungStufe3"/>
      </w:pPr>
      <w:r>
        <w:t>Point 4 is deleted.</w:t>
      </w:r>
    </w:p>
    <w:p w:rsidR="002F6D0D" w:rsidRPr="00CB1818" w:rsidRDefault="002F6D0D" w:rsidP="008331B2">
      <w:pPr>
        <w:pStyle w:val="NummerierungStufe3"/>
      </w:pPr>
      <w:r>
        <w:t>Point 5 becomes point 4.</w:t>
      </w:r>
    </w:p>
    <w:p w:rsidR="00654A16" w:rsidRPr="00CB1818" w:rsidRDefault="00654A16" w:rsidP="00715217">
      <w:pPr>
        <w:pStyle w:val="NummerierungStufe2"/>
        <w:keepNext/>
      </w:pPr>
      <w:r>
        <w:t>The following sentences are added to paragraph 7:</w:t>
      </w:r>
    </w:p>
    <w:p w:rsidR="00654A16" w:rsidRPr="00435424" w:rsidRDefault="00654A16" w:rsidP="00FD1FA8">
      <w:pPr>
        <w:pStyle w:val="RevisionJuristischerAbsatzFolgeabsatz"/>
        <w:ind w:left="850"/>
      </w:pPr>
      <w:r>
        <w:t>‘The decision can be issued with auxiliary conditions. A time limit should not be less than five years.’</w:t>
      </w:r>
    </w:p>
    <w:p w:rsidR="00654A16" w:rsidRPr="00CB1818" w:rsidRDefault="00654A16" w:rsidP="00715217">
      <w:pPr>
        <w:pStyle w:val="NummerierungStufe2"/>
        <w:keepNext/>
      </w:pPr>
      <w:r>
        <w:t>The following paragraphs 8 and 9 are added after paragraph 7:</w:t>
      </w:r>
    </w:p>
    <w:p w:rsidR="00654A16" w:rsidRPr="00435424" w:rsidRDefault="00654A16" w:rsidP="00FD1FA8">
      <w:pPr>
        <w:pStyle w:val="RevisionJuristischerAbsatzmanuell"/>
        <w:tabs>
          <w:tab w:val="clear" w:pos="850"/>
          <w:tab w:val="left" w:pos="1700"/>
        </w:tabs>
        <w:ind w:left="850" w:firstLine="350"/>
      </w:pPr>
      <w:r>
        <w:t xml:space="preserve">‘(8) The recognised self-regulation body must immediately inform the administrative authority mentioned in § 4 of changes in the circumstances </w:t>
      </w:r>
      <w:r>
        <w:lastRenderedPageBreak/>
        <w:t>relevant to the recognition and other information provided in the application for recognition.</w:t>
      </w:r>
    </w:p>
    <w:p w:rsidR="00654A16" w:rsidRPr="00435424" w:rsidRDefault="00654A16" w:rsidP="00FD1FA8">
      <w:pPr>
        <w:pStyle w:val="RevisionJuristischerAbsatzmanuell"/>
        <w:tabs>
          <w:tab w:val="clear" w:pos="850"/>
          <w:tab w:val="left" w:pos="1700"/>
        </w:tabs>
        <w:ind w:left="850"/>
      </w:pPr>
      <w:r>
        <w:t>(9) The recognised self-regulation body must publish an activity report on the previous calendar year on its website by July 31 of each year and forward it to the administrative authority mentioned in § 4.’</w:t>
      </w:r>
    </w:p>
    <w:p w:rsidR="00E43EFE" w:rsidRPr="00CB1818" w:rsidRDefault="00E43EFE" w:rsidP="00E43EFE">
      <w:pPr>
        <w:pStyle w:val="NummerierungStufe2"/>
      </w:pPr>
      <w:r>
        <w:t>The previous paragraphs 8 and 9 become the new paragraphs 10 and 11.</w:t>
      </w:r>
    </w:p>
    <w:p w:rsidR="007068D4" w:rsidRPr="00CB1818" w:rsidRDefault="007068D4" w:rsidP="00715217">
      <w:pPr>
        <w:pStyle w:val="NummerierungStufe1"/>
        <w:keepNext/>
      </w:pPr>
      <w:r>
        <w:t>The following §§ 3b to 3f are added after § 3a:</w:t>
      </w:r>
    </w:p>
    <w:p w:rsidR="007068D4" w:rsidRPr="00CB1818" w:rsidRDefault="007068D4" w:rsidP="00FD1FA8">
      <w:pPr>
        <w:pStyle w:val="RevisionParagraphBezeichnermanuell"/>
        <w:ind w:left="425" w:hanging="75"/>
      </w:pPr>
      <w:r>
        <w:t>‘§ 3b</w:t>
      </w:r>
    </w:p>
    <w:p w:rsidR="00222B8C" w:rsidRPr="00CB1818" w:rsidRDefault="00222B8C" w:rsidP="00FD1FA8">
      <w:pPr>
        <w:pStyle w:val="RevisionParagraphberschrift"/>
        <w:ind w:left="425"/>
      </w:pPr>
      <w:r>
        <w:t>Appeal procedure</w:t>
      </w:r>
    </w:p>
    <w:p w:rsidR="007068D4" w:rsidRPr="00435424" w:rsidRDefault="00222B8C" w:rsidP="00FD1FA8">
      <w:pPr>
        <w:pStyle w:val="RevisionJuristischerAbsatz"/>
        <w:numPr>
          <w:ilvl w:val="2"/>
          <w:numId w:val="1"/>
        </w:numPr>
        <w:tabs>
          <w:tab w:val="clear" w:pos="850"/>
          <w:tab w:val="left" w:pos="1275"/>
        </w:tabs>
        <w:ind w:left="425"/>
      </w:pPr>
      <w:r>
        <w:t>The social network provider must maintain an effective and transparent procedure in accordance with paragraph 2, with which both the complainant and the user for whom the contested content has been saved, can initiate a review of a decision made in accordance with § 3(2)(1)(1) to (3)(a) (original decision). The review is only required if the complainant or the user for whom the contested content has been saved files an application for review with statement of reasons within two weeks of being informed of the original decision (appeal). For this purpose, the social network provider must provide an easily recognisable procedure that enables easy electronic contact and direct communication with it. The means of contact must also be addressed in the information as per § 3(2)(1)(5)(b).</w:t>
      </w:r>
    </w:p>
    <w:p w:rsidR="007068D4" w:rsidRPr="00CB1818" w:rsidRDefault="004420C8" w:rsidP="00715217">
      <w:pPr>
        <w:pStyle w:val="RevisionJuristischerAbsatz"/>
        <w:keepNext/>
        <w:numPr>
          <w:ilvl w:val="2"/>
          <w:numId w:val="1"/>
        </w:numPr>
        <w:tabs>
          <w:tab w:val="clear" w:pos="850"/>
          <w:tab w:val="left" w:pos="1275"/>
        </w:tabs>
        <w:ind w:left="425"/>
      </w:pPr>
      <w:r>
        <w:t>The procedure as per paragraph 1(1) shall ensure that the social network provider,</w:t>
      </w:r>
    </w:p>
    <w:p w:rsidR="004420C8" w:rsidRPr="00CB1818" w:rsidRDefault="00B00AD4" w:rsidP="00FD1FA8">
      <w:pPr>
        <w:pStyle w:val="RevisionNummerierungStufe1"/>
        <w:tabs>
          <w:tab w:val="clear" w:pos="425"/>
          <w:tab w:val="num" w:pos="850"/>
        </w:tabs>
        <w:ind w:left="850"/>
      </w:pPr>
      <w:r>
        <w:t>in case it wishes to remedy the appeal, immediately informs the user of the content of the appeal in the case of an appeal by the complainant, immediately informs the complainant of the content of the appeal in the event of an appeal by the user, and provides the user in the first case and the complainant in the second with the opportunity to make a statement within a reasonable time,</w:t>
      </w:r>
    </w:p>
    <w:p w:rsidR="00B00AD4" w:rsidRPr="00CB1818" w:rsidRDefault="00B00AD4" w:rsidP="00FD1FA8">
      <w:pPr>
        <w:pStyle w:val="RevisionNummerierungStufe1"/>
        <w:tabs>
          <w:tab w:val="clear" w:pos="425"/>
          <w:tab w:val="num" w:pos="850"/>
        </w:tabs>
        <w:ind w:left="850"/>
      </w:pPr>
      <w:r>
        <w:t>points out that the content of a user's statement can be passed on to the complainant and the content of a complainant's statement can be passed on to the user,</w:t>
      </w:r>
    </w:p>
    <w:p w:rsidR="004420C8" w:rsidRPr="00CB1818" w:rsidRDefault="004420C8" w:rsidP="00FD1FA8">
      <w:pPr>
        <w:pStyle w:val="RevisionNummerierungStufe1"/>
        <w:tabs>
          <w:tab w:val="clear" w:pos="425"/>
          <w:tab w:val="num" w:pos="850"/>
        </w:tabs>
        <w:ind w:left="850"/>
      </w:pPr>
      <w:r>
        <w:t>immediately subjects its original decision to a review by a person who was not involved with the original decision,</w:t>
      </w:r>
    </w:p>
    <w:p w:rsidR="00B00AD4" w:rsidRPr="00CB1818" w:rsidRDefault="00470B42" w:rsidP="00FD1FA8">
      <w:pPr>
        <w:pStyle w:val="RevisionNummerierungStufe1"/>
        <w:tabs>
          <w:tab w:val="clear" w:pos="425"/>
          <w:tab w:val="num" w:pos="850"/>
        </w:tabs>
        <w:ind w:left="850"/>
      </w:pPr>
      <w:r>
        <w:t>transfers its review decision sent to the complainant and the user without delay and substantiates it on a case</w:t>
      </w:r>
      <w:r w:rsidR="003D079F">
        <w:t>-</w:t>
      </w:r>
      <w:r>
        <w:t>by</w:t>
      </w:r>
      <w:r w:rsidR="003D079F">
        <w:t>-</w:t>
      </w:r>
      <w:r>
        <w:t>case basis and</w:t>
      </w:r>
    </w:p>
    <w:p w:rsidR="004420C8" w:rsidRPr="00CB1818" w:rsidRDefault="00E54B08" w:rsidP="00FD1FA8">
      <w:pPr>
        <w:pStyle w:val="RevisionNummerierungStufe1"/>
        <w:tabs>
          <w:tab w:val="clear" w:pos="425"/>
          <w:tab w:val="num" w:pos="850"/>
        </w:tabs>
        <w:ind w:left="850"/>
      </w:pPr>
      <w:r>
        <w:t>ensures that the complainant's and the user's identity is not disclosed in the procedure.</w:t>
      </w:r>
    </w:p>
    <w:p w:rsidR="004420C8" w:rsidRPr="00CB1818" w:rsidRDefault="004420C8" w:rsidP="00FD1FA8">
      <w:pPr>
        <w:pStyle w:val="RevisionParagraphBezeichnermanuell"/>
        <w:ind w:left="425"/>
        <w:rPr>
          <w:rStyle w:val="Marker"/>
          <w:color w:val="800000"/>
        </w:rPr>
      </w:pPr>
      <w:r>
        <w:rPr>
          <w:rStyle w:val="Marker"/>
          <w:color w:val="800000"/>
        </w:rPr>
        <w:t>§ 3c</w:t>
      </w:r>
    </w:p>
    <w:p w:rsidR="002B001F" w:rsidRPr="00CB1818" w:rsidRDefault="002B001F" w:rsidP="00FD1FA8">
      <w:pPr>
        <w:pStyle w:val="RevisionParagraphberschrift"/>
        <w:ind w:left="425"/>
      </w:pPr>
      <w:r>
        <w:t>Arbitration</w:t>
      </w:r>
    </w:p>
    <w:p w:rsidR="00C645CA" w:rsidRPr="00CB1818" w:rsidRDefault="001323B8" w:rsidP="00FD1FA8">
      <w:pPr>
        <w:pStyle w:val="RevisionJuristischerAbsatz"/>
        <w:numPr>
          <w:ilvl w:val="2"/>
          <w:numId w:val="5"/>
        </w:numPr>
        <w:tabs>
          <w:tab w:val="clear" w:pos="850"/>
          <w:tab w:val="num" w:pos="1275"/>
        </w:tabs>
        <w:ind w:left="425"/>
      </w:pPr>
      <w:r>
        <w:t xml:space="preserve">The administrative authority referred to in § 4 can recognise organisations under private law as arbitration bodies for out-of-court settlement of disputes between </w:t>
      </w:r>
      <w:r>
        <w:lastRenderedPageBreak/>
        <w:t>complainants or users for whom the contested content has been saved and social network providers on decisions made in accordance with § 3(2)(1)(1) to (3).</w:t>
      </w:r>
    </w:p>
    <w:p w:rsidR="00BC1485" w:rsidRPr="00CB1818" w:rsidRDefault="00BC1485" w:rsidP="00715217">
      <w:pPr>
        <w:pStyle w:val="RevisionJuristischerAbsatz"/>
        <w:keepNext/>
        <w:numPr>
          <w:ilvl w:val="2"/>
          <w:numId w:val="5"/>
        </w:numPr>
        <w:tabs>
          <w:tab w:val="clear" w:pos="850"/>
          <w:tab w:val="num" w:pos="1275"/>
        </w:tabs>
        <w:ind w:left="425"/>
      </w:pPr>
      <w:r>
        <w:t>An organisation under private law is to be recognised as an arbitration body as per paragraph 1 if</w:t>
      </w:r>
    </w:p>
    <w:p w:rsidR="00BC1485" w:rsidRPr="00CB1818" w:rsidRDefault="00D268B7" w:rsidP="00FD1FA8">
      <w:pPr>
        <w:pStyle w:val="RevisionNummerierungStufe1"/>
        <w:tabs>
          <w:tab w:val="clear" w:pos="425"/>
          <w:tab w:val="num" w:pos="850"/>
        </w:tabs>
        <w:ind w:left="850"/>
        <w:rPr>
          <w:bCs/>
        </w:rPr>
      </w:pPr>
      <w:r>
        <w:t>its sponsor is a legal entity domiciled in Germany with secure financing and established for the long term,</w:t>
      </w:r>
    </w:p>
    <w:p w:rsidR="00BC1485" w:rsidRPr="00CB1818" w:rsidRDefault="00BC1485" w:rsidP="00FD1FA8">
      <w:pPr>
        <w:pStyle w:val="RevisionNummerierungStufe1"/>
        <w:tabs>
          <w:tab w:val="clear" w:pos="425"/>
          <w:tab w:val="num" w:pos="850"/>
        </w:tabs>
        <w:ind w:left="850"/>
        <w:rPr>
          <w:bCs/>
        </w:rPr>
      </w:pPr>
      <w:r>
        <w:t>the independence, impartiality and expertise of those who are to be involved in arbitration are guaranteed,</w:t>
      </w:r>
    </w:p>
    <w:p w:rsidR="00BC1485" w:rsidRPr="00CB1818" w:rsidRDefault="00971461" w:rsidP="00FD1FA8">
      <w:pPr>
        <w:pStyle w:val="RevisionNummerierungStufe1"/>
        <w:tabs>
          <w:tab w:val="clear" w:pos="425"/>
          <w:tab w:val="num" w:pos="850"/>
        </w:tabs>
        <w:ind w:left="850"/>
        <w:rPr>
          <w:bCs/>
        </w:rPr>
      </w:pPr>
      <w:r>
        <w:t>their proper equipment and the timely processing of arbitration procedures are ensured,</w:t>
      </w:r>
    </w:p>
    <w:p w:rsidR="00D268B7" w:rsidRPr="00CB1818" w:rsidRDefault="00DC4F31" w:rsidP="00FD1FA8">
      <w:pPr>
        <w:pStyle w:val="RevisionNummerierungStufe1"/>
        <w:tabs>
          <w:tab w:val="clear" w:pos="425"/>
          <w:tab w:val="num" w:pos="850"/>
        </w:tabs>
        <w:ind w:left="850"/>
        <w:rPr>
          <w:bCs/>
        </w:rPr>
      </w:pPr>
      <w:r>
        <w:t>it has rules of arbitration that regulate the details of the arbitration procedure and its competence and that enables a simple, inexpensive, non-binding and fair arbitration procedure in which the social network provider, the complainant and the user for whom the contested content was saved can participate,</w:t>
      </w:r>
    </w:p>
    <w:p w:rsidR="00BC1485" w:rsidRPr="00CB1818" w:rsidRDefault="00D268B7" w:rsidP="00FD1FA8">
      <w:pPr>
        <w:pStyle w:val="RevisionNummerierungStufe1"/>
        <w:tabs>
          <w:tab w:val="clear" w:pos="425"/>
          <w:tab w:val="num" w:pos="850"/>
        </w:tabs>
        <w:ind w:left="850"/>
        <w:rPr>
          <w:bCs/>
        </w:rPr>
      </w:pPr>
      <w:r>
        <w:t>it is ensured that the public is continuously informed of the availability and competence of the arbitration body and of the course of the arbitration procedure, including the rules of arbitration.</w:t>
      </w:r>
    </w:p>
    <w:p w:rsidR="006432C7" w:rsidRPr="00CB1818" w:rsidRDefault="006432C7" w:rsidP="00FD1FA8">
      <w:pPr>
        <w:pStyle w:val="RevisionJuristischerAbsatzFolgeabsatz"/>
        <w:ind w:left="425"/>
      </w:pPr>
      <w:r>
        <w:t>§ 3(7)(2) and (3) and paragraphs (8) through (10) shall apply accordingly.</w:t>
      </w:r>
    </w:p>
    <w:p w:rsidR="006432C7" w:rsidRPr="00CB1818" w:rsidRDefault="006432C7" w:rsidP="00FD1FA8">
      <w:pPr>
        <w:pStyle w:val="RevisionJuristischerAbsatz"/>
        <w:numPr>
          <w:ilvl w:val="2"/>
          <w:numId w:val="5"/>
        </w:numPr>
        <w:tabs>
          <w:tab w:val="clear" w:pos="850"/>
          <w:tab w:val="num" w:pos="1275"/>
        </w:tabs>
        <w:ind w:left="425"/>
      </w:pPr>
      <w:r>
        <w:t>Complainants and users for whom the contested content has been saved can call an arbitration body within their area of competence if an appeal procedure pursuant to § 3b has previously been carried out or the decision as per § 3(6)(3) has been reviewed and the social network provider takes part in the arbitration by this arbitration body in general or in individual cases. If the provider takes part in the arbitration, he may send the arbitration body the contested content, information on the time of sharing or provision of the content and the extent of dissemination, as well as contents in recognisable connection to the content, if this is necessary for the arbitration procedure; in case of a call to the arbitration body by the complainant, the contact details of the user for whom the contested content has been saved may be transmitted and, in case of a call to the arbitration body by the user for which the contested content has been saved, the contact details of the complainant may also be transmitted. The arbitration body is authorised to process the relevant personal data if this is necessary for the arbitration procedure; disclosure of the personal data of the complainant and the user for whom the contested content was saved is excluded.</w:t>
      </w:r>
    </w:p>
    <w:p w:rsidR="009E7EF3" w:rsidRPr="00CB1818" w:rsidRDefault="00BC1485" w:rsidP="00FD1FA8">
      <w:pPr>
        <w:pStyle w:val="RevisionJuristischerAbsatz"/>
        <w:numPr>
          <w:ilvl w:val="2"/>
          <w:numId w:val="5"/>
        </w:numPr>
        <w:tabs>
          <w:tab w:val="clear" w:pos="850"/>
          <w:tab w:val="num" w:pos="1275"/>
        </w:tabs>
        <w:ind w:left="425"/>
      </w:pPr>
      <w:r>
        <w:t>Participation in arbitration procedures is voluntary. The right to appeal to the courts remains unaffected. The Act on Alternative Dispute Resolution in Consumer Matters of 19 February 2016 (Federal Law Gazette I p. 254, 1039) amended by Article 1 of the Act of 30 November 2019 (Federal Law Gazette I p. 1942) shall not apply.</w:t>
      </w:r>
    </w:p>
    <w:p w:rsidR="000125D5" w:rsidRPr="00CB1818" w:rsidRDefault="000125D5" w:rsidP="00FD1FA8">
      <w:pPr>
        <w:pStyle w:val="RevisionParagraphBezeichnermanuell"/>
        <w:ind w:left="425"/>
      </w:pPr>
      <w:r>
        <w:lastRenderedPageBreak/>
        <w:t>§ 3d</w:t>
      </w:r>
    </w:p>
    <w:p w:rsidR="000125D5" w:rsidRPr="00CB1818" w:rsidRDefault="006D22CC" w:rsidP="00FD1FA8">
      <w:pPr>
        <w:pStyle w:val="RevisionParagraphberschrift"/>
        <w:ind w:left="425"/>
      </w:pPr>
      <w:r>
        <w:t>Definitions for video sharing platform services</w:t>
      </w:r>
    </w:p>
    <w:p w:rsidR="000125D5" w:rsidRPr="00CB1818" w:rsidRDefault="000125D5" w:rsidP="00715217">
      <w:pPr>
        <w:pStyle w:val="RevisionJuristischerAbsatz"/>
        <w:keepNext/>
        <w:numPr>
          <w:ilvl w:val="2"/>
          <w:numId w:val="2"/>
        </w:numPr>
        <w:tabs>
          <w:tab w:val="clear" w:pos="850"/>
          <w:tab w:val="left" w:pos="1275"/>
        </w:tabs>
        <w:ind w:left="425"/>
      </w:pPr>
      <w:r>
        <w:t>For the purposes of this Act:</w:t>
      </w:r>
    </w:p>
    <w:p w:rsidR="009920AA" w:rsidRPr="00CB1818" w:rsidRDefault="000125D5" w:rsidP="00715217">
      <w:pPr>
        <w:pStyle w:val="RevisionNummerierungStufe1"/>
        <w:keepNext/>
        <w:tabs>
          <w:tab w:val="clear" w:pos="425"/>
          <w:tab w:val="num" w:pos="850"/>
        </w:tabs>
        <w:ind w:left="850"/>
      </w:pPr>
      <w:r>
        <w:t>video sharing platform services are</w:t>
      </w:r>
    </w:p>
    <w:p w:rsidR="009920AA" w:rsidRPr="00CB1818" w:rsidRDefault="000125D5" w:rsidP="00FD1FA8">
      <w:pPr>
        <w:pStyle w:val="RevisionNummerierungStufe2"/>
        <w:tabs>
          <w:tab w:val="clear" w:pos="850"/>
          <w:tab w:val="num" w:pos="1275"/>
        </w:tabs>
        <w:ind w:left="1275"/>
      </w:pPr>
      <w:r>
        <w:t>telemedia, the main purpose or essential function of which is to make broadcasts or user-generated videos for which the service provider has no editorial responsibility available to the general public, in which the service provider determines the organisation of the broadcasts or user-generated videos, including by automatic means;</w:t>
      </w:r>
    </w:p>
    <w:p w:rsidR="000125D5" w:rsidRPr="00CB1818" w:rsidRDefault="001323B8" w:rsidP="00FD1FA8">
      <w:pPr>
        <w:pStyle w:val="RevisionNummerierungStufe2"/>
        <w:tabs>
          <w:tab w:val="clear" w:pos="850"/>
          <w:tab w:val="num" w:pos="1275"/>
        </w:tabs>
        <w:ind w:left="1275"/>
      </w:pPr>
      <w:r>
        <w:t>separable parts of telemedia, if the separable part has the main purpose specified in (a),</w:t>
      </w:r>
    </w:p>
    <w:p w:rsidR="0082769B" w:rsidRPr="00CB1818" w:rsidRDefault="0082769B" w:rsidP="00FD1FA8">
      <w:pPr>
        <w:pStyle w:val="RevisionNummerierungStufe1"/>
        <w:tabs>
          <w:tab w:val="clear" w:pos="425"/>
          <w:tab w:val="num" w:pos="850"/>
        </w:tabs>
        <w:ind w:left="850"/>
      </w:pPr>
      <w:r>
        <w:t>a user-generated video is a sequence of moving images with or without sound created by a user which, regardless of its length, constitutes an integral part and which is uploaded to a video sharing platform service by this or another user,</w:t>
      </w:r>
    </w:p>
    <w:p w:rsidR="0082769B" w:rsidRPr="00CB1818" w:rsidRDefault="0082769B" w:rsidP="00FD1FA8">
      <w:pPr>
        <w:pStyle w:val="RevisionNummerierungStufe1"/>
        <w:tabs>
          <w:tab w:val="clear" w:pos="425"/>
          <w:tab w:val="num" w:pos="850"/>
        </w:tabs>
        <w:ind w:left="850"/>
      </w:pPr>
      <w:r>
        <w:t>a broadcast is a sequence of moving pictures with or without sound that, regardless of its length, is an integral part of a broadcasting plan or catalogue created by a service provider,</w:t>
      </w:r>
    </w:p>
    <w:p w:rsidR="00532E0F" w:rsidRPr="00CB1818" w:rsidRDefault="00494DCB" w:rsidP="00FD1FA8">
      <w:pPr>
        <w:pStyle w:val="RevisionNummerierungStufe1"/>
        <w:tabs>
          <w:tab w:val="clear" w:pos="425"/>
          <w:tab w:val="num" w:pos="850"/>
        </w:tabs>
        <w:ind w:left="850"/>
      </w:pPr>
      <w:r>
        <w:t xml:space="preserve">a Member State is any </w:t>
      </w:r>
      <w:r w:rsidR="002C2CBC">
        <w:t>M</w:t>
      </w:r>
      <w:r>
        <w:t xml:space="preserve">ember </w:t>
      </w:r>
      <w:r w:rsidR="002C2CBC">
        <w:t>S</w:t>
      </w:r>
      <w:r>
        <w:t>tate of the European Union and any other state party to the Agreement on the European Economic Area to which Directive 2010/13/EU applies,</w:t>
      </w:r>
    </w:p>
    <w:p w:rsidR="00532E0F" w:rsidRPr="00CB1818" w:rsidRDefault="00532E0F" w:rsidP="00FD1FA8">
      <w:pPr>
        <w:pStyle w:val="RevisionNummerierungStufe1"/>
        <w:tabs>
          <w:tab w:val="clear" w:pos="425"/>
          <w:tab w:val="num" w:pos="850"/>
        </w:tabs>
        <w:ind w:left="850"/>
        <w:rPr>
          <w:bCs/>
        </w:rPr>
      </w:pPr>
      <w:r>
        <w:t>a parent company is a company that controls one or more subsidiaries,</w:t>
      </w:r>
    </w:p>
    <w:p w:rsidR="00532E0F" w:rsidRPr="00CB1818" w:rsidRDefault="00532E0F" w:rsidP="00FD1FA8">
      <w:pPr>
        <w:pStyle w:val="RevisionNummerierungStufe1"/>
        <w:tabs>
          <w:tab w:val="clear" w:pos="425"/>
          <w:tab w:val="num" w:pos="850"/>
        </w:tabs>
        <w:ind w:left="850"/>
        <w:rPr>
          <w:bCs/>
        </w:rPr>
      </w:pPr>
      <w:r>
        <w:t>a subsidiary is a company that is directly or indirectly controlled by a parent company,</w:t>
      </w:r>
    </w:p>
    <w:p w:rsidR="00494DCB" w:rsidRPr="00CB1818" w:rsidRDefault="00532E0F" w:rsidP="00FD1FA8">
      <w:pPr>
        <w:pStyle w:val="RevisionNummerierungStufe1"/>
        <w:tabs>
          <w:tab w:val="clear" w:pos="425"/>
          <w:tab w:val="num" w:pos="850"/>
        </w:tabs>
        <w:ind w:left="850"/>
        <w:rPr>
          <w:bCs/>
        </w:rPr>
      </w:pPr>
      <w:r>
        <w:t>a group is the entirety of a parent company, all of its subsidiaries and all other companies that are economically and legally affiliated with the parent company and its subsidiaries.</w:t>
      </w:r>
    </w:p>
    <w:p w:rsidR="00494DCB" w:rsidRPr="00CB1818" w:rsidRDefault="00494DCB" w:rsidP="00715217">
      <w:pPr>
        <w:pStyle w:val="RevisionJuristischerAbsatz"/>
        <w:keepNext/>
        <w:tabs>
          <w:tab w:val="clear" w:pos="850"/>
          <w:tab w:val="num" w:pos="1275"/>
        </w:tabs>
        <w:suppressAutoHyphens/>
        <w:ind w:left="425"/>
      </w:pPr>
      <w:r>
        <w:t>For the purposes of this Act, the domicile of a provider of a video sharing platform service is the Member State in whose territory the provider is established. If a provider of video sharing platform services is not established in the territory of a Member State, the Member State is the country of domicile in whose territory</w:t>
      </w:r>
    </w:p>
    <w:p w:rsidR="00494DCB" w:rsidRPr="00CB1818" w:rsidRDefault="00494DCB" w:rsidP="00FD1FA8">
      <w:pPr>
        <w:pStyle w:val="RevisionNummerierungStufe1"/>
        <w:tabs>
          <w:tab w:val="clear" w:pos="425"/>
          <w:tab w:val="num" w:pos="850"/>
        </w:tabs>
        <w:ind w:left="850"/>
      </w:pPr>
      <w:r>
        <w:t>a parent company or a subsidiary of the provider, or</w:t>
      </w:r>
    </w:p>
    <w:p w:rsidR="00A76F3C" w:rsidRPr="00CB1818" w:rsidRDefault="00A76F3C" w:rsidP="00FD1FA8">
      <w:pPr>
        <w:pStyle w:val="RevisionNummerierungStufe1"/>
        <w:tabs>
          <w:tab w:val="clear" w:pos="425"/>
          <w:tab w:val="num" w:pos="850"/>
        </w:tabs>
        <w:ind w:left="850"/>
      </w:pPr>
      <w:r>
        <w:t>another company in a group of which the provider is part,</w:t>
      </w:r>
    </w:p>
    <w:p w:rsidR="00494DCB" w:rsidRPr="00CB1818" w:rsidRDefault="00A76F3C" w:rsidP="00FD1FA8">
      <w:pPr>
        <w:pStyle w:val="RevisionJuristischerAbsatzFolgeabsatz"/>
        <w:ind w:left="425"/>
      </w:pPr>
      <w:r>
        <w:t>is established.</w:t>
      </w:r>
    </w:p>
    <w:p w:rsidR="00532E0F" w:rsidRPr="00CB1818" w:rsidRDefault="000535D0" w:rsidP="00FD1FA8">
      <w:pPr>
        <w:pStyle w:val="RevisionJuristischerAbsatz"/>
        <w:tabs>
          <w:tab w:val="clear" w:pos="850"/>
          <w:tab w:val="num" w:pos="1275"/>
        </w:tabs>
        <w:ind w:left="425"/>
      </w:pPr>
      <w:r>
        <w:t xml:space="preserve">If, in the cases of paragraph 2(2), the parent company, the subsidiary or the other companies of the group are each established in different Member States, then the provider is deemed to be established in the Member State in which its parent company is established or, in the absence of such an establishment, it is deemed to be established in the Member State in which its subsidiary is established or, in the absence of such an establishment, in the Member State in which the other company in the group is established. If there are several subsidiaries and each of these subsidiaries is established in a different Member State, the provider is deemed to be established in the Member State in which one of the subsidiaries commenced its </w:t>
      </w:r>
      <w:r>
        <w:lastRenderedPageBreak/>
        <w:t>operations first, provided that the subsidiary is permanently and factually connected to the economy of that Member State. If there are several other companies that are part of the group, each of which is established in a different Member State, the provider is deemed to be established in the Member State in which one of these companies first started, provided that there is a permanent and factual connection to the economy of that Member State.</w:t>
      </w:r>
    </w:p>
    <w:p w:rsidR="00F94A8E" w:rsidRPr="00CB1818" w:rsidRDefault="0068712E" w:rsidP="00FD1FA8">
      <w:pPr>
        <w:pStyle w:val="RevisionJuristischerAbsatz"/>
        <w:tabs>
          <w:tab w:val="clear" w:pos="850"/>
          <w:tab w:val="num" w:pos="1275"/>
        </w:tabs>
        <w:ind w:left="425"/>
      </w:pPr>
      <w:r>
        <w:t>If there are disputes between the administrative authority mentioned in § 4 and an authority of another Member State as to which Member State is deemed to be the domicile of a provider of video sharing platform services, the administrative authority mentioned in § 4 shall immediately inform the European Commission.</w:t>
      </w:r>
    </w:p>
    <w:p w:rsidR="000A5E86" w:rsidRPr="00CB1818" w:rsidRDefault="000A5E86" w:rsidP="00FD1FA8">
      <w:pPr>
        <w:pStyle w:val="RevisionParagraphBezeichnermanuell"/>
        <w:ind w:left="425"/>
      </w:pPr>
      <w:r>
        <w:t>§ 3e</w:t>
      </w:r>
    </w:p>
    <w:p w:rsidR="000A5E86" w:rsidRPr="00CB1818" w:rsidRDefault="00092488" w:rsidP="00FD1FA8">
      <w:pPr>
        <w:pStyle w:val="RevisionParagraphberschrift"/>
        <w:ind w:left="425"/>
      </w:pPr>
      <w:r>
        <w:t>Provisions applicable to video sharing platform services</w:t>
      </w:r>
    </w:p>
    <w:p w:rsidR="000A5E86" w:rsidRPr="00CB1818" w:rsidRDefault="000A5E86" w:rsidP="00FD1FA8">
      <w:pPr>
        <w:pStyle w:val="RevisionJuristischerAbsatz"/>
        <w:numPr>
          <w:ilvl w:val="2"/>
          <w:numId w:val="3"/>
        </w:numPr>
        <w:tabs>
          <w:tab w:val="clear" w:pos="850"/>
          <w:tab w:val="left" w:pos="1275"/>
        </w:tabs>
        <w:ind w:left="425"/>
      </w:pPr>
      <w:r>
        <w:t>This Act applies to providers of video sharing platform services, unless the paragraphs 2 and 3 state otherwise.</w:t>
      </w:r>
    </w:p>
    <w:p w:rsidR="000A5E86" w:rsidRPr="00CB1818" w:rsidRDefault="000A5E86" w:rsidP="00FD1FA8">
      <w:pPr>
        <w:pStyle w:val="RevisionJuristischerAbsatz"/>
        <w:numPr>
          <w:ilvl w:val="2"/>
          <w:numId w:val="3"/>
        </w:numPr>
        <w:tabs>
          <w:tab w:val="clear" w:pos="850"/>
          <w:tab w:val="left" w:pos="1275"/>
        </w:tabs>
        <w:ind w:left="425"/>
      </w:pPr>
      <w:r>
        <w:t>For providers of video sharing platform services that have fewer than two million registered users in Germany, this Act only applies if the Federal Republic of Germany is the country of domicile or is deemed to be the country of domicile in accordance with § 3d(2) and (3). This Act only applies to them with regard to user-generated videos and broadcasts as per § 3d(1)(2) and (3) which have content that meets the criteria for an offence as defined by §§ 111, 130(1) or (2), §§ 131, 140, 166 or 184b in conjunction with 184d of the Criminal Code and is not justified. In deviation from § 1(2), these providers of video sharing platform services are exempt from the obligations under § 2, § 3(2)(1)(3) and (4) as well as paragraph (4) and § 3a.</w:t>
      </w:r>
    </w:p>
    <w:p w:rsidR="00983F01" w:rsidRPr="00CB1818" w:rsidRDefault="00983F01" w:rsidP="00FD1FA8">
      <w:pPr>
        <w:pStyle w:val="RevisionJuristischerAbsatz"/>
        <w:numPr>
          <w:ilvl w:val="2"/>
          <w:numId w:val="3"/>
        </w:numPr>
        <w:tabs>
          <w:tab w:val="clear" w:pos="850"/>
          <w:tab w:val="left" w:pos="1275"/>
        </w:tabs>
        <w:ind w:left="425"/>
      </w:pPr>
      <w:r>
        <w:t>With respect to the user-generated videos and broadcasts mentioned in paragraph 2(3), the obligations under §§ 2, 3 and 3b only apply to video sharing platform service providers for which a Member State other than the Federal Republic of Germany is or is considered to be the country of domicile in accordance with §§ 3d(2) and (3) on the basis and in the scope of an order from the authority named in § 4. The order may only be issued if the conditions of § 3(5) of the Telemedia Act of 26 February 2007 (Federal Law Gazette I p. 179), last amended by … [Article 5 of the Draft Act to Combat Right-Wing Extremism and Hate Crime, Bundesrat document 87/20], as amended, have been met, and in observance of the procedural steps required in accordance therewith. The administrative authority named in § 4 can commission a body to check whether the conditions of § 3(5)(1) of the Telemedia Act have been met.</w:t>
      </w:r>
    </w:p>
    <w:p w:rsidR="007418C8" w:rsidRPr="00CB1818" w:rsidRDefault="003B1D17" w:rsidP="00FD1FA8">
      <w:pPr>
        <w:pStyle w:val="RevisionJuristischerAbsatz"/>
        <w:numPr>
          <w:ilvl w:val="2"/>
          <w:numId w:val="3"/>
        </w:numPr>
        <w:tabs>
          <w:tab w:val="clear" w:pos="850"/>
          <w:tab w:val="left" w:pos="1275"/>
        </w:tabs>
        <w:ind w:left="425"/>
      </w:pPr>
      <w:r>
        <w:t>If this Act applies to the provider of a video sharing platform service in accordance with paragraphs 1 to 3 with regard to the user-generated videos and broadcasts referred to in paragraph 2(2), it will be obliged to reach an effective agreement with its users that the distribution of the user-generated videos and broadcasts named in paragraph 2(2) is prohibited.</w:t>
      </w:r>
    </w:p>
    <w:p w:rsidR="007418C8" w:rsidRPr="00CB1818" w:rsidRDefault="007418C8" w:rsidP="00FD1FA8">
      <w:pPr>
        <w:pStyle w:val="RevisionParagraphBezeichnermanuell"/>
        <w:ind w:left="425"/>
      </w:pPr>
      <w:r>
        <w:t>§ 3f</w:t>
      </w:r>
    </w:p>
    <w:p w:rsidR="007418C8" w:rsidRPr="00CB1818" w:rsidRDefault="007418C8" w:rsidP="00FD1FA8">
      <w:pPr>
        <w:pStyle w:val="RevisionParagraphberschrift"/>
        <w:ind w:left="425"/>
      </w:pPr>
      <w:r>
        <w:t>Official arbitration for disputes with video sharing platform services</w:t>
      </w:r>
    </w:p>
    <w:p w:rsidR="00F828FC" w:rsidRPr="00CB1818" w:rsidRDefault="001323B8" w:rsidP="00FD1FA8">
      <w:pPr>
        <w:pStyle w:val="RevisionJuristischerAbsatz"/>
        <w:numPr>
          <w:ilvl w:val="2"/>
          <w:numId w:val="6"/>
        </w:numPr>
        <w:tabs>
          <w:tab w:val="clear" w:pos="850"/>
          <w:tab w:val="num" w:pos="1275"/>
        </w:tabs>
        <w:ind w:left="425"/>
        <w:rPr>
          <w:bCs/>
        </w:rPr>
      </w:pPr>
      <w:r>
        <w:t xml:space="preserve">An official arbitration body is set up at the administrative authority mentioned in § 4. The official arbitration body exists for the extrajudicial settlement of disputes with providers of video sharing platform services regarding decisions as per </w:t>
      </w:r>
      <w:r>
        <w:lastRenderedPageBreak/>
        <w:t>§ 3(2)(1)(1) to (3) concerning the presence of user-generated videos and broadcasts that have content that meets the criteria for an offence specified in § 3e(2)(2) is not justified. The official arbitration body is only responsible for disputes with providers of video sharing platform services where the Federal Republic of Germany is, or is deemed to be, the country of domicile in accordance with § 3d(2), and only if the provider does not participate in arbitration procedures by a recognised arbitration body in accordance with § 3c(1) or if no organisation under private law is recognised as an arbitration body in accordance with § 3c(1).</w:t>
      </w:r>
    </w:p>
    <w:p w:rsidR="0026329A" w:rsidRPr="00CB1818" w:rsidRDefault="005E4C37" w:rsidP="00FD1FA8">
      <w:pPr>
        <w:pStyle w:val="RevisionJuristischerAbsatz"/>
        <w:numPr>
          <w:ilvl w:val="2"/>
          <w:numId w:val="6"/>
        </w:numPr>
        <w:tabs>
          <w:tab w:val="clear" w:pos="850"/>
          <w:tab w:val="num" w:pos="1275"/>
        </w:tabs>
        <w:ind w:left="425"/>
        <w:rPr>
          <w:bCs/>
        </w:rPr>
      </w:pPr>
      <w:r>
        <w:t>The requirements of § 3c(2)(1)(2) to (5) as well as § 3(9) and § 3c(3) and (4) apply to the official arbitration body accordingly.</w:t>
      </w:r>
    </w:p>
    <w:p w:rsidR="006B0944" w:rsidRPr="00CB1818" w:rsidRDefault="00F676C2" w:rsidP="00FD1FA8">
      <w:pPr>
        <w:pStyle w:val="RevisionJuristischerAbsatz"/>
        <w:numPr>
          <w:ilvl w:val="2"/>
          <w:numId w:val="6"/>
        </w:numPr>
        <w:tabs>
          <w:tab w:val="clear" w:pos="850"/>
          <w:tab w:val="num" w:pos="1275"/>
        </w:tabs>
        <w:ind w:left="425"/>
        <w:rPr>
          <w:bCs/>
        </w:rPr>
      </w:pPr>
      <w:r>
        <w:t>The official arbitration body may charge fees for conducting the arbitration procedure which must be specified in their arbitration rules.’</w:t>
      </w:r>
    </w:p>
    <w:p w:rsidR="007068D4" w:rsidRPr="00CB1818" w:rsidRDefault="009545A0" w:rsidP="00715217">
      <w:pPr>
        <w:pStyle w:val="NummerierungStufe1"/>
        <w:keepNext/>
      </w:pPr>
      <w:r>
        <w:t>§ 4 is amended as follows:</w:t>
      </w:r>
    </w:p>
    <w:p w:rsidR="005468C2" w:rsidRPr="00CB1818" w:rsidRDefault="005468C2" w:rsidP="00715217">
      <w:pPr>
        <w:pStyle w:val="NummerierungStufe2"/>
        <w:keepNext/>
      </w:pPr>
      <w:r>
        <w:t>Paragraph 1 is amended as follows:</w:t>
      </w:r>
    </w:p>
    <w:p w:rsidR="00CA1C39" w:rsidRPr="00CB1818" w:rsidRDefault="00CA1C39" w:rsidP="00CA1C39">
      <w:pPr>
        <w:pStyle w:val="NummerierungStufe3"/>
      </w:pPr>
      <w:r>
        <w:t xml:space="preserve">In point 2, the words </w:t>
      </w:r>
      <w:r>
        <w:rPr>
          <w:rStyle w:val="RevisionText"/>
        </w:rPr>
        <w:t>‘or § 3b(1)(1)’</w:t>
      </w:r>
      <w:r>
        <w:t xml:space="preserve"> are inserted after the specification </w:t>
      </w:r>
      <w:r>
        <w:rPr>
          <w:rStyle w:val="RevisionText"/>
        </w:rPr>
        <w:t>‘Sentence 1’</w:t>
      </w:r>
      <w:r>
        <w:t xml:space="preserve"> and the words </w:t>
      </w:r>
      <w:r>
        <w:rPr>
          <w:rStyle w:val="RevisionText"/>
        </w:rPr>
        <w:t>‘or for a review of a decision’</w:t>
      </w:r>
      <w:r>
        <w:t xml:space="preserve"> are inserted after the word </w:t>
      </w:r>
      <w:r>
        <w:rPr>
          <w:rStyle w:val="RevisionText"/>
        </w:rPr>
        <w:t>‘have’</w:t>
      </w:r>
      <w:r>
        <w:t>.</w:t>
      </w:r>
    </w:p>
    <w:p w:rsidR="00E94ACD" w:rsidRPr="00CB1818" w:rsidRDefault="00E94ACD" w:rsidP="00092488">
      <w:pPr>
        <w:pStyle w:val="NummerierungStufe3"/>
      </w:pPr>
      <w:r>
        <w:t xml:space="preserve">In point 3, the words </w:t>
      </w:r>
      <w:r>
        <w:rPr>
          <w:rStyle w:val="RevisionText"/>
        </w:rPr>
        <w:t>‘or § 3b(1)(3)’</w:t>
      </w:r>
      <w:r>
        <w:t xml:space="preserve"> are inserted after the specification</w:t>
      </w:r>
      <w:r w:rsidR="003D079F">
        <w:t xml:space="preserve"> </w:t>
      </w:r>
      <w:r>
        <w:rPr>
          <w:rStyle w:val="RevisionText"/>
        </w:rPr>
        <w:t>‘Sentence 2’</w:t>
      </w:r>
      <w:r>
        <w:t>.</w:t>
      </w:r>
    </w:p>
    <w:p w:rsidR="005468C2" w:rsidRPr="00CB1818" w:rsidRDefault="005468C2" w:rsidP="00092488">
      <w:pPr>
        <w:pStyle w:val="NummerierungStufe3"/>
      </w:pPr>
      <w:r>
        <w:t>Point 6a becomes point 7.</w:t>
      </w:r>
    </w:p>
    <w:p w:rsidR="005468C2" w:rsidRPr="00CB1818" w:rsidRDefault="005468C2" w:rsidP="00092488">
      <w:pPr>
        <w:pStyle w:val="NummerierungStufe3"/>
      </w:pPr>
      <w:r>
        <w:t>The previous points 7 and 8 become the new points 8 and 9.</w:t>
      </w:r>
    </w:p>
    <w:p w:rsidR="000E1AD4" w:rsidRPr="00CB1818" w:rsidRDefault="000E1AD4" w:rsidP="009545A0">
      <w:pPr>
        <w:pStyle w:val="NummerierungStufe2"/>
      </w:pPr>
      <w:r>
        <w:t xml:space="preserve">In paragraph 2(1), the words </w:t>
      </w:r>
      <w:r>
        <w:rPr>
          <w:rStyle w:val="RevisionText"/>
        </w:rPr>
        <w:t>‘points 7 and 8’</w:t>
      </w:r>
      <w:r>
        <w:t xml:space="preserve"> are replaced by the words </w:t>
      </w:r>
      <w:r>
        <w:rPr>
          <w:rStyle w:val="RevisionText"/>
        </w:rPr>
        <w:t>‘points 8 to 9’</w:t>
      </w:r>
      <w:r>
        <w:t>.</w:t>
      </w:r>
    </w:p>
    <w:p w:rsidR="00AD2CA4" w:rsidRPr="00CB1818" w:rsidRDefault="00AD2CA4" w:rsidP="00715217">
      <w:pPr>
        <w:pStyle w:val="NummerierungStufe1"/>
        <w:keepNext/>
      </w:pPr>
      <w:r>
        <w:t>The following § 4a is inserted after § 4:</w:t>
      </w:r>
    </w:p>
    <w:p w:rsidR="00AD2CA4" w:rsidRPr="00CB1818" w:rsidRDefault="00AD2CA4" w:rsidP="00FD1FA8">
      <w:pPr>
        <w:pStyle w:val="RevisionParagraphBezeichnermanuell"/>
        <w:ind w:left="425" w:hanging="75"/>
      </w:pPr>
      <w:r>
        <w:t>‘§ 4a</w:t>
      </w:r>
    </w:p>
    <w:p w:rsidR="00AD2CA4" w:rsidRPr="00CB1818" w:rsidRDefault="00AD2CA4" w:rsidP="00FD1FA8">
      <w:pPr>
        <w:pStyle w:val="RevisionParagraphberschrift"/>
        <w:ind w:left="425"/>
      </w:pPr>
      <w:r>
        <w:t>Supervision</w:t>
      </w:r>
    </w:p>
    <w:p w:rsidR="00AD2CA4" w:rsidRPr="00CB1818" w:rsidRDefault="00AD2CA4" w:rsidP="00FD1FA8">
      <w:pPr>
        <w:pStyle w:val="RevisionJuristischerAbsatz"/>
        <w:numPr>
          <w:ilvl w:val="2"/>
          <w:numId w:val="4"/>
        </w:numPr>
        <w:tabs>
          <w:tab w:val="clear" w:pos="850"/>
          <w:tab w:val="num" w:pos="1275"/>
        </w:tabs>
        <w:ind w:left="425"/>
        <w:rPr>
          <w:bCs/>
        </w:rPr>
      </w:pPr>
      <w:r>
        <w:t>The administrative authority specified in § 4 shall monitor compliance with the provisions of this Act.</w:t>
      </w:r>
    </w:p>
    <w:p w:rsidR="00AD2CA4" w:rsidRPr="00CB1818" w:rsidRDefault="00AD2CA4" w:rsidP="00FD1FA8">
      <w:pPr>
        <w:pStyle w:val="RevisionJuristischerAbsatz"/>
        <w:tabs>
          <w:tab w:val="clear" w:pos="850"/>
          <w:tab w:val="num" w:pos="1275"/>
        </w:tabs>
        <w:ind w:left="425"/>
      </w:pPr>
      <w:r>
        <w:t>If the administrative authority referred to in § 4 determines that a social network provider has violated or is violating the provisions of this Act, it will take the necessary measures against the provider. In particular, it can require the provider to remedy the infringement. § 4(5) applies accordingly.</w:t>
      </w:r>
    </w:p>
    <w:p w:rsidR="00F005F0" w:rsidRPr="00CB1818" w:rsidRDefault="00282234" w:rsidP="00FD1FA8">
      <w:pPr>
        <w:pStyle w:val="RevisionJuristischerAbsatz"/>
        <w:numPr>
          <w:ilvl w:val="2"/>
          <w:numId w:val="4"/>
        </w:numPr>
        <w:tabs>
          <w:tab w:val="clear" w:pos="850"/>
          <w:tab w:val="num" w:pos="1275"/>
        </w:tabs>
        <w:ind w:left="425"/>
        <w:rPr>
          <w:bCs/>
        </w:rPr>
      </w:pPr>
      <w:r>
        <w:t xml:space="preserve">In the administrative procedure pursuant to paragraph 2, the social network provider shall provide the administrative authority referred to in § 4 with information on the measures taken to implement this Act, the number of registered users in Germany and the complaints about unlawful content received in the past calendar year; the representation of the provider, as well as in the case of legal entities, companies and unincorporated associations, the persons appointed by law or the articles of association are required to disclose the requested information on behalf of the company. The request for information must be proportionate. If natural persons are obliged to cooperate in accordance with sentence 1, they must also disclose facts </w:t>
      </w:r>
      <w:r>
        <w:lastRenderedPageBreak/>
        <w:t>that may result in prosecution for a criminal offence or an administrative offence if it is otherwise difficult or unlikely to obtain the information. However, information provided by a natural person pursuant to sentence 1 may only be used in criminal proceedings or in proceedings under the Code of Administrative Offences against said person or one of the relatives specified in § 383(1)(1) to (3) of the Code of Civil Procedure with the consent of said person. Information provided in accordance with sentence 1 may only be used against the provider in proceedings for setting a fine in accordance with § 30 of the Code of Administrative Offences with the consent of the provider or the person who has given the information as a result of their obligation under sentence 1.</w:t>
      </w:r>
    </w:p>
    <w:p w:rsidR="00AD2CA4" w:rsidRPr="00CB1818" w:rsidRDefault="00FF2EC1" w:rsidP="00FD1FA8">
      <w:pPr>
        <w:pStyle w:val="RevisionJuristischerAbsatz"/>
        <w:numPr>
          <w:ilvl w:val="2"/>
          <w:numId w:val="4"/>
        </w:numPr>
        <w:tabs>
          <w:tab w:val="clear" w:pos="850"/>
          <w:tab w:val="num" w:pos="1275"/>
        </w:tabs>
        <w:ind w:left="425"/>
      </w:pPr>
      <w:r>
        <w:t>Witnesses are obliged to testify in the administrative procedure under paragraph 2. The witness may refuse to disclose in case of questions which, if answered, would place the witness himself or one of the relatives described in § 383(1)(1) to (3) of the Code of Civil Procedure at risk of criminal prosecution or proceedings pursuant to the Code of Administrative Offences. Otherwise, the provisions of the Code of Civil Procedure regarding the obligation to testify as a witness shall apply accordingly. The administrative authority referred to in § 4 must inform the witness of his right to refuse to testify before the hearing.’</w:t>
      </w:r>
    </w:p>
    <w:p w:rsidR="00AD2CA4" w:rsidRPr="00CB1818" w:rsidRDefault="00AD2CA4" w:rsidP="00715217">
      <w:pPr>
        <w:pStyle w:val="NummerierungStufe1"/>
        <w:keepNext/>
      </w:pPr>
      <w:r>
        <w:t>§ 5 is amended as follows:</w:t>
      </w:r>
    </w:p>
    <w:p w:rsidR="00AD2CA4" w:rsidRPr="00CB1818" w:rsidRDefault="00AD2CA4" w:rsidP="00715217">
      <w:pPr>
        <w:pStyle w:val="NummerierungStufe2"/>
        <w:keepNext/>
      </w:pPr>
      <w:r>
        <w:t>Paragraph 1(2) and (3) are worded as follows:</w:t>
      </w:r>
    </w:p>
    <w:p w:rsidR="00AA3DB5" w:rsidRPr="00CB1818" w:rsidRDefault="00AA3DB5" w:rsidP="00FD1FA8">
      <w:pPr>
        <w:pStyle w:val="RevisionJuristischerAbsatzFolgeabsatz"/>
        <w:ind w:left="850"/>
        <w:rPr>
          <w:bCs/>
        </w:rPr>
      </w:pPr>
      <w:r>
        <w:t>‘Deliveries can be made to him in proceedings on fines and in supervisory proceedings in accordance with §§ 4 and 4a or in judicial proceedings before German courts on the basis of dissemination or unjustifiable acceptance of the dissemination of unlawful content, particularly in cases in which the reinstatement of removed or blocked content is requested. This also applies to the delivery of documents that initiate such proceedings, for the delivery of final judicial decisions and for deliveries in enforcement or enforcement proceedings.’</w:t>
      </w:r>
    </w:p>
    <w:p w:rsidR="00AA3DB5" w:rsidRPr="00CB1818" w:rsidRDefault="00AA3DB5" w:rsidP="00715217">
      <w:pPr>
        <w:pStyle w:val="NummerierungStufe2"/>
        <w:keepNext/>
      </w:pPr>
      <w:r>
        <w:t>Paragraph 2 is amended as follows:</w:t>
      </w:r>
    </w:p>
    <w:p w:rsidR="00AA3DB5" w:rsidRPr="00CB1818" w:rsidRDefault="00AA3DB5" w:rsidP="00AA3DB5">
      <w:pPr>
        <w:pStyle w:val="NummerierungStufe3"/>
      </w:pPr>
      <w:r>
        <w:t xml:space="preserve">In sentence 1, the words </w:t>
      </w:r>
      <w:r>
        <w:rPr>
          <w:rStyle w:val="RevisionText"/>
        </w:rPr>
        <w:t>‘towards the administrative authority referred to in § 4’</w:t>
      </w:r>
      <w:r>
        <w:t xml:space="preserve"> are inserted after the word </w:t>
      </w:r>
      <w:r>
        <w:rPr>
          <w:rStyle w:val="RevisionText"/>
        </w:rPr>
        <w:t>‘domestic’</w:t>
      </w:r>
      <w:r>
        <w:t>.</w:t>
      </w:r>
    </w:p>
    <w:p w:rsidR="00AA3DB5" w:rsidRPr="00CB1818" w:rsidRDefault="00CE291E" w:rsidP="00AA3DB5">
      <w:pPr>
        <w:pStyle w:val="NummerierungStufe3"/>
      </w:pPr>
      <w:r>
        <w:t>The following sentences are added:</w:t>
      </w:r>
    </w:p>
    <w:p w:rsidR="00F86A78" w:rsidRPr="00CB1818" w:rsidRDefault="00AA3DB5" w:rsidP="00FD1FA8">
      <w:pPr>
        <w:pStyle w:val="RevisionJuristischerAbsatzFolgeabsatz"/>
        <w:ind w:left="1276"/>
        <w:rPr>
          <w:bCs/>
        </w:rPr>
      </w:pPr>
      <w:r>
        <w:t>‘The administrative authority referred to in § 4 keeps a list of authorised recipients. It shall provide information on this to domestic law enforcement agencies upon request.’</w:t>
      </w:r>
    </w:p>
    <w:p w:rsidR="00AA3DB5" w:rsidRPr="00CB1818" w:rsidRDefault="00AA3DB5" w:rsidP="00715217">
      <w:pPr>
        <w:pStyle w:val="NummerierungStufe1"/>
        <w:keepNext/>
      </w:pPr>
      <w:r>
        <w:t>The following (3) to (5) are added to § 6:</w:t>
      </w:r>
    </w:p>
    <w:p w:rsidR="00AA3DB5" w:rsidRPr="00CB1818" w:rsidRDefault="00AA3DB5" w:rsidP="00FD1FA8">
      <w:pPr>
        <w:pStyle w:val="RevisionJuristischerAbsatzmanuell"/>
        <w:tabs>
          <w:tab w:val="clear" w:pos="850"/>
          <w:tab w:val="left" w:pos="1275"/>
        </w:tabs>
        <w:ind w:left="425" w:firstLine="350"/>
      </w:pPr>
      <w:r>
        <w:t>‘(3) § 2 in the version of the Act of 1 September 2017 (Federal Law Gazette I p. 3352) applies to reports covering periods up to and including ... [insert: date of June 30 or December 31, which follows the entry into force pursuant to Article 3 of this Act].</w:t>
      </w:r>
    </w:p>
    <w:p w:rsidR="006240BC" w:rsidRPr="00CB1818" w:rsidRDefault="00455A86" w:rsidP="00FD1FA8">
      <w:pPr>
        <w:pStyle w:val="RevisionJuristischerAbsatzmanuell"/>
        <w:tabs>
          <w:tab w:val="clear" w:pos="850"/>
          <w:tab w:val="left" w:pos="1275"/>
        </w:tabs>
        <w:ind w:left="425"/>
        <w:rPr>
          <w:bCs/>
        </w:rPr>
      </w:pPr>
      <w:r>
        <w:t>(4) The report pursuant to § 3(9) is initially to be submitted by 31 July 2022.</w:t>
      </w:r>
    </w:p>
    <w:p w:rsidR="00486A0E" w:rsidRPr="00CB1818" w:rsidRDefault="006240BC" w:rsidP="00FD1FA8">
      <w:pPr>
        <w:pStyle w:val="RevisionJuristischerAbsatzmanuell"/>
        <w:tabs>
          <w:tab w:val="clear" w:pos="850"/>
          <w:tab w:val="left" w:pos="1275"/>
        </w:tabs>
        <w:ind w:left="425"/>
        <w:rPr>
          <w:bCs/>
        </w:rPr>
      </w:pPr>
      <w:r>
        <w:t>(5) § 3(6)(3) in the version of the Act of 1 September 2017 (Federal Law Gazette I p. 3352) applies to self-regulation bodies which were already recognised on … [insert: date of this Act’s entry into force as per Article 3] until the end of the year … [insert: year following the year of this Act’s entry into force as per Article 3].’</w:t>
      </w:r>
    </w:p>
    <w:p w:rsidR="00455A86" w:rsidRPr="00CB1818" w:rsidRDefault="00CF3579" w:rsidP="00CF3579">
      <w:pPr>
        <w:pStyle w:val="ArtikelBezeichner"/>
        <w:numPr>
          <w:ilvl w:val="0"/>
          <w:numId w:val="0"/>
        </w:numPr>
      </w:pPr>
      <w:r>
        <w:lastRenderedPageBreak/>
        <w:t>Article 2</w:t>
      </w:r>
    </w:p>
    <w:p w:rsidR="00455A86" w:rsidRPr="00CB1818" w:rsidRDefault="00455A86" w:rsidP="00455A86">
      <w:pPr>
        <w:pStyle w:val="Artikelberschrift"/>
      </w:pPr>
      <w:r>
        <w:t>Amendment to the Telemedia Act</w:t>
      </w:r>
    </w:p>
    <w:p w:rsidR="00455A86" w:rsidRPr="00CB1818" w:rsidRDefault="00AC2CB9" w:rsidP="00715217">
      <w:pPr>
        <w:pStyle w:val="JuristischerAbsatznichtnummeriert"/>
        <w:keepNext/>
      </w:pPr>
      <w:r>
        <w:t>§ 14 of the Telemedia Act of 26 February 2007 (Federal Law Gazette I p. 179), last amended by ... [Article 5 of the Draft Act to Combat Right-Wing Extremism and Hate Crime, Bundesrat document 87/20] is amended as follows:</w:t>
      </w:r>
    </w:p>
    <w:p w:rsidR="00FF2EC1" w:rsidRPr="00CB1818" w:rsidRDefault="00FF2EC1" w:rsidP="00715217">
      <w:pPr>
        <w:pStyle w:val="NummerierungStufe1"/>
        <w:keepNext/>
      </w:pPr>
      <w:r>
        <w:t>The following sentence is added to paragraph 3:</w:t>
      </w:r>
    </w:p>
    <w:p w:rsidR="00FF2EC1" w:rsidRPr="00CB1818" w:rsidRDefault="00FF2EC1" w:rsidP="00FD1FA8">
      <w:pPr>
        <w:pStyle w:val="RevisionJuristischerAbsatzFolgeabsatz"/>
        <w:ind w:left="425"/>
      </w:pPr>
      <w:r>
        <w:t>‘To this extent, he is obliged to provide information to the aggrieved party.’</w:t>
      </w:r>
    </w:p>
    <w:p w:rsidR="00FF2EC1" w:rsidRPr="00CB1818" w:rsidRDefault="00FF2EC1" w:rsidP="00715217">
      <w:pPr>
        <w:pStyle w:val="NummerierungStufe1"/>
        <w:keepNext/>
      </w:pPr>
      <w:r>
        <w:t>The following sentence is inserted after paragraph 4(1):</w:t>
      </w:r>
    </w:p>
    <w:p w:rsidR="00AC2CB9" w:rsidRPr="00CB1818" w:rsidRDefault="00AC2CB9" w:rsidP="00FD1FA8">
      <w:pPr>
        <w:pStyle w:val="RevisionJuristischerAbsatzFolgeabsatz"/>
        <w:ind w:left="425"/>
      </w:pPr>
      <w:r>
        <w:t>‘The court also decides on the obligation to provide information, unless the request is expressly limited to ordering the admissibility of the information.’</w:t>
      </w:r>
    </w:p>
    <w:p w:rsidR="00E83886" w:rsidRPr="00CB1818" w:rsidRDefault="00CF3579" w:rsidP="00CF3579">
      <w:pPr>
        <w:pStyle w:val="ArtikelBezeichner"/>
        <w:numPr>
          <w:ilvl w:val="0"/>
          <w:numId w:val="0"/>
        </w:numPr>
      </w:pPr>
      <w:r>
        <w:t>Article 3</w:t>
      </w:r>
    </w:p>
    <w:p w:rsidR="00AC2CB9" w:rsidRPr="00CB1818" w:rsidRDefault="00AC2CB9" w:rsidP="00AC2CB9">
      <w:pPr>
        <w:pStyle w:val="Artikelberschrift"/>
      </w:pPr>
      <w:r>
        <w:t>Entry into force</w:t>
      </w:r>
    </w:p>
    <w:p w:rsidR="00AC2CB9" w:rsidRPr="00CB1818" w:rsidRDefault="00AC2CB9" w:rsidP="00AC2CB9">
      <w:pPr>
        <w:pStyle w:val="JuristischerAbsatznichtnummeriert"/>
      </w:pPr>
      <w:r>
        <w:t>This Act shall enter into force on … [insert: date of the Monday of the third calendar week following the announcement, but no earlier than 20 September 2020].</w:t>
      </w:r>
    </w:p>
    <w:p w:rsidR="00E83886" w:rsidRPr="00CB1818" w:rsidRDefault="00E83886" w:rsidP="00E83886">
      <w:pPr>
        <w:sectPr w:rsidR="00E83886" w:rsidRPr="00CB1818" w:rsidSect="00D9408F">
          <w:pgSz w:w="11907" w:h="16839"/>
          <w:pgMar w:top="1134" w:right="1417" w:bottom="1134" w:left="1701" w:header="709" w:footer="709" w:gutter="0"/>
          <w:cols w:space="708"/>
          <w:docGrid w:linePitch="360"/>
        </w:sectPr>
      </w:pPr>
    </w:p>
    <w:p w:rsidR="00E83886" w:rsidRPr="00CB1818" w:rsidRDefault="00E83886">
      <w:pPr>
        <w:pStyle w:val="BegrndungTitel"/>
      </w:pPr>
      <w:r>
        <w:lastRenderedPageBreak/>
        <w:t>Explanatory notes</w:t>
      </w:r>
    </w:p>
    <w:p w:rsidR="00E83886" w:rsidRPr="00CB1818" w:rsidRDefault="00886C17" w:rsidP="00E3743C">
      <w:pPr>
        <w:pStyle w:val="BegrndungAllgemeinerTeil"/>
        <w:jc w:val="center"/>
      </w:pPr>
      <w:r>
        <w:t>A. General part</w:t>
      </w:r>
    </w:p>
    <w:p w:rsidR="00E83886" w:rsidRPr="00CB1818" w:rsidRDefault="00E83886" w:rsidP="00886C17">
      <w:pPr>
        <w:pStyle w:val="berschriftrmischBegrndung"/>
      </w:pPr>
      <w:r>
        <w:t>Objective of and need for the regulations</w:t>
      </w:r>
    </w:p>
    <w:p w:rsidR="00BB4BD2" w:rsidRPr="00CB1818" w:rsidRDefault="00BB4BD2" w:rsidP="00BB4BD2">
      <w:pPr>
        <w:pStyle w:val="Text"/>
      </w:pPr>
      <w:r>
        <w:t xml:space="preserve">The need to combat criminal hate speech online remains unchanged. Citizens are entitled to expect that criminal attacks, as well as incitement to hatred or threats, will not be tolerated. This also applies to the </w:t>
      </w:r>
      <w:r w:rsidR="002C2CBC">
        <w:t>i</w:t>
      </w:r>
      <w:r>
        <w:t>nternet. In addition, criminal hate speech can become a breeding ground for physical assaults on citizens. The murder of the Kassel government president Walter Lübcke and the assassinations in the vicinity of the synagogue in Halle (Saale) are worrying indicators. This also applies to the extremist attack in Hanau in February 2020 by a perpetrator who previously posted and disseminated racist content in social networks.</w:t>
      </w:r>
    </w:p>
    <w:p w:rsidR="00BB4BD2" w:rsidRPr="00CB1818" w:rsidRDefault="00BB4BD2" w:rsidP="00BB4BD2">
      <w:pPr>
        <w:pStyle w:val="Text"/>
      </w:pPr>
      <w:r>
        <w:t xml:space="preserve">Criminal hate speech can also cause severe intimidation. This can lead to a reduction in social or political engagement, or to citizens withdrawing from online discourse or not participating in it at all in the first place. The intimidating effects of criminal hate speech endanger not only the freedom of expression and action of the individual, but also democratic discourse as such and thus the foundations of our democracy as a whole. Such consequences of hate speech are reported by various parties (also in the context of empirical surveys, such as the study commissioned by Campact eV ‘#Hass im Netz Der schleichende Angriff auf unsere Demokratie </w:t>
      </w:r>
      <w:r w:rsidRPr="00234B15">
        <w:t xml:space="preserve">[Hate on the </w:t>
      </w:r>
      <w:r w:rsidR="002C2CBC" w:rsidRPr="00234B15">
        <w:t>i</w:t>
      </w:r>
      <w:r w:rsidRPr="00234B15">
        <w:t>nternet</w:t>
      </w:r>
      <w:bookmarkStart w:id="0" w:name="_GoBack"/>
      <w:bookmarkEnd w:id="0"/>
      <w:r>
        <w:t>: The Creeping Attack on Our Democracy</w:t>
      </w:r>
      <w:r w:rsidR="00234B15">
        <w:t>]</w:t>
      </w:r>
      <w:r>
        <w:t xml:space="preserve">’, </w:t>
      </w:r>
      <w:hyperlink r:id="rId11" w:history="1">
        <w:r>
          <w:rPr>
            <w:rStyle w:val="Hyperlink"/>
          </w:rPr>
          <w:t>https://www.idz-jena.de/fileadmin/user_upload/_Hass_im_Netz_-_Der_schleichende_Angriff.pdf</w:t>
        </w:r>
      </w:hyperlink>
      <w:r>
        <w:t xml:space="preserve"> and the study initiated by Amnesty International ‘Unsocial Media: The Real Toll of Online Abuse Against Women’, </w:t>
      </w:r>
      <w:hyperlink r:id="rId12" w:history="1">
        <w:r>
          <w:rPr>
            <w:rStyle w:val="Hyperlink"/>
          </w:rPr>
          <w:t>https://medium.com/amnesty-insights/unsocial-media-the-real-toll-of-online-abuse-against-women-37134ddab3f4</w:t>
        </w:r>
      </w:hyperlink>
      <w:r>
        <w:t>, last accessed on 10 March 2020).</w:t>
      </w:r>
    </w:p>
    <w:p w:rsidR="00F84B41" w:rsidRPr="00CB1818" w:rsidRDefault="00F84B41" w:rsidP="00BB4BD2">
      <w:pPr>
        <w:pStyle w:val="Text"/>
      </w:pPr>
      <w:r>
        <w:t>It should also be kept in mind that hate speech is often directed against women or minorities, which particularly endangers peaceful coexistence in a free, open and democratic society.</w:t>
      </w:r>
    </w:p>
    <w:p w:rsidR="00BB4BD2" w:rsidRPr="00CB1818" w:rsidRDefault="00BB4BD2" w:rsidP="00BB4BD2">
      <w:pPr>
        <w:pStyle w:val="Text"/>
      </w:pPr>
      <w:r>
        <w:t>The approach of the Network Enforcement Act (NetzDG), which came into force on 1 October 2017, of consolidating the existing responsibility of the social network providers when dealing with complaints about unlawful content that has come to their attention, has generally proven itself. For example, the social network providers have made efforts to implement the requirements for complaint management. The procedures for submitting complaints about unlawful content have been revised and German criminal law has been added as a benchmark. According to the legally required transparency reports, the providers also usually successful in quickly checking the submitted complaints. After all, the major providers have designated process agents and recipients as domestic contacts.</w:t>
      </w:r>
    </w:p>
    <w:p w:rsidR="006501CC" w:rsidRPr="00CB1818" w:rsidRDefault="007437B5" w:rsidP="00BB4BD2">
      <w:pPr>
        <w:pStyle w:val="Text"/>
      </w:pPr>
      <w:r>
        <w:t xml:space="preserve">However, previous practical experience with the Network Enforcement Act (NetzDG) shows that some provisions of the NetzDG should be refined. It is also important to implement new legal requirements under EU law. For instance, this results in adaptation requirements on the basis of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 The Directive has updated the requirements of Directive 2010/13/EU of the European Parliament and of the Council of 10 March 2010 on the coordination of certain provisions laid down by law, regulation or administrative action in Member States concerning the provision of </w:t>
      </w:r>
      <w:r>
        <w:lastRenderedPageBreak/>
        <w:t>audiovisual media services (Audiovisual Media Services Directive) (OJ L 95 of 15.4.2010, p. 1; L 263. p. 15; hereinafter AVMSD), and introduced new provisions for video sharing platform services to be implemented by 19 September 2020. If the requirements overlap with the previous provisions of the NetzDG, they should be implemented in the NetzDG.</w:t>
      </w:r>
    </w:p>
    <w:p w:rsidR="00021688" w:rsidRPr="00435424" w:rsidRDefault="003F6172" w:rsidP="00EE0641">
      <w:pPr>
        <w:pStyle w:val="Text"/>
        <w:rPr>
          <w:rStyle w:val="Marker"/>
          <w:color w:val="auto"/>
        </w:rPr>
      </w:pPr>
      <w:r>
        <w:rPr>
          <w:rStyle w:val="Marker"/>
          <w:color w:val="auto"/>
        </w:rPr>
        <w:t>Given their great importance for the formation of public opinion and for social discourse and the factual dependence of many citizens on large social networks for communication and discourse, their providers have a special responsibility. This applies in particular to the handling of complaints about unlawful content and more generally to the restrictions on the distribution of content and the way in which providers establish transparency to the general public. The previous transparency reports of the social networks according to § 2 NetzDG have already brought important insights into how they deal with complaints about unlawful content. The reactions to the reports have also shown that the information content and comparability of the transparency reports must be increased. So far, important questions, the answers to which are of interest to the general public in this context, have been left out of the reports. Therefore, the handling of appeals (for example the number of ‘put-backs’), among other things, as well as the basics of the functioning of any automated procedures used by social network providers to detect content is to be reported in the future. The providers should also report on whether and to what extent science and research are granted access to opportunities to gain knowledge for the purpose of anonymised evaluations, to what extent the dissemination of unlawful content leads to specific impacts on certain user groups, such as women, the dissemination of which gives rise to coordinated behaviours as well as the question as to the extent to which removed content ties in with characteristics in the sense of § 1 of the General Equal Treatment Act (AGG). In addition, there were some significant changes in the reports between the reporting periods, without any possible reasons for this being reported in detail. The reports should in the future contain a summary of essential information to make it easier for the public to compare reports from different providers, in spite of their different business models and different user groups. This serves to provide even more clarity about the application of the NetzDG by the social networks.</w:t>
      </w:r>
    </w:p>
    <w:p w:rsidR="00021688" w:rsidRPr="00CB1818" w:rsidRDefault="00021688" w:rsidP="00021688">
      <w:pPr>
        <w:pStyle w:val="Text"/>
      </w:pPr>
      <w:r>
        <w:t>The provision of § 3(1)(2) NetzDG, according to which social network providers must provide user-friendly reporting channels, is a central requirement of the NetzDG. Users must be able to easily provide information about unlawful content so that the provider can review it. However, previous application of the Act shows that the providers design their reporting channels for implementing the NetzDG in different ways. Some of the reporting channels are too concealed and difficult to operate. The different design of the reporting channels set up should be one reason why the major providers report NetzDG complaints to a varying extent. It is therefore important to clarify the requirements for user-friendliness in the NetzDG.</w:t>
      </w:r>
    </w:p>
    <w:p w:rsidR="00021688" w:rsidRPr="00CB1818" w:rsidRDefault="00021688" w:rsidP="00021688">
      <w:pPr>
        <w:pStyle w:val="Text"/>
      </w:pPr>
      <w:r>
        <w:t>So far there are no indications that the NetzDG had promoted overblocking. Cases are known where social networks have removed content or blocked accounts on the grounds of dissemination of unlawful content, and the legality of the corresponding measures has been in dispute between the users and providers concerned. There have also been judicial decisions in which the permissibility of these measures has been decided on. However, the background to the contested measures were – as far as is known – so-called ‘flagging complaints’ or other complaints and/or the providers’ own initiatives, but not complaints about unlawful content as per the NetzDG. However, the misgivings concerning overblocking should also be taken seriously in the future. To secure user rights, the NetzDG must therefore be supplemented with various instruments. This introduces the requirement that providers must have a mechanism for reviewing their decisions (known as an appeal procedure). In addition, the legal uncertainty concerning the scope of the arrangement for the process agent should be eliminated. It is clarified that the arrangement also applies to lawsuits for reinstatement, i.e. if a user lodges a complaint against a social network provider for unlawful deletion or blocking. It also creates the basis for creating impartial arbitration bodies.</w:t>
      </w:r>
    </w:p>
    <w:p w:rsidR="00021688" w:rsidRPr="00CB1818" w:rsidRDefault="00021688" w:rsidP="00021688">
      <w:pPr>
        <w:pStyle w:val="Text"/>
      </w:pPr>
      <w:r>
        <w:lastRenderedPageBreak/>
        <w:t>Finally, the Federal Office of Justice, which so far has only had a purely repressive function as a fine authority under the NetzDG, is also to be given the role of a supervisory authority that can issue future-oriented instructions to remedy deficits. In the future, this will make it possible to approach social network providers without initiating fine proceedings and to define specific measures to remedy possible violations.</w:t>
      </w:r>
    </w:p>
    <w:p w:rsidR="00021688" w:rsidRPr="00CB1818" w:rsidRDefault="00021688" w:rsidP="006501CC">
      <w:pPr>
        <w:pStyle w:val="Text"/>
      </w:pPr>
      <w:r>
        <w:t>The possibility of recognising a self-regulation body provided in the NetzDG allows social network providers to transfer decisions on the illegality of reported content to these bodies. The possibilities of the approving authority (Federal Office of Justice) to exercise effective supervision of the self-regulation bodies to be recognised and, if necessary, to take corrective action, are to be improved. This includes a possible limitation of recognition decisions, linking with other secondary provisions and the introduction of activity reports by the self-regulation bodies. Ultimately, the expansion of the recognition authority's instruments and the information obligations of the self-regulation bodies should accelerate the recognition process.</w:t>
      </w:r>
    </w:p>
    <w:p w:rsidR="006501CC" w:rsidRPr="00CB1818" w:rsidRDefault="00021688" w:rsidP="006501CC">
      <w:pPr>
        <w:pStyle w:val="Text"/>
      </w:pPr>
      <w:r>
        <w:t>Articles 28a and 28b of the amended AVMSD contain requirements for video sharing platform services to provide protection from unlawful content on such platforms. Such services can already be covered by the NetzDG today. Because of such overlaps, implementation in the NetzDG should take place if the content categories already included in the NetzDG (§ 1(3) NetzDG) are affected. It should be noted that, in borderline cases, the group of video sharing platform services covered by the AVMSD is not congruent with the social networks covered in the NetzDG (§ 1(1)(1) NetzDG). The definition of video sharing platform services of the guideline also covers services that are not open to arbitrary content, but only to specific content, such as content restricted to a given subject (such as videos of games). The scope of the NetzDG is to be supplemented accordingly for the purpose of implementing the AVMSD with regard to video sharing platform services (such as platforms for the distribution of gaming videos). As a result, other providers will fall within the scope of the Act. According to the system of the NetzDG, the compliance obligations of the NetzDG will only apply to large providers (at least two million domestic registered users), § 3e(1), § 1(2) NetzDG. The AVMSD's compliance requirements generally also apply to small video sharing platform services with fewer than two million registered users in Germany, so additions are also necessary. However, the guideline should be implemented in a narrow manner for such small providers of video sharing platform services, in particular without the sometimes more extensive compliance requirements of the NetzDG as a whole. In addition, compliance requirements for such small providers should only be made if they are domiciled in Germany or are considered to be established here. Finally, supplements based on the AVMSD are required for all video sharing platform services covered with regard to user videos, because in the now minimally harmonised area for video sharing platform services, the primary responsibility of the country of domicile (Article 28a(1) AVMSD) must be observed and the competent authority under the NetzDG can only act subordinately if the authorities of the country of domicile do not take sufficient action.</w:t>
      </w:r>
    </w:p>
    <w:p w:rsidR="00E83886" w:rsidRPr="00CB1818" w:rsidRDefault="00E83886" w:rsidP="00886C17">
      <w:pPr>
        <w:pStyle w:val="berschriftrmischBegrndung"/>
      </w:pPr>
      <w:r>
        <w:t>Main content of the draft</w:t>
      </w:r>
    </w:p>
    <w:p w:rsidR="00644AD2" w:rsidRPr="00CB1818" w:rsidRDefault="00B27DC2" w:rsidP="00B27DC2">
      <w:pPr>
        <w:pStyle w:val="Text"/>
      </w:pPr>
      <w:r>
        <w:t xml:space="preserve">In view of the experience gained from previous transparency reports, in particular from Twitter, Facebook and YouTube for the first and second half of 2018 and 2019 respectively, the information content and comparability of the transparency reports pursuant to § 2 NetzDG are to be increased. For example, changes in the transparency reports compared to previous reporting periods and possible reasons for this are to be reported in the future due to additions to § 2(2) NetzDG, among other things. To make it easier for the public to compare reports from different providers, the reports should in the future contain a summary of essential information. In the future, it will also be necessary to report on the handling of appeals (e.g. the number of put-backs) and the basic functioning of automated processes when finding content to be removed, if the provider already uses </w:t>
      </w:r>
      <w:r>
        <w:lastRenderedPageBreak/>
        <w:t>such processes today. In addition, providers will in the future report on whether and to what extent science and research are granted access to potential insights for anonymised evaluation, concerning specific effects of unlawful content, coordinated behaviours in its dissemination, as well as the question as to the extent to which removed content is linked to characteristics defined by § 1 AGG.</w:t>
      </w:r>
    </w:p>
    <w:p w:rsidR="003B0B10" w:rsidRPr="00CB1818" w:rsidRDefault="003B0B10" w:rsidP="003B0B10">
      <w:pPr>
        <w:pStyle w:val="Text"/>
      </w:pPr>
      <w:r>
        <w:t>§ 3(1)(2) NetzDG is amended to clarify that the reporting channels via which complaints about unlawful content can be transmitted must be easy to use and must be easily recognisable and immediately accessible from the content. This again clarifies that a hard-to-find, long or complicated click path from the content to be reported to the option to submit a complaint is not consistent with the law.</w:t>
      </w:r>
    </w:p>
    <w:p w:rsidR="0077002C" w:rsidRPr="00CB1818" w:rsidRDefault="0077002C" w:rsidP="003B0B10">
      <w:pPr>
        <w:pStyle w:val="Text"/>
      </w:pPr>
      <w:r>
        <w:t>In § 3(7) to (9), the provisions for the recognition of a self-regulation body are supplemented in such a way that the Federal Office of Justice, as the competent authority, can create additional provisions for the recognition decision in the future; in addition, reporting requirements of the recognised bodies are introduced.</w:t>
      </w:r>
    </w:p>
    <w:p w:rsidR="00BC1485" w:rsidRPr="00CB1818" w:rsidRDefault="008D7B40" w:rsidP="003B0B10">
      <w:pPr>
        <w:pStyle w:val="Text"/>
      </w:pPr>
      <w:r>
        <w:t>The newly created § 3b NetzDG introduces an appeal procedure. This ensures that both complainants and content creators can have a decision on content reviewed by the social network provider in a simple manner.</w:t>
      </w:r>
    </w:p>
    <w:p w:rsidR="00BC1485" w:rsidRPr="00CB1818" w:rsidRDefault="00BC1485" w:rsidP="003B0B10">
      <w:pPr>
        <w:pStyle w:val="Text"/>
      </w:pPr>
      <w:r>
        <w:t>§ 3c NetzDG introduces a possibility of recognition for arbitration bodies organised under private law. Such arbitration can help in finding an out-of-court solution to disputes between complainants/users and the provider.</w:t>
      </w:r>
    </w:p>
    <w:p w:rsidR="00FD5209" w:rsidRPr="00CB1818" w:rsidRDefault="00FD5209" w:rsidP="003B0B10">
      <w:pPr>
        <w:pStyle w:val="Text"/>
      </w:pPr>
      <w:r>
        <w:t>In §§ 3d, 3e NetzDG, special provisions to cover video sharing platform services are introduced in observance of the implementation requirements of Articles 28a and 28b AVMSD. § 3d NetzDG thus contains the necessary definitions and rules for determining the relevant Member State pursuant to Article 28a(1) AVMSD in which a provider is established or is deemed to be established. § 3e(1) NetzDG stipulates that the requirements of the NetzDG generally apply to video sharing platform services covered in this way, but taking into account the special provisions in § 3e(2) to (4) NetzDG, in particular for smaller and foreign providers. These special rules apply to user-generated videos and broadcasts covered by the AVMSD, while text content, for example, remains unaffected and, as such, there is no restriction of the previous applicability of the NetzDG.</w:t>
      </w:r>
    </w:p>
    <w:p w:rsidR="00FD5209" w:rsidRPr="00CB1818" w:rsidRDefault="00FD5209" w:rsidP="00FD5209">
      <w:pPr>
        <w:pStyle w:val="Text"/>
      </w:pPr>
      <w:r>
        <w:t>§ 3f NetzDG establishes an official arbitration body for the cases provided for there.</w:t>
      </w:r>
    </w:p>
    <w:p w:rsidR="00FD5209" w:rsidRPr="00CB1818" w:rsidRDefault="00FD5209" w:rsidP="003B0B10">
      <w:pPr>
        <w:pStyle w:val="Text"/>
      </w:pPr>
      <w:r>
        <w:t>§ 4a NetzDG introduces supervisory powers and authorities for the Federal Office of Justice.</w:t>
      </w:r>
    </w:p>
    <w:p w:rsidR="008D7B40" w:rsidRPr="00CB1818" w:rsidRDefault="00C22ED5" w:rsidP="003B0B10">
      <w:pPr>
        <w:pStyle w:val="Text"/>
      </w:pPr>
      <w:r>
        <w:t>§ 5(1) NetzDG clarifies that complaints may be delivered to the process agent with which the unfounded assumption of the existence of unlawful content is asserted. In particular, this covers reinstatement complaints seeking the reinstatement of content removed by the network with an explanation of the reasons or asserting the inadmissibility of the blocking of an account on this basis.</w:t>
      </w:r>
    </w:p>
    <w:p w:rsidR="002B4B76" w:rsidRPr="00CB1818" w:rsidRDefault="002B4B76" w:rsidP="002B4B76">
      <w:pPr>
        <w:pStyle w:val="Text"/>
      </w:pPr>
      <w:r>
        <w:t>The provisions for the recognition of a self-regulation body will be supplemented in such a way that the Federal Office of Justice, as the competent authority, can create additional provisions for the recognition decision in the future. In addition, reporting requirements of the recognised bodies are introduced.</w:t>
      </w:r>
    </w:p>
    <w:p w:rsidR="00060FCE" w:rsidRPr="00CB1818" w:rsidRDefault="00AD64FF" w:rsidP="002B4B76">
      <w:pPr>
        <w:pStyle w:val="Text"/>
      </w:pPr>
      <w:r>
        <w:t>§ 5(2) NetzDG is supplemented. According to it, the names of the authorised recipients available to the law enforcement authorities as domestic contact persons must in the future be provided directly to the Federal Office of Justice, which may in turn share this information with the law enforcement authorities.</w:t>
      </w:r>
    </w:p>
    <w:p w:rsidR="00CF4789" w:rsidRPr="00CB1818" w:rsidRDefault="00CF4789" w:rsidP="002B4B76">
      <w:pPr>
        <w:pStyle w:val="Text"/>
      </w:pPr>
      <w:r>
        <w:lastRenderedPageBreak/>
        <w:t>§ 14(3) and (4) of the Telemedia Act (TMG) is supplemented such that, in the future, the court charged with deciding on the admissibility of data disclosure may at the same time impose the obligation to disclose data.</w:t>
      </w:r>
    </w:p>
    <w:p w:rsidR="00E83886" w:rsidRPr="00CB1818" w:rsidRDefault="00E83886">
      <w:pPr>
        <w:pStyle w:val="berschriftrmischBegrndung"/>
      </w:pPr>
      <w:r>
        <w:t>Alternatives</w:t>
      </w:r>
    </w:p>
    <w:p w:rsidR="00E83886" w:rsidRPr="00CB1818" w:rsidRDefault="00644AD2">
      <w:pPr>
        <w:pStyle w:val="Text"/>
      </w:pPr>
      <w:r>
        <w:t>The aim of the Draft Act is firstly to implement the AVMSD’s requirements on compliance obligations for video sharing platform services. It could have been implemented in other laws as an alternative. However, implementation in the NetzDG is preferable due to the overlap with requirements already provided for in the NetzDG. Another aim of the Draft Act is to refine the provisions of the NetzDG in consideration of practical experience. In view of the sometimes considerable need for clarification (for example, on the user-friendliness of the reporting channels and the competence of the process agent), it would not appear appropriate to wait for future fine proceedings relating to this to be carried out by the Federal Office of Justice or to keep the NetzDG up to date as an alternative.</w:t>
      </w:r>
    </w:p>
    <w:p w:rsidR="00DC63DB" w:rsidRPr="00CB1818" w:rsidRDefault="00E83886" w:rsidP="008B6249">
      <w:pPr>
        <w:pStyle w:val="berschriftrmischBegrndung"/>
        <w:rPr>
          <w:rStyle w:val="Marker"/>
          <w:color w:val="auto"/>
        </w:rPr>
      </w:pPr>
      <w:r>
        <w:t>Legislative powers</w:t>
      </w:r>
    </w:p>
    <w:p w:rsidR="000F7EE0" w:rsidRPr="00CB1818" w:rsidRDefault="00DC63DB" w:rsidP="00C7339D">
      <w:pPr>
        <w:pStyle w:val="Text"/>
        <w:rPr>
          <w:rStyle w:val="Marker"/>
          <w:color w:val="auto"/>
        </w:rPr>
      </w:pPr>
      <w:r>
        <w:rPr>
          <w:rStyle w:val="Marker"/>
          <w:color w:val="auto"/>
        </w:rPr>
        <w:t>For one thing, the legislative powers of the Federal Government are derived from Article 74(1)(11) of the Basic Law (business law). Business law includes provisions that relate in some form to the production, manufacture and distribution of goods for economic demand (Federal Constitutional Court Decisions, 135, 155 margin number 106). The pursuit of other goals is innocuous, as long as the relevant objective subject and content of regulation in its overall context is a focus of business law (Pieroth, in: Jarass / Pieroth, Article 74 of the Basic Law, margin number  21). In particular, it is innocuous if business-related regulations also serve to avert a danger: when it comes to the dangers of a specific economic sector, the related requirements for these companies are business law.</w:t>
      </w:r>
    </w:p>
    <w:p w:rsidR="008B6249" w:rsidRPr="00435424" w:rsidRDefault="000F7EE0" w:rsidP="000F7EE0">
      <w:pPr>
        <w:pStyle w:val="Text"/>
        <w:rPr>
          <w:rStyle w:val="Marker"/>
          <w:color w:val="auto"/>
        </w:rPr>
      </w:pPr>
      <w:r>
        <w:rPr>
          <w:rStyle w:val="Marker"/>
          <w:color w:val="auto"/>
        </w:rPr>
        <w:t>The legislative competence of the Federal Government also follows from Article 74(1)(7) of the Basic Law (public welfare), if interests of protecting minors are concerned. Article 74(1)(7) of the Basic Law is relevant since the protective goal of the draft, which is directed against the coarsening of the culture of debate on social networks, also concerns the purpose of protecting minors in the media, namely the development of children and young people or their nurturing into independent and socially responsible citizens. The rules on the arbitration body (Article 1(4) of the draft) are based on Article 74(1)(1)(civil law) and point (11) (business law) of the Basic Law, while the provisions on administrative fines (Article 1(4) of the draft) are based on Article 74(1)(1) of the Basic Law (criminal law).</w:t>
      </w:r>
    </w:p>
    <w:p w:rsidR="00DC63DB" w:rsidRPr="00CB1818" w:rsidRDefault="00DC63DB" w:rsidP="000F7EE0">
      <w:pPr>
        <w:pStyle w:val="Text"/>
      </w:pPr>
      <w:r>
        <w:t>The legislative powers of the Federal Government in the area of improving law enforcement on social networks are a given since here, the establishment of equal living conditions throughout Federal territory and the preservation of legal or economic unity in the national interest by means of a provision on Federal level is necessary (Article 72(2) of the Basic Law). As a result of consistent Federal law in the area of law enforcement on social networks, a situation is prevented whereby within the Federal Republic of Germany, living conditions diverge when hate crime and other unlawful content, in some circumstances, is not combated and prosecuted effectively in every Federal State and, as a result, the peaceful coexistence enjoyed by citizens of a free, open and democratic society is jeopardised. Therefore, the provisions can also only be realised through the Federal legislature because otherwise, there would be a risk of legal fragmentation which is unacceptable for both the Federal Government and the Federal States. A nationwide design of law enforcement in social networks ensures the application of uniform standards regardless of the location of the social network providers.</w:t>
      </w:r>
    </w:p>
    <w:p w:rsidR="00E83886" w:rsidRPr="00CB1818" w:rsidRDefault="00E83886">
      <w:pPr>
        <w:pStyle w:val="berschriftrmischBegrndung"/>
      </w:pPr>
      <w:r>
        <w:lastRenderedPageBreak/>
        <w:t>Compatibility with European Union law and international treaties</w:t>
      </w:r>
    </w:p>
    <w:p w:rsidR="00305DBD" w:rsidRPr="00CB1818" w:rsidRDefault="00305DBD" w:rsidP="00C7339D">
      <w:pPr>
        <w:pStyle w:val="Text"/>
      </w:pPr>
      <w:r>
        <w:t>The additions of compliance rules provided for in the draft are compatible with European law. This applies in particular to Directive 2000/31/EC (e-Commerce Directive) and the amended AVMSD.</w:t>
      </w:r>
    </w:p>
    <w:p w:rsidR="00E83886" w:rsidRPr="003D079F" w:rsidRDefault="00E2639A" w:rsidP="00715217">
      <w:pPr>
        <w:pStyle w:val="Text"/>
        <w:keepNext/>
        <w:rPr>
          <w:lang w:val="fr-FR"/>
        </w:rPr>
      </w:pPr>
      <w:r w:rsidRPr="003D079F">
        <w:rPr>
          <w:lang w:val="fr-FR"/>
        </w:rPr>
        <w:t>1. Directive 2000/31/EC (e-Commerce Directive)</w:t>
      </w:r>
    </w:p>
    <w:p w:rsidR="00E2639A" w:rsidRPr="00CB1818" w:rsidRDefault="00E2639A" w:rsidP="00E2639A">
      <w:pPr>
        <w:pStyle w:val="Text"/>
      </w:pPr>
      <w:r>
        <w:t>The e-Commerce Directive already provides for a number of instruments that can be applied to regulate the social network providers and on which the complaint management provisions in the NetzDG can be based, for example. According to Article 14(1) of the e-Commerce Directive, Member States can hold a service provider responsible for the information stored in the user order if it does not take action in spite of having gained knowledge. As per the second clause of Article 14(3) second clause of the e-Commerce Directive, it remains unaffected ‘that Member States establish procedures for the removal or blocking of access to information’. Recital number 46 must furthermore be observed, according to which ‘this Directive does not affect Member States' possibility of establishing specific requirements which must be fulfilled expeditiously prior to the removal or blocking of information.’ Accordingly, Recital number 48 opens up the possibility for Member States of requiring service providers, ‘who host information provided by recipients of their service, to apply duties of care, which can reasonably be expected from them and which are specified by national law, in order to detect and prevent certain types of illegal activities’.</w:t>
      </w:r>
    </w:p>
    <w:p w:rsidR="00E2639A" w:rsidRPr="00CB1818" w:rsidRDefault="00DD523C" w:rsidP="00E2639A">
      <w:pPr>
        <w:pStyle w:val="Text"/>
      </w:pPr>
      <w:r>
        <w:t>The additions in the present draft substantiate the complaint management system already introduced by the NetzDG (e.g. the appeals procedure and the requirements for self-regulation bodies) and thus fall within the procedures to be regulated by the second clause of Article 14(3) of the e-Commerce Directive. The present draft does not tighten the requirements for checking and, if necessary, swiftly removing or blocking content. The rules on arbitration do not lead to any obligation on the part of providers to restrict the provision of services, especially since Article 17 of the e-Commerce Directive does not intend to restrict national extra</w:t>
      </w:r>
      <w:r w:rsidR="002C2CBC">
        <w:t>judicial</w:t>
      </w:r>
      <w:r>
        <w:t xml:space="preserve"> dispute settlement mechanisms.</w:t>
      </w:r>
    </w:p>
    <w:p w:rsidR="00E2639A" w:rsidRPr="00CB1818" w:rsidRDefault="00E2639A" w:rsidP="00E2639A">
      <w:pPr>
        <w:pStyle w:val="Text"/>
      </w:pPr>
      <w:r>
        <w:t>Alternatively, scope for national provisions also exists outside the range of instruments available under the e-Commerce Directive. Indeed, Article 3(2) of the e-Commerce Directive includes a general ban whereby Member States may not, for reasons falling within the coordinated field, restrict the freedom to provide information society services from another Member State. According to Article 2(h)(i), second indent, of the e-Commerce Directive, this includes, inter alia, the requirements to be fulfilled by a service provider in respect of the pursuit of the activity of an information society service, such as requirements concerning the behaviour of the service provider, requirements regarding the quality or content of the service including those applicable to advertising and contracts, or requirements concerning the liability of the service provider. However, Article 3(4) of the e-Commerce Directive allows an exception to this for the compliance obligations introduced by the NetzDG, because these compliance obligations to combat hate crime and other criminal content are urgently needed, among other things to protect not only individual users, but also peaceful coexistence in a free, open and democratic society in Germany. The corresponding compliance obligations are only refined by the present draft. The requirements for reviewing complaints and, if necessary, swiftly removing or blocking content are not being tightened. In part, these are only clarifications (for example, regarding the content of the easily recognisable reporting channels and the competence of the process agent for reinstatement complaints). Some of these are provisions that are already unsuitable for restricting the free movement of information society services (for example, the voluntary option of participating in arbitration).</w:t>
      </w:r>
    </w:p>
    <w:p w:rsidR="00E2639A" w:rsidRPr="00CB1818" w:rsidRDefault="00FB4780" w:rsidP="00715217">
      <w:pPr>
        <w:pStyle w:val="Text"/>
        <w:keepNext/>
      </w:pPr>
      <w:r>
        <w:lastRenderedPageBreak/>
        <w:t>2nd Directive 2010/13/EU (AVMSD)</w:t>
      </w:r>
    </w:p>
    <w:p w:rsidR="00406568" w:rsidRPr="00CB1818" w:rsidRDefault="00406568" w:rsidP="00C7339D">
      <w:pPr>
        <w:pStyle w:val="Text"/>
      </w:pPr>
      <w:r>
        <w:t>The supplementation of the NetzDG for recording video sharing platform services is compatible with the amended AVMSD. Pursuant to Article 28a(5), the AVMSD does not affect provisions (including those as per Articles 3 and 14 of the e-Commerce Directive) with which the requirements for complaint management introduced by the NetzDG, which in principle also apply to video sharing platform services as per Article 3e(1) are compatible.</w:t>
      </w:r>
    </w:p>
    <w:p w:rsidR="00FB4780" w:rsidRPr="00CB1818" w:rsidRDefault="00406568" w:rsidP="00C7339D">
      <w:pPr>
        <w:pStyle w:val="Text"/>
      </w:pPr>
      <w:r>
        <w:t>Even if Article 28b of the AVMSD also provides positive requirements for protection against impermissible harmful content through measures by video sharing platform services, the present draft adheres to these requirements. For example, Article 28b(3)(a) of the AVMSD requires general terms and conditions to be designed with this intent, Article 28b(3)(d) AVMSD sets requirements for reporting channels, and Article 28b(3)(i) requires the provider to make appeal measures available and Article 28b(7) requires certain out-of-court remedial procedure to be available. The enforcement of fines and the supervision introduced regarding compliance requirements are in line with Article 28b(5) AVMSD. The self-regulation opened in the NetzDG is expressly supported by Article 28b(4) AVMSD. On the whole, it should be noted that the AVMSD regulating video sharing platform services in accordance with Article 28b(6) only establishes minimum requirements and permits national provisions to be stricter.</w:t>
      </w:r>
    </w:p>
    <w:p w:rsidR="00FB4780" w:rsidRPr="00CB1818" w:rsidRDefault="005E5F89" w:rsidP="00C7339D">
      <w:pPr>
        <w:pStyle w:val="Text"/>
      </w:pPr>
      <w:r>
        <w:t xml:space="preserve">The draft takes into account that the minimum harmonisation of compliance obligations as per Article 28b AVMSD in connection with the competence arrangements as per Article 28a(1) to (4) is generally to be implemented by the Member State in which the respective video sharing platform service provider is established, or is deemed to be established pursuant to the Directive. § 3e(3) NetzDG therefore stipulates that the provisions of the NetzDG no longer apply directly if the provider is or is deemed to be established in another Member State, and at the same time calls for the compliance duties under the NetzDG and Article 28b AVMSD (with regard to the audiovisual content recorded there) to overlap. The directive assumes that the </w:t>
      </w:r>
      <w:r>
        <w:rPr>
          <w:rStyle w:val="Marker"/>
          <w:color w:val="auto"/>
        </w:rPr>
        <w:t>Article 28b guarantees the minimum level of protection harmonised under European law by the respective country of domicile. The fact that § 3e(3) NetzDG provides for individual competence of the Federal Office of Justice, if this level of protection has fallen short, is compatible with the AVMSD. In Article 28a(5), the AVMSD expressly refers to Article 3 of the e-Commerce Directive, which means that the Member State which is the place of marketing is permitted to act in certain cases after a certain consultation process has been carried out. The corresponding national provision in § 3(5) of the Telemedia Act (TMG) is referred to in § 3e(3) NetzDG.</w:t>
      </w:r>
    </w:p>
    <w:p w:rsidR="00E2639A" w:rsidRPr="00CB1818" w:rsidRDefault="00AD0A3F" w:rsidP="00715217">
      <w:pPr>
        <w:pStyle w:val="Text"/>
        <w:keepNext/>
      </w:pPr>
      <w:r>
        <w:t>3. Freedom to provide services</w:t>
      </w:r>
    </w:p>
    <w:p w:rsidR="00672680" w:rsidRPr="00CB1818" w:rsidRDefault="00E2639A" w:rsidP="00672680">
      <w:pPr>
        <w:pStyle w:val="Text"/>
      </w:pPr>
      <w:r>
        <w:t>Pending specific secondary legislation, a national provision for improving law enforcement on social networks must be gauged in terms of the fundamental freedoms under EU law as soon as a cross-border element exists. This should be assumed here. This ought to be assumed here since the regulation is not aimed exclusively at domestic operators, nor does it also cover just their services in Germany, but likewise concerns operators from other EU Member States or the provision of services by German operators to users in other EU Member States.</w:t>
      </w:r>
    </w:p>
    <w:p w:rsidR="00E2639A" w:rsidRPr="00CB1818" w:rsidRDefault="00E2639A" w:rsidP="00E2639A">
      <w:pPr>
        <w:pStyle w:val="Text"/>
      </w:pPr>
      <w:r>
        <w:t>Here, the fundamental freedom to provide services (Article 56 of the Treaty on the Functioning of the European Union) is affected. A restriction can only be justified in this regard if it turns out that it complies with overriding reasons based on the public interest, is suitable for ensuring attainment of the objective it pursues, and does not go beyond what is required to attain this objective.</w:t>
      </w:r>
    </w:p>
    <w:p w:rsidR="00E2639A" w:rsidRPr="00CB1818" w:rsidRDefault="00E2639A" w:rsidP="00DD4259">
      <w:pPr>
        <w:pStyle w:val="Text"/>
      </w:pPr>
      <w:r>
        <w:lastRenderedPageBreak/>
        <w:t>The compelling prevention of and fight against hate crime and other criminal content on social networks platforms which is promoted by the NetzDG is to be regarded as an imperative interest of the common good, which is refined by this draft for the necessary and suitable reasons set out in the explanatory statement.</w:t>
      </w:r>
    </w:p>
    <w:p w:rsidR="00E2639A" w:rsidRPr="00CB1818" w:rsidRDefault="00DD4259" w:rsidP="00715217">
      <w:pPr>
        <w:pStyle w:val="Text"/>
        <w:keepNext/>
      </w:pPr>
      <w:r>
        <w:t>4. Notification obligation as per Directive (EU) 2015/1535</w:t>
      </w:r>
    </w:p>
    <w:p w:rsidR="00E2639A" w:rsidRPr="00CB1818" w:rsidRDefault="00E2639A" w:rsidP="00E2639A">
      <w:pPr>
        <w:pStyle w:val="Text"/>
      </w:pPr>
      <w:r>
        <w:t>The planned regulation must be notified in accordance with Directive (EU) 2015/1535 of 9 September 2015 laying down a procedure for the provision of information in the field of technical regulations and of rules on information society services.</w:t>
      </w:r>
    </w:p>
    <w:p w:rsidR="00E83886" w:rsidRPr="00CB1818" w:rsidRDefault="00E83886">
      <w:pPr>
        <w:pStyle w:val="berschriftrmischBegrndung"/>
      </w:pPr>
      <w:r>
        <w:t>Legal consequences</w:t>
      </w:r>
    </w:p>
    <w:p w:rsidR="00E83886" w:rsidRPr="00CB1818" w:rsidRDefault="00E83886">
      <w:pPr>
        <w:pStyle w:val="berschriftarabischBegrndung"/>
      </w:pPr>
      <w:r>
        <w:t>Legal and administrative simplification</w:t>
      </w:r>
    </w:p>
    <w:p w:rsidR="00E83886" w:rsidRPr="00CB1818" w:rsidRDefault="004F1EF9">
      <w:pPr>
        <w:pStyle w:val="Text"/>
      </w:pPr>
      <w:r>
        <w:t>The draft does not serve the purpose of legal and administrative simplification.</w:t>
      </w:r>
    </w:p>
    <w:p w:rsidR="00E83886" w:rsidRPr="00CB1818" w:rsidRDefault="00E83886">
      <w:pPr>
        <w:pStyle w:val="berschriftarabischBegrndung"/>
      </w:pPr>
      <w:r>
        <w:t>Sustainability aspects</w:t>
      </w:r>
    </w:p>
    <w:p w:rsidR="004F1EF9" w:rsidRPr="00CB1818" w:rsidRDefault="004F1EF9">
      <w:pPr>
        <w:pStyle w:val="Text"/>
      </w:pPr>
      <w:r>
        <w:t>The basic goal of the NetzDG and the goal of the further development proposed here is to counter hate crime and other criminal content on social networks that meets the criteria for an offence defined in § 1(3) NetzDG, so as to promote peaceful coexistence in a free, open and democratic society (see also Bundestag Document 18/12356, p. 15).</w:t>
      </w:r>
    </w:p>
    <w:p w:rsidR="00E83886" w:rsidRPr="00CB1818" w:rsidRDefault="00E83886">
      <w:pPr>
        <w:pStyle w:val="berschriftarabischBegrndung"/>
      </w:pPr>
      <w:r>
        <w:t>Budgetary expenditure without compliance costs</w:t>
      </w:r>
    </w:p>
    <w:p w:rsidR="00BE43F7" w:rsidRPr="00CB1818" w:rsidRDefault="00450990" w:rsidP="00ED24C8">
      <w:pPr>
        <w:pStyle w:val="Text"/>
      </w:pPr>
      <w:r>
        <w:t>The additional requirement of EUR 1 064 987 resulting from the administration's compliance costs (see explanatory notes on the compliance costs) leads to corresponding budgetary burdens. The reason for this is a resulting need for staff at the Federal Ministry of Justice and Consumer Protection and at the Federal Office of Justice totalling (rounded) a total of 6.5 posts in professional grade service, 4 posts in executive grade service and 1.5 posts in mid-level service.</w:t>
      </w:r>
    </w:p>
    <w:p w:rsidR="00BE43F7" w:rsidRPr="00CB1818" w:rsidRDefault="00BE43F7" w:rsidP="00ED24C8">
      <w:pPr>
        <w:pStyle w:val="Text"/>
      </w:pPr>
      <w:r>
        <w:t>The additional material and staffing requirements will be compensated for in individual plan 07 in terms of funds and jobs. Decisions on the details of covering the additional requirements will be made in future budget allocation processes.</w:t>
      </w:r>
    </w:p>
    <w:p w:rsidR="004F1EF9" w:rsidRPr="00CB1818" w:rsidRDefault="00E83886" w:rsidP="001463D2">
      <w:pPr>
        <w:pStyle w:val="berschriftarabischBegrndung"/>
      </w:pPr>
      <w:r>
        <w:t>Compliance costs</w:t>
      </w:r>
    </w:p>
    <w:p w:rsidR="004F1EF9" w:rsidRPr="00CB1818" w:rsidRDefault="004F1EF9" w:rsidP="00715217">
      <w:pPr>
        <w:pStyle w:val="Text"/>
        <w:keepNext/>
      </w:pPr>
      <w:r>
        <w:t>a) Compliance costs for citizens</w:t>
      </w:r>
    </w:p>
    <w:p w:rsidR="00DD04F8" w:rsidRPr="00CB1818" w:rsidRDefault="00266765">
      <w:pPr>
        <w:pStyle w:val="Text"/>
      </w:pPr>
      <w:r>
        <w:t>None.</w:t>
      </w:r>
    </w:p>
    <w:p w:rsidR="005109A2" w:rsidRPr="00CB1818" w:rsidRDefault="004F1EF9" w:rsidP="00715217">
      <w:pPr>
        <w:pStyle w:val="Text"/>
        <w:keepNext/>
      </w:pPr>
      <w:r>
        <w:t>b) Compliance costs for businesses</w:t>
      </w:r>
    </w:p>
    <w:p w:rsidR="00B65155" w:rsidRPr="00CB1818" w:rsidRDefault="00B65155" w:rsidP="00ED24C8">
      <w:pPr>
        <w:pStyle w:val="Text"/>
      </w:pPr>
      <w:r>
        <w:t>On the whole, the providers affected by the provision incur a one-off compliance cost of EUR 284 000 (in addition to the costs for implementing the existing NetzDG) and annual compliance costs of EUR 2 279 000.</w:t>
      </w:r>
    </w:p>
    <w:p w:rsidR="00B65155" w:rsidRPr="00CB1818" w:rsidRDefault="00B65155" w:rsidP="00ED24C8">
      <w:pPr>
        <w:pStyle w:val="Text"/>
      </w:pPr>
      <w:r>
        <w:t>One-to-one implementation of Article 28b AVMSD incurs EUR 45 400 of these compliance costs on a one-time basis and EUR 89 400 on an annual basis.</w:t>
      </w:r>
    </w:p>
    <w:p w:rsidR="00B65155" w:rsidRPr="00CB1818" w:rsidRDefault="00B65155" w:rsidP="00715217">
      <w:pPr>
        <w:pStyle w:val="Text"/>
        <w:keepNext/>
      </w:pPr>
      <w:r>
        <w:lastRenderedPageBreak/>
        <w:t>The compliance costs are summarised as follows (in EUR):</w:t>
      </w:r>
    </w:p>
    <w:tbl>
      <w:tblPr>
        <w:tblW w:w="8779" w:type="dxa"/>
        <w:tblLayout w:type="fixed"/>
        <w:tblCellMar>
          <w:left w:w="0" w:type="dxa"/>
          <w:right w:w="0" w:type="dxa"/>
        </w:tblCellMar>
        <w:tblLook w:val="04A0" w:firstRow="1" w:lastRow="0" w:firstColumn="1" w:lastColumn="0" w:noHBand="0" w:noVBand="1"/>
      </w:tblPr>
      <w:tblGrid>
        <w:gridCol w:w="3392"/>
        <w:gridCol w:w="993"/>
        <w:gridCol w:w="992"/>
        <w:gridCol w:w="850"/>
        <w:gridCol w:w="851"/>
        <w:gridCol w:w="850"/>
        <w:gridCol w:w="851"/>
      </w:tblGrid>
      <w:tr w:rsidR="00B65155" w:rsidRPr="00CB1818" w:rsidTr="00D32D29">
        <w:tc>
          <w:tcPr>
            <w:tcW w:w="3392" w:type="dxa"/>
            <w:vMerge w:val="restart"/>
            <w:tcBorders>
              <w:top w:val="single" w:sz="8" w:space="0" w:color="auto"/>
              <w:left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p>
        </w:tc>
        <w:tc>
          <w:tcPr>
            <w:tcW w:w="1985" w:type="dxa"/>
            <w:gridSpan w:val="2"/>
            <w:tcBorders>
              <w:top w:val="single" w:sz="8" w:space="0" w:color="auto"/>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Compliance costs</w:t>
            </w:r>
          </w:p>
        </w:tc>
        <w:tc>
          <w:tcPr>
            <w:tcW w:w="1701" w:type="dxa"/>
            <w:gridSpan w:val="2"/>
            <w:tcBorders>
              <w:top w:val="single" w:sz="8" w:space="0" w:color="auto"/>
              <w:left w:val="nil"/>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Share of information obligations in compliance costs</w:t>
            </w:r>
          </w:p>
        </w:tc>
        <w:tc>
          <w:tcPr>
            <w:tcW w:w="1701" w:type="dxa"/>
            <w:gridSpan w:val="2"/>
            <w:tcBorders>
              <w:top w:val="single" w:sz="8" w:space="0" w:color="auto"/>
              <w:left w:val="nil"/>
              <w:bottom w:val="single" w:sz="4" w:space="0" w:color="auto"/>
              <w:right w:val="single" w:sz="8" w:space="0" w:color="000000"/>
            </w:tcBorders>
            <w:shd w:val="clear" w:color="auto" w:fill="auto"/>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Share of the 1:1 implementation of the Directive in compliance costs</w:t>
            </w:r>
          </w:p>
        </w:tc>
      </w:tr>
      <w:tr w:rsidR="00A57EE4" w:rsidRPr="00CB1818" w:rsidTr="00D32D29">
        <w:tc>
          <w:tcPr>
            <w:tcW w:w="3392" w:type="dxa"/>
            <w:vMerge/>
            <w:tcBorders>
              <w:left w:val="single" w:sz="8" w:space="0" w:color="auto"/>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one-off</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annual</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one-off</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annual</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one-off</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annual</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Further reporting obligations (§ 2 NetzDG) for previously covered social network providers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45 000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47 000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45 000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47 000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Initial reporting obligation (§ 2 NetzDG) for newly covered large video sharing platform services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42 000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25 000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42 000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25 000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Additional complaint management obligations (§ 3 NetzDG) for social networks that have already been covered</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40 000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40 000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left w:w="108" w:type="dxa"/>
              <w:right w:w="108" w:type="dxa"/>
            </w:tcMar>
            <w:hideMark/>
          </w:tcPr>
          <w:p w:rsidR="00B65155" w:rsidRPr="00CB1818" w:rsidRDefault="00B65155" w:rsidP="009E7D5E">
            <w:pPr>
              <w:pStyle w:val="TabelleText"/>
              <w:rPr>
                <w:sz w:val="16"/>
                <w:szCs w:val="16"/>
              </w:rPr>
            </w:pPr>
            <w:r>
              <w:rPr>
                <w:sz w:val="16"/>
                <w:szCs w:val="16"/>
              </w:rPr>
              <w:t>Initial implementation of complaint management (§ 3 NetzDG) for newly covered large video sharing platform services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57 000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32 000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5 700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3 200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Initial implementation of complaint management (§ 3 NetzDG) for newly covered small domestic video sharing platform services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30 000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11 000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1 100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30 000</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11 000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Review of additional complaints regarding unlawful content</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r>
              <w:rPr>
                <w:color w:val="000000"/>
                <w:sz w:val="16"/>
                <w:szCs w:val="16"/>
              </w:rPr>
              <w:t>630 000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r>
              <w:rPr>
                <w:color w:val="000000"/>
                <w:sz w:val="16"/>
                <w:szCs w:val="16"/>
              </w:rPr>
              <w:t>63 000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Establishment of appeal procedure (§ 3b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51 000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4 000</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Appeal review (§ 3b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1 440 000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14 400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Implementation of contractual agreements by video sharing platform services (§ 3e(4)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19 000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11 400</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Requests for information by the supervisory authority (§ 4a(3)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14 000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14 000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1 000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Other process agents and authorised recipients (§ 5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48 000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24 000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Increased disclosures of information on the basis of § 14(3) TMG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12 000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Total</w:t>
            </w:r>
          </w:p>
        </w:tc>
        <w:tc>
          <w:tcPr>
            <w:tcW w:w="993"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284 000</w:t>
            </w:r>
          </w:p>
        </w:tc>
        <w:tc>
          <w:tcPr>
            <w:tcW w:w="992"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2 279 000</w:t>
            </w:r>
          </w:p>
        </w:tc>
        <w:tc>
          <w:tcPr>
            <w:tcW w:w="850"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135 700</w:t>
            </w:r>
          </w:p>
        </w:tc>
        <w:tc>
          <w:tcPr>
            <w:tcW w:w="851"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134 300</w:t>
            </w:r>
          </w:p>
        </w:tc>
        <w:tc>
          <w:tcPr>
            <w:tcW w:w="850"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45 400</w:t>
            </w:r>
          </w:p>
        </w:tc>
        <w:tc>
          <w:tcPr>
            <w:tcW w:w="851" w:type="dxa"/>
            <w:tcBorders>
              <w:top w:val="nil"/>
              <w:left w:val="nil"/>
              <w:bottom w:val="single" w:sz="8"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89 400</w:t>
            </w:r>
          </w:p>
        </w:tc>
      </w:tr>
    </w:tbl>
    <w:p w:rsidR="00B65155" w:rsidRPr="00CB1818" w:rsidRDefault="00B65155" w:rsidP="00715217">
      <w:pPr>
        <w:pStyle w:val="Text"/>
        <w:keepNext/>
      </w:pPr>
      <w:r>
        <w:t>In detail:</w:t>
      </w:r>
    </w:p>
    <w:p w:rsidR="00B65155" w:rsidRPr="00CB1818" w:rsidRDefault="00B65155" w:rsidP="00ED24C8">
      <w:pPr>
        <w:pStyle w:val="Text"/>
      </w:pPr>
      <w:r>
        <w:t>The draft introduces some new obligations to be met by social network providers and certain video sharing platform services; in some cases, the obligations already existing for social network providers are being supplemented.</w:t>
      </w:r>
    </w:p>
    <w:p w:rsidR="00B65155" w:rsidRPr="00CB1818" w:rsidRDefault="00B65155" w:rsidP="00ED24C8">
      <w:pPr>
        <w:pStyle w:val="Text"/>
      </w:pPr>
      <w:r>
        <w:t>The following estimates of the resulting additional costs for the providers concerned are based on the assumption that a total of four video sharing platform service providers will fall within the scope of the Act for the first time due to § 3e NetzDG. This assumes that there are an estimated three small domestic providers that are covered by § 3e(1) and (2) NetzDG. It is also based on the assumption that there is one large provider (with at least two million registered users in Germany) among the four newly covered providers.</w:t>
      </w:r>
    </w:p>
    <w:p w:rsidR="00B65155" w:rsidRPr="00CB1818" w:rsidRDefault="00B65155" w:rsidP="00ED24C8">
      <w:pPr>
        <w:pStyle w:val="Text"/>
      </w:pPr>
      <w:r>
        <w:t>In addition, it is assumed that a total of five large social network providers are already subject to the NetzDG without being exempted from the obligations mentioned there pursuant to § 1(2) NetzDG. It is assumed that, of these large social network providers which are already subject to the compliance requirements of the NetzDG, a provider will also simultaneously be classified as a video sharing platform service in the future.</w:t>
      </w:r>
    </w:p>
    <w:p w:rsidR="00B65155" w:rsidRPr="00CB1818" w:rsidRDefault="00B65155" w:rsidP="00ED24C8">
      <w:pPr>
        <w:pStyle w:val="Text"/>
      </w:pPr>
      <w:r>
        <w:lastRenderedPageBreak/>
        <w:t>As a result, the estimate is based on six (previously five) providers covered (five social network providers already covered, one of which will also simultaneously be covered as a video sharing platform service in the future, as well as one large video sharing platform service provider) which are not exempt from the predominant obligations of the Act in accordance with § 1(2) NetzDG. In addition, the estimate is based on three newly recorded small providers, to whom only very limited compliance obligations apply in accordance with § 3e(2).</w:t>
      </w:r>
    </w:p>
    <w:p w:rsidR="00B65155" w:rsidRPr="00CB1818" w:rsidRDefault="00B65155" w:rsidP="00ED24C8">
      <w:pPr>
        <w:pStyle w:val="Text"/>
      </w:pPr>
      <w:r>
        <w:t>It is also assumed that an estimated total of 2.3 million complaints of unlawful content per year can be expected for the large social network providers covered so far and for the newly covered video sharing platform services. The basis of the estimate is that, according to the transparency reports published so far for the second half of 2019, the five major providers YouTube, Facebook, Twitter, Instagram, TikTok recorded a total of approximately 1.1 million complaints. Without the publication being accompanied by a stipulation that the relevant providers are subject to the NetzDG or the complaints have been correctly recorded, this results in an estimated 2.2 million complaints per year. This results in a rough estimate of approx. 400 000 annual complaints per large provider. However, this value can only be transferred to the newly covered video sharing platform services to a limited extent. The newly covered small domestic providers of video sharing platform services are considerably smaller than the large providers mentioned. In addition, it can be assumed that complaints in the field of user-generated videos and broadcasts that fall directly under the NetzDG are limited to the content in accordance with § 3e(2)(2) NetzDG. At the same time, it should be taken into account that, on the basis of § 3e(3)(1) NetzDG, complaints about certain user-generated videos and broadcasts from providers of video sharing platform services that were previously covered by NetzDG as social network providers will no longer be directly subject to the notification and remedial procedure of the NetzDG in the future. On this basis, an additional 100 000 NetzDG complaints can be estimated annually due to the newly covered providers, in spite of uncertainties.</w:t>
      </w:r>
    </w:p>
    <w:p w:rsidR="00B65155" w:rsidRPr="00CB1818" w:rsidRDefault="00B65155" w:rsidP="00ED24C8">
      <w:pPr>
        <w:pStyle w:val="Text"/>
      </w:pPr>
      <w:r>
        <w:t>The interests of small and medium-sized enterprises (SMEs) are taken into account. The compliance requirements of the NetzDG only apply to large providers on the basis of § 1(2) NetzDG. Insofar as § 3e(2) NetzDG now also covers small video sharing platform service providers due to the requirements of European law, they deliberately remain exempt from more complex obligations to a very large degree as per § 3e(2)(3) NetzDG under application of the leeway in the Directive to be implemented.</w:t>
      </w:r>
    </w:p>
    <w:p w:rsidR="00B65155" w:rsidRPr="00CB1818" w:rsidRDefault="00B65155" w:rsidP="00ED24C8">
      <w:pPr>
        <w:pStyle w:val="Text"/>
      </w:pPr>
      <w:r>
        <w:t>The hourly rates below are based on Annex VI Hourly business wage cost tables in the guideline for determining and representing the compliance costs in planned regulatory arrangements of the Federal Government. Unless otherwise indicated, the values in line M (‘Provision of professional, scientific and technical services’) are used.</w:t>
      </w:r>
    </w:p>
    <w:p w:rsidR="00B65155" w:rsidRPr="00CB1818" w:rsidRDefault="00B65155" w:rsidP="005B260B">
      <w:pPr>
        <w:keepNext/>
        <w:spacing w:before="0" w:after="0" w:line="276" w:lineRule="auto"/>
        <w:rPr>
          <w:rFonts w:eastAsia="Arial"/>
        </w:rPr>
      </w:pPr>
      <w:r>
        <w:t>aa) Further reporting obligations (§ 2 NetzDG) for previously covered social network providers</w:t>
      </w:r>
    </w:p>
    <w:p w:rsidR="00B65155" w:rsidRPr="00CB1818" w:rsidRDefault="00B65155" w:rsidP="00E86F0A">
      <w:pPr>
        <w:pStyle w:val="Text"/>
      </w:pPr>
      <w:r>
        <w:t>The additions to the reporting obligation in § 2 NetzDG will lead to higher compliance costs for social network providers that were previously subject to reporting. The additions in § 2(2) (2), (3), (12) to (15) NetzDG primarily require the disclosure of existing knowledge, so costs are assumed to be only moderate. § 2(2)(9) NetzDG only requires a particular form of presentation to be taken into account for the processing times of the complaints to be covered, which means that only very low additional costs can be assumed here. Only the changes based on § 2(2)(8) and (11) NetzDG require the additional coverage of individual cases (which review step led to removal or blocking as well as the handling of appeals). However, it can also be assumed here that the additional costs will remain moderate through the use of automatic recording mechanisms.</w:t>
      </w:r>
    </w:p>
    <w:p w:rsidR="00F87D01" w:rsidRPr="00CB1818" w:rsidRDefault="00B65155" w:rsidP="005B260B">
      <w:pPr>
        <w:pStyle w:val="Text"/>
        <w:keepNext/>
      </w:pPr>
      <w:r>
        <w:t xml:space="preserve">One-off costs of EUR 9 000 per provider are estimated for the technical changeover when recording the basics of the reports (e.g. the handling of appeals). Significant programming </w:t>
      </w:r>
      <w:r>
        <w:lastRenderedPageBreak/>
        <w:t>costs are assumed when converting the IT systems to record the information required by § 2(2)(8) NetzDG (review step) and § 2(2)(11) NetzDG (appeals). Assuming that the additional recording within the already existing systems can be implemented with programming costs of approx. 160 employee hours, the estimate is based on wage costs of EUR 58.80/hour (high qualification level): 160 hours x 1 x EUR 58.80/hour = EUR 9 408 (rounded to EUR 9 000). This results in rounded total costs of:</w:t>
      </w:r>
    </w:p>
    <w:p w:rsidR="00B65155" w:rsidRPr="00CB1818" w:rsidRDefault="00B65155" w:rsidP="00382B89">
      <w:pPr>
        <w:pStyle w:val="AufzhlungStufe1"/>
      </w:pPr>
      <w:r>
        <w:t>5 (previously recorded providers) x EUR 9 000.00 = EUR 45 000 one-off.</w:t>
      </w:r>
    </w:p>
    <w:p w:rsidR="00B65155" w:rsidRPr="00CB1818" w:rsidRDefault="00B65155" w:rsidP="005B260B">
      <w:pPr>
        <w:pStyle w:val="Text"/>
        <w:keepNext/>
      </w:pPr>
      <w:r>
        <w:t>In addition, this will result in new running costs. It is estimated that the additional work required (ongoing maintenance of the technical infrastructure, preparation of the reports) requires the use of 160 working hours by technical staff with a high level of qualification (EUR 58.80/hour). In this respect, there are annual costs for the estimated five providers who have so far been required to report due to the expansion of the reporting obligations totalling:</w:t>
      </w:r>
    </w:p>
    <w:p w:rsidR="00B65155" w:rsidRPr="00CB1818" w:rsidRDefault="00B65155" w:rsidP="00382B89">
      <w:pPr>
        <w:pStyle w:val="AufzhlungStufe1"/>
        <w:rPr>
          <w:rFonts w:eastAsia="Arial"/>
        </w:rPr>
      </w:pPr>
      <w:r>
        <w:t>5 (previously recorded providers) x EUR 58.80 x 160 = EUR 47 000 annually (rounded).</w:t>
      </w:r>
    </w:p>
    <w:p w:rsidR="00B65155" w:rsidRPr="00CB1818" w:rsidRDefault="00B65155" w:rsidP="005B260B">
      <w:pPr>
        <w:pStyle w:val="Text"/>
        <w:keepNext/>
      </w:pPr>
      <w:r>
        <w:t>bb) initial reporting obligation (§ 2 NetzDG) for newly covered large video sharing platform services</w:t>
      </w:r>
    </w:p>
    <w:p w:rsidR="00B65155" w:rsidRPr="00CB1818" w:rsidRDefault="00B65155" w:rsidP="005B260B">
      <w:pPr>
        <w:pStyle w:val="Text"/>
        <w:keepNext/>
      </w:pPr>
      <w:r>
        <w:t>Taking into account the estimate that a large video sharing platform service provider will be re-registered for the first time via § 3e(1), (3) and (4) NetzDG, i.e. the reporting obligation will be triggered anew, there will be one-off costs for setting up technical systems to record the relevant data. The cost of this is estimated at EUR 50 000. The estimate is based on the assumption that technical infrastructure must be created to record complaints about unlawful content, as well as appeals and the respective handling thereof. It is estimated that the acquisition of IT hardware for EUR 10 000 and programming costs of four person months (one person month corresponds to 134 hours according to the guidelines for determining and presenting the compliance costs in planned regulatory arrangements of the Federal Government) (134 x 4 x EUR 58.80 = EUR 31 516.80). Overall, (rounded) costs are estimated at:</w:t>
      </w:r>
    </w:p>
    <w:p w:rsidR="00B65155" w:rsidRPr="00CB1818" w:rsidRDefault="00B65155" w:rsidP="00382B89">
      <w:pPr>
        <w:pStyle w:val="AufzhlungStufe1"/>
      </w:pPr>
      <w:r>
        <w:t>EUR 42 000 one-time.</w:t>
      </w:r>
    </w:p>
    <w:p w:rsidR="00B65155" w:rsidRPr="00CB1818" w:rsidRDefault="00B65155" w:rsidP="005B260B">
      <w:pPr>
        <w:pStyle w:val="Text"/>
        <w:keepNext/>
      </w:pPr>
      <w:r>
        <w:t>In addition, the newly covered large provider incurs running costs for the preparation of the semi-annual reports (maintenance of the technical infrastructure for the ongoing recording of the data to be entered in the subsequent reports and the creation of the report itself). It is estimated that a total of 3 person months (high qualification level) will be required. On top of this are the costs of publication in the Federal Gazette, estimated at EUR 500 per report publication on average. Taking into account the reports to be prepared twice a year, the total running costs are:</w:t>
      </w:r>
    </w:p>
    <w:p w:rsidR="00B65155" w:rsidRPr="00CB1818" w:rsidRDefault="00B65155" w:rsidP="00382B89">
      <w:pPr>
        <w:pStyle w:val="AufzhlungStufe1"/>
        <w:rPr>
          <w:rFonts w:eastAsia="Arial"/>
        </w:rPr>
      </w:pPr>
      <w:r>
        <w:t>EUR 58.80 x 134 x 3 + EUR 500 x 2 = (rounded) EUR 25 000 annually.</w:t>
      </w:r>
    </w:p>
    <w:p w:rsidR="00B65155" w:rsidRPr="00CB1818" w:rsidRDefault="00B65155" w:rsidP="005B260B">
      <w:pPr>
        <w:pStyle w:val="Text"/>
        <w:keepNext/>
      </w:pPr>
      <w:r>
        <w:t>On the whole, the amended reporting obligations and the reporting obligation of newly registered providers result in costs of:</w:t>
      </w:r>
    </w:p>
    <w:p w:rsidR="00B65155" w:rsidRPr="00CB1818" w:rsidRDefault="00B65155" w:rsidP="00382B89">
      <w:pPr>
        <w:pStyle w:val="AufzhlungStufe1"/>
      </w:pPr>
      <w:r>
        <w:t>one-off: EUR 87 000 (of which information obligations: EUR 87 000),</w:t>
      </w:r>
    </w:p>
    <w:p w:rsidR="00B65155" w:rsidRPr="00CB1818" w:rsidRDefault="00B65155" w:rsidP="00382B89">
      <w:pPr>
        <w:pStyle w:val="AufzhlungStufe1"/>
        <w:rPr>
          <w:rFonts w:eastAsia="Arial"/>
        </w:rPr>
      </w:pPr>
      <w:r>
        <w:t>annual: EUR 72 000 (of which information obligations: EUR 72 000).</w:t>
      </w:r>
    </w:p>
    <w:p w:rsidR="00B65155" w:rsidRPr="00CB1818" w:rsidRDefault="00B65155" w:rsidP="005B260B">
      <w:pPr>
        <w:pStyle w:val="Text"/>
        <w:keepNext/>
      </w:pPr>
      <w:r>
        <w:t>cc) Additional complaint management obligations (§ 3 NetzDG) for social network providers that have already been covered</w:t>
      </w:r>
    </w:p>
    <w:p w:rsidR="00B65155" w:rsidRPr="00CB1818" w:rsidRDefault="00B65155" w:rsidP="005B260B">
      <w:pPr>
        <w:pStyle w:val="Text"/>
        <w:keepNext/>
      </w:pPr>
      <w:r>
        <w:t xml:space="preserve">The additions to the requirements for complaint handling (§ 3(1)(1) NetzDG) lead to moderate cost increases for the large social network providers already obliged to observe </w:t>
      </w:r>
      <w:r>
        <w:lastRenderedPageBreak/>
        <w:t>§ 3 NetzDG (basis: five). The additions, however, are all formal requirements that can be implemented automatically after a one-time cost (reference to appeal procedures, the possibilities of filing a notice of an offence and, if necessary, an application for prosecution). It is assumed that there will be a one-off expenditure for converting the technical systems of EUR 8 000 each. The estimate is based on the assumption of a programming costs of two person months (134 x 1 x EUR 58.80 = (rounded) EUR 8 000). In addition, the costs for ongoing maintenance of the corresponding systems and procedures increases, which is estimated at half a staff month (high qualification level) annually. This results in the following costs:</w:t>
      </w:r>
    </w:p>
    <w:p w:rsidR="00B65155" w:rsidRPr="00CB1818" w:rsidRDefault="00B65155" w:rsidP="00382B89">
      <w:pPr>
        <w:pStyle w:val="AufzhlungStufe1"/>
      </w:pPr>
      <w:r>
        <w:t>5 (providers) x EUR 8 000 = EUR 40 000 one-off (of which information obligations: EUR 40 000),</w:t>
      </w:r>
    </w:p>
    <w:p w:rsidR="00B65155" w:rsidRPr="00CB1818" w:rsidRDefault="00B65155" w:rsidP="00382B89">
      <w:pPr>
        <w:pStyle w:val="AufzhlungStufe1"/>
        <w:rPr>
          <w:rFonts w:eastAsia="Arial"/>
        </w:rPr>
      </w:pPr>
      <w:r>
        <w:t>5 (providers) x EUR 58.80 x 0.5 x 134 = (rounded) EUR 20 000 annually (of which information obligations: EUR 20 000).</w:t>
      </w:r>
    </w:p>
    <w:p w:rsidR="00B65155" w:rsidRPr="00CB1818" w:rsidRDefault="00B65155" w:rsidP="000877B3">
      <w:pPr>
        <w:pStyle w:val="Text"/>
      </w:pPr>
      <w:r>
        <w:t>The additions in § 3(1)(2) NetzDG are clarifications that do not involve any additional costs for the large providers already covered so far.</w:t>
      </w:r>
    </w:p>
    <w:p w:rsidR="00B65155" w:rsidRPr="00CB1818" w:rsidRDefault="00B65155" w:rsidP="005B260B">
      <w:pPr>
        <w:pStyle w:val="Text"/>
        <w:keepNext/>
      </w:pPr>
      <w:r>
        <w:t>dd) Initial implementation of complaint management (§ 3 NetzDG) for newly covered large video sharing platform services</w:t>
      </w:r>
    </w:p>
    <w:p w:rsidR="00B65155" w:rsidRPr="00CB1818" w:rsidRDefault="000877B3" w:rsidP="000877B3">
      <w:pPr>
        <w:pStyle w:val="Text"/>
      </w:pPr>
      <w:r>
        <w:t>It is assumed that a (large) video sharing platform service provider will initially be covered by the requirements of § 3 NetzDG by way of § 3e(1) and (3) NetzDG. In addition, it is estimated that three small video sharing platform service providers will have to implement at least part of the requirements of § 3 NetzDG (§ 3e(2)(2) NetzDG). There will be a one-time cost for establishing the necessary technical infrastructure. The estimate is associated with uncertainties. It should be kept in mind that the relevant notification and remedial procedures usually already exist. These are only to be refined based on the requirements of the NetzDG.</w:t>
      </w:r>
    </w:p>
    <w:p w:rsidR="00B65155" w:rsidRPr="00CB1818" w:rsidRDefault="00B65155" w:rsidP="005B260B">
      <w:pPr>
        <w:pStyle w:val="Text"/>
        <w:keepNext/>
      </w:pPr>
      <w:r>
        <w:t>In the process, the existing (flagging) transmission channels must be refined in accordance with § 3(1)(2) NetzDG. Accordingly, the technical infrastructure for handling complaints (§ 3(2) NetzDG) must be kept available. For large providers who optimise their offerings for different platforms and forms of presentation and provide more complex user interfaces, this will result in higher costs than for small providers. It is assumed that the newly covered large provider will need to purchase IT hardware at a price of EUR 10 000 and will require a one-time programming cost of six person months. In addition, an annual technical support and maintenance costs of four person months is estimated. This results in (the percentage of information obligations included is estimated at 10 per cent):</w:t>
      </w:r>
    </w:p>
    <w:p w:rsidR="00B65155" w:rsidRPr="00CB1818" w:rsidRDefault="00B65155" w:rsidP="00382B89">
      <w:pPr>
        <w:pStyle w:val="AufzhlungStufe1"/>
      </w:pPr>
      <w:r>
        <w:t>EUR 10 000 + 134 x 12 x EUR 58.80 = (rounded) EUR 57 000 one-off (of which information obligations: EUR 5 700),</w:t>
      </w:r>
    </w:p>
    <w:p w:rsidR="00B65155" w:rsidRPr="00CB1818" w:rsidRDefault="00B65155" w:rsidP="00382B89">
      <w:pPr>
        <w:pStyle w:val="AufzhlungStufe1"/>
        <w:rPr>
          <w:rFonts w:eastAsia="Arial"/>
        </w:rPr>
      </w:pPr>
      <w:r>
        <w:t>134 x 4 x EUR 58.80 = (rounded) EUR 32 000 one-off (of which information obligations: EUR 3 200).</w:t>
      </w:r>
    </w:p>
    <w:p w:rsidR="00B65155" w:rsidRPr="00CB1818" w:rsidRDefault="00B65155" w:rsidP="005B260B">
      <w:pPr>
        <w:pStyle w:val="Text"/>
        <w:keepNext/>
      </w:pPr>
      <w:r>
        <w:lastRenderedPageBreak/>
        <w:t>ee) Initial implementation of complaint management (§ 3 NetzDG) for newly covered small domestic video sharing platform services</w:t>
      </w:r>
    </w:p>
    <w:p w:rsidR="00B65155" w:rsidRPr="00CB1818" w:rsidRDefault="00B65155" w:rsidP="005B260B">
      <w:pPr>
        <w:pStyle w:val="Text"/>
        <w:keepNext/>
        <w:rPr>
          <w:rFonts w:eastAsia="Arial"/>
        </w:rPr>
      </w:pPr>
      <w:r>
        <w:t>The small providers newly covered by § 3e(2)NetzDG only have to implement § 3 NetzDG to a very limited extent (reporting channel, reviewing complaints, removing or blocking obviously unlawful content, providing information about the decision, documentation of the process). It is estimated that costs for the one-time purchase of IT hardware will amount to EUR 2 000. It is also assumed that a one-time programming cost of one person month will be required. In addition, annual technical support and maintenance work is estimated at half a person month per year. This results in an estimate of (the percentage of information obligations included is estimated at 10 per cent):</w:t>
      </w:r>
    </w:p>
    <w:p w:rsidR="00B65155" w:rsidRPr="00CB1818" w:rsidRDefault="00B65155" w:rsidP="00382B89">
      <w:pPr>
        <w:pStyle w:val="AufzhlungStufe1"/>
      </w:pPr>
      <w:r>
        <w:t>3 (providers) x EUR 2 000 + 3 (providers) x 134 x 1 x EUR 58.80 = (rounded) EUR 30 000 one-time (of which information obligations: EUR 3 000),</w:t>
      </w:r>
    </w:p>
    <w:p w:rsidR="00B65155" w:rsidRPr="00CB1818" w:rsidRDefault="00B65155" w:rsidP="00382B89">
      <w:pPr>
        <w:pStyle w:val="AufzhlungStufe1"/>
      </w:pPr>
      <w:r>
        <w:t>3 (providers) x 134 x 0.5 x EUR 58.80 = (rounded) EUR 11 000 annually (of which information obligations: EUR 1 100).</w:t>
      </w:r>
    </w:p>
    <w:p w:rsidR="00B65155" w:rsidRPr="00CB1818" w:rsidRDefault="00B65155" w:rsidP="00B538B4">
      <w:pPr>
        <w:pStyle w:val="Text"/>
        <w:rPr>
          <w:rFonts w:eastAsia="Arial"/>
        </w:rPr>
      </w:pPr>
      <w:r>
        <w:t>The costs to the providers newly covered by § 3e(2) NetzDG serves to implement Article 28b AVMSD, so the costs result from a 1:1 implementation of the Directive.</w:t>
      </w:r>
    </w:p>
    <w:p w:rsidR="00B65155" w:rsidRPr="00CB1818" w:rsidRDefault="00B65155" w:rsidP="005B260B">
      <w:pPr>
        <w:pStyle w:val="Text"/>
        <w:keepNext/>
        <w:rPr>
          <w:rFonts w:eastAsia="Arial"/>
        </w:rPr>
      </w:pPr>
      <w:r>
        <w:t>ff) Review of additional complaints regarding unlawful content</w:t>
      </w:r>
    </w:p>
    <w:p w:rsidR="00B65155" w:rsidRPr="00CB1818" w:rsidRDefault="00B65155" w:rsidP="00B538B4">
      <w:pPr>
        <w:pStyle w:val="Text"/>
        <w:rPr>
          <w:rFonts w:eastAsia="Arial"/>
        </w:rPr>
      </w:pPr>
      <w:r>
        <w:t>In addition, there are costs for the review and further handing complaints about unlawful content. As stated, an additional complaint volume from the providers newly covered as per § 3e NetzDG is assumed to amount to 100 000 complaints about unlawful content per year.</w:t>
      </w:r>
    </w:p>
    <w:p w:rsidR="00B65155" w:rsidRPr="00CB1818" w:rsidRDefault="00B65155" w:rsidP="00B538B4">
      <w:pPr>
        <w:pStyle w:val="Text"/>
        <w:rPr>
          <w:rFonts w:eastAsia="Arial"/>
        </w:rPr>
      </w:pPr>
      <w:r>
        <w:t>For the further estimates, it has to be taken into account that, according to the transparency reports published to date as per § 2 NetzDG, complaints are dealt with quickly in most cases and rarely require further inquiries (from the complainant or user for whom the content is stored), let alone external assistance from lawyers. In addition, it has been found that reviewing is largely conducted in a staged manner. Obviously unfounded complaints are sorted out in an initial review. If no further breach of internal guidelines (community standards) is evident and the content can therefore not be removed from the provider's perspective (worldwide), better trained referees will have to be charged with the further review.</w:t>
      </w:r>
    </w:p>
    <w:p w:rsidR="00B65155" w:rsidRPr="00CB1818" w:rsidRDefault="00B65155" w:rsidP="00B538B4">
      <w:pPr>
        <w:pStyle w:val="Text"/>
        <w:rPr>
          <w:rFonts w:eastAsia="Arial"/>
        </w:rPr>
      </w:pPr>
      <w:r>
        <w:t>On this basis, a staged procedure can be adopted for the cost estimate. Since providers are already complaining about unlawful content at this time (for compatibility with the community standards, ‘1st  stage’ of a review), this results in additional testing costs, if the relevant review shows that the complaint is not obviously unfounded and that there is no violation of community standards. It is generously estimated that this is the case in 50 per cent of cases.</w:t>
      </w:r>
    </w:p>
    <w:p w:rsidR="00B65155" w:rsidRPr="00CB1818" w:rsidRDefault="00B65155" w:rsidP="00B538B4">
      <w:pPr>
        <w:pStyle w:val="Text"/>
        <w:rPr>
          <w:rFonts w:eastAsia="Arial"/>
        </w:rPr>
      </w:pPr>
      <w:r>
        <w:t>For the remaining 50 per cent of the cases (50 000 complaints), additional costs can arise in view of the above. As such, based on the distribution carried out (mostly fast processing times possible), it can be assumed that the remaining complaints can mostly be assessed with reasonable reviewing costs (‘2nd  stage’ of review: averaging 20 minutes) and that an in-depth review (‘3rd stage’ of review: averaging 60 minutes, high level of qualification) is only required in 10 per cent of cases.</w:t>
      </w:r>
    </w:p>
    <w:p w:rsidR="00B65155" w:rsidRPr="00CB1818" w:rsidRDefault="00B65155" w:rsidP="005B260B">
      <w:pPr>
        <w:pStyle w:val="Text"/>
        <w:keepNext/>
      </w:pPr>
      <w:r>
        <w:t>This results in the following estimate:</w:t>
      </w:r>
    </w:p>
    <w:tbl>
      <w:tblPr>
        <w:tblStyle w:val="Tabellenraster1"/>
        <w:tblW w:w="0" w:type="auto"/>
        <w:tblLook w:val="04A0" w:firstRow="1" w:lastRow="0" w:firstColumn="1" w:lastColumn="0" w:noHBand="0" w:noVBand="1"/>
      </w:tblPr>
      <w:tblGrid>
        <w:gridCol w:w="3004"/>
        <w:gridCol w:w="3001"/>
        <w:gridCol w:w="3000"/>
      </w:tblGrid>
      <w:tr w:rsidR="00B65155" w:rsidRPr="00CB1818" w:rsidTr="009E7D5E">
        <w:tc>
          <w:tcPr>
            <w:tcW w:w="3020" w:type="dxa"/>
          </w:tcPr>
          <w:p w:rsidR="00B65155" w:rsidRPr="00CB1818" w:rsidRDefault="00B65155" w:rsidP="005B260B">
            <w:pPr>
              <w:pStyle w:val="TabelleText"/>
              <w:keepNext/>
            </w:pPr>
            <w:r>
              <w:t>Stage of review</w:t>
            </w:r>
          </w:p>
        </w:tc>
        <w:tc>
          <w:tcPr>
            <w:tcW w:w="3020" w:type="dxa"/>
          </w:tcPr>
          <w:p w:rsidR="00B65155" w:rsidRPr="00CB1818" w:rsidRDefault="00B65155" w:rsidP="005B260B">
            <w:pPr>
              <w:pStyle w:val="TabelleText"/>
              <w:keepNext/>
            </w:pPr>
            <w:r>
              <w:t>2nd stage</w:t>
            </w:r>
          </w:p>
        </w:tc>
        <w:tc>
          <w:tcPr>
            <w:tcW w:w="3020" w:type="dxa"/>
          </w:tcPr>
          <w:p w:rsidR="00B65155" w:rsidRPr="00CB1818" w:rsidRDefault="00B65155" w:rsidP="005B260B">
            <w:pPr>
              <w:pStyle w:val="TabelleText"/>
              <w:keepNext/>
            </w:pPr>
            <w:r>
              <w:t>3rd stage</w:t>
            </w:r>
          </w:p>
        </w:tc>
      </w:tr>
      <w:tr w:rsidR="00B65155" w:rsidRPr="00CB1818" w:rsidTr="009E7D5E">
        <w:tc>
          <w:tcPr>
            <w:tcW w:w="3020" w:type="dxa"/>
          </w:tcPr>
          <w:p w:rsidR="00B65155" w:rsidRPr="00CB1818" w:rsidRDefault="00B65155" w:rsidP="009E7D5E">
            <w:pPr>
              <w:pStyle w:val="TabelleText"/>
            </w:pPr>
            <w:r>
              <w:t>Qualification level of the reviewers</w:t>
            </w:r>
          </w:p>
        </w:tc>
        <w:tc>
          <w:tcPr>
            <w:tcW w:w="3020" w:type="dxa"/>
          </w:tcPr>
          <w:p w:rsidR="00B65155" w:rsidRPr="00CB1818" w:rsidRDefault="00B65155" w:rsidP="009E7D5E">
            <w:pPr>
              <w:pStyle w:val="TabelleText"/>
            </w:pPr>
            <w:r>
              <w:t>moderate</w:t>
            </w:r>
          </w:p>
        </w:tc>
        <w:tc>
          <w:tcPr>
            <w:tcW w:w="3020" w:type="dxa"/>
          </w:tcPr>
          <w:p w:rsidR="00B65155" w:rsidRPr="00CB1818" w:rsidRDefault="00B65155" w:rsidP="009E7D5E">
            <w:pPr>
              <w:pStyle w:val="TabelleText"/>
            </w:pPr>
            <w:r>
              <w:t>high</w:t>
            </w:r>
          </w:p>
        </w:tc>
      </w:tr>
      <w:tr w:rsidR="00B65155" w:rsidRPr="00CB1818" w:rsidTr="009E7D5E">
        <w:tc>
          <w:tcPr>
            <w:tcW w:w="3020" w:type="dxa"/>
          </w:tcPr>
          <w:p w:rsidR="00B65155" w:rsidRPr="00CB1818" w:rsidRDefault="00B65155" w:rsidP="009E7D5E">
            <w:pPr>
              <w:pStyle w:val="TabelleText"/>
            </w:pPr>
            <w:r>
              <w:t>Absolute number of complaints</w:t>
            </w:r>
          </w:p>
        </w:tc>
        <w:tc>
          <w:tcPr>
            <w:tcW w:w="3020" w:type="dxa"/>
          </w:tcPr>
          <w:p w:rsidR="00B65155" w:rsidRPr="00CB1818" w:rsidRDefault="00B65155" w:rsidP="009E7D5E">
            <w:pPr>
              <w:pStyle w:val="TabelleText"/>
            </w:pPr>
            <w:r>
              <w:t>50 000</w:t>
            </w:r>
          </w:p>
        </w:tc>
        <w:tc>
          <w:tcPr>
            <w:tcW w:w="3020" w:type="dxa"/>
          </w:tcPr>
          <w:p w:rsidR="00B65155" w:rsidRPr="00CB1818" w:rsidRDefault="00B65155" w:rsidP="009E7D5E">
            <w:pPr>
              <w:pStyle w:val="TabelleText"/>
            </w:pPr>
            <w:r>
              <w:t>5 000</w:t>
            </w:r>
          </w:p>
        </w:tc>
      </w:tr>
      <w:tr w:rsidR="00B65155" w:rsidRPr="00CB1818" w:rsidTr="009E7D5E">
        <w:tc>
          <w:tcPr>
            <w:tcW w:w="3020" w:type="dxa"/>
          </w:tcPr>
          <w:p w:rsidR="00B65155" w:rsidRPr="00CB1818" w:rsidRDefault="00B65155" w:rsidP="009E7D5E">
            <w:pPr>
              <w:pStyle w:val="TabelleText"/>
            </w:pPr>
            <w:r>
              <w:lastRenderedPageBreak/>
              <w:t>Review and processing time per complaint in minutes</w:t>
            </w:r>
          </w:p>
        </w:tc>
        <w:tc>
          <w:tcPr>
            <w:tcW w:w="3020" w:type="dxa"/>
          </w:tcPr>
          <w:p w:rsidR="00B65155" w:rsidRPr="00CB1818" w:rsidRDefault="00B65155" w:rsidP="009E7D5E">
            <w:pPr>
              <w:pStyle w:val="TabelleText"/>
            </w:pPr>
            <w:r>
              <w:t>20</w:t>
            </w:r>
          </w:p>
        </w:tc>
        <w:tc>
          <w:tcPr>
            <w:tcW w:w="3020" w:type="dxa"/>
          </w:tcPr>
          <w:p w:rsidR="00B65155" w:rsidRPr="00CB1818" w:rsidRDefault="00B65155" w:rsidP="009E7D5E">
            <w:pPr>
              <w:pStyle w:val="TabelleText"/>
            </w:pPr>
            <w:r>
              <w:t>60</w:t>
            </w:r>
          </w:p>
        </w:tc>
      </w:tr>
      <w:tr w:rsidR="00B65155" w:rsidRPr="00CB1818" w:rsidTr="009E7D5E">
        <w:tc>
          <w:tcPr>
            <w:tcW w:w="3020" w:type="dxa"/>
          </w:tcPr>
          <w:p w:rsidR="00B65155" w:rsidRPr="00CB1818" w:rsidRDefault="00B65155" w:rsidP="009E7D5E">
            <w:pPr>
              <w:pStyle w:val="TabelleText"/>
            </w:pPr>
            <w:r>
              <w:t>Total minutes</w:t>
            </w:r>
          </w:p>
        </w:tc>
        <w:tc>
          <w:tcPr>
            <w:tcW w:w="3020" w:type="dxa"/>
          </w:tcPr>
          <w:p w:rsidR="00B65155" w:rsidRPr="00CB1818" w:rsidRDefault="00B65155" w:rsidP="009E7D5E">
            <w:pPr>
              <w:pStyle w:val="TabelleText"/>
            </w:pPr>
            <w:r>
              <w:t>1 000 000</w:t>
            </w:r>
          </w:p>
        </w:tc>
        <w:tc>
          <w:tcPr>
            <w:tcW w:w="3020" w:type="dxa"/>
          </w:tcPr>
          <w:p w:rsidR="00B65155" w:rsidRPr="00CB1818" w:rsidRDefault="00B65155" w:rsidP="009E7D5E">
            <w:pPr>
              <w:pStyle w:val="TabelleText"/>
            </w:pPr>
            <w:r>
              <w:t>300 000</w:t>
            </w:r>
          </w:p>
        </w:tc>
      </w:tr>
      <w:tr w:rsidR="00B65155" w:rsidRPr="00CB1818" w:rsidTr="009E7D5E">
        <w:tc>
          <w:tcPr>
            <w:tcW w:w="3020" w:type="dxa"/>
          </w:tcPr>
          <w:p w:rsidR="00B65155" w:rsidRPr="00CB1818" w:rsidRDefault="00B65155" w:rsidP="009E7D5E">
            <w:pPr>
              <w:pStyle w:val="TabelleText"/>
            </w:pPr>
            <w:r>
              <w:t>Hours</w:t>
            </w:r>
          </w:p>
        </w:tc>
        <w:tc>
          <w:tcPr>
            <w:tcW w:w="3020" w:type="dxa"/>
          </w:tcPr>
          <w:p w:rsidR="00B65155" w:rsidRPr="00CB1818" w:rsidRDefault="00B65155" w:rsidP="009E7D5E">
            <w:pPr>
              <w:pStyle w:val="TabelleText"/>
            </w:pPr>
            <w:r>
              <w:t>16 667</w:t>
            </w:r>
          </w:p>
        </w:tc>
        <w:tc>
          <w:tcPr>
            <w:tcW w:w="3020" w:type="dxa"/>
          </w:tcPr>
          <w:p w:rsidR="00B65155" w:rsidRPr="00CB1818" w:rsidRDefault="00B65155" w:rsidP="009E7D5E">
            <w:pPr>
              <w:pStyle w:val="TabelleText"/>
            </w:pPr>
            <w:r>
              <w:t>5 000</w:t>
            </w:r>
          </w:p>
        </w:tc>
      </w:tr>
      <w:tr w:rsidR="00B65155" w:rsidRPr="00CB1818" w:rsidTr="009E7D5E">
        <w:tc>
          <w:tcPr>
            <w:tcW w:w="3020" w:type="dxa"/>
          </w:tcPr>
          <w:p w:rsidR="00B65155" w:rsidRPr="00CB1818" w:rsidRDefault="00B65155" w:rsidP="009E7D5E">
            <w:pPr>
              <w:pStyle w:val="TabelleText"/>
            </w:pPr>
            <w:r>
              <w:t xml:space="preserve">Hourly rate according to Business Section ‘Administrative and support service activities’ </w:t>
            </w:r>
          </w:p>
        </w:tc>
        <w:tc>
          <w:tcPr>
            <w:tcW w:w="3020" w:type="dxa"/>
          </w:tcPr>
          <w:p w:rsidR="00B65155" w:rsidRPr="00CB1818" w:rsidRDefault="00B65155" w:rsidP="009E7D5E">
            <w:pPr>
              <w:pStyle w:val="TabelleText"/>
            </w:pPr>
            <w:r>
              <w:t>23.20</w:t>
            </w:r>
          </w:p>
        </w:tc>
        <w:tc>
          <w:tcPr>
            <w:tcW w:w="3020" w:type="dxa"/>
          </w:tcPr>
          <w:p w:rsidR="00B65155" w:rsidRPr="00CB1818" w:rsidRDefault="00B65155" w:rsidP="009E7D5E">
            <w:pPr>
              <w:pStyle w:val="TabelleText"/>
            </w:pPr>
            <w:r>
              <w:t>48.20</w:t>
            </w:r>
          </w:p>
        </w:tc>
      </w:tr>
      <w:tr w:rsidR="00B65155" w:rsidRPr="00CB1818" w:rsidTr="009E7D5E">
        <w:tc>
          <w:tcPr>
            <w:tcW w:w="3020" w:type="dxa"/>
          </w:tcPr>
          <w:p w:rsidR="00B65155" w:rsidRPr="00CB1818" w:rsidRDefault="00B65155" w:rsidP="009E7D5E">
            <w:pPr>
              <w:pStyle w:val="TabelleText"/>
            </w:pPr>
            <w:r>
              <w:t>Costs in EUR</w:t>
            </w:r>
          </w:p>
        </w:tc>
        <w:tc>
          <w:tcPr>
            <w:tcW w:w="3020" w:type="dxa"/>
          </w:tcPr>
          <w:p w:rsidR="00B65155" w:rsidRPr="00CB1818" w:rsidRDefault="00B65155" w:rsidP="009E7D5E">
            <w:pPr>
              <w:pStyle w:val="TabelleText"/>
            </w:pPr>
            <w:r>
              <w:t>386 667</w:t>
            </w:r>
          </w:p>
        </w:tc>
        <w:tc>
          <w:tcPr>
            <w:tcW w:w="3020" w:type="dxa"/>
          </w:tcPr>
          <w:p w:rsidR="00B65155" w:rsidRPr="00CB1818" w:rsidRDefault="00B65155" w:rsidP="009E7D5E">
            <w:pPr>
              <w:pStyle w:val="TabelleText"/>
            </w:pPr>
            <w:r>
              <w:t>241 000</w:t>
            </w:r>
          </w:p>
        </w:tc>
      </w:tr>
      <w:tr w:rsidR="00B65155" w:rsidRPr="00CB1818" w:rsidTr="009E7D5E">
        <w:tc>
          <w:tcPr>
            <w:tcW w:w="3020" w:type="dxa"/>
          </w:tcPr>
          <w:p w:rsidR="00B65155" w:rsidRPr="00CB1818" w:rsidRDefault="00B65155" w:rsidP="009E7D5E">
            <w:pPr>
              <w:pStyle w:val="TabelleText"/>
            </w:pPr>
            <w:r>
              <w:t>Total in EUR:</w:t>
            </w:r>
          </w:p>
        </w:tc>
        <w:tc>
          <w:tcPr>
            <w:tcW w:w="6040" w:type="dxa"/>
            <w:gridSpan w:val="2"/>
          </w:tcPr>
          <w:p w:rsidR="00B65155" w:rsidRPr="00CB1818" w:rsidRDefault="00B65155" w:rsidP="009E7D5E">
            <w:pPr>
              <w:pStyle w:val="TabelleText"/>
            </w:pPr>
            <w:r>
              <w:t>627 667</w:t>
            </w:r>
          </w:p>
        </w:tc>
      </w:tr>
    </w:tbl>
    <w:p w:rsidR="00B65155" w:rsidRPr="00CB1818" w:rsidRDefault="00B65155" w:rsidP="005B260B">
      <w:pPr>
        <w:pStyle w:val="Text"/>
        <w:keepNext/>
        <w:rPr>
          <w:rFonts w:eastAsia="Arial"/>
        </w:rPr>
      </w:pPr>
      <w:r>
        <w:t>The rounded running costs are estimated to be</w:t>
      </w:r>
    </w:p>
    <w:p w:rsidR="00B65155" w:rsidRPr="00CB1818" w:rsidRDefault="00B65155" w:rsidP="00382B89">
      <w:pPr>
        <w:pStyle w:val="AufzhlungStufe1"/>
      </w:pPr>
      <w:r>
        <w:t>EUR 630 000 annually.</w:t>
      </w:r>
    </w:p>
    <w:p w:rsidR="00B65155" w:rsidRPr="00CB1818" w:rsidRDefault="00B65155" w:rsidP="00B538B4">
      <w:pPr>
        <w:pStyle w:val="Text"/>
      </w:pPr>
      <w:r>
        <w:t>It is estimated that 10 per cent of the complaints taken into account will be allotted to the providers covered as per § 3e(2) for the purpose of 1:1 implementation of Article 28b AVMSD, so the above-mentioned amount of EUR 63 000 is attributable to the 1:1 implementation of the Directive.</w:t>
      </w:r>
    </w:p>
    <w:p w:rsidR="00B65155" w:rsidRPr="00CB1818" w:rsidRDefault="00B65155" w:rsidP="005B260B">
      <w:pPr>
        <w:pStyle w:val="Text"/>
        <w:keepNext/>
        <w:rPr>
          <w:rFonts w:eastAsia="Arial"/>
        </w:rPr>
      </w:pPr>
      <w:r>
        <w:t>gg) establishment of appeal procedure (§ 3b NetzDG)</w:t>
      </w:r>
    </w:p>
    <w:p w:rsidR="00B65155" w:rsidRPr="00CB1818" w:rsidRDefault="00B65155" w:rsidP="00B538B4">
      <w:pPr>
        <w:pStyle w:val="Text"/>
      </w:pPr>
      <w:r>
        <w:t>The new stipulation in the NetzDG on the appeal procedure is to be implemented by large social networks and by the video sharing platform services covered (§§ 1(2), 3e(2)(2) NetzDG). That is taking the above-mentioned estimates of six large and three small providers into account.</w:t>
      </w:r>
    </w:p>
    <w:p w:rsidR="00B65155" w:rsidRPr="00CB1818" w:rsidRDefault="00B65155" w:rsidP="00B538B4">
      <w:pPr>
        <w:pStyle w:val="Text"/>
      </w:pPr>
      <w:r>
        <w:t>When estimating compliance costs, it must be taken into account that many providers are already using certain, more or less formalised appeal mechanisms and that they will carry out a review of a deletion decision if there is an objection based on the contractual relationship with their users. The existing procedures to that effect are to be refined based on the requirements of the NetzDG.</w:t>
      </w:r>
    </w:p>
    <w:p w:rsidR="00B65155" w:rsidRPr="00CB1818" w:rsidRDefault="00B65155" w:rsidP="005B260B">
      <w:pPr>
        <w:pStyle w:val="Text"/>
        <w:keepNext/>
      </w:pPr>
      <w:r>
        <w:t>First of all, the providers have to set up an easily recognisable procedure that enables easy electronic contact for the purpose of appeal. It is estimated that the relevant contact options can be refined with relative ease (for example, contact options in the context of providing information on the removal of content). This assumes a programming cost of one person month for the large providers and half a person month for the small video sharing platform services. This results in the following estimate (in which the costs for the small providers as per § 3e(2) NetzDG are attributable to the 1:1 implementation of the AVMSD):</w:t>
      </w:r>
    </w:p>
    <w:p w:rsidR="00B65155" w:rsidRPr="00CB1818" w:rsidRDefault="00B65155" w:rsidP="00382B89">
      <w:pPr>
        <w:pStyle w:val="AufzhlungStufe1"/>
        <w:rPr>
          <w:rFonts w:eastAsia="Arial"/>
        </w:rPr>
      </w:pPr>
      <w:r>
        <w:t>6 (large providers) x 134 x 1 x EUR 58.80 + 3 (small providers) x 134 x 0.5 x EUR 58.80 = (rounded) EUR 51 000 one-time, in which EUR 4 000 are attributable to the 1:1 implementation of the AVMSD.</w:t>
      </w:r>
    </w:p>
    <w:p w:rsidR="00B65155" w:rsidRPr="00CB1818" w:rsidRDefault="00B65155" w:rsidP="005B260B">
      <w:pPr>
        <w:pStyle w:val="Text"/>
        <w:keepNext/>
      </w:pPr>
      <w:r>
        <w:t>hh) review of appeals (§ 3b NetzDG)</w:t>
      </w:r>
    </w:p>
    <w:p w:rsidR="00B65155" w:rsidRPr="00CB1818" w:rsidRDefault="00B65155" w:rsidP="006B53DD">
      <w:pPr>
        <w:pStyle w:val="Text"/>
      </w:pPr>
      <w:r>
        <w:t xml:space="preserve">Additional compliance costs arise because the providers have to review and handle the appeals as per § 3b(2) NetzDG. The estimation of the number of appeals is associated with uncertainties. However, it is assumed that there will be significantly fewer appeals than complaints about unlawful content. The following estimates assume that an appeal will take place in 10 per cent of the removals or blockings. These assumptions are based on indications of the appeal mechanisms that already exist today. In the Community Standards Enforcement Report, Facebook reports on the worldwide objections (‘appeals’) when making decisions on the compatibility of content with the prohibition of ‘hate speech’ in accordance with the community standards (https://transparency.facebook.com/community-standards-enforcement, accessed </w:t>
      </w:r>
      <w:r>
        <w:lastRenderedPageBreak/>
        <w:t>1 March 2020). There are reports of seven million items of content against which measures have been taken from July to September 2020. There was an objection in approximately 1.4 million cases. With regard to ‘violent and graphic content’, measures were taken against roughly 25 million items of content, but there were only around 600 000 objections.</w:t>
      </w:r>
    </w:p>
    <w:p w:rsidR="00B65155" w:rsidRPr="00CB1818" w:rsidRDefault="00B65155" w:rsidP="006B53DD">
      <w:pPr>
        <w:pStyle w:val="Text"/>
      </w:pPr>
      <w:r>
        <w:t>Taking into account the above-mentioned estimates (2 200 000 complaints per year so far, estimated growth of 100 000), a maximum of 230 000 appeals per year should therefore be assumed. Taking into account that appropriate appeal mechanisms already exist and that some cases may also be spam appeals (which already have to be processed and discarded), it is assumed that there will only be additional costs in half of the cases (115 000 appeals).</w:t>
      </w:r>
    </w:p>
    <w:p w:rsidR="00B65155" w:rsidRPr="00CB1818" w:rsidRDefault="00B65155" w:rsidP="005B260B">
      <w:pPr>
        <w:pStyle w:val="Text"/>
        <w:keepNext/>
      </w:pPr>
      <w:r>
        <w:t>Since these are all reviews in which a justified initial decision by the provider already exists, the scope of the review will be limited. It is also assumed here that the review can be completed with relatively moderate reviewing and processing costs in the majority of cases. It is estimated that 10 per cent of the remaining cases will require a more time-consuming assessment to ensure that they can be reviewed based on the standards of the NetzDG. This results in the following estimate:</w:t>
      </w:r>
    </w:p>
    <w:tbl>
      <w:tblPr>
        <w:tblStyle w:val="Tabellenraster1"/>
        <w:tblW w:w="0" w:type="auto"/>
        <w:tblLook w:val="04A0" w:firstRow="1" w:lastRow="0" w:firstColumn="1" w:lastColumn="0" w:noHBand="0" w:noVBand="1"/>
      </w:tblPr>
      <w:tblGrid>
        <w:gridCol w:w="3004"/>
        <w:gridCol w:w="3001"/>
        <w:gridCol w:w="3000"/>
      </w:tblGrid>
      <w:tr w:rsidR="00B65155" w:rsidRPr="00CB1818" w:rsidTr="009E7D5E">
        <w:tc>
          <w:tcPr>
            <w:tcW w:w="3020" w:type="dxa"/>
          </w:tcPr>
          <w:p w:rsidR="00B65155" w:rsidRPr="00CB1818" w:rsidRDefault="00B65155" w:rsidP="005B260B">
            <w:pPr>
              <w:pStyle w:val="TabelleText"/>
              <w:keepNext/>
            </w:pPr>
            <w:r>
              <w:t xml:space="preserve">Stage of review </w:t>
            </w:r>
          </w:p>
        </w:tc>
        <w:tc>
          <w:tcPr>
            <w:tcW w:w="3020" w:type="dxa"/>
          </w:tcPr>
          <w:p w:rsidR="00B65155" w:rsidRPr="00CB1818" w:rsidRDefault="00B65155" w:rsidP="005B260B">
            <w:pPr>
              <w:pStyle w:val="TabelleText"/>
              <w:keepNext/>
            </w:pPr>
            <w:r>
              <w:t>1st stage</w:t>
            </w:r>
          </w:p>
        </w:tc>
        <w:tc>
          <w:tcPr>
            <w:tcW w:w="3020" w:type="dxa"/>
          </w:tcPr>
          <w:p w:rsidR="00B65155" w:rsidRPr="00CB1818" w:rsidRDefault="00B65155" w:rsidP="005B260B">
            <w:pPr>
              <w:pStyle w:val="TabelleText"/>
              <w:keepNext/>
            </w:pPr>
            <w:r>
              <w:t>2nd stage</w:t>
            </w:r>
          </w:p>
        </w:tc>
      </w:tr>
      <w:tr w:rsidR="00B65155" w:rsidRPr="00CB1818" w:rsidTr="009E7D5E">
        <w:tc>
          <w:tcPr>
            <w:tcW w:w="3020" w:type="dxa"/>
          </w:tcPr>
          <w:p w:rsidR="00B65155" w:rsidRPr="00CB1818" w:rsidRDefault="00B65155" w:rsidP="009E7D5E">
            <w:pPr>
              <w:pStyle w:val="TabelleText"/>
            </w:pPr>
            <w:r>
              <w:t>Qualification level of the reviewers</w:t>
            </w:r>
          </w:p>
        </w:tc>
        <w:tc>
          <w:tcPr>
            <w:tcW w:w="3020" w:type="dxa"/>
          </w:tcPr>
          <w:p w:rsidR="00B65155" w:rsidRPr="00CB1818" w:rsidRDefault="00B65155" w:rsidP="009E7D5E">
            <w:pPr>
              <w:pStyle w:val="TabelleText"/>
            </w:pPr>
            <w:r>
              <w:t>moderate</w:t>
            </w:r>
          </w:p>
        </w:tc>
        <w:tc>
          <w:tcPr>
            <w:tcW w:w="3020" w:type="dxa"/>
          </w:tcPr>
          <w:p w:rsidR="00B65155" w:rsidRPr="00CB1818" w:rsidRDefault="00B65155" w:rsidP="009E7D5E">
            <w:pPr>
              <w:pStyle w:val="TabelleText"/>
            </w:pPr>
            <w:r>
              <w:t>high</w:t>
            </w:r>
          </w:p>
        </w:tc>
      </w:tr>
      <w:tr w:rsidR="00B65155" w:rsidRPr="00CB1818" w:rsidTr="009E7D5E">
        <w:tc>
          <w:tcPr>
            <w:tcW w:w="3020" w:type="dxa"/>
          </w:tcPr>
          <w:p w:rsidR="00B65155" w:rsidRPr="00CB1818" w:rsidRDefault="00B65155" w:rsidP="009E7D5E">
            <w:pPr>
              <w:pStyle w:val="TabelleText"/>
            </w:pPr>
            <w:r>
              <w:t>Absolute number of complaints</w:t>
            </w:r>
          </w:p>
        </w:tc>
        <w:tc>
          <w:tcPr>
            <w:tcW w:w="3020" w:type="dxa"/>
          </w:tcPr>
          <w:p w:rsidR="00B65155" w:rsidRPr="00CB1818" w:rsidRDefault="00B65155" w:rsidP="009E7D5E">
            <w:pPr>
              <w:pStyle w:val="TabelleText"/>
            </w:pPr>
            <w:r>
              <w:t>115 000</w:t>
            </w:r>
          </w:p>
        </w:tc>
        <w:tc>
          <w:tcPr>
            <w:tcW w:w="3020" w:type="dxa"/>
          </w:tcPr>
          <w:p w:rsidR="00B65155" w:rsidRPr="00CB1818" w:rsidRDefault="00B65155" w:rsidP="009E7D5E">
            <w:pPr>
              <w:pStyle w:val="TabelleText"/>
            </w:pPr>
            <w:r>
              <w:t>11 500</w:t>
            </w:r>
          </w:p>
        </w:tc>
      </w:tr>
      <w:tr w:rsidR="00B65155" w:rsidRPr="00CB1818" w:rsidTr="009E7D5E">
        <w:tc>
          <w:tcPr>
            <w:tcW w:w="3020" w:type="dxa"/>
          </w:tcPr>
          <w:p w:rsidR="00B65155" w:rsidRPr="00CB1818" w:rsidRDefault="00B65155" w:rsidP="009E7D5E">
            <w:pPr>
              <w:pStyle w:val="TabelleText"/>
            </w:pPr>
            <w:r>
              <w:t>Review and processing time per complaint in minutes</w:t>
            </w:r>
          </w:p>
        </w:tc>
        <w:tc>
          <w:tcPr>
            <w:tcW w:w="3020" w:type="dxa"/>
          </w:tcPr>
          <w:p w:rsidR="00B65155" w:rsidRPr="00CB1818" w:rsidRDefault="00B65155" w:rsidP="009E7D5E">
            <w:pPr>
              <w:pStyle w:val="TabelleText"/>
            </w:pPr>
            <w:r>
              <w:t>20</w:t>
            </w:r>
          </w:p>
        </w:tc>
        <w:tc>
          <w:tcPr>
            <w:tcW w:w="3020" w:type="dxa"/>
          </w:tcPr>
          <w:p w:rsidR="00B65155" w:rsidRPr="00CB1818" w:rsidRDefault="00B65155" w:rsidP="009E7D5E">
            <w:pPr>
              <w:pStyle w:val="TabelleText"/>
            </w:pPr>
            <w:r>
              <w:t>60</w:t>
            </w:r>
          </w:p>
        </w:tc>
      </w:tr>
      <w:tr w:rsidR="00B65155" w:rsidRPr="00CB1818" w:rsidTr="009E7D5E">
        <w:tc>
          <w:tcPr>
            <w:tcW w:w="3020" w:type="dxa"/>
          </w:tcPr>
          <w:p w:rsidR="00B65155" w:rsidRPr="00CB1818" w:rsidRDefault="0003628B" w:rsidP="009E7D5E">
            <w:pPr>
              <w:pStyle w:val="TabelleText"/>
            </w:pPr>
            <w:r>
              <w:t>Total in minutes</w:t>
            </w:r>
          </w:p>
        </w:tc>
        <w:tc>
          <w:tcPr>
            <w:tcW w:w="3020" w:type="dxa"/>
          </w:tcPr>
          <w:p w:rsidR="00B65155" w:rsidRPr="00CB1818" w:rsidRDefault="00B65155" w:rsidP="009E7D5E">
            <w:pPr>
              <w:pStyle w:val="TabelleText"/>
            </w:pPr>
            <w:r>
              <w:t>2 300 000</w:t>
            </w:r>
          </w:p>
        </w:tc>
        <w:tc>
          <w:tcPr>
            <w:tcW w:w="3020" w:type="dxa"/>
          </w:tcPr>
          <w:p w:rsidR="00B65155" w:rsidRPr="00CB1818" w:rsidRDefault="00B65155" w:rsidP="009E7D5E">
            <w:pPr>
              <w:pStyle w:val="TabelleText"/>
            </w:pPr>
            <w:r>
              <w:t>690 000</w:t>
            </w:r>
          </w:p>
        </w:tc>
      </w:tr>
      <w:tr w:rsidR="00B65155" w:rsidRPr="00CB1818" w:rsidTr="009E7D5E">
        <w:tc>
          <w:tcPr>
            <w:tcW w:w="3020" w:type="dxa"/>
          </w:tcPr>
          <w:p w:rsidR="00B65155" w:rsidRPr="00CB1818" w:rsidRDefault="0003628B" w:rsidP="009E7D5E">
            <w:pPr>
              <w:pStyle w:val="TabelleText"/>
            </w:pPr>
            <w:r>
              <w:t>Total in hours</w:t>
            </w:r>
          </w:p>
        </w:tc>
        <w:tc>
          <w:tcPr>
            <w:tcW w:w="3020" w:type="dxa"/>
          </w:tcPr>
          <w:p w:rsidR="00B65155" w:rsidRPr="00CB1818" w:rsidRDefault="00B65155" w:rsidP="009E7D5E">
            <w:pPr>
              <w:pStyle w:val="TabelleText"/>
            </w:pPr>
            <w:r>
              <w:t>38 333</w:t>
            </w:r>
          </w:p>
        </w:tc>
        <w:tc>
          <w:tcPr>
            <w:tcW w:w="3020" w:type="dxa"/>
          </w:tcPr>
          <w:p w:rsidR="00B65155" w:rsidRPr="00CB1818" w:rsidRDefault="00B65155" w:rsidP="009E7D5E">
            <w:pPr>
              <w:pStyle w:val="TabelleText"/>
            </w:pPr>
            <w:r>
              <w:t>11 500</w:t>
            </w:r>
          </w:p>
        </w:tc>
      </w:tr>
      <w:tr w:rsidR="00B65155" w:rsidRPr="00CB1818" w:rsidTr="009E7D5E">
        <w:tc>
          <w:tcPr>
            <w:tcW w:w="3020" w:type="dxa"/>
          </w:tcPr>
          <w:p w:rsidR="00B65155" w:rsidRPr="00CB1818" w:rsidRDefault="00B65155" w:rsidP="009E7D5E">
            <w:pPr>
              <w:pStyle w:val="TabelleText"/>
            </w:pPr>
            <w:r>
              <w:t>Hourly rate according to Business Section ‘Administrative and support service activities’ in EUR</w:t>
            </w:r>
          </w:p>
        </w:tc>
        <w:tc>
          <w:tcPr>
            <w:tcW w:w="3020" w:type="dxa"/>
          </w:tcPr>
          <w:p w:rsidR="00B65155" w:rsidRPr="00CB1818" w:rsidRDefault="00B65155" w:rsidP="009E7D5E">
            <w:pPr>
              <w:pStyle w:val="TabelleText"/>
            </w:pPr>
            <w:r>
              <w:t>23.20</w:t>
            </w:r>
          </w:p>
        </w:tc>
        <w:tc>
          <w:tcPr>
            <w:tcW w:w="3020" w:type="dxa"/>
          </w:tcPr>
          <w:p w:rsidR="00B65155" w:rsidRPr="00CB1818" w:rsidRDefault="00B65155" w:rsidP="009E7D5E">
            <w:pPr>
              <w:pStyle w:val="TabelleText"/>
            </w:pPr>
            <w:r>
              <w:t>48.20</w:t>
            </w:r>
          </w:p>
        </w:tc>
      </w:tr>
      <w:tr w:rsidR="00B65155" w:rsidRPr="00CB1818" w:rsidTr="009E7D5E">
        <w:tc>
          <w:tcPr>
            <w:tcW w:w="3020" w:type="dxa"/>
          </w:tcPr>
          <w:p w:rsidR="00B65155" w:rsidRPr="00CB1818" w:rsidRDefault="00B65155" w:rsidP="009E7D5E">
            <w:pPr>
              <w:pStyle w:val="TabelleText"/>
            </w:pPr>
            <w:r>
              <w:t>Costs in EUR</w:t>
            </w:r>
          </w:p>
        </w:tc>
        <w:tc>
          <w:tcPr>
            <w:tcW w:w="3020" w:type="dxa"/>
          </w:tcPr>
          <w:p w:rsidR="00B65155" w:rsidRPr="00CB1818" w:rsidRDefault="00B65155" w:rsidP="009E7D5E">
            <w:pPr>
              <w:pStyle w:val="TabelleText"/>
            </w:pPr>
            <w:r>
              <w:t>889 333</w:t>
            </w:r>
          </w:p>
        </w:tc>
        <w:tc>
          <w:tcPr>
            <w:tcW w:w="3020" w:type="dxa"/>
          </w:tcPr>
          <w:p w:rsidR="00B65155" w:rsidRPr="00CB1818" w:rsidRDefault="00B65155" w:rsidP="009E7D5E">
            <w:pPr>
              <w:pStyle w:val="TabelleText"/>
            </w:pPr>
            <w:r>
              <w:t>554 300</w:t>
            </w:r>
          </w:p>
        </w:tc>
      </w:tr>
      <w:tr w:rsidR="00B65155" w:rsidRPr="00CB1818" w:rsidTr="009E7D5E">
        <w:tc>
          <w:tcPr>
            <w:tcW w:w="3020" w:type="dxa"/>
          </w:tcPr>
          <w:p w:rsidR="00B65155" w:rsidRPr="00CB1818" w:rsidRDefault="00B65155" w:rsidP="009E7D5E">
            <w:pPr>
              <w:pStyle w:val="TabelleText"/>
            </w:pPr>
            <w:r>
              <w:t>Total in EUR</w:t>
            </w:r>
          </w:p>
        </w:tc>
        <w:tc>
          <w:tcPr>
            <w:tcW w:w="6040" w:type="dxa"/>
            <w:gridSpan w:val="2"/>
          </w:tcPr>
          <w:p w:rsidR="00B65155" w:rsidRPr="00CB1818" w:rsidRDefault="00B65155" w:rsidP="009E7D5E">
            <w:pPr>
              <w:pStyle w:val="TabelleText"/>
            </w:pPr>
            <w:r>
              <w:t>1 443 633</w:t>
            </w:r>
          </w:p>
        </w:tc>
      </w:tr>
    </w:tbl>
    <w:p w:rsidR="00B65155" w:rsidRPr="00CB1818" w:rsidRDefault="00B65155" w:rsidP="005B260B">
      <w:pPr>
        <w:pStyle w:val="Text"/>
        <w:keepNext/>
      </w:pPr>
      <w:r>
        <w:t>The running costs are estimated to be (rounded)</w:t>
      </w:r>
    </w:p>
    <w:p w:rsidR="00B65155" w:rsidRPr="00CB1818" w:rsidRDefault="00B65155" w:rsidP="00382B89">
      <w:pPr>
        <w:pStyle w:val="AufzhlungStufe1"/>
      </w:pPr>
      <w:r>
        <w:t>EUR 1 440 000 annually.</w:t>
      </w:r>
    </w:p>
    <w:p w:rsidR="00B65155" w:rsidRPr="00CB1818" w:rsidRDefault="00B65155" w:rsidP="00742A0F">
      <w:pPr>
        <w:pStyle w:val="Text"/>
      </w:pPr>
      <w:r>
        <w:t>It is estimated that one per cent of the appeals taken into account will be allotted to the providers covered as per § 3e(2) for the purpose of 1:1 implementation of Article 28b AVMSD, so the above-mentioned amount of EUR 14 400 is attributable to the 1:1 implementation of the Directive.</w:t>
      </w:r>
    </w:p>
    <w:p w:rsidR="00B65155" w:rsidRPr="00CB1818" w:rsidRDefault="00B65155" w:rsidP="00742A0F">
      <w:pPr>
        <w:pStyle w:val="Text"/>
      </w:pPr>
      <w:r>
        <w:t>ii) implementation of contractual agreements by video sharing platform services (§ 3e(4) NetzDG)</w:t>
      </w:r>
    </w:p>
    <w:p w:rsidR="00B65155" w:rsidRPr="00CB1818" w:rsidRDefault="00B65155" w:rsidP="005B260B">
      <w:pPr>
        <w:pStyle w:val="Text"/>
        <w:keepNext/>
      </w:pPr>
      <w:r>
        <w:t>The updating of the contractual terms required by § 3e(4) NetzDG requires a minor one-time cost, which is estimated at 80 employee hours (high qualification level, hourly rate according to Business Section ‘Administrative and support service activities’). Assuming five affected providers (one social network provider, which will also be covered as a video sharing platform service in the future, four newly covered video sharing platform services), this results in an expense of:</w:t>
      </w:r>
    </w:p>
    <w:p w:rsidR="00B65155" w:rsidRPr="00CB1818" w:rsidRDefault="00B65155" w:rsidP="00382B89">
      <w:pPr>
        <w:pStyle w:val="AufzhlungStufe1"/>
      </w:pPr>
      <w:r>
        <w:t>EUR 48.20 x 80 x 5 = (rounded) EUR 19 000 on a one-time basis.</w:t>
      </w:r>
    </w:p>
    <w:p w:rsidR="00B65155" w:rsidRPr="00CB1818" w:rsidRDefault="00B65155" w:rsidP="00742A0F">
      <w:pPr>
        <w:pStyle w:val="Text"/>
        <w:rPr>
          <w:highlight w:val="green"/>
        </w:rPr>
      </w:pPr>
      <w:r>
        <w:lastRenderedPageBreak/>
        <w:t>Of the five providers taken into account, an estimated three fall under § 3e(2) NetzDG, the costs of which can be attributed to the 1:1 implementation of Article 28b AVMSD (3/5 x 19 000 = EUR 11 400).</w:t>
      </w:r>
    </w:p>
    <w:p w:rsidR="00B65155" w:rsidRPr="00CB1818" w:rsidRDefault="00B65155" w:rsidP="005B260B">
      <w:pPr>
        <w:pStyle w:val="Text"/>
        <w:keepNext/>
      </w:pPr>
      <w:r>
        <w:t>jj) requests for information by the supervisory authority (§ 4a(3) NetzDG)</w:t>
      </w:r>
    </w:p>
    <w:p w:rsidR="00B65155" w:rsidRPr="00CB1818" w:rsidRDefault="00B65155" w:rsidP="005B260B">
      <w:pPr>
        <w:pStyle w:val="Text"/>
        <w:keepNext/>
      </w:pPr>
      <w:r>
        <w:t>On the basis of § 4a(3) NetzDG, requests for information from the competent authority under § 4 NetzDG will be made in the future, which must be fulfilled by the providers. It is assumed that an average of 15 procedures to this effect will be carried out each year. It is estimated that responding to the requests for information will require an average of 20 employee hours (high level of qualification, hourly rate according to Business Section ‘Administrative and support service activities’). This results in costs of:</w:t>
      </w:r>
    </w:p>
    <w:p w:rsidR="00F87D01" w:rsidRPr="00CB1818" w:rsidRDefault="00B65155" w:rsidP="00382B89">
      <w:pPr>
        <w:pStyle w:val="AufzhlungStufe1"/>
      </w:pPr>
      <w:r>
        <w:t>EUR 48.20 x 15 x 20 = (rounded) EUR 14 000 annually (of which information obligations: EUR 14 000 annually).</w:t>
      </w:r>
    </w:p>
    <w:p w:rsidR="00B65155" w:rsidRPr="00CB1818" w:rsidRDefault="00B65155" w:rsidP="00742A0F">
      <w:pPr>
        <w:pStyle w:val="Text"/>
      </w:pPr>
      <w:r>
        <w:t>It is estimated that a request for information will affect a provider falling under § 3e(2) NetzDG such that a rounded amount of EUR 1 000 can be assumed for the 1:1 implementation of Article 28b AVMSD.</w:t>
      </w:r>
    </w:p>
    <w:p w:rsidR="00B65155" w:rsidRPr="00CB1818" w:rsidRDefault="00B65155" w:rsidP="005B260B">
      <w:pPr>
        <w:pStyle w:val="Text"/>
        <w:keepNext/>
      </w:pPr>
      <w:r>
        <w:t>kk) Other process agents and authorised recipients (§ 5 NetzDG)</w:t>
      </w:r>
    </w:p>
    <w:p w:rsidR="00B65155" w:rsidRPr="00CB1818" w:rsidRDefault="00B65155" w:rsidP="00742A0F">
      <w:pPr>
        <w:pStyle w:val="Text"/>
      </w:pPr>
      <w:r>
        <w:t>The additions to the wording of § 5 NetzDG lead to only negligible additional costs for the social network providers already included in the NetzDG. The addition to § 5(1) NetzDG is a clarification of the previous legal situation. The central one-off designation of the (already named) authorised recipients towards the Federal Office of Justice only requires negligible compliance costs.</w:t>
      </w:r>
    </w:p>
    <w:p w:rsidR="00B65155" w:rsidRPr="00CB1818" w:rsidRDefault="00B65155" w:rsidP="005B260B">
      <w:pPr>
        <w:pStyle w:val="Text"/>
        <w:keepNext/>
      </w:pPr>
      <w:r>
        <w:t>Additional costs arise because foreign video sharing platform service providers have to initially appoint their domestic contact persons as per § 5 NetzDG. An estimated total of 100 additional deliveries and requests for information each year and a resulting (additional) costs averaging 20 employee hours each (high level of qualification, hourly rate according to the Business Section ‘Administrative and support service activities’) results in the following costs (when estimated that half of the costs is attributed to official information requests which must be taken into account in this regard as per § 5(2) NetzDG):</w:t>
      </w:r>
    </w:p>
    <w:p w:rsidR="00B65155" w:rsidRPr="00CB1818" w:rsidRDefault="00B65155" w:rsidP="00382B89">
      <w:pPr>
        <w:pStyle w:val="AufzhlungStufe1"/>
        <w:rPr>
          <w:rFonts w:eastAsia="Arial"/>
        </w:rPr>
      </w:pPr>
      <w:r>
        <w:t>EUR 48.20 x 100 x 10 = (rounded) EUR 48 000 annually (of which information obligations: EUR 24 000).</w:t>
      </w:r>
    </w:p>
    <w:p w:rsidR="00B65155" w:rsidRPr="00CB1818" w:rsidRDefault="00B65155" w:rsidP="005B260B">
      <w:pPr>
        <w:pStyle w:val="Text"/>
        <w:keepNext/>
      </w:pPr>
      <w:r>
        <w:t>ll) increased disclosures of information on the basis of § 14(3) TMG</w:t>
      </w:r>
    </w:p>
    <w:p w:rsidR="00B65155" w:rsidRPr="00CB1818" w:rsidRDefault="00B65155" w:rsidP="005B260B">
      <w:pPr>
        <w:pStyle w:val="Text"/>
        <w:keepNext/>
      </w:pPr>
      <w:r>
        <w:t>The addition to § 14(3) TMG leads to additional costs because it can be assumed that the telemedia service providers covered will have to provide information to parties concerned more often than before. However, costs are only minimal, since the costs of the judicial process are not to be borne by the provider (§ 14(4)(6) TMG). It should be taken into account that the additional costs of the providers is then limited to disclosing information at the behest of a court order in individual cases, which means that no more content review decisions need to be made. It is expected that 500 additional information disclosures will be made annually. The estimated number is associated with uncertainties, since the exact number of procedures previously carried out on the basis of § 14(3) TMG is not known. From the published court decisions on § 14(3) TMG, however, it follows that the provision will be used to a significant extent. It is also assumed that the additional information disclosures will require an average of one employee hour (medium level of qualification, hourly rate according to Business Section ‘Administrative and support service activities’). This results in additional costs of:</w:t>
      </w:r>
    </w:p>
    <w:p w:rsidR="00B65155" w:rsidRPr="00CB1818" w:rsidRDefault="00B65155" w:rsidP="00382B89">
      <w:pPr>
        <w:pStyle w:val="AufzhlungStufe1"/>
        <w:rPr>
          <w:rFonts w:eastAsia="Arial"/>
          <w:b/>
        </w:rPr>
      </w:pPr>
      <w:r>
        <w:t>EUR 23.20 x 500 x 1 = (rounded) EUR 12 000 annually.</w:t>
      </w:r>
    </w:p>
    <w:p w:rsidR="00B65155" w:rsidRPr="00CB1818" w:rsidRDefault="00B65155" w:rsidP="005B260B">
      <w:pPr>
        <w:pStyle w:val="Text"/>
        <w:keepNext/>
        <w:rPr>
          <w:b/>
        </w:rPr>
      </w:pPr>
      <w:r>
        <w:rPr>
          <w:b/>
        </w:rPr>
        <w:lastRenderedPageBreak/>
        <w:t>Of which bureaucratic costs arising from obligations to provide information:</w:t>
      </w:r>
    </w:p>
    <w:p w:rsidR="00B65155" w:rsidRPr="00CB1818" w:rsidRDefault="00B65155" w:rsidP="005B260B">
      <w:pPr>
        <w:pStyle w:val="Text"/>
        <w:keepNext/>
      </w:pPr>
      <w:r>
        <w:t>The total compliance costs of the information obligations are estimated at:</w:t>
      </w:r>
    </w:p>
    <w:p w:rsidR="00B65155" w:rsidRPr="00CB1818" w:rsidRDefault="00B65155" w:rsidP="00382B89">
      <w:pPr>
        <w:pStyle w:val="AufzhlungStufe1"/>
      </w:pPr>
      <w:r>
        <w:t>EUR 135 700 one-time.</w:t>
      </w:r>
    </w:p>
    <w:p w:rsidR="0003628B" w:rsidRPr="00CB1818" w:rsidRDefault="00B65155" w:rsidP="00382B89">
      <w:pPr>
        <w:pStyle w:val="AufzhlungStufe1"/>
      </w:pPr>
      <w:r>
        <w:t>EUR 134 300 annually.</w:t>
      </w:r>
    </w:p>
    <w:p w:rsidR="00F87D01" w:rsidRPr="00CB1818" w:rsidRDefault="004F1EF9" w:rsidP="005B260B">
      <w:pPr>
        <w:pStyle w:val="Text"/>
        <w:keepNext/>
      </w:pPr>
      <w:r>
        <w:t>c) Compliance costs for administration</w:t>
      </w:r>
    </w:p>
    <w:p w:rsidR="000C6C89" w:rsidRPr="00CB1818" w:rsidRDefault="000C6C89" w:rsidP="005B260B">
      <w:pPr>
        <w:pStyle w:val="Text"/>
        <w:keepNext/>
      </w:pPr>
      <w:r>
        <w:t>The Draft will result in compliance costs for the Federal Government for the fulfilment of the associated new tasks. However, the additional costs caused by the Draft are offset by savings effects in the previous fulfilment of tasks by the Federal Office of Justice in the field of the NetzDG:</w:t>
      </w:r>
    </w:p>
    <w:tbl>
      <w:tblPr>
        <w:tblStyle w:val="Tabellenraster2"/>
        <w:tblW w:w="0" w:type="auto"/>
        <w:tblInd w:w="5" w:type="dxa"/>
        <w:tblLook w:val="04A0" w:firstRow="1" w:lastRow="0" w:firstColumn="1" w:lastColumn="0" w:noHBand="0" w:noVBand="1"/>
      </w:tblPr>
      <w:tblGrid>
        <w:gridCol w:w="2639"/>
        <w:gridCol w:w="2171"/>
        <w:gridCol w:w="1872"/>
        <w:gridCol w:w="2092"/>
      </w:tblGrid>
      <w:tr w:rsidR="000C6C89" w:rsidRPr="00CB1818" w:rsidTr="00D32D29">
        <w:tc>
          <w:tcPr>
            <w:tcW w:w="2639" w:type="dxa"/>
            <w:hideMark/>
          </w:tcPr>
          <w:p w:rsidR="000C6C89" w:rsidRPr="00CB1818" w:rsidRDefault="000C6C89" w:rsidP="005B260B">
            <w:pPr>
              <w:pStyle w:val="TabelleText"/>
              <w:keepNext/>
            </w:pPr>
            <w:r>
              <w:t>Function and service</w:t>
            </w:r>
          </w:p>
        </w:tc>
        <w:tc>
          <w:tcPr>
            <w:tcW w:w="2171" w:type="dxa"/>
            <w:hideMark/>
          </w:tcPr>
          <w:p w:rsidR="000C6C89" w:rsidRPr="00CB1818" w:rsidRDefault="000C6C89" w:rsidP="005B260B">
            <w:pPr>
              <w:pStyle w:val="TabelleText"/>
              <w:keepNext/>
            </w:pPr>
            <w:r>
              <w:t>Total processing time (hours)</w:t>
            </w:r>
          </w:p>
        </w:tc>
        <w:tc>
          <w:tcPr>
            <w:tcW w:w="1872" w:type="dxa"/>
            <w:hideMark/>
          </w:tcPr>
          <w:p w:rsidR="000C6C89" w:rsidRPr="00CB1818" w:rsidRDefault="000C6C89" w:rsidP="005B260B">
            <w:pPr>
              <w:pStyle w:val="TabelleText"/>
              <w:keepNext/>
            </w:pPr>
            <w:r>
              <w:t>Hourly labour costs (EUR)</w:t>
            </w:r>
          </w:p>
        </w:tc>
        <w:tc>
          <w:tcPr>
            <w:tcW w:w="2092" w:type="dxa"/>
            <w:hideMark/>
          </w:tcPr>
          <w:p w:rsidR="000C6C89" w:rsidRPr="00CB1818" w:rsidRDefault="000C6C89" w:rsidP="005B260B">
            <w:pPr>
              <w:pStyle w:val="TabelleText"/>
              <w:keepNext/>
            </w:pPr>
            <w:r>
              <w:t>Compliance costs (EUR)</w:t>
            </w:r>
          </w:p>
        </w:tc>
      </w:tr>
      <w:tr w:rsidR="000C6C89" w:rsidRPr="00CB1818" w:rsidTr="00D32D29">
        <w:tc>
          <w:tcPr>
            <w:tcW w:w="2639" w:type="dxa"/>
            <w:noWrap/>
          </w:tcPr>
          <w:p w:rsidR="000C6C89" w:rsidRPr="00CB1818" w:rsidRDefault="000C6C89" w:rsidP="005B260B">
            <w:pPr>
              <w:pStyle w:val="TabelleText"/>
              <w:keepNext/>
            </w:pPr>
            <w:r>
              <w:rPr>
                <w:u w:val="single"/>
              </w:rPr>
              <w:t>Additional costs for FOJ:</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pPr>
          </w:p>
        </w:tc>
      </w:tr>
      <w:tr w:rsidR="000C6C89" w:rsidRPr="00CB1818" w:rsidTr="00D32D29">
        <w:tc>
          <w:tcPr>
            <w:tcW w:w="2639" w:type="dxa"/>
            <w:noWrap/>
            <w:hideMark/>
          </w:tcPr>
          <w:p w:rsidR="000C6C89" w:rsidRPr="00CB1818" w:rsidRDefault="000C6C89" w:rsidP="009E7D5E">
            <w:pPr>
              <w:pStyle w:val="TabelleText"/>
            </w:pPr>
            <w:r>
              <w:t>Professional grade service</w:t>
            </w:r>
          </w:p>
        </w:tc>
        <w:tc>
          <w:tcPr>
            <w:tcW w:w="2171" w:type="dxa"/>
            <w:noWrap/>
            <w:hideMark/>
          </w:tcPr>
          <w:p w:rsidR="000C6C89" w:rsidRPr="00CB1818" w:rsidRDefault="000C6C89" w:rsidP="009E7D5E">
            <w:pPr>
              <w:pStyle w:val="TabelleText"/>
            </w:pPr>
            <w:r>
              <w:t xml:space="preserve">11 304.86 </w:t>
            </w:r>
          </w:p>
        </w:tc>
        <w:tc>
          <w:tcPr>
            <w:tcW w:w="1872" w:type="dxa"/>
            <w:noWrap/>
            <w:hideMark/>
          </w:tcPr>
          <w:p w:rsidR="000C6C89" w:rsidRPr="00CB1818" w:rsidRDefault="000C6C89" w:rsidP="009E7D5E">
            <w:pPr>
              <w:pStyle w:val="TabelleText"/>
            </w:pPr>
            <w:r>
              <w:t>65.4</w:t>
            </w:r>
          </w:p>
        </w:tc>
        <w:tc>
          <w:tcPr>
            <w:tcW w:w="2092" w:type="dxa"/>
            <w:noWrap/>
            <w:hideMark/>
          </w:tcPr>
          <w:p w:rsidR="000C6C89" w:rsidRPr="00CB1818" w:rsidRDefault="000C6C89" w:rsidP="009E7D5E">
            <w:pPr>
              <w:pStyle w:val="TabelleText"/>
            </w:pPr>
            <w:r>
              <w:t>739 337.58</w:t>
            </w:r>
          </w:p>
        </w:tc>
      </w:tr>
      <w:tr w:rsidR="000C6C89" w:rsidRPr="00CB1818" w:rsidTr="00D32D29">
        <w:tc>
          <w:tcPr>
            <w:tcW w:w="2639" w:type="dxa"/>
            <w:noWrap/>
            <w:hideMark/>
          </w:tcPr>
          <w:p w:rsidR="000C6C89" w:rsidRPr="00CB1818" w:rsidRDefault="000C6C89" w:rsidP="009E7D5E">
            <w:pPr>
              <w:pStyle w:val="TabelleText"/>
            </w:pPr>
            <w:r>
              <w:t>Executive grade service</w:t>
            </w:r>
          </w:p>
        </w:tc>
        <w:tc>
          <w:tcPr>
            <w:tcW w:w="2171" w:type="dxa"/>
            <w:noWrap/>
            <w:hideMark/>
          </w:tcPr>
          <w:p w:rsidR="000C6C89" w:rsidRPr="00CB1818" w:rsidRDefault="000C6C89" w:rsidP="009E7D5E">
            <w:pPr>
              <w:pStyle w:val="TabelleText"/>
            </w:pPr>
            <w:r>
              <w:t>9 642.48</w:t>
            </w:r>
          </w:p>
        </w:tc>
        <w:tc>
          <w:tcPr>
            <w:tcW w:w="1872" w:type="dxa"/>
            <w:noWrap/>
            <w:hideMark/>
          </w:tcPr>
          <w:p w:rsidR="000C6C89" w:rsidRPr="00CB1818" w:rsidRDefault="000C6C89" w:rsidP="009E7D5E">
            <w:pPr>
              <w:pStyle w:val="TabelleText"/>
            </w:pPr>
            <w:r>
              <w:t>43.4</w:t>
            </w:r>
          </w:p>
        </w:tc>
        <w:tc>
          <w:tcPr>
            <w:tcW w:w="2092" w:type="dxa"/>
            <w:noWrap/>
            <w:hideMark/>
          </w:tcPr>
          <w:p w:rsidR="000C6C89" w:rsidRPr="00CB1818" w:rsidRDefault="000C6C89" w:rsidP="009E7D5E">
            <w:pPr>
              <w:pStyle w:val="TabelleText"/>
            </w:pPr>
            <w:r>
              <w:t xml:space="preserve">418 483.78 </w:t>
            </w:r>
          </w:p>
        </w:tc>
      </w:tr>
      <w:tr w:rsidR="000C6C89" w:rsidRPr="00CB1818" w:rsidTr="00D32D29">
        <w:tc>
          <w:tcPr>
            <w:tcW w:w="2639" w:type="dxa"/>
            <w:noWrap/>
            <w:hideMark/>
          </w:tcPr>
          <w:p w:rsidR="000C6C89" w:rsidRPr="00CB1818" w:rsidRDefault="000C6C89" w:rsidP="009E7D5E">
            <w:pPr>
              <w:pStyle w:val="TabelleText"/>
            </w:pPr>
            <w:r>
              <w:t>Mid-level service</w:t>
            </w:r>
          </w:p>
        </w:tc>
        <w:tc>
          <w:tcPr>
            <w:tcW w:w="2171" w:type="dxa"/>
            <w:noWrap/>
            <w:hideMark/>
          </w:tcPr>
          <w:p w:rsidR="000C6C89" w:rsidRPr="00CB1818" w:rsidRDefault="000C6C89" w:rsidP="009E7D5E">
            <w:pPr>
              <w:pStyle w:val="TabelleText"/>
            </w:pPr>
            <w:r>
              <w:t>2 564.40</w:t>
            </w:r>
          </w:p>
        </w:tc>
        <w:tc>
          <w:tcPr>
            <w:tcW w:w="1872" w:type="dxa"/>
            <w:noWrap/>
            <w:hideMark/>
          </w:tcPr>
          <w:p w:rsidR="000C6C89" w:rsidRPr="00CB1818" w:rsidRDefault="000C6C89" w:rsidP="009E7D5E">
            <w:pPr>
              <w:pStyle w:val="TabelleText"/>
            </w:pPr>
            <w:r>
              <w:t>31.7</w:t>
            </w:r>
          </w:p>
        </w:tc>
        <w:tc>
          <w:tcPr>
            <w:tcW w:w="2092" w:type="dxa"/>
            <w:noWrap/>
            <w:hideMark/>
          </w:tcPr>
          <w:p w:rsidR="000C6C89" w:rsidRPr="00CB1818" w:rsidRDefault="000C6C89" w:rsidP="009E7D5E">
            <w:pPr>
              <w:pStyle w:val="TabelleText"/>
            </w:pPr>
            <w:r>
              <w:t>81 291.48</w:t>
            </w:r>
          </w:p>
        </w:tc>
      </w:tr>
      <w:tr w:rsidR="000C6C89" w:rsidRPr="00CB1818" w:rsidTr="00D32D29">
        <w:tc>
          <w:tcPr>
            <w:tcW w:w="2639" w:type="dxa"/>
            <w:noWrap/>
          </w:tcPr>
          <w:p w:rsidR="000C6C89" w:rsidRPr="00CB1818" w:rsidRDefault="000C6C89" w:rsidP="005B260B">
            <w:pPr>
              <w:pStyle w:val="TabelleText"/>
              <w:keepNext/>
              <w:rPr>
                <w:u w:val="single"/>
              </w:rPr>
            </w:pPr>
            <w:r>
              <w:rPr>
                <w:u w:val="single"/>
              </w:rPr>
              <w:t>Total:</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u w:val="single"/>
              </w:rPr>
            </w:pPr>
            <w:r>
              <w:rPr>
                <w:u w:val="single"/>
              </w:rPr>
              <w:t>1 239 112.84</w:t>
            </w:r>
          </w:p>
        </w:tc>
      </w:tr>
      <w:tr w:rsidR="000C6C89" w:rsidRPr="00CB1818" w:rsidTr="00D32D29">
        <w:tc>
          <w:tcPr>
            <w:tcW w:w="2639" w:type="dxa"/>
            <w:noWrap/>
          </w:tcPr>
          <w:p w:rsidR="000C6C89" w:rsidRPr="00CB1818" w:rsidRDefault="000C6C89" w:rsidP="009E7D5E">
            <w:pPr>
              <w:pStyle w:val="TabelleText"/>
              <w:rPr>
                <w:u w:val="single"/>
              </w:rPr>
            </w:pP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pPr>
          </w:p>
        </w:tc>
      </w:tr>
      <w:tr w:rsidR="000C6C89" w:rsidRPr="00CB1818" w:rsidTr="00D32D29">
        <w:tc>
          <w:tcPr>
            <w:tcW w:w="2639" w:type="dxa"/>
            <w:noWrap/>
          </w:tcPr>
          <w:p w:rsidR="000C6C89" w:rsidRPr="00CB1818" w:rsidRDefault="000C6C89" w:rsidP="005B260B">
            <w:pPr>
              <w:pStyle w:val="TabelleText"/>
              <w:keepNext/>
            </w:pPr>
            <w:r>
              <w:rPr>
                <w:u w:val="single"/>
              </w:rPr>
              <w:t>Additional costs for FMJCP:</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pPr>
          </w:p>
        </w:tc>
      </w:tr>
      <w:tr w:rsidR="000C6C89" w:rsidRPr="00CB1818" w:rsidTr="00D32D29">
        <w:tc>
          <w:tcPr>
            <w:tcW w:w="2639" w:type="dxa"/>
            <w:noWrap/>
          </w:tcPr>
          <w:p w:rsidR="000C6C89" w:rsidRPr="00CB1818" w:rsidRDefault="000C6C89" w:rsidP="009E7D5E">
            <w:pPr>
              <w:pStyle w:val="TabelleText"/>
            </w:pPr>
            <w:r>
              <w:t>Professional grade service</w:t>
            </w:r>
          </w:p>
        </w:tc>
        <w:tc>
          <w:tcPr>
            <w:tcW w:w="2171" w:type="dxa"/>
            <w:noWrap/>
          </w:tcPr>
          <w:p w:rsidR="000C6C89" w:rsidRPr="00CB1818" w:rsidRDefault="000C6C89" w:rsidP="009E7D5E">
            <w:pPr>
              <w:pStyle w:val="TabelleText"/>
            </w:pPr>
            <w:r>
              <w:t>1 678.60</w:t>
            </w:r>
          </w:p>
        </w:tc>
        <w:tc>
          <w:tcPr>
            <w:tcW w:w="1872" w:type="dxa"/>
            <w:noWrap/>
          </w:tcPr>
          <w:p w:rsidR="000C6C89" w:rsidRPr="00CB1818" w:rsidRDefault="000C6C89" w:rsidP="009E7D5E">
            <w:pPr>
              <w:pStyle w:val="TabelleText"/>
            </w:pPr>
            <w:r>
              <w:t>65.4</w:t>
            </w:r>
          </w:p>
        </w:tc>
        <w:tc>
          <w:tcPr>
            <w:tcW w:w="2092" w:type="dxa"/>
            <w:noWrap/>
          </w:tcPr>
          <w:p w:rsidR="000C6C89" w:rsidRPr="00CB1818" w:rsidRDefault="000C6C89" w:rsidP="009E7D5E">
            <w:pPr>
              <w:pStyle w:val="TabelleText"/>
              <w:rPr>
                <w:u w:val="single"/>
              </w:rPr>
            </w:pPr>
            <w:r>
              <w:rPr>
                <w:u w:val="single"/>
              </w:rPr>
              <w:t>109 780.44</w:t>
            </w:r>
          </w:p>
        </w:tc>
      </w:tr>
      <w:tr w:rsidR="000C6C89" w:rsidRPr="00CB1818" w:rsidTr="00D32D29">
        <w:tc>
          <w:tcPr>
            <w:tcW w:w="2639" w:type="dxa"/>
            <w:noWrap/>
          </w:tcPr>
          <w:p w:rsidR="000C6C89" w:rsidRPr="00CB1818" w:rsidRDefault="000C6C89" w:rsidP="009E7D5E">
            <w:pPr>
              <w:pStyle w:val="TabelleText"/>
            </w:pP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rPr>
            </w:pPr>
          </w:p>
        </w:tc>
      </w:tr>
      <w:tr w:rsidR="000C6C89" w:rsidRPr="00CB1818" w:rsidTr="00D32D29">
        <w:tc>
          <w:tcPr>
            <w:tcW w:w="2639" w:type="dxa"/>
            <w:noWrap/>
            <w:hideMark/>
          </w:tcPr>
          <w:p w:rsidR="000C6C89" w:rsidRPr="00CB1818" w:rsidRDefault="000C6C89" w:rsidP="005B260B">
            <w:pPr>
              <w:pStyle w:val="TabelleText"/>
              <w:keepNext/>
              <w:rPr>
                <w:u w:val="single"/>
              </w:rPr>
            </w:pPr>
            <w:r>
              <w:rPr>
                <w:u w:val="single"/>
              </w:rPr>
              <w:t>Total additional costs:</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hideMark/>
          </w:tcPr>
          <w:p w:rsidR="000C6C89" w:rsidRPr="00CB1818" w:rsidRDefault="000C6C89" w:rsidP="009E7D5E">
            <w:pPr>
              <w:pStyle w:val="TabelleText"/>
              <w:rPr>
                <w:bCs/>
                <w:u w:val="single"/>
              </w:rPr>
            </w:pPr>
            <w:r>
              <w:rPr>
                <w:bCs/>
                <w:u w:val="single"/>
              </w:rPr>
              <w:t>1 348 893.28</w:t>
            </w:r>
          </w:p>
        </w:tc>
      </w:tr>
      <w:tr w:rsidR="000C6C89" w:rsidRPr="00CB1818" w:rsidTr="00D32D29">
        <w:tc>
          <w:tcPr>
            <w:tcW w:w="2639" w:type="dxa"/>
            <w:noWrap/>
          </w:tcPr>
          <w:p w:rsidR="000C6C89" w:rsidRPr="00CB1818" w:rsidRDefault="000C6C89" w:rsidP="009E7D5E">
            <w:pPr>
              <w:pStyle w:val="TabelleText"/>
            </w:pP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rPr>
            </w:pPr>
          </w:p>
        </w:tc>
      </w:tr>
      <w:tr w:rsidR="000C6C89" w:rsidRPr="00CB1818" w:rsidTr="00D32D29">
        <w:tc>
          <w:tcPr>
            <w:tcW w:w="2639" w:type="dxa"/>
            <w:noWrap/>
          </w:tcPr>
          <w:p w:rsidR="000C6C89" w:rsidRPr="00CB1818" w:rsidRDefault="000C6C89" w:rsidP="005B260B">
            <w:pPr>
              <w:pStyle w:val="TabelleText"/>
              <w:keepNext/>
              <w:rPr>
                <w:u w:val="single"/>
              </w:rPr>
            </w:pPr>
            <w:r>
              <w:rPr>
                <w:u w:val="single"/>
              </w:rPr>
              <w:t>Savings for FOJ:</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rPr>
            </w:pPr>
          </w:p>
        </w:tc>
      </w:tr>
      <w:tr w:rsidR="000C6C89" w:rsidRPr="00CB1818" w:rsidTr="00D32D29">
        <w:tc>
          <w:tcPr>
            <w:tcW w:w="2639" w:type="dxa"/>
            <w:noWrap/>
          </w:tcPr>
          <w:p w:rsidR="000C6C89" w:rsidRPr="00CB1818" w:rsidRDefault="000C6C89" w:rsidP="009E7D5E">
            <w:pPr>
              <w:pStyle w:val="TabelleText"/>
            </w:pPr>
            <w:r>
              <w:t>Professional grade service</w:t>
            </w:r>
          </w:p>
        </w:tc>
        <w:tc>
          <w:tcPr>
            <w:tcW w:w="2171" w:type="dxa"/>
            <w:noWrap/>
          </w:tcPr>
          <w:p w:rsidR="000C6C89" w:rsidRPr="00CB1818" w:rsidRDefault="000C6C89" w:rsidP="009E7D5E">
            <w:pPr>
              <w:pStyle w:val="TabelleText"/>
            </w:pPr>
            <w:r>
              <w:t>- 2 039</w:t>
            </w:r>
          </w:p>
        </w:tc>
        <w:tc>
          <w:tcPr>
            <w:tcW w:w="1872" w:type="dxa"/>
            <w:noWrap/>
          </w:tcPr>
          <w:p w:rsidR="000C6C89" w:rsidRPr="00CB1818" w:rsidRDefault="000C6C89" w:rsidP="009E7D5E">
            <w:pPr>
              <w:pStyle w:val="TabelleText"/>
            </w:pPr>
            <w:r>
              <w:t>65.4</w:t>
            </w:r>
          </w:p>
        </w:tc>
        <w:tc>
          <w:tcPr>
            <w:tcW w:w="2092" w:type="dxa"/>
            <w:noWrap/>
          </w:tcPr>
          <w:p w:rsidR="000C6C89" w:rsidRPr="00CB1818" w:rsidRDefault="000C6C89" w:rsidP="009E7D5E">
            <w:pPr>
              <w:pStyle w:val="TabelleText"/>
              <w:rPr>
                <w:b/>
                <w:bCs/>
              </w:rPr>
            </w:pPr>
            <w:r>
              <w:t>-133 379.94</w:t>
            </w:r>
          </w:p>
        </w:tc>
      </w:tr>
      <w:tr w:rsidR="000C6C89" w:rsidRPr="00CB1818" w:rsidTr="00D32D29">
        <w:tc>
          <w:tcPr>
            <w:tcW w:w="2639" w:type="dxa"/>
            <w:noWrap/>
          </w:tcPr>
          <w:p w:rsidR="000C6C89" w:rsidRPr="00CB1818" w:rsidRDefault="000C6C89" w:rsidP="009E7D5E">
            <w:pPr>
              <w:pStyle w:val="TabelleText"/>
            </w:pPr>
            <w:r>
              <w:t>Executive grade service</w:t>
            </w:r>
          </w:p>
        </w:tc>
        <w:tc>
          <w:tcPr>
            <w:tcW w:w="2171" w:type="dxa"/>
            <w:noWrap/>
          </w:tcPr>
          <w:p w:rsidR="000C6C89" w:rsidRPr="00CB1818" w:rsidRDefault="000C6C89" w:rsidP="009E7D5E">
            <w:pPr>
              <w:pStyle w:val="TabelleText"/>
            </w:pPr>
            <w:r>
              <w:t>- 3 240</w:t>
            </w:r>
          </w:p>
        </w:tc>
        <w:tc>
          <w:tcPr>
            <w:tcW w:w="1872" w:type="dxa"/>
            <w:noWrap/>
          </w:tcPr>
          <w:p w:rsidR="000C6C89" w:rsidRPr="00CB1818" w:rsidRDefault="000C6C89" w:rsidP="009E7D5E">
            <w:pPr>
              <w:pStyle w:val="TabelleText"/>
            </w:pPr>
            <w:r>
              <w:t>43.4</w:t>
            </w:r>
          </w:p>
        </w:tc>
        <w:tc>
          <w:tcPr>
            <w:tcW w:w="2092" w:type="dxa"/>
            <w:noWrap/>
          </w:tcPr>
          <w:p w:rsidR="000C6C89" w:rsidRPr="00CB1818" w:rsidRDefault="000C6C89" w:rsidP="009E7D5E">
            <w:pPr>
              <w:pStyle w:val="TabelleText"/>
              <w:rPr>
                <w:b/>
                <w:bCs/>
              </w:rPr>
            </w:pPr>
            <w:r>
              <w:t xml:space="preserve">- 140 619.99 </w:t>
            </w:r>
          </w:p>
        </w:tc>
      </w:tr>
      <w:tr w:rsidR="000C6C89" w:rsidRPr="00CB1818" w:rsidTr="00D32D29">
        <w:tc>
          <w:tcPr>
            <w:tcW w:w="2639" w:type="dxa"/>
            <w:noWrap/>
          </w:tcPr>
          <w:p w:rsidR="000C6C89" w:rsidRPr="00CB1818" w:rsidRDefault="000C6C89" w:rsidP="009E7D5E">
            <w:pPr>
              <w:pStyle w:val="TabelleText"/>
            </w:pPr>
            <w:r>
              <w:t>Mid-level service</w:t>
            </w:r>
          </w:p>
        </w:tc>
        <w:tc>
          <w:tcPr>
            <w:tcW w:w="2171" w:type="dxa"/>
            <w:noWrap/>
          </w:tcPr>
          <w:p w:rsidR="000C6C89" w:rsidRPr="00CB1818" w:rsidRDefault="000C6C89" w:rsidP="009E7D5E">
            <w:pPr>
              <w:pStyle w:val="TabelleText"/>
            </w:pPr>
            <w:r>
              <w:t>- 312</w:t>
            </w:r>
          </w:p>
        </w:tc>
        <w:tc>
          <w:tcPr>
            <w:tcW w:w="1872" w:type="dxa"/>
            <w:noWrap/>
          </w:tcPr>
          <w:p w:rsidR="000C6C89" w:rsidRPr="00CB1818" w:rsidRDefault="000C6C89" w:rsidP="009E7D5E">
            <w:pPr>
              <w:pStyle w:val="TabelleText"/>
            </w:pPr>
            <w:r>
              <w:t>31.7</w:t>
            </w:r>
          </w:p>
        </w:tc>
        <w:tc>
          <w:tcPr>
            <w:tcW w:w="2092" w:type="dxa"/>
            <w:noWrap/>
          </w:tcPr>
          <w:p w:rsidR="000C6C89" w:rsidRPr="00CB1818" w:rsidRDefault="000C6C89" w:rsidP="009E7D5E">
            <w:pPr>
              <w:pStyle w:val="TabelleText"/>
              <w:rPr>
                <w:b/>
                <w:bCs/>
              </w:rPr>
            </w:pPr>
            <w:r>
              <w:t>- 9 906.13</w:t>
            </w:r>
          </w:p>
        </w:tc>
      </w:tr>
      <w:tr w:rsidR="000C6C89" w:rsidRPr="00CB1818" w:rsidTr="00D32D29">
        <w:tc>
          <w:tcPr>
            <w:tcW w:w="2639" w:type="dxa"/>
            <w:noWrap/>
          </w:tcPr>
          <w:p w:rsidR="000C6C89" w:rsidRPr="00CB1818" w:rsidRDefault="000C6C89" w:rsidP="009E7D5E">
            <w:pPr>
              <w:pStyle w:val="TabelleText"/>
            </w:pPr>
            <w:r>
              <w:t>Total savings</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u w:val="single"/>
              </w:rPr>
            </w:pPr>
            <w:r>
              <w:rPr>
                <w:u w:val="single"/>
              </w:rPr>
              <w:t xml:space="preserve">-283 906.06 </w:t>
            </w:r>
          </w:p>
        </w:tc>
      </w:tr>
      <w:tr w:rsidR="000C6C89" w:rsidRPr="00CB1818" w:rsidTr="00D32D29">
        <w:tc>
          <w:tcPr>
            <w:tcW w:w="2639" w:type="dxa"/>
            <w:noWrap/>
          </w:tcPr>
          <w:p w:rsidR="000C6C89" w:rsidRPr="00CB1818" w:rsidRDefault="000C6C89" w:rsidP="009E7D5E">
            <w:pPr>
              <w:pStyle w:val="TabelleText"/>
            </w:pPr>
            <w:r>
              <w:t>Additional costs balance (taking savings into account)</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Cs/>
                <w:u w:val="single"/>
              </w:rPr>
            </w:pPr>
            <w:r>
              <w:rPr>
                <w:bCs/>
                <w:u w:val="single"/>
              </w:rPr>
              <w:t>1 064 987.22</w:t>
            </w:r>
          </w:p>
        </w:tc>
      </w:tr>
    </w:tbl>
    <w:p w:rsidR="000C6C89" w:rsidRPr="00CB1818" w:rsidRDefault="000C6C89" w:rsidP="005B260B">
      <w:pPr>
        <w:pStyle w:val="Text"/>
        <w:keepNext/>
      </w:pPr>
      <w:r>
        <w:t>The necessary manpower corresponds to the additional costs (rounded) as follows:</w:t>
      </w:r>
    </w:p>
    <w:tbl>
      <w:tblPr>
        <w:tblStyle w:val="Tabellenraster2"/>
        <w:tblW w:w="0" w:type="auto"/>
        <w:tblLook w:val="04A0" w:firstRow="1" w:lastRow="0" w:firstColumn="1" w:lastColumn="0" w:noHBand="0" w:noVBand="1"/>
      </w:tblPr>
      <w:tblGrid>
        <w:gridCol w:w="988"/>
        <w:gridCol w:w="1487"/>
        <w:gridCol w:w="6530"/>
      </w:tblGrid>
      <w:tr w:rsidR="000C6C89" w:rsidRPr="00CB1818" w:rsidTr="009E7D5E">
        <w:tc>
          <w:tcPr>
            <w:tcW w:w="991" w:type="dxa"/>
          </w:tcPr>
          <w:p w:rsidR="000C6C89" w:rsidRPr="00CB1818" w:rsidRDefault="000C6C89" w:rsidP="005B260B">
            <w:pPr>
              <w:pStyle w:val="TabelleText"/>
              <w:keepNext/>
            </w:pPr>
          </w:p>
        </w:tc>
        <w:tc>
          <w:tcPr>
            <w:tcW w:w="7788" w:type="dxa"/>
            <w:gridSpan w:val="2"/>
          </w:tcPr>
          <w:p w:rsidR="000C6C89" w:rsidRPr="00CB1818" w:rsidRDefault="000C6C89" w:rsidP="005B260B">
            <w:pPr>
              <w:pStyle w:val="TabelleText"/>
              <w:keepNext/>
            </w:pPr>
            <w:r>
              <w:t>new posts required (rounded)</w:t>
            </w:r>
          </w:p>
        </w:tc>
      </w:tr>
      <w:tr w:rsidR="000C6C89" w:rsidRPr="00CB1818" w:rsidTr="009E7D5E">
        <w:tc>
          <w:tcPr>
            <w:tcW w:w="991" w:type="dxa"/>
          </w:tcPr>
          <w:p w:rsidR="000C6C89" w:rsidRPr="00CB1818" w:rsidRDefault="000C6C89" w:rsidP="009E7D5E">
            <w:pPr>
              <w:pStyle w:val="TabelleText"/>
            </w:pPr>
            <w:r>
              <w:t>FMJCP:</w:t>
            </w:r>
          </w:p>
        </w:tc>
        <w:tc>
          <w:tcPr>
            <w:tcW w:w="1101" w:type="dxa"/>
          </w:tcPr>
          <w:p w:rsidR="000C6C89" w:rsidRPr="00CB1818" w:rsidRDefault="000C6C89" w:rsidP="009E7D5E">
            <w:pPr>
              <w:pStyle w:val="TabelleText"/>
            </w:pPr>
            <w:r>
              <w:t>1 professional grade</w:t>
            </w:r>
          </w:p>
        </w:tc>
        <w:tc>
          <w:tcPr>
            <w:tcW w:w="6687" w:type="dxa"/>
          </w:tcPr>
          <w:p w:rsidR="000C6C89" w:rsidRPr="00CB1818" w:rsidRDefault="000C6C89" w:rsidP="009E7D5E">
            <w:pPr>
              <w:pStyle w:val="TabelleText"/>
            </w:pPr>
            <w:r>
              <w:t>Policy officer</w:t>
            </w:r>
          </w:p>
        </w:tc>
      </w:tr>
      <w:tr w:rsidR="000C6C89" w:rsidRPr="00CB1818" w:rsidTr="009E7D5E">
        <w:tc>
          <w:tcPr>
            <w:tcW w:w="991" w:type="dxa"/>
          </w:tcPr>
          <w:p w:rsidR="000C6C89" w:rsidRPr="00CB1818" w:rsidRDefault="000C6C89" w:rsidP="009E7D5E">
            <w:pPr>
              <w:pStyle w:val="TabelleText"/>
            </w:pPr>
            <w:r>
              <w:t>FOJ:</w:t>
            </w:r>
          </w:p>
        </w:tc>
        <w:tc>
          <w:tcPr>
            <w:tcW w:w="1101" w:type="dxa"/>
          </w:tcPr>
          <w:p w:rsidR="000C6C89" w:rsidRPr="00CB1818" w:rsidRDefault="000C6C89" w:rsidP="009E7D5E">
            <w:pPr>
              <w:pStyle w:val="TabelleText"/>
            </w:pPr>
            <w:r>
              <w:t>1 professional grade</w:t>
            </w:r>
          </w:p>
        </w:tc>
        <w:tc>
          <w:tcPr>
            <w:tcW w:w="6687" w:type="dxa"/>
          </w:tcPr>
          <w:p w:rsidR="000C6C89" w:rsidRPr="00CB1818" w:rsidRDefault="000C6C89" w:rsidP="009E7D5E">
            <w:pPr>
              <w:pStyle w:val="TabelleText"/>
            </w:pPr>
            <w:r>
              <w:t>Head of unit</w:t>
            </w:r>
          </w:p>
        </w:tc>
      </w:tr>
      <w:tr w:rsidR="000C6C89" w:rsidRPr="00CB1818" w:rsidTr="009E7D5E">
        <w:tc>
          <w:tcPr>
            <w:tcW w:w="991" w:type="dxa"/>
          </w:tcPr>
          <w:p w:rsidR="000C6C89" w:rsidRPr="00CB1818" w:rsidRDefault="000C6C89" w:rsidP="009E7D5E">
            <w:pPr>
              <w:pStyle w:val="TabelleText"/>
            </w:pPr>
          </w:p>
        </w:tc>
        <w:tc>
          <w:tcPr>
            <w:tcW w:w="1101" w:type="dxa"/>
          </w:tcPr>
          <w:p w:rsidR="000C6C89" w:rsidRPr="00CB1818" w:rsidRDefault="000C6C89" w:rsidP="009E7D5E">
            <w:pPr>
              <w:pStyle w:val="TabelleText"/>
            </w:pPr>
            <w:r>
              <w:t>4.5 professional grade</w:t>
            </w:r>
          </w:p>
        </w:tc>
        <w:tc>
          <w:tcPr>
            <w:tcW w:w="6687" w:type="dxa"/>
          </w:tcPr>
          <w:p w:rsidR="000C6C89" w:rsidRPr="00CB1818" w:rsidRDefault="000C6C89" w:rsidP="009E7D5E">
            <w:pPr>
              <w:pStyle w:val="TabelleText"/>
            </w:pPr>
            <w:r>
              <w:t>Policy officer</w:t>
            </w:r>
          </w:p>
        </w:tc>
      </w:tr>
      <w:tr w:rsidR="000C6C89" w:rsidRPr="00CB1818" w:rsidTr="009E7D5E">
        <w:tc>
          <w:tcPr>
            <w:tcW w:w="991" w:type="dxa"/>
          </w:tcPr>
          <w:p w:rsidR="000C6C89" w:rsidRPr="00CB1818" w:rsidRDefault="000C6C89" w:rsidP="009E7D5E">
            <w:pPr>
              <w:pStyle w:val="TabelleText"/>
            </w:pPr>
          </w:p>
        </w:tc>
        <w:tc>
          <w:tcPr>
            <w:tcW w:w="1101" w:type="dxa"/>
          </w:tcPr>
          <w:p w:rsidR="000C6C89" w:rsidRPr="00CB1818" w:rsidRDefault="000C6C89" w:rsidP="009E7D5E">
            <w:pPr>
              <w:pStyle w:val="TabelleText"/>
            </w:pPr>
            <w:r>
              <w:t>4 executive grade</w:t>
            </w:r>
          </w:p>
        </w:tc>
        <w:tc>
          <w:tcPr>
            <w:tcW w:w="6687" w:type="dxa"/>
          </w:tcPr>
          <w:p w:rsidR="000C6C89" w:rsidRPr="00CB1818" w:rsidRDefault="000C6C89" w:rsidP="009E7D5E">
            <w:pPr>
              <w:pStyle w:val="TabelleText"/>
            </w:pPr>
            <w:r>
              <w:t>Case processor</w:t>
            </w:r>
          </w:p>
        </w:tc>
      </w:tr>
      <w:tr w:rsidR="000C6C89" w:rsidRPr="00CB1818" w:rsidTr="009E7D5E">
        <w:tc>
          <w:tcPr>
            <w:tcW w:w="991" w:type="dxa"/>
          </w:tcPr>
          <w:p w:rsidR="000C6C89" w:rsidRPr="00CB1818" w:rsidRDefault="000C6C89" w:rsidP="009E7D5E">
            <w:pPr>
              <w:pStyle w:val="TabelleText"/>
            </w:pPr>
          </w:p>
        </w:tc>
        <w:tc>
          <w:tcPr>
            <w:tcW w:w="1101" w:type="dxa"/>
          </w:tcPr>
          <w:p w:rsidR="000C6C89" w:rsidRPr="00CB1818" w:rsidRDefault="000C6C89" w:rsidP="009E7D5E">
            <w:pPr>
              <w:pStyle w:val="TabelleText"/>
            </w:pPr>
            <w:r>
              <w:t xml:space="preserve">1.5 mid-level </w:t>
            </w:r>
          </w:p>
        </w:tc>
        <w:tc>
          <w:tcPr>
            <w:tcW w:w="6687" w:type="dxa"/>
          </w:tcPr>
          <w:p w:rsidR="000C6C89" w:rsidRPr="00CB1818" w:rsidRDefault="000C6C89" w:rsidP="009E7D5E">
            <w:pPr>
              <w:pStyle w:val="TabelleText"/>
            </w:pPr>
            <w:r>
              <w:t>Office, office clerk</w:t>
            </w:r>
          </w:p>
        </w:tc>
      </w:tr>
    </w:tbl>
    <w:p w:rsidR="00DF0C7F" w:rsidRPr="00CB1818" w:rsidRDefault="00DF0C7F" w:rsidP="005B260B">
      <w:pPr>
        <w:pStyle w:val="Text"/>
        <w:keepNext/>
      </w:pPr>
      <w:r>
        <w:t>aa) additional costs for the Federal Ministry of Justice and Consumer Protection:</w:t>
      </w:r>
    </w:p>
    <w:p w:rsidR="00DF0C7F" w:rsidRPr="00CB1818" w:rsidRDefault="00DF0C7F" w:rsidP="003F1107">
      <w:pPr>
        <w:pStyle w:val="Text"/>
      </w:pPr>
      <w:r>
        <w:t xml:space="preserve">The Federal Ministry of Justice and Consumer Protection exercises specialist and legal supervision over the Federal Office of Justice, insofar as it acts as the competent authority </w:t>
      </w:r>
      <w:r>
        <w:lastRenderedPageBreak/>
        <w:t>under the NetzDG. It is estimated that the additional tasks of the Federal Office also increase the scope of specialist and legal supervision.</w:t>
      </w:r>
    </w:p>
    <w:p w:rsidR="00DF0C7F" w:rsidRPr="00CB1818" w:rsidRDefault="00DF0C7F" w:rsidP="005B260B">
      <w:pPr>
        <w:pStyle w:val="Text"/>
        <w:keepNext/>
      </w:pPr>
      <w:r>
        <w:t xml:space="preserve">Taking into account the newly recorded providers, new requirements in the NetzDG and the new injunction proceedings, it is assumed that additional costs will be incurred. It is estimated that in a large number of cases this will only result in minor costs, in another </w:t>
      </w:r>
      <w:r w:rsidR="002C2CBC">
        <w:t>10</w:t>
      </w:r>
      <w:r>
        <w:t xml:space="preserve"> cases it will produce moderate costs (example: coordination on requests for information) and in </w:t>
      </w:r>
      <w:r w:rsidR="002C2CBC">
        <w:t>10</w:t>
      </w:r>
      <w:r>
        <w:t xml:space="preserve"> further cases will generate considerable costs (example: injunction proceedings for complaint management). This results in the following cost estimate:</w:t>
      </w:r>
    </w:p>
    <w:tbl>
      <w:tblPr>
        <w:tblStyle w:val="Tabellenraster3"/>
        <w:tblW w:w="8784" w:type="dxa"/>
        <w:tblLook w:val="04A0" w:firstRow="1" w:lastRow="0" w:firstColumn="1" w:lastColumn="0" w:noHBand="0" w:noVBand="1"/>
      </w:tblPr>
      <w:tblGrid>
        <w:gridCol w:w="1427"/>
        <w:gridCol w:w="978"/>
        <w:gridCol w:w="1418"/>
        <w:gridCol w:w="1701"/>
        <w:gridCol w:w="1559"/>
        <w:gridCol w:w="1701"/>
      </w:tblGrid>
      <w:tr w:rsidR="00DF0C7F" w:rsidRPr="00CB1818" w:rsidTr="00D32D29">
        <w:tc>
          <w:tcPr>
            <w:tcW w:w="1427" w:type="dxa"/>
            <w:noWrap/>
            <w:hideMark/>
          </w:tcPr>
          <w:p w:rsidR="00DF0C7F" w:rsidRPr="00CB1818" w:rsidRDefault="00DF0C7F" w:rsidP="005B260B">
            <w:pPr>
              <w:pStyle w:val="TabelleText"/>
              <w:keepNext/>
            </w:pPr>
          </w:p>
        </w:tc>
        <w:tc>
          <w:tcPr>
            <w:tcW w:w="978" w:type="dxa"/>
            <w:noWrap/>
            <w:hideMark/>
          </w:tcPr>
          <w:p w:rsidR="00DF0C7F" w:rsidRPr="00CB1818" w:rsidRDefault="00DF0C7F" w:rsidP="005B260B">
            <w:pPr>
              <w:pStyle w:val="TabelleText"/>
              <w:keepNext/>
            </w:pPr>
            <w:r>
              <w:t>Number of cases</w:t>
            </w:r>
          </w:p>
        </w:tc>
        <w:tc>
          <w:tcPr>
            <w:tcW w:w="1418" w:type="dxa"/>
            <w:hideMark/>
          </w:tcPr>
          <w:p w:rsidR="00DF0C7F" w:rsidRPr="00CB1818" w:rsidRDefault="00DF0C7F" w:rsidP="005B260B">
            <w:pPr>
              <w:pStyle w:val="TabelleText"/>
              <w:keepNext/>
            </w:pPr>
            <w:r>
              <w:t>Processing time per case (h)</w:t>
            </w:r>
          </w:p>
        </w:tc>
        <w:tc>
          <w:tcPr>
            <w:tcW w:w="1701" w:type="dxa"/>
            <w:hideMark/>
          </w:tcPr>
          <w:p w:rsidR="00DF0C7F" w:rsidRPr="00CB1818" w:rsidRDefault="00DF0C7F" w:rsidP="005B260B">
            <w:pPr>
              <w:pStyle w:val="TabelleText"/>
              <w:keepNext/>
            </w:pPr>
            <w:r>
              <w:t>Total processing time (h)</w:t>
            </w:r>
          </w:p>
        </w:tc>
        <w:tc>
          <w:tcPr>
            <w:tcW w:w="1559" w:type="dxa"/>
            <w:hideMark/>
          </w:tcPr>
          <w:p w:rsidR="00DF0C7F" w:rsidRPr="00CB1818" w:rsidRDefault="00DF0C7F" w:rsidP="005B260B">
            <w:pPr>
              <w:pStyle w:val="TabelleText"/>
              <w:keepNext/>
            </w:pPr>
            <w:r>
              <w:t>Hourly labour costs</w:t>
            </w:r>
          </w:p>
        </w:tc>
        <w:tc>
          <w:tcPr>
            <w:tcW w:w="1701" w:type="dxa"/>
            <w:hideMark/>
          </w:tcPr>
          <w:p w:rsidR="00DF0C7F" w:rsidRPr="00CB1818" w:rsidRDefault="00DF0C7F" w:rsidP="005B260B">
            <w:pPr>
              <w:pStyle w:val="TabelleText"/>
              <w:keepNext/>
            </w:pPr>
            <w:r>
              <w:t>Compliance costs (EUR)</w:t>
            </w:r>
          </w:p>
        </w:tc>
      </w:tr>
      <w:tr w:rsidR="00DF0C7F" w:rsidRPr="00CB1818" w:rsidTr="00D32D29">
        <w:tc>
          <w:tcPr>
            <w:tcW w:w="1427" w:type="dxa"/>
            <w:hideMark/>
          </w:tcPr>
          <w:p w:rsidR="00DF0C7F" w:rsidRPr="00CB1818" w:rsidRDefault="00DF0C7F" w:rsidP="009E7D5E">
            <w:pPr>
              <w:pStyle w:val="TabelleText"/>
            </w:pPr>
            <w:r>
              <w:rPr>
                <w:color w:val="000000"/>
              </w:rPr>
              <w:t>simple cases</w:t>
            </w:r>
          </w:p>
        </w:tc>
        <w:tc>
          <w:tcPr>
            <w:tcW w:w="978" w:type="dxa"/>
            <w:noWrap/>
            <w:hideMark/>
          </w:tcPr>
          <w:p w:rsidR="00DF0C7F" w:rsidRPr="00CB1818" w:rsidRDefault="00DF0C7F" w:rsidP="009E7D5E">
            <w:pPr>
              <w:pStyle w:val="TabelleText"/>
            </w:pPr>
            <w:r>
              <w:rPr>
                <w:color w:val="000000"/>
              </w:rPr>
              <w:t>80</w:t>
            </w:r>
          </w:p>
        </w:tc>
        <w:tc>
          <w:tcPr>
            <w:tcW w:w="1418" w:type="dxa"/>
            <w:noWrap/>
            <w:hideMark/>
          </w:tcPr>
          <w:p w:rsidR="00DF0C7F" w:rsidRPr="00CB1818" w:rsidRDefault="00DF0C7F" w:rsidP="009E7D5E">
            <w:pPr>
              <w:pStyle w:val="TabelleText"/>
            </w:pPr>
            <w:r>
              <w:rPr>
                <w:color w:val="000000"/>
              </w:rPr>
              <w:t>3</w:t>
            </w:r>
          </w:p>
        </w:tc>
        <w:tc>
          <w:tcPr>
            <w:tcW w:w="1701" w:type="dxa"/>
            <w:noWrap/>
            <w:hideMark/>
          </w:tcPr>
          <w:p w:rsidR="00DF0C7F" w:rsidRPr="00CB1818" w:rsidRDefault="00DF0C7F" w:rsidP="009E7D5E">
            <w:pPr>
              <w:pStyle w:val="TabelleText"/>
            </w:pPr>
            <w:r>
              <w:rPr>
                <w:color w:val="000000"/>
              </w:rPr>
              <w:t>240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15 696</w:t>
            </w:r>
          </w:p>
        </w:tc>
      </w:tr>
      <w:tr w:rsidR="00DF0C7F" w:rsidRPr="00CB1818" w:rsidTr="00D32D29">
        <w:tc>
          <w:tcPr>
            <w:tcW w:w="1427" w:type="dxa"/>
            <w:hideMark/>
          </w:tcPr>
          <w:p w:rsidR="00DF0C7F" w:rsidRPr="00CB1818" w:rsidRDefault="00DF0C7F" w:rsidP="009E7D5E">
            <w:pPr>
              <w:pStyle w:val="TabelleText"/>
            </w:pPr>
            <w:r>
              <w:rPr>
                <w:color w:val="000000"/>
              </w:rPr>
              <w:t>medium cases</w:t>
            </w:r>
          </w:p>
        </w:tc>
        <w:tc>
          <w:tcPr>
            <w:tcW w:w="978" w:type="dxa"/>
            <w:noWrap/>
            <w:hideMark/>
          </w:tcPr>
          <w:p w:rsidR="00DF0C7F" w:rsidRPr="00CB1818" w:rsidRDefault="00DF0C7F" w:rsidP="009E7D5E">
            <w:pPr>
              <w:pStyle w:val="TabelleText"/>
            </w:pPr>
            <w:r>
              <w:rPr>
                <w:color w:val="000000"/>
              </w:rPr>
              <w:t>10</w:t>
            </w:r>
          </w:p>
        </w:tc>
        <w:tc>
          <w:tcPr>
            <w:tcW w:w="1418" w:type="dxa"/>
            <w:noWrap/>
            <w:hideMark/>
          </w:tcPr>
          <w:p w:rsidR="00DF0C7F" w:rsidRPr="00CB1818" w:rsidRDefault="00DF0C7F" w:rsidP="009E7D5E">
            <w:pPr>
              <w:pStyle w:val="TabelleText"/>
            </w:pPr>
            <w:r>
              <w:rPr>
                <w:color w:val="000000"/>
              </w:rPr>
              <w:t>30</w:t>
            </w:r>
          </w:p>
        </w:tc>
        <w:tc>
          <w:tcPr>
            <w:tcW w:w="1701" w:type="dxa"/>
            <w:noWrap/>
            <w:hideMark/>
          </w:tcPr>
          <w:p w:rsidR="00DF0C7F" w:rsidRPr="00CB1818" w:rsidRDefault="00DF0C7F" w:rsidP="009E7D5E">
            <w:pPr>
              <w:pStyle w:val="TabelleText"/>
            </w:pPr>
            <w:r>
              <w:rPr>
                <w:color w:val="000000"/>
              </w:rPr>
              <w:t>300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19 620</w:t>
            </w:r>
          </w:p>
        </w:tc>
      </w:tr>
      <w:tr w:rsidR="00DF0C7F" w:rsidRPr="00CB1818" w:rsidTr="00D32D29">
        <w:tc>
          <w:tcPr>
            <w:tcW w:w="1427" w:type="dxa"/>
            <w:hideMark/>
          </w:tcPr>
          <w:p w:rsidR="00DF0C7F" w:rsidRPr="00CB1818" w:rsidRDefault="00D00747" w:rsidP="009E7D5E">
            <w:pPr>
              <w:pStyle w:val="TabelleText"/>
            </w:pPr>
            <w:r>
              <w:rPr>
                <w:color w:val="000000"/>
              </w:rPr>
              <w:t>extensive cases</w:t>
            </w:r>
          </w:p>
        </w:tc>
        <w:tc>
          <w:tcPr>
            <w:tcW w:w="978" w:type="dxa"/>
            <w:noWrap/>
            <w:hideMark/>
          </w:tcPr>
          <w:p w:rsidR="00DF0C7F" w:rsidRPr="00CB1818" w:rsidRDefault="00DF0C7F" w:rsidP="009E7D5E">
            <w:pPr>
              <w:pStyle w:val="TabelleText"/>
            </w:pPr>
            <w:r>
              <w:rPr>
                <w:color w:val="000000"/>
              </w:rPr>
              <w:t>10</w:t>
            </w:r>
          </w:p>
        </w:tc>
        <w:tc>
          <w:tcPr>
            <w:tcW w:w="1418" w:type="dxa"/>
            <w:noWrap/>
            <w:hideMark/>
          </w:tcPr>
          <w:p w:rsidR="00DF0C7F" w:rsidRPr="00CB1818" w:rsidRDefault="00DF0C7F" w:rsidP="009E7D5E">
            <w:pPr>
              <w:pStyle w:val="TabelleText"/>
            </w:pPr>
            <w:r>
              <w:rPr>
                <w:color w:val="000000"/>
              </w:rPr>
              <w:t>100</w:t>
            </w:r>
          </w:p>
        </w:tc>
        <w:tc>
          <w:tcPr>
            <w:tcW w:w="1701" w:type="dxa"/>
            <w:noWrap/>
            <w:hideMark/>
          </w:tcPr>
          <w:p w:rsidR="00DF0C7F" w:rsidRPr="00CB1818" w:rsidRDefault="00DF0C7F" w:rsidP="009E7D5E">
            <w:pPr>
              <w:pStyle w:val="TabelleText"/>
            </w:pPr>
            <w:r>
              <w:rPr>
                <w:color w:val="000000"/>
              </w:rPr>
              <w:t>1 000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65 400</w:t>
            </w:r>
          </w:p>
        </w:tc>
      </w:tr>
      <w:tr w:rsidR="00DF0C7F" w:rsidRPr="00CB1818" w:rsidTr="00D32D29">
        <w:tc>
          <w:tcPr>
            <w:tcW w:w="1427" w:type="dxa"/>
            <w:noWrap/>
            <w:hideMark/>
          </w:tcPr>
          <w:p w:rsidR="00DF0C7F" w:rsidRPr="00CB1818" w:rsidRDefault="00DF0C7F" w:rsidP="009E7D5E">
            <w:pPr>
              <w:pStyle w:val="TabelleText"/>
            </w:pPr>
            <w:r>
              <w:rPr>
                <w:color w:val="000000"/>
              </w:rPr>
              <w:t xml:space="preserve">Total </w:t>
            </w:r>
          </w:p>
        </w:tc>
        <w:tc>
          <w:tcPr>
            <w:tcW w:w="978" w:type="dxa"/>
            <w:noWrap/>
            <w:hideMark/>
          </w:tcPr>
          <w:p w:rsidR="00DF0C7F" w:rsidRPr="00CB1818" w:rsidRDefault="00DF0C7F" w:rsidP="009E7D5E">
            <w:pPr>
              <w:pStyle w:val="TabelleText"/>
            </w:pPr>
            <w:r>
              <w:rPr>
                <w:color w:val="000000"/>
              </w:rPr>
              <w:t>100</w:t>
            </w:r>
          </w:p>
        </w:tc>
        <w:tc>
          <w:tcPr>
            <w:tcW w:w="1418" w:type="dxa"/>
            <w:noWrap/>
            <w:hideMark/>
          </w:tcPr>
          <w:p w:rsidR="00DF0C7F" w:rsidRPr="00CB1818" w:rsidRDefault="00DF0C7F" w:rsidP="009E7D5E">
            <w:pPr>
              <w:pStyle w:val="TabelleText"/>
            </w:pPr>
          </w:p>
        </w:tc>
        <w:tc>
          <w:tcPr>
            <w:tcW w:w="1701" w:type="dxa"/>
            <w:noWrap/>
            <w:hideMark/>
          </w:tcPr>
          <w:p w:rsidR="00DF0C7F" w:rsidRPr="00CB1818" w:rsidRDefault="00DF0C7F" w:rsidP="009E7D5E">
            <w:pPr>
              <w:pStyle w:val="TabelleText"/>
            </w:pPr>
            <w:r>
              <w:rPr>
                <w:color w:val="000000"/>
              </w:rPr>
              <w:t>1 540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109 780.44</w:t>
            </w:r>
          </w:p>
        </w:tc>
      </w:tr>
    </w:tbl>
    <w:p w:rsidR="00DF0C7F" w:rsidRPr="00CB1818" w:rsidRDefault="00DF0C7F" w:rsidP="005B260B">
      <w:pPr>
        <w:pStyle w:val="Text"/>
        <w:keepNext/>
      </w:pPr>
      <w:r>
        <w:t>bb) Additional costs for the Federal Office of Justice:</w:t>
      </w:r>
    </w:p>
    <w:p w:rsidR="00DF0C7F" w:rsidRPr="00CB1818" w:rsidRDefault="00DF0C7F" w:rsidP="003F1107">
      <w:pPr>
        <w:pStyle w:val="Text"/>
      </w:pPr>
      <w:r>
        <w:t>In addition, additional costs are required for the federal administration due to additional tasks at the Federal Office of Justice.</w:t>
      </w:r>
    </w:p>
    <w:p w:rsidR="00DF0C7F" w:rsidRPr="00CB1818" w:rsidRDefault="00DF0C7F" w:rsidP="003F1107">
      <w:pPr>
        <w:pStyle w:val="Text"/>
      </w:pPr>
      <w:r>
        <w:t>The estimate of the specific compliance costs based on the assumptions presented is based on an estimate by the Federal Office of Justice, which is based on the draft bill.</w:t>
      </w:r>
    </w:p>
    <w:p w:rsidR="00DF0C7F" w:rsidRPr="00CB1818" w:rsidRDefault="00DF0C7F" w:rsidP="003F1107">
      <w:pPr>
        <w:pStyle w:val="Text"/>
      </w:pPr>
      <w:r>
        <w:t>On the one hand, this is based on the actual assumptions presented under A. VI. 4. b). In addition, it is assumed that with an estimated seven social network providers and one video sharing platform service provider, the Federal Office of Justice will in the future have at least an initial suspicion that the number of users as per § 1(2) NetzDG will be exceeded, meaning that correspondingly complex supervisory and fine proceedings (e.g. concerning the obligations under §§ 2 and 3 NetzDG) will have to be initiated. As a precaution, the estimated number exceeds the previous estimate of the number of large providers actually covered by the NetzDG. The background to this is the assumption that, with more providers, there might be an initial suspicion that the provider might fall under the NetzDG (without being exempt from the compliance requirements as per § 1(2) NetzDG) than is actually the case, but there is a corresponding administrative burden for checking the initial suspicion.</w:t>
      </w:r>
    </w:p>
    <w:p w:rsidR="00B32668" w:rsidRPr="00CB1818" w:rsidRDefault="00B32668" w:rsidP="003F1107">
      <w:pPr>
        <w:pStyle w:val="Text"/>
      </w:pPr>
      <w:r>
        <w:t>In addition, it is based on the assumption that, due to future supervisory procedures (§ 4a NetzDG), there will be fewer fine proceedings in the future than before. This is based on the assumption that deficits in the implementation of the Act will increase and be resolved more quickly as a result of future supervisory procedures.</w:t>
      </w:r>
    </w:p>
    <w:p w:rsidR="00DF0C7F" w:rsidRPr="00CB1818" w:rsidRDefault="00DF0C7F" w:rsidP="005B260B">
      <w:pPr>
        <w:pStyle w:val="Text"/>
        <w:keepNext/>
      </w:pPr>
      <w:r>
        <w:t>(1) Information procedure (§ 4a(3) NetzDG)</w:t>
      </w:r>
    </w:p>
    <w:p w:rsidR="00F87D01" w:rsidRPr="00CB1818" w:rsidRDefault="00DF0C7F" w:rsidP="003F1107">
      <w:pPr>
        <w:pStyle w:val="Text"/>
      </w:pPr>
      <w:r>
        <w:t>In the future, the Federal Office of Justice will be able to request information from providers in accordance with § 4a(3) NetzDG, including the number of registered users in Germany and the complaints received about unlawful content in the past calendar year. It is estimated that an average of 15 requests for information will be made each year.</w:t>
      </w:r>
    </w:p>
    <w:p w:rsidR="00DF0C7F" w:rsidRPr="00CB1818" w:rsidRDefault="00DF0C7F" w:rsidP="005B260B">
      <w:pPr>
        <w:pStyle w:val="Text"/>
        <w:keepNext/>
      </w:pPr>
      <w:r>
        <w:lastRenderedPageBreak/>
        <w:t>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857"/>
        <w:gridCol w:w="1843"/>
        <w:gridCol w:w="1417"/>
        <w:gridCol w:w="2586"/>
        <w:gridCol w:w="2087"/>
      </w:tblGrid>
      <w:tr w:rsidR="00DF0C7F" w:rsidRPr="00CB1818" w:rsidTr="000135E3">
        <w:tc>
          <w:tcPr>
            <w:tcW w:w="846" w:type="dxa"/>
          </w:tcPr>
          <w:p w:rsidR="00DF0C7F" w:rsidRPr="00CB1818" w:rsidRDefault="00DF0C7F" w:rsidP="005B260B">
            <w:pPr>
              <w:pStyle w:val="TabelleText"/>
              <w:keepNext/>
            </w:pPr>
            <w:r>
              <w:t>Number of cases</w:t>
            </w:r>
          </w:p>
        </w:tc>
        <w:tc>
          <w:tcPr>
            <w:tcW w:w="1843" w:type="dxa"/>
          </w:tcPr>
          <w:p w:rsidR="00DF0C7F" w:rsidRPr="00CB1818" w:rsidRDefault="00DF0C7F" w:rsidP="005B260B">
            <w:pPr>
              <w:pStyle w:val="TabelleText"/>
              <w:keepNext/>
            </w:pPr>
            <w:r>
              <w:t>Function and service</w:t>
            </w:r>
          </w:p>
        </w:tc>
        <w:tc>
          <w:tcPr>
            <w:tcW w:w="1417" w:type="dxa"/>
          </w:tcPr>
          <w:p w:rsidR="00DF0C7F" w:rsidRPr="00CB1818" w:rsidRDefault="00DF0C7F" w:rsidP="005B260B">
            <w:pPr>
              <w:pStyle w:val="TabelleText"/>
              <w:keepNext/>
            </w:pPr>
            <w:r>
              <w:t>Manpower</w:t>
            </w:r>
          </w:p>
        </w:tc>
        <w:tc>
          <w:tcPr>
            <w:tcW w:w="2586" w:type="dxa"/>
          </w:tcPr>
          <w:p w:rsidR="00DF0C7F" w:rsidRPr="00CB1818" w:rsidRDefault="00DF0C7F" w:rsidP="005B260B">
            <w:pPr>
              <w:pStyle w:val="TabelleText"/>
              <w:keepNext/>
            </w:pPr>
            <w:r>
              <w:t>Average workload in minutes per case</w:t>
            </w:r>
          </w:p>
        </w:tc>
        <w:tc>
          <w:tcPr>
            <w:tcW w:w="2087" w:type="dxa"/>
          </w:tcPr>
          <w:p w:rsidR="00DF0C7F" w:rsidRPr="00CB1818" w:rsidRDefault="00DF0C7F" w:rsidP="005B260B">
            <w:pPr>
              <w:pStyle w:val="TabelleText"/>
              <w:keepNext/>
            </w:pPr>
            <w:r>
              <w:t>Total workload in minutes</w:t>
            </w:r>
          </w:p>
        </w:tc>
      </w:tr>
      <w:tr w:rsidR="00DF0C7F" w:rsidRPr="00CB1818" w:rsidTr="000135E3">
        <w:tc>
          <w:tcPr>
            <w:tcW w:w="846" w:type="dxa"/>
          </w:tcPr>
          <w:p w:rsidR="00DF0C7F" w:rsidRPr="00CB1818" w:rsidRDefault="00DF0C7F" w:rsidP="009E7D5E">
            <w:pPr>
              <w:pStyle w:val="TabelleText"/>
            </w:pPr>
            <w:r>
              <w:t>15</w:t>
            </w:r>
          </w:p>
        </w:tc>
        <w:tc>
          <w:tcPr>
            <w:tcW w:w="1843" w:type="dxa"/>
          </w:tcPr>
          <w:p w:rsidR="00DF0C7F" w:rsidRPr="00CB1818" w:rsidRDefault="00DF0C7F" w:rsidP="009E7D5E">
            <w:pPr>
              <w:pStyle w:val="TabelleText"/>
            </w:pPr>
            <w:r>
              <w:t>Policy officer, professional grade</w:t>
            </w:r>
          </w:p>
        </w:tc>
        <w:tc>
          <w:tcPr>
            <w:tcW w:w="1417" w:type="dxa"/>
          </w:tcPr>
          <w:p w:rsidR="00DF0C7F" w:rsidRPr="00CB1818" w:rsidRDefault="00DF0C7F" w:rsidP="009E7D5E">
            <w:pPr>
              <w:pStyle w:val="TabelleText"/>
            </w:pPr>
            <w:r>
              <w:t>0.0775</w:t>
            </w:r>
          </w:p>
        </w:tc>
        <w:tc>
          <w:tcPr>
            <w:tcW w:w="2586" w:type="dxa"/>
          </w:tcPr>
          <w:p w:rsidR="00DF0C7F" w:rsidRPr="00CB1818" w:rsidRDefault="00DF0C7F" w:rsidP="009E7D5E">
            <w:pPr>
              <w:pStyle w:val="TabelleText"/>
            </w:pPr>
            <w:r>
              <w:t>510</w:t>
            </w:r>
          </w:p>
        </w:tc>
        <w:tc>
          <w:tcPr>
            <w:tcW w:w="2087" w:type="dxa"/>
          </w:tcPr>
          <w:p w:rsidR="00DF0C7F" w:rsidRPr="00CB1818" w:rsidRDefault="00DF0C7F" w:rsidP="009E7D5E">
            <w:pPr>
              <w:pStyle w:val="TabelleText"/>
            </w:pPr>
            <w:r>
              <w:t>7 650</w:t>
            </w:r>
          </w:p>
        </w:tc>
      </w:tr>
      <w:tr w:rsidR="00DF0C7F" w:rsidRPr="00CB1818" w:rsidTr="000135E3">
        <w:tc>
          <w:tcPr>
            <w:tcW w:w="846" w:type="dxa"/>
          </w:tcPr>
          <w:p w:rsidR="00DF0C7F" w:rsidRPr="00CB1818" w:rsidRDefault="00DF0C7F" w:rsidP="009E7D5E">
            <w:pPr>
              <w:pStyle w:val="TabelleText"/>
            </w:pPr>
            <w:r>
              <w:t>15</w:t>
            </w:r>
          </w:p>
        </w:tc>
        <w:tc>
          <w:tcPr>
            <w:tcW w:w="1843" w:type="dxa"/>
          </w:tcPr>
          <w:p w:rsidR="00DF0C7F" w:rsidRPr="00CB1818" w:rsidRDefault="00DF0C7F" w:rsidP="009E7D5E">
            <w:pPr>
              <w:pStyle w:val="TabelleText"/>
            </w:pPr>
            <w:r>
              <w:t>Case officer, executive grade</w:t>
            </w:r>
          </w:p>
        </w:tc>
        <w:tc>
          <w:tcPr>
            <w:tcW w:w="1417" w:type="dxa"/>
          </w:tcPr>
          <w:p w:rsidR="00DF0C7F" w:rsidRPr="00CB1818" w:rsidRDefault="00DF0C7F" w:rsidP="009E7D5E">
            <w:pPr>
              <w:pStyle w:val="TabelleText"/>
            </w:pPr>
            <w:r>
              <w:t>0.0319</w:t>
            </w:r>
          </w:p>
        </w:tc>
        <w:tc>
          <w:tcPr>
            <w:tcW w:w="2586" w:type="dxa"/>
          </w:tcPr>
          <w:p w:rsidR="00DF0C7F" w:rsidRPr="00CB1818" w:rsidRDefault="00DF0C7F" w:rsidP="009E7D5E">
            <w:pPr>
              <w:pStyle w:val="TabelleText"/>
            </w:pPr>
            <w:r>
              <w:t>210</w:t>
            </w:r>
          </w:p>
        </w:tc>
        <w:tc>
          <w:tcPr>
            <w:tcW w:w="2087" w:type="dxa"/>
          </w:tcPr>
          <w:p w:rsidR="00DF0C7F" w:rsidRPr="00CB1818" w:rsidRDefault="00DF0C7F" w:rsidP="009E7D5E">
            <w:pPr>
              <w:pStyle w:val="TabelleText"/>
            </w:pPr>
            <w:r>
              <w:t>3 150</w:t>
            </w:r>
          </w:p>
        </w:tc>
      </w:tr>
      <w:tr w:rsidR="00DF0C7F" w:rsidRPr="00CB1818" w:rsidTr="000135E3">
        <w:tc>
          <w:tcPr>
            <w:tcW w:w="846" w:type="dxa"/>
          </w:tcPr>
          <w:p w:rsidR="00DF0C7F" w:rsidRPr="00CB1818" w:rsidRDefault="00DF0C7F" w:rsidP="009E7D5E">
            <w:pPr>
              <w:pStyle w:val="TabelleText"/>
            </w:pPr>
            <w:r>
              <w:t>15</w:t>
            </w:r>
          </w:p>
        </w:tc>
        <w:tc>
          <w:tcPr>
            <w:tcW w:w="1843" w:type="dxa"/>
          </w:tcPr>
          <w:p w:rsidR="00DF0C7F" w:rsidRPr="00CB1818" w:rsidRDefault="00DF0C7F" w:rsidP="009E7D5E">
            <w:pPr>
              <w:pStyle w:val="TabelleText"/>
            </w:pPr>
            <w:r>
              <w:t>Office, mid-level</w:t>
            </w:r>
          </w:p>
        </w:tc>
        <w:tc>
          <w:tcPr>
            <w:tcW w:w="1417" w:type="dxa"/>
          </w:tcPr>
          <w:p w:rsidR="00DF0C7F" w:rsidRPr="00CB1818" w:rsidRDefault="00DF0C7F" w:rsidP="009E7D5E">
            <w:pPr>
              <w:pStyle w:val="TabelleText"/>
            </w:pPr>
            <w:r>
              <w:t>0.0137</w:t>
            </w:r>
          </w:p>
        </w:tc>
        <w:tc>
          <w:tcPr>
            <w:tcW w:w="2586" w:type="dxa"/>
          </w:tcPr>
          <w:p w:rsidR="00DF0C7F" w:rsidRPr="00CB1818" w:rsidRDefault="00DF0C7F" w:rsidP="009E7D5E">
            <w:pPr>
              <w:pStyle w:val="TabelleText"/>
            </w:pPr>
            <w:r>
              <w:t>90</w:t>
            </w:r>
          </w:p>
        </w:tc>
        <w:tc>
          <w:tcPr>
            <w:tcW w:w="2087" w:type="dxa"/>
          </w:tcPr>
          <w:p w:rsidR="00DF0C7F" w:rsidRPr="00CB1818" w:rsidRDefault="00DF0C7F" w:rsidP="009E7D5E">
            <w:pPr>
              <w:pStyle w:val="TabelleText"/>
            </w:pPr>
            <w:r>
              <w:t>1 350</w:t>
            </w:r>
          </w:p>
        </w:tc>
      </w:tr>
    </w:tbl>
    <w:p w:rsidR="00DF0C7F" w:rsidRPr="00CB1818" w:rsidRDefault="00DF0C7F" w:rsidP="005B260B">
      <w:pPr>
        <w:pStyle w:val="Text"/>
        <w:keepNext/>
      </w:pPr>
      <w:r>
        <w:t>(2) Reporting obligations (§ 2 NetzDG): Greater scope of examinations in fine proceedings already to be conducted based on the current legal situation</w:t>
      </w:r>
    </w:p>
    <w:p w:rsidR="00DF0C7F" w:rsidRPr="00CB1818" w:rsidRDefault="00DF0C7F" w:rsidP="00392332">
      <w:pPr>
        <w:pStyle w:val="Text"/>
      </w:pPr>
      <w:r>
        <w:t>The scope of examinations for the Federal Office of Justice is increased by supplementing the transparency obligations in § 2(2) NetzDG, since compliance with other requirements is to be checked in the administrative fine proceedings already required in the previous legal situation (§ 4(1)(1) NetzDG) with regard to the seven networks potentially subject to reporting duties under § 2 NetzDG.</w:t>
      </w:r>
    </w:p>
    <w:p w:rsidR="00DF0C7F" w:rsidRPr="00CB1818" w:rsidRDefault="00DF0C7F" w:rsidP="00392332">
      <w:pPr>
        <w:pStyle w:val="Text"/>
      </w:pPr>
      <w:r>
        <w:t>Taking into account the assumption of the acceptance of the necessary administrative fine proceedings, additional costs are assumed in seven administrative fine proceedings per year, in which the increased examination costs are incurred.</w:t>
      </w:r>
    </w:p>
    <w:p w:rsidR="00DF0C7F" w:rsidRPr="00CB1818" w:rsidRDefault="00DF0C7F" w:rsidP="005B260B">
      <w:pPr>
        <w:pStyle w:val="Text"/>
        <w:keepNext/>
      </w:pPr>
      <w:r>
        <w:t>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7</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t>0.0667</w:t>
            </w:r>
          </w:p>
        </w:tc>
        <w:tc>
          <w:tcPr>
            <w:tcW w:w="2835" w:type="dxa"/>
          </w:tcPr>
          <w:p w:rsidR="00DF0C7F" w:rsidRPr="00CB1818" w:rsidRDefault="00DF0C7F" w:rsidP="009E7D5E">
            <w:pPr>
              <w:pStyle w:val="TabelleText"/>
            </w:pPr>
            <w:r>
              <w:t>940</w:t>
            </w:r>
          </w:p>
        </w:tc>
        <w:tc>
          <w:tcPr>
            <w:tcW w:w="2127" w:type="dxa"/>
          </w:tcPr>
          <w:p w:rsidR="00DF0C7F" w:rsidRPr="00CB1818" w:rsidRDefault="00DF0C7F" w:rsidP="009E7D5E">
            <w:pPr>
              <w:pStyle w:val="TabelleText"/>
            </w:pPr>
            <w:r>
              <w:t>6 580</w:t>
            </w:r>
          </w:p>
        </w:tc>
      </w:tr>
      <w:tr w:rsidR="00DF0C7F" w:rsidRPr="00CB1818" w:rsidTr="009E7D5E">
        <w:tc>
          <w:tcPr>
            <w:tcW w:w="988" w:type="dxa"/>
          </w:tcPr>
          <w:p w:rsidR="00DF0C7F" w:rsidRPr="00CB1818" w:rsidRDefault="00DF0C7F" w:rsidP="009E7D5E">
            <w:pPr>
              <w:pStyle w:val="TabelleText"/>
            </w:pPr>
            <w:r>
              <w:t>7</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t>0.0511</w:t>
            </w:r>
          </w:p>
        </w:tc>
        <w:tc>
          <w:tcPr>
            <w:tcW w:w="2835" w:type="dxa"/>
          </w:tcPr>
          <w:p w:rsidR="00DF0C7F" w:rsidRPr="00CB1818" w:rsidRDefault="00DF0C7F" w:rsidP="009E7D5E">
            <w:pPr>
              <w:pStyle w:val="TabelleText"/>
            </w:pPr>
            <w:r>
              <w:t>720</w:t>
            </w:r>
          </w:p>
        </w:tc>
        <w:tc>
          <w:tcPr>
            <w:tcW w:w="2127" w:type="dxa"/>
          </w:tcPr>
          <w:p w:rsidR="00DF0C7F" w:rsidRPr="00CB1818" w:rsidRDefault="00DF0C7F" w:rsidP="009E7D5E">
            <w:pPr>
              <w:pStyle w:val="TabelleText"/>
            </w:pPr>
            <w:r>
              <w:t>5 040</w:t>
            </w:r>
          </w:p>
        </w:tc>
      </w:tr>
      <w:tr w:rsidR="00DF0C7F" w:rsidRPr="00CB1818" w:rsidTr="009E7D5E">
        <w:tc>
          <w:tcPr>
            <w:tcW w:w="988" w:type="dxa"/>
          </w:tcPr>
          <w:p w:rsidR="00DF0C7F" w:rsidRPr="00CB1818" w:rsidRDefault="00DF0C7F" w:rsidP="009E7D5E">
            <w:pPr>
              <w:pStyle w:val="TabelleText"/>
            </w:pPr>
            <w:r>
              <w:t>7</w:t>
            </w:r>
          </w:p>
        </w:tc>
        <w:tc>
          <w:tcPr>
            <w:tcW w:w="1643" w:type="dxa"/>
          </w:tcPr>
          <w:p w:rsidR="00DF0C7F" w:rsidRPr="00CB1818" w:rsidRDefault="00DF0C7F" w:rsidP="009E7D5E">
            <w:pPr>
              <w:pStyle w:val="TabelleText"/>
            </w:pPr>
            <w:r>
              <w:t>Office, mid-level</w:t>
            </w:r>
          </w:p>
        </w:tc>
        <w:tc>
          <w:tcPr>
            <w:tcW w:w="1333" w:type="dxa"/>
          </w:tcPr>
          <w:p w:rsidR="00DF0C7F" w:rsidRPr="00CB1818" w:rsidRDefault="00DF0C7F" w:rsidP="009E7D5E">
            <w:pPr>
              <w:pStyle w:val="TabelleText"/>
            </w:pPr>
            <w:r>
              <w:t>0.0043</w:t>
            </w:r>
          </w:p>
        </w:tc>
        <w:tc>
          <w:tcPr>
            <w:tcW w:w="2835" w:type="dxa"/>
          </w:tcPr>
          <w:p w:rsidR="00DF0C7F" w:rsidRPr="00CB1818" w:rsidRDefault="00DF0C7F" w:rsidP="009E7D5E">
            <w:pPr>
              <w:pStyle w:val="TabelleText"/>
            </w:pPr>
            <w:r>
              <w:t>60</w:t>
            </w:r>
          </w:p>
        </w:tc>
        <w:tc>
          <w:tcPr>
            <w:tcW w:w="2127" w:type="dxa"/>
          </w:tcPr>
          <w:p w:rsidR="00DF0C7F" w:rsidRPr="00CB1818" w:rsidRDefault="00DF0C7F" w:rsidP="009E7D5E">
            <w:pPr>
              <w:pStyle w:val="TabelleText"/>
            </w:pPr>
            <w:r>
              <w:t>420</w:t>
            </w:r>
          </w:p>
        </w:tc>
      </w:tr>
    </w:tbl>
    <w:p w:rsidR="00DF0C7F" w:rsidRPr="00CB1818" w:rsidRDefault="00DF0C7F" w:rsidP="005B260B">
      <w:pPr>
        <w:pStyle w:val="Text"/>
        <w:keepNext/>
      </w:pPr>
      <w:r>
        <w:t>(3) Reporting obligations (§ 2 NetzDG): Additional fine proceedings due to new providers</w:t>
      </w:r>
    </w:p>
    <w:p w:rsidR="00DF0C7F" w:rsidRPr="00CB1818" w:rsidRDefault="00DF0C7F" w:rsidP="00392332">
      <w:pPr>
        <w:pStyle w:val="Text"/>
      </w:pPr>
      <w:r>
        <w:t>In addition, it is assumed that, due to § 3e(1) NetzDG, one new video sharing platform service provider is estimated to be subject to the reporting obligations under § 2 NetzDG, so it can be assumed that there will be two new transparency reports to be checked annually. As a precaution, it is also assumed that fine proceedings will have to be carried out once a year on average.</w:t>
      </w:r>
    </w:p>
    <w:p w:rsidR="00DF0C7F" w:rsidRPr="00CB1818" w:rsidRDefault="00DF0C7F" w:rsidP="005B260B">
      <w:pPr>
        <w:pStyle w:val="Text"/>
        <w:keepNext/>
      </w:pPr>
      <w:r>
        <w:t>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0.0654</w:t>
            </w:r>
          </w:p>
        </w:tc>
        <w:tc>
          <w:tcPr>
            <w:tcW w:w="2835" w:type="dxa"/>
          </w:tcPr>
          <w:p w:rsidR="00DF0C7F" w:rsidRPr="00CB1818" w:rsidRDefault="00DF0C7F" w:rsidP="009E7D5E">
            <w:pPr>
              <w:pStyle w:val="TabelleText"/>
            </w:pPr>
            <w:r>
              <w:rPr>
                <w:color w:val="000000"/>
              </w:rPr>
              <w:t>6 457.5</w:t>
            </w:r>
          </w:p>
        </w:tc>
        <w:tc>
          <w:tcPr>
            <w:tcW w:w="2127" w:type="dxa"/>
          </w:tcPr>
          <w:p w:rsidR="00DF0C7F" w:rsidRPr="00CB1818" w:rsidRDefault="00DF0C7F" w:rsidP="009E7D5E">
            <w:pPr>
              <w:pStyle w:val="TabelleText"/>
            </w:pPr>
            <w:r>
              <w:rPr>
                <w:color w:val="000000"/>
              </w:rPr>
              <w:t>6 457.5</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0.0430</w:t>
            </w:r>
          </w:p>
        </w:tc>
        <w:tc>
          <w:tcPr>
            <w:tcW w:w="2835" w:type="dxa"/>
          </w:tcPr>
          <w:p w:rsidR="00DF0C7F" w:rsidRPr="00CB1818" w:rsidRDefault="00DF0C7F" w:rsidP="009E7D5E">
            <w:pPr>
              <w:pStyle w:val="TabelleText"/>
            </w:pPr>
            <w:r>
              <w:rPr>
                <w:color w:val="000000"/>
              </w:rPr>
              <w:t>4 242</w:t>
            </w:r>
          </w:p>
        </w:tc>
        <w:tc>
          <w:tcPr>
            <w:tcW w:w="2127" w:type="dxa"/>
          </w:tcPr>
          <w:p w:rsidR="00DF0C7F" w:rsidRPr="00CB1818" w:rsidRDefault="00DF0C7F" w:rsidP="009E7D5E">
            <w:pPr>
              <w:pStyle w:val="TabelleText"/>
            </w:pPr>
            <w:r>
              <w:rPr>
                <w:color w:val="000000"/>
              </w:rPr>
              <w:t>4 242</w:t>
            </w:r>
          </w:p>
        </w:tc>
      </w:tr>
    </w:tbl>
    <w:p w:rsidR="00DF0C7F" w:rsidRPr="00CB1818" w:rsidRDefault="00DF0C7F" w:rsidP="005B260B">
      <w:pPr>
        <w:pStyle w:val="Text"/>
        <w:keepNext/>
      </w:pPr>
      <w:r>
        <w:lastRenderedPageBreak/>
        <w:t>(4) Reporting obligations (§ 2 NetzDG): Supervisory procedure (content of transparency reports)</w:t>
      </w:r>
    </w:p>
    <w:p w:rsidR="00B32668" w:rsidRPr="00CB1818" w:rsidRDefault="00DF0C7F" w:rsidP="00392332">
      <w:pPr>
        <w:pStyle w:val="Text"/>
      </w:pPr>
      <w:r>
        <w:t>In the future, the Federal Office of Justice will be able to take necessary measures as part of the supervisory authority pursuant to § 4a(2) NetzDG, which includes, in particular, requiring providers to remedy violations. Procedures to that effect are not possible under the existing NetzDG. Therefore, they taken into consideration for the first time for the potentially seven (in the sense of an initial suspicion) providers plus the newly covered large video sharing platform service provider. It is therefore assumed that for eight providers, there will at least be an initial suspicion that there will be a reporting obligation as per § 2 NetzDG, and that eight corresponding supervisory procedures should be assumed annually.</w:t>
      </w:r>
    </w:p>
    <w:p w:rsidR="00DF0C7F" w:rsidRPr="00CB1818" w:rsidRDefault="00DF0C7F" w:rsidP="005B260B">
      <w:pPr>
        <w:pStyle w:val="Text"/>
        <w:keepNext/>
      </w:pPr>
      <w:r>
        <w:t>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0.3624</w:t>
            </w:r>
          </w:p>
        </w:tc>
        <w:tc>
          <w:tcPr>
            <w:tcW w:w="2835" w:type="dxa"/>
          </w:tcPr>
          <w:p w:rsidR="00DF0C7F" w:rsidRPr="00CB1818" w:rsidRDefault="00DF0C7F" w:rsidP="009E7D5E">
            <w:pPr>
              <w:pStyle w:val="TabelleText"/>
            </w:pPr>
            <w:r>
              <w:rPr>
                <w:color w:val="000000"/>
              </w:rPr>
              <w:t>4 470</w:t>
            </w:r>
          </w:p>
        </w:tc>
        <w:tc>
          <w:tcPr>
            <w:tcW w:w="2127" w:type="dxa"/>
          </w:tcPr>
          <w:p w:rsidR="00DF0C7F" w:rsidRPr="00CB1818" w:rsidRDefault="00DF0C7F" w:rsidP="009E7D5E">
            <w:pPr>
              <w:pStyle w:val="TabelleText"/>
            </w:pPr>
            <w:r>
              <w:rPr>
                <w:color w:val="000000"/>
              </w:rPr>
              <w:t>35 760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0.3405</w:t>
            </w:r>
          </w:p>
        </w:tc>
        <w:tc>
          <w:tcPr>
            <w:tcW w:w="2835" w:type="dxa"/>
          </w:tcPr>
          <w:p w:rsidR="00DF0C7F" w:rsidRPr="00CB1818" w:rsidRDefault="00DF0C7F" w:rsidP="009E7D5E">
            <w:pPr>
              <w:pStyle w:val="TabelleText"/>
            </w:pPr>
            <w:r>
              <w:rPr>
                <w:color w:val="000000"/>
              </w:rPr>
              <w:t>4 200</w:t>
            </w:r>
          </w:p>
        </w:tc>
        <w:tc>
          <w:tcPr>
            <w:tcW w:w="2127" w:type="dxa"/>
          </w:tcPr>
          <w:p w:rsidR="00DF0C7F" w:rsidRPr="00CB1818" w:rsidRDefault="00DF0C7F" w:rsidP="009E7D5E">
            <w:pPr>
              <w:pStyle w:val="TabelleText"/>
            </w:pPr>
            <w:r>
              <w:rPr>
                <w:color w:val="000000"/>
              </w:rPr>
              <w:t>33 600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0.1897</w:t>
            </w:r>
          </w:p>
        </w:tc>
        <w:tc>
          <w:tcPr>
            <w:tcW w:w="2835" w:type="dxa"/>
          </w:tcPr>
          <w:p w:rsidR="00DF0C7F" w:rsidRPr="00CB1818" w:rsidRDefault="00DF0C7F" w:rsidP="009E7D5E">
            <w:pPr>
              <w:pStyle w:val="TabelleText"/>
            </w:pPr>
            <w:r>
              <w:rPr>
                <w:color w:val="000000"/>
              </w:rPr>
              <w:t>2 340</w:t>
            </w:r>
          </w:p>
        </w:tc>
        <w:tc>
          <w:tcPr>
            <w:tcW w:w="2127" w:type="dxa"/>
          </w:tcPr>
          <w:p w:rsidR="00DF0C7F" w:rsidRPr="00CB1818" w:rsidRDefault="00DF0C7F" w:rsidP="009E7D5E">
            <w:pPr>
              <w:pStyle w:val="TabelleText"/>
            </w:pPr>
            <w:r>
              <w:rPr>
                <w:color w:val="000000"/>
              </w:rPr>
              <w:t>18 720</w:t>
            </w:r>
          </w:p>
        </w:tc>
      </w:tr>
    </w:tbl>
    <w:p w:rsidR="00DF0C7F" w:rsidRPr="00CB1818" w:rsidRDefault="00DF0C7F" w:rsidP="005B260B">
      <w:pPr>
        <w:pStyle w:val="Text"/>
        <w:keepNext/>
      </w:pPr>
      <w:r>
        <w:t>(5) Reporting obligations (§ 2 NetzDG): Supervisory procedure (publication modalities)</w:t>
      </w:r>
    </w:p>
    <w:p w:rsidR="00DF0C7F" w:rsidRPr="00CB1818" w:rsidRDefault="00DF0C7F" w:rsidP="00CB0BB5">
      <w:pPr>
        <w:pStyle w:val="Text"/>
      </w:pPr>
      <w:r>
        <w:t>Finally, it has to be taken into account that, in the future, the Federal Office of Justice will have to check whether the transparency reports according to § 2(1)(2) NetzDG have been sufficiently published on their own homepage as part of the supervision according to § 4a(2) NetzDG.</w:t>
      </w:r>
    </w:p>
    <w:p w:rsidR="00DF0C7F" w:rsidRPr="00CB1818" w:rsidRDefault="00DF0C7F" w:rsidP="005B260B">
      <w:pPr>
        <w:pStyle w:val="Text"/>
        <w:keepNext/>
      </w:pPr>
      <w:r>
        <w:t>Eight corresponding procedures per year on average are being assumed (according to the under estimated number of cases A. VI. 4. c) bb) (4)). 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0.0973</w:t>
            </w:r>
          </w:p>
        </w:tc>
        <w:tc>
          <w:tcPr>
            <w:tcW w:w="2835" w:type="dxa"/>
          </w:tcPr>
          <w:p w:rsidR="00DF0C7F" w:rsidRPr="00CB1818" w:rsidRDefault="00DF0C7F" w:rsidP="009E7D5E">
            <w:pPr>
              <w:pStyle w:val="TabelleText"/>
            </w:pPr>
            <w:r>
              <w:rPr>
                <w:color w:val="000000"/>
              </w:rPr>
              <w:t>1 200</w:t>
            </w:r>
          </w:p>
        </w:tc>
        <w:tc>
          <w:tcPr>
            <w:tcW w:w="2127" w:type="dxa"/>
          </w:tcPr>
          <w:p w:rsidR="00DF0C7F" w:rsidRPr="00CB1818" w:rsidRDefault="00DF0C7F" w:rsidP="009E7D5E">
            <w:pPr>
              <w:pStyle w:val="TabelleText"/>
            </w:pPr>
            <w:r>
              <w:rPr>
                <w:color w:val="000000"/>
              </w:rPr>
              <w:t>9 600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0.0803</w:t>
            </w:r>
          </w:p>
        </w:tc>
        <w:tc>
          <w:tcPr>
            <w:tcW w:w="2835" w:type="dxa"/>
          </w:tcPr>
          <w:p w:rsidR="00DF0C7F" w:rsidRPr="00CB1818" w:rsidRDefault="00DF0C7F" w:rsidP="009E7D5E">
            <w:pPr>
              <w:pStyle w:val="TabelleText"/>
            </w:pPr>
            <w:r>
              <w:rPr>
                <w:color w:val="000000"/>
              </w:rPr>
              <w:t>990</w:t>
            </w:r>
          </w:p>
        </w:tc>
        <w:tc>
          <w:tcPr>
            <w:tcW w:w="2127" w:type="dxa"/>
          </w:tcPr>
          <w:p w:rsidR="00DF0C7F" w:rsidRPr="00CB1818" w:rsidRDefault="00DF0C7F" w:rsidP="009E7D5E">
            <w:pPr>
              <w:pStyle w:val="TabelleText"/>
            </w:pPr>
            <w:r>
              <w:rPr>
                <w:color w:val="000000"/>
              </w:rPr>
              <w:t>7 920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0.0486</w:t>
            </w:r>
          </w:p>
        </w:tc>
        <w:tc>
          <w:tcPr>
            <w:tcW w:w="2835" w:type="dxa"/>
          </w:tcPr>
          <w:p w:rsidR="00DF0C7F" w:rsidRPr="00CB1818" w:rsidRDefault="00DF0C7F" w:rsidP="009E7D5E">
            <w:pPr>
              <w:pStyle w:val="TabelleText"/>
            </w:pPr>
            <w:r>
              <w:rPr>
                <w:color w:val="000000"/>
              </w:rPr>
              <w:t>600</w:t>
            </w:r>
          </w:p>
        </w:tc>
        <w:tc>
          <w:tcPr>
            <w:tcW w:w="2127" w:type="dxa"/>
          </w:tcPr>
          <w:p w:rsidR="00DF0C7F" w:rsidRPr="00CB1818" w:rsidRDefault="00DF0C7F" w:rsidP="009E7D5E">
            <w:pPr>
              <w:pStyle w:val="TabelleText"/>
            </w:pPr>
            <w:r>
              <w:rPr>
                <w:color w:val="000000"/>
              </w:rPr>
              <w:t>4 800</w:t>
            </w:r>
          </w:p>
        </w:tc>
      </w:tr>
    </w:tbl>
    <w:p w:rsidR="00DF0C7F" w:rsidRPr="00CB1818" w:rsidRDefault="00DF0C7F" w:rsidP="005B260B">
      <w:pPr>
        <w:pStyle w:val="Text"/>
        <w:keepNext/>
      </w:pPr>
      <w:r>
        <w:t>(6) Procedure for submitting complaints about unlawful content (§ 3(1)(2) NetzDG): Additional fine proceedings for newly covered providers</w:t>
      </w:r>
    </w:p>
    <w:p w:rsidR="00DF0C7F" w:rsidRPr="00CB1818" w:rsidRDefault="00DF0C7F" w:rsidP="00CB0BB5">
      <w:pPr>
        <w:pStyle w:val="Text"/>
      </w:pPr>
      <w:r>
        <w:t>It is estimated that one large video sharing platform service will be newly covered by § 3e NetzDG which is not exempt from the obligations as per § 1(2) NetzDG in accordance with § 3(1)(2) NetzDG. In addition, it is estimated that three (small) German providers will be covered for the first time, who, even with fewer than two million registered users in Germany, must meet the requirements of § 3(1)(2) NetzDG.</w:t>
      </w:r>
    </w:p>
    <w:p w:rsidR="00DF0C7F" w:rsidRPr="00CB1818" w:rsidRDefault="00DF0C7F" w:rsidP="00CB0BB5">
      <w:pPr>
        <w:pStyle w:val="Text"/>
      </w:pPr>
      <w:r>
        <w:t>Failure to comply with the relevant requirements can result in fine proceedings pursuant to § 4(1)(3) NetzDG. Taking into account the above explanations on the prognosticated number of fine proceedings under the NetzDG, an average of two additional proceedings per year is assumed.</w:t>
      </w:r>
    </w:p>
    <w:p w:rsidR="00DF0C7F" w:rsidRPr="00CB1818" w:rsidRDefault="00DF0C7F" w:rsidP="005B260B">
      <w:pPr>
        <w:pStyle w:val="Text"/>
        <w:keepNext/>
      </w:pPr>
      <w:r>
        <w:lastRenderedPageBreak/>
        <w:t>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2</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0.0906</w:t>
            </w:r>
          </w:p>
        </w:tc>
        <w:tc>
          <w:tcPr>
            <w:tcW w:w="2835" w:type="dxa"/>
          </w:tcPr>
          <w:p w:rsidR="00DF0C7F" w:rsidRPr="00CB1818" w:rsidRDefault="00DF0C7F" w:rsidP="009E7D5E">
            <w:pPr>
              <w:pStyle w:val="TabelleText"/>
            </w:pPr>
            <w:r>
              <w:rPr>
                <w:color w:val="000000"/>
              </w:rPr>
              <w:t>4 470</w:t>
            </w:r>
          </w:p>
        </w:tc>
        <w:tc>
          <w:tcPr>
            <w:tcW w:w="2127" w:type="dxa"/>
          </w:tcPr>
          <w:p w:rsidR="00DF0C7F" w:rsidRPr="00CB1818" w:rsidRDefault="00DF0C7F" w:rsidP="009E7D5E">
            <w:pPr>
              <w:pStyle w:val="TabelleText"/>
            </w:pPr>
            <w:r>
              <w:rPr>
                <w:color w:val="000000"/>
              </w:rPr>
              <w:t>8 940</w:t>
            </w:r>
          </w:p>
        </w:tc>
      </w:tr>
      <w:tr w:rsidR="00DF0C7F" w:rsidRPr="00CB1818" w:rsidTr="009E7D5E">
        <w:tc>
          <w:tcPr>
            <w:tcW w:w="988" w:type="dxa"/>
          </w:tcPr>
          <w:p w:rsidR="00DF0C7F" w:rsidRPr="00CB1818" w:rsidRDefault="00DF0C7F" w:rsidP="009E7D5E">
            <w:pPr>
              <w:pStyle w:val="TabelleText"/>
            </w:pPr>
            <w:r>
              <w:t>2</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0.0851</w:t>
            </w:r>
          </w:p>
        </w:tc>
        <w:tc>
          <w:tcPr>
            <w:tcW w:w="2835" w:type="dxa"/>
          </w:tcPr>
          <w:p w:rsidR="00DF0C7F" w:rsidRPr="00CB1818" w:rsidRDefault="00DF0C7F" w:rsidP="009E7D5E">
            <w:pPr>
              <w:pStyle w:val="TabelleText"/>
            </w:pPr>
            <w:r>
              <w:rPr>
                <w:color w:val="000000"/>
              </w:rPr>
              <w:t>4 200</w:t>
            </w:r>
          </w:p>
        </w:tc>
        <w:tc>
          <w:tcPr>
            <w:tcW w:w="2127" w:type="dxa"/>
          </w:tcPr>
          <w:p w:rsidR="00DF0C7F" w:rsidRPr="00CB1818" w:rsidRDefault="00DF0C7F" w:rsidP="009E7D5E">
            <w:pPr>
              <w:pStyle w:val="TabelleText"/>
            </w:pPr>
            <w:r>
              <w:rPr>
                <w:color w:val="000000"/>
              </w:rPr>
              <w:t>8 400</w:t>
            </w:r>
          </w:p>
        </w:tc>
      </w:tr>
      <w:tr w:rsidR="00DF0C7F" w:rsidRPr="00CB1818" w:rsidTr="009E7D5E">
        <w:tc>
          <w:tcPr>
            <w:tcW w:w="988" w:type="dxa"/>
          </w:tcPr>
          <w:p w:rsidR="00DF0C7F" w:rsidRPr="00CB1818" w:rsidRDefault="00DF0C7F" w:rsidP="009E7D5E">
            <w:pPr>
              <w:pStyle w:val="TabelleText"/>
            </w:pPr>
            <w:r>
              <w:t>2</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0.0474</w:t>
            </w:r>
          </w:p>
        </w:tc>
        <w:tc>
          <w:tcPr>
            <w:tcW w:w="2835" w:type="dxa"/>
          </w:tcPr>
          <w:p w:rsidR="00DF0C7F" w:rsidRPr="00CB1818" w:rsidRDefault="00DF0C7F" w:rsidP="009E7D5E">
            <w:pPr>
              <w:pStyle w:val="TabelleText"/>
            </w:pPr>
            <w:r>
              <w:rPr>
                <w:color w:val="000000"/>
              </w:rPr>
              <w:t>2 340</w:t>
            </w:r>
          </w:p>
        </w:tc>
        <w:tc>
          <w:tcPr>
            <w:tcW w:w="2127" w:type="dxa"/>
          </w:tcPr>
          <w:p w:rsidR="00DF0C7F" w:rsidRPr="00CB1818" w:rsidRDefault="00DF0C7F" w:rsidP="009E7D5E">
            <w:pPr>
              <w:pStyle w:val="TabelleText"/>
            </w:pPr>
            <w:r>
              <w:rPr>
                <w:color w:val="000000"/>
              </w:rPr>
              <w:t>4 680</w:t>
            </w:r>
          </w:p>
        </w:tc>
      </w:tr>
    </w:tbl>
    <w:p w:rsidR="00DF0C7F" w:rsidRPr="00CB1818" w:rsidRDefault="00DF0C7F" w:rsidP="005B260B">
      <w:pPr>
        <w:pStyle w:val="Text"/>
        <w:keepNext/>
      </w:pPr>
      <w:r>
        <w:t>(7) Procedure for submitting complaints about unlawful content (§ 3(1)(2) NetzDG): Supervisory procedure</w:t>
      </w:r>
    </w:p>
    <w:p w:rsidR="00DF0C7F" w:rsidRPr="00CB1818" w:rsidRDefault="00DF0C7F" w:rsidP="00CB0BB5">
      <w:pPr>
        <w:pStyle w:val="Text"/>
      </w:pPr>
      <w:r>
        <w:t>In addition, the Federal Office of Justice will in the future have to take the necessary measures in accordance with § 4a(2) NetzDG as part of its function as a supervisory authority, including, in particular, requiring providers to remedy violations of § 3(1)(2) NetzDG.</w:t>
      </w:r>
    </w:p>
    <w:p w:rsidR="00CB0BB5" w:rsidRPr="00CB1818" w:rsidRDefault="00CB0BB5" w:rsidP="00CB0BB5">
      <w:pPr>
        <w:pStyle w:val="Text"/>
      </w:pPr>
      <w:r>
        <w:t xml:space="preserve">It is assumed that in the future the requirement will potentially have to be met by </w:t>
      </w:r>
      <w:r w:rsidR="002C2CBC">
        <w:t>11</w:t>
      </w:r>
      <w:r>
        <w:t xml:space="preserve"> providers or that the Federal Office of Justice will see sufficient initial suspicion in many cases (potentially seven previously covered providers, one covered registered large and three newly covered small video sharing platform service providers).</w:t>
      </w:r>
    </w:p>
    <w:p w:rsidR="00DF0C7F" w:rsidRPr="00CB1818" w:rsidRDefault="00DF0C7F" w:rsidP="005B260B">
      <w:pPr>
        <w:pStyle w:val="Text"/>
        <w:keepNext/>
      </w:pPr>
      <w:r>
        <w:t>According to an estimate by the Federal Office of Justice, this results in the additional costs shown below:</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0.9631</w:t>
            </w:r>
          </w:p>
        </w:tc>
        <w:tc>
          <w:tcPr>
            <w:tcW w:w="2835" w:type="dxa"/>
          </w:tcPr>
          <w:p w:rsidR="00DF0C7F" w:rsidRPr="00CB1818" w:rsidRDefault="00DF0C7F" w:rsidP="009E7D5E">
            <w:pPr>
              <w:pStyle w:val="TabelleText"/>
            </w:pPr>
            <w:r>
              <w:rPr>
                <w:color w:val="000000"/>
              </w:rPr>
              <w:t>8 640</w:t>
            </w:r>
          </w:p>
        </w:tc>
        <w:tc>
          <w:tcPr>
            <w:tcW w:w="2127" w:type="dxa"/>
          </w:tcPr>
          <w:p w:rsidR="00DF0C7F" w:rsidRPr="00CB1818" w:rsidRDefault="00DF0C7F" w:rsidP="009E7D5E">
            <w:pPr>
              <w:pStyle w:val="TabelleText"/>
            </w:pPr>
            <w:r>
              <w:rPr>
                <w:color w:val="000000"/>
              </w:rPr>
              <w:t>95 040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0.4648</w:t>
            </w:r>
          </w:p>
        </w:tc>
        <w:tc>
          <w:tcPr>
            <w:tcW w:w="2835" w:type="dxa"/>
          </w:tcPr>
          <w:p w:rsidR="00DF0C7F" w:rsidRPr="00CB1818" w:rsidRDefault="00DF0C7F" w:rsidP="009E7D5E">
            <w:pPr>
              <w:pStyle w:val="TabelleText"/>
            </w:pPr>
            <w:r>
              <w:rPr>
                <w:color w:val="000000"/>
              </w:rPr>
              <w:t>4 170</w:t>
            </w:r>
          </w:p>
        </w:tc>
        <w:tc>
          <w:tcPr>
            <w:tcW w:w="2127" w:type="dxa"/>
          </w:tcPr>
          <w:p w:rsidR="00DF0C7F" w:rsidRPr="00CB1818" w:rsidRDefault="00DF0C7F" w:rsidP="009E7D5E">
            <w:pPr>
              <w:pStyle w:val="TabelleText"/>
            </w:pPr>
            <w:r>
              <w:rPr>
                <w:color w:val="000000"/>
              </w:rPr>
              <w:t>45 870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0.2608</w:t>
            </w:r>
          </w:p>
        </w:tc>
        <w:tc>
          <w:tcPr>
            <w:tcW w:w="2835" w:type="dxa"/>
          </w:tcPr>
          <w:p w:rsidR="00DF0C7F" w:rsidRPr="00CB1818" w:rsidRDefault="00DF0C7F" w:rsidP="009E7D5E">
            <w:pPr>
              <w:pStyle w:val="TabelleText"/>
            </w:pPr>
            <w:r>
              <w:rPr>
                <w:color w:val="000000"/>
              </w:rPr>
              <w:t>2 340</w:t>
            </w:r>
          </w:p>
        </w:tc>
        <w:tc>
          <w:tcPr>
            <w:tcW w:w="2127" w:type="dxa"/>
          </w:tcPr>
          <w:p w:rsidR="00DF0C7F" w:rsidRPr="00CB1818" w:rsidRDefault="00DF0C7F" w:rsidP="009E7D5E">
            <w:pPr>
              <w:pStyle w:val="TabelleText"/>
            </w:pPr>
            <w:r>
              <w:rPr>
                <w:color w:val="000000"/>
              </w:rPr>
              <w:t>2 5740</w:t>
            </w:r>
          </w:p>
        </w:tc>
      </w:tr>
    </w:tbl>
    <w:p w:rsidR="00DF0C7F" w:rsidRPr="00CB1818" w:rsidRDefault="00DF0C7F" w:rsidP="005B260B">
      <w:pPr>
        <w:pStyle w:val="Text"/>
        <w:keepNext/>
      </w:pPr>
      <w:r>
        <w:t>(8) Handling complaints about unlawful content (§ 3(1)(1) NetzDG): Additional individual reports (remove/block)</w:t>
      </w:r>
    </w:p>
    <w:p w:rsidR="00DF0C7F" w:rsidRPr="00CB1818" w:rsidRDefault="00DF0C7F" w:rsidP="00CB0BB5">
      <w:pPr>
        <w:pStyle w:val="Text"/>
      </w:pPr>
      <w:r>
        <w:t>It is assumed that, in the future, one more video sharing platform service provider as well as three small domestic providers as per § 3e(1)(2) or (3) in conjunction with § 3(1)(1) NetzDG will be an effective and transparent procedure for dealing with complaints about unlawful content.</w:t>
      </w:r>
    </w:p>
    <w:p w:rsidR="00DF0C7F" w:rsidRPr="00CB1818" w:rsidRDefault="00DF0C7F" w:rsidP="00CB0BB5">
      <w:pPr>
        <w:pStyle w:val="Text"/>
      </w:pPr>
      <w:r>
        <w:t>Therefore, an increase in the number of reports to the Federal Office of Justice can be assumed due to the fact that the complainants wrongly failed to remove content. A moderate increase of 10 per cent is estimated here in comparison with the corresponding individual reports received so far (in 2018: 684; in 2019: 518), i.e. by 60 cases (rounded).</w:t>
      </w:r>
    </w:p>
    <w:p w:rsidR="00DF0C7F" w:rsidRPr="00CB1818" w:rsidRDefault="00DF0C7F" w:rsidP="005B260B">
      <w:pPr>
        <w:pStyle w:val="Text"/>
        <w:keepNext/>
      </w:pPr>
      <w:r>
        <w:t>According to an estimate by the Federal Office of Justice, this results in the additional costs shown below because of the need to examine these individual cases: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60</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0.3283</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32 400</w:t>
            </w:r>
          </w:p>
        </w:tc>
      </w:tr>
      <w:tr w:rsidR="00DF0C7F" w:rsidRPr="00CB1818" w:rsidTr="009E7D5E">
        <w:tc>
          <w:tcPr>
            <w:tcW w:w="988" w:type="dxa"/>
          </w:tcPr>
          <w:p w:rsidR="00DF0C7F" w:rsidRPr="00CB1818" w:rsidRDefault="00DF0C7F" w:rsidP="009E7D5E">
            <w:pPr>
              <w:pStyle w:val="TabelleText"/>
            </w:pPr>
            <w:r>
              <w:rPr>
                <w:color w:val="000000"/>
              </w:rPr>
              <w:lastRenderedPageBreak/>
              <w:t>60</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0.3648</w:t>
            </w:r>
          </w:p>
        </w:tc>
        <w:tc>
          <w:tcPr>
            <w:tcW w:w="2835" w:type="dxa"/>
          </w:tcPr>
          <w:p w:rsidR="00DF0C7F" w:rsidRPr="00CB1818" w:rsidRDefault="00DF0C7F" w:rsidP="009E7D5E">
            <w:pPr>
              <w:pStyle w:val="TabelleText"/>
            </w:pPr>
            <w:r>
              <w:rPr>
                <w:color w:val="000000"/>
              </w:rPr>
              <w:t>600</w:t>
            </w:r>
          </w:p>
        </w:tc>
        <w:tc>
          <w:tcPr>
            <w:tcW w:w="2127" w:type="dxa"/>
          </w:tcPr>
          <w:p w:rsidR="00DF0C7F" w:rsidRPr="00CB1818" w:rsidRDefault="00DF0C7F" w:rsidP="009E7D5E">
            <w:pPr>
              <w:pStyle w:val="TabelleText"/>
            </w:pPr>
            <w:r>
              <w:rPr>
                <w:color w:val="000000"/>
              </w:rPr>
              <w:t>36 000</w:t>
            </w:r>
          </w:p>
        </w:tc>
      </w:tr>
      <w:tr w:rsidR="00DF0C7F" w:rsidRPr="00CB1818" w:rsidTr="009E7D5E">
        <w:tc>
          <w:tcPr>
            <w:tcW w:w="988" w:type="dxa"/>
          </w:tcPr>
          <w:p w:rsidR="00DF0C7F" w:rsidRPr="00CB1818" w:rsidRDefault="00DF0C7F" w:rsidP="009E7D5E">
            <w:pPr>
              <w:pStyle w:val="TabelleText"/>
            </w:pPr>
            <w:r>
              <w:rPr>
                <w:color w:val="000000"/>
              </w:rPr>
              <w:t>60</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0.1094</w:t>
            </w:r>
          </w:p>
        </w:tc>
        <w:tc>
          <w:tcPr>
            <w:tcW w:w="2835" w:type="dxa"/>
          </w:tcPr>
          <w:p w:rsidR="00DF0C7F" w:rsidRPr="00CB1818" w:rsidRDefault="00DF0C7F" w:rsidP="009E7D5E">
            <w:pPr>
              <w:pStyle w:val="TabelleText"/>
            </w:pPr>
            <w:r>
              <w:rPr>
                <w:color w:val="000000"/>
              </w:rPr>
              <w:t>180</w:t>
            </w:r>
          </w:p>
        </w:tc>
        <w:tc>
          <w:tcPr>
            <w:tcW w:w="2127" w:type="dxa"/>
          </w:tcPr>
          <w:p w:rsidR="00DF0C7F" w:rsidRPr="00CB1818" w:rsidRDefault="00DF0C7F" w:rsidP="009E7D5E">
            <w:pPr>
              <w:pStyle w:val="TabelleText"/>
            </w:pPr>
            <w:r>
              <w:rPr>
                <w:color w:val="000000"/>
              </w:rPr>
              <w:t>10 800</w:t>
            </w:r>
          </w:p>
        </w:tc>
      </w:tr>
    </w:tbl>
    <w:p w:rsidR="00DF0C7F" w:rsidRPr="00CB1818" w:rsidRDefault="00DF0C7F" w:rsidP="005B260B">
      <w:pPr>
        <w:pStyle w:val="Text"/>
        <w:keepNext/>
      </w:pPr>
      <w:r>
        <w:t>(9) Handling complaints about unlawful content (§ 3(1)(1) NetzDG): Additional systemic failure checks (remove/lock)</w:t>
      </w:r>
    </w:p>
    <w:p w:rsidR="00DF0C7F" w:rsidRPr="00CB1818" w:rsidRDefault="00DF0C7F" w:rsidP="00FC02C7">
      <w:pPr>
        <w:pStyle w:val="Text"/>
      </w:pPr>
      <w:r>
        <w:t>The Federal Office of Justice has already been reviewing whether individual reports on content that has not been removed or that has not been blocked are indications of a systemic failure to handle complaints about unlawful content, so that a violation of the organisational obligation as per § 3(1)(1) NetzDG comes into consideration.</w:t>
      </w:r>
    </w:p>
    <w:p w:rsidR="00DF0C7F" w:rsidRPr="00CB1818" w:rsidRDefault="00DF0C7F" w:rsidP="00FC02C7">
      <w:pPr>
        <w:pStyle w:val="Text"/>
      </w:pPr>
      <w:r>
        <w:t>It is estimated that, based on an additional 60 individual reports that content has not been removed or blocked, it is estimated that every two years there will be indications of systemic failure in the decision as to whether to remove or block content, and that a corresponding check will have to be carried out.</w:t>
      </w:r>
    </w:p>
    <w:p w:rsidR="00DF0C7F" w:rsidRPr="00CB1818" w:rsidRDefault="00DF0C7F" w:rsidP="005B260B">
      <w:pPr>
        <w:pStyle w:val="Text"/>
        <w:keepNext/>
      </w:pPr>
      <w:r>
        <w:t>According to an estimate by the Federal Office of Justice, this results in the additional costs shown below because of the need to examine these individual cases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rPr>
                <w:color w:val="000000"/>
              </w:rPr>
            </w:pPr>
            <w:r>
              <w:rPr>
                <w:color w:val="000000"/>
              </w:rPr>
              <w:t>0.5</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0.0142</w:t>
            </w:r>
          </w:p>
        </w:tc>
        <w:tc>
          <w:tcPr>
            <w:tcW w:w="2835" w:type="dxa"/>
          </w:tcPr>
          <w:p w:rsidR="00DF0C7F" w:rsidRPr="00CB1818" w:rsidRDefault="00DF0C7F" w:rsidP="009E7D5E">
            <w:pPr>
              <w:pStyle w:val="TabelleText"/>
            </w:pPr>
            <w:r>
              <w:rPr>
                <w:color w:val="000000"/>
              </w:rPr>
              <w:t>2 800</w:t>
            </w:r>
          </w:p>
        </w:tc>
        <w:tc>
          <w:tcPr>
            <w:tcW w:w="2127" w:type="dxa"/>
          </w:tcPr>
          <w:p w:rsidR="00DF0C7F" w:rsidRPr="00CB1818" w:rsidRDefault="00DF0C7F" w:rsidP="009E7D5E">
            <w:pPr>
              <w:pStyle w:val="TabelleText"/>
            </w:pPr>
            <w:r>
              <w:rPr>
                <w:color w:val="000000"/>
              </w:rPr>
              <w:t>1 400</w:t>
            </w:r>
          </w:p>
        </w:tc>
      </w:tr>
      <w:tr w:rsidR="00DF0C7F" w:rsidRPr="00CB1818" w:rsidTr="009E7D5E">
        <w:tc>
          <w:tcPr>
            <w:tcW w:w="988" w:type="dxa"/>
          </w:tcPr>
          <w:p w:rsidR="00DF0C7F" w:rsidRPr="00CB1818" w:rsidRDefault="00DF0C7F" w:rsidP="009E7D5E">
            <w:pPr>
              <w:pStyle w:val="TabelleText"/>
              <w:rPr>
                <w:color w:val="000000"/>
              </w:rPr>
            </w:pPr>
            <w:r>
              <w:rPr>
                <w:color w:val="000000"/>
              </w:rPr>
              <w:t>0.5</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0.0027</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270</w:t>
            </w:r>
          </w:p>
        </w:tc>
      </w:tr>
      <w:tr w:rsidR="00DF0C7F" w:rsidRPr="00CB1818" w:rsidTr="009E7D5E">
        <w:tc>
          <w:tcPr>
            <w:tcW w:w="988" w:type="dxa"/>
          </w:tcPr>
          <w:p w:rsidR="00DF0C7F" w:rsidRPr="00CB1818" w:rsidRDefault="00DF0C7F" w:rsidP="009E7D5E">
            <w:pPr>
              <w:pStyle w:val="TabelleText"/>
            </w:pPr>
            <w:r>
              <w:rPr>
                <w:color w:val="000000"/>
              </w:rPr>
              <w:t>0.5</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0.0023</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pPr>
            <w:r>
              <w:rPr>
                <w:color w:val="000000"/>
              </w:rPr>
              <w:t>225</w:t>
            </w:r>
          </w:p>
        </w:tc>
      </w:tr>
    </w:tbl>
    <w:p w:rsidR="00DF0C7F" w:rsidRPr="00CB1818" w:rsidRDefault="00DF0C7F" w:rsidP="005B260B">
      <w:pPr>
        <w:pStyle w:val="Text"/>
        <w:keepNext/>
      </w:pPr>
      <w:r>
        <w:t>(10) Handling complaints about unlawful content (§ 3(1)(1) NetzDG): Additional individual reports (new notice obligations)</w:t>
      </w:r>
    </w:p>
    <w:p w:rsidR="00DF0C7F" w:rsidRPr="00CB1818" w:rsidRDefault="00DF0C7F" w:rsidP="00FC02C7">
      <w:pPr>
        <w:pStyle w:val="Text"/>
      </w:pPr>
      <w:r>
        <w:t>Due to the additions to § 3(2)(2)(5)(b) NetzDG (obligation to give notice of the possibility of an appeal) as well as § 3(2)(2)(5)(c) NetzDG (notice of the possibility of filing a notice of an offence), the Federal Office of Justice will receive additional individual reports, according to which providers would have violated these very requirements. Since it is more a matter of supplementary obligations, the number of individual reports (estimated: 50 each per year) is assumed to be rather low.</w:t>
      </w:r>
    </w:p>
    <w:p w:rsidR="00DF0C7F" w:rsidRPr="00CB1818" w:rsidRDefault="00DF0C7F" w:rsidP="005B260B">
      <w:pPr>
        <w:pStyle w:val="Text"/>
        <w:keepNext/>
      </w:pPr>
      <w:r>
        <w:t>According to an estimate by the Federal Office of Justice, this results in the additional costs shown below because of the need to examine these individual cases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100</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0.4864</w:t>
            </w:r>
          </w:p>
        </w:tc>
        <w:tc>
          <w:tcPr>
            <w:tcW w:w="2835" w:type="dxa"/>
          </w:tcPr>
          <w:p w:rsidR="00DF0C7F" w:rsidRPr="00CB1818" w:rsidRDefault="00DF0C7F" w:rsidP="009E7D5E">
            <w:pPr>
              <w:pStyle w:val="TabelleText"/>
            </w:pPr>
            <w:r>
              <w:rPr>
                <w:color w:val="000000"/>
              </w:rPr>
              <w:t>480</w:t>
            </w:r>
          </w:p>
        </w:tc>
        <w:tc>
          <w:tcPr>
            <w:tcW w:w="2127" w:type="dxa"/>
          </w:tcPr>
          <w:p w:rsidR="00DF0C7F" w:rsidRPr="00CB1818" w:rsidRDefault="00DF0C7F" w:rsidP="009E7D5E">
            <w:pPr>
              <w:pStyle w:val="TabelleText"/>
            </w:pPr>
            <w:r>
              <w:rPr>
                <w:color w:val="000000"/>
              </w:rPr>
              <w:t>48 000</w:t>
            </w:r>
          </w:p>
        </w:tc>
      </w:tr>
      <w:tr w:rsidR="00DF0C7F" w:rsidRPr="00CB1818" w:rsidTr="009E7D5E">
        <w:tc>
          <w:tcPr>
            <w:tcW w:w="988" w:type="dxa"/>
          </w:tcPr>
          <w:p w:rsidR="00DF0C7F" w:rsidRPr="00CB1818" w:rsidRDefault="00DF0C7F" w:rsidP="009E7D5E">
            <w:pPr>
              <w:pStyle w:val="TabelleText"/>
            </w:pPr>
            <w:r>
              <w:rPr>
                <w:color w:val="000000"/>
              </w:rPr>
              <w:t>100</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0.5472</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54 000</w:t>
            </w:r>
          </w:p>
        </w:tc>
      </w:tr>
      <w:tr w:rsidR="00DF0C7F" w:rsidRPr="00CB1818" w:rsidTr="009E7D5E">
        <w:tc>
          <w:tcPr>
            <w:tcW w:w="988" w:type="dxa"/>
          </w:tcPr>
          <w:p w:rsidR="00DF0C7F" w:rsidRPr="00CB1818" w:rsidRDefault="00DF0C7F" w:rsidP="009E7D5E">
            <w:pPr>
              <w:pStyle w:val="TabelleText"/>
            </w:pPr>
            <w:r>
              <w:rPr>
                <w:color w:val="000000"/>
              </w:rPr>
              <w:t>100</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0.1824</w:t>
            </w:r>
          </w:p>
        </w:tc>
        <w:tc>
          <w:tcPr>
            <w:tcW w:w="2835" w:type="dxa"/>
          </w:tcPr>
          <w:p w:rsidR="00DF0C7F" w:rsidRPr="00CB1818" w:rsidRDefault="00DF0C7F" w:rsidP="009E7D5E">
            <w:pPr>
              <w:pStyle w:val="TabelleText"/>
            </w:pPr>
            <w:r>
              <w:rPr>
                <w:color w:val="000000"/>
              </w:rPr>
              <w:t>180</w:t>
            </w:r>
          </w:p>
        </w:tc>
        <w:tc>
          <w:tcPr>
            <w:tcW w:w="2127" w:type="dxa"/>
          </w:tcPr>
          <w:p w:rsidR="00DF0C7F" w:rsidRPr="00CB1818" w:rsidRDefault="00DF0C7F" w:rsidP="009E7D5E">
            <w:pPr>
              <w:pStyle w:val="TabelleText"/>
            </w:pPr>
            <w:r>
              <w:rPr>
                <w:color w:val="000000"/>
              </w:rPr>
              <w:t>18 000</w:t>
            </w:r>
          </w:p>
        </w:tc>
      </w:tr>
    </w:tbl>
    <w:p w:rsidR="00A57EE4" w:rsidRPr="00CB1818" w:rsidRDefault="00DF0C7F" w:rsidP="005B260B">
      <w:pPr>
        <w:pStyle w:val="Text"/>
        <w:keepNext/>
      </w:pPr>
      <w:r>
        <w:t>(11) Handling complaints about unlawful content (§ 3(1)(1) NetzDG): Additional systemic failure checks (new notice obligations)</w:t>
      </w:r>
    </w:p>
    <w:p w:rsidR="00A57EE4" w:rsidRPr="00CB1818" w:rsidRDefault="00DF0C7F" w:rsidP="005B260B">
      <w:pPr>
        <w:keepNext/>
        <w:rPr>
          <w:rFonts w:eastAsia="Arial"/>
        </w:rPr>
      </w:pPr>
      <w:r>
        <w:t xml:space="preserve">In addition, there may be indications that the new notice obligations pursuant to § 3(2)(2)(5)(b) and (c) NetzDG have been violated in a systematic manner, meaning that a violation of § 3(1)(1) NetzDG may be at hand and that the Federal Office of Justice may need to take action on the basis of § 4a(2) NetzDG (supervision) or on the basis of </w:t>
      </w:r>
      <w:r>
        <w:lastRenderedPageBreak/>
        <w:t>§ 4(1)(2) NetzDG (administrative offence). According to the assumption of only a few estimated individual reports (see above), i.e. a few only a few indications to be checked for systemic failure, it is assumed that every new notice obligation may result in a systemic failure to be checked every two years, meaning that there is an average of one case each year, which results in the following additional costs: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0.0284</w:t>
            </w:r>
          </w:p>
        </w:tc>
        <w:tc>
          <w:tcPr>
            <w:tcW w:w="2835" w:type="dxa"/>
          </w:tcPr>
          <w:p w:rsidR="00DF0C7F" w:rsidRPr="00CB1818" w:rsidRDefault="00DF0C7F" w:rsidP="009E7D5E">
            <w:pPr>
              <w:pStyle w:val="TabelleText"/>
            </w:pPr>
            <w:r>
              <w:rPr>
                <w:color w:val="000000"/>
              </w:rPr>
              <w:t>2 800</w:t>
            </w:r>
          </w:p>
        </w:tc>
        <w:tc>
          <w:tcPr>
            <w:tcW w:w="2127" w:type="dxa"/>
          </w:tcPr>
          <w:p w:rsidR="00DF0C7F" w:rsidRPr="00CB1818" w:rsidRDefault="00DF0C7F" w:rsidP="009E7D5E">
            <w:pPr>
              <w:pStyle w:val="TabelleText"/>
              <w:rPr>
                <w:highlight w:val="yellow"/>
              </w:rPr>
            </w:pPr>
            <w:r>
              <w:rPr>
                <w:color w:val="000000"/>
              </w:rPr>
              <w:t>2 800</w:t>
            </w:r>
          </w:p>
        </w:tc>
      </w:tr>
      <w:tr w:rsidR="00DF0C7F" w:rsidRPr="00CB1818" w:rsidTr="009E7D5E">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0.0055</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rPr>
                <w:highlight w:val="yellow"/>
              </w:rPr>
            </w:pPr>
            <w:r>
              <w:rPr>
                <w:color w:val="000000"/>
              </w:rPr>
              <w:t>540</w:t>
            </w:r>
          </w:p>
        </w:tc>
      </w:tr>
      <w:tr w:rsidR="00DF0C7F" w:rsidRPr="00CB1818" w:rsidTr="009E7D5E">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0.0046</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rPr>
                <w:highlight w:val="yellow"/>
              </w:rPr>
            </w:pPr>
            <w:r>
              <w:rPr>
                <w:color w:val="000000"/>
              </w:rPr>
              <w:t>450</w:t>
            </w:r>
          </w:p>
        </w:tc>
      </w:tr>
    </w:tbl>
    <w:p w:rsidR="00DF0C7F" w:rsidRPr="00CB1818" w:rsidRDefault="00DF0C7F" w:rsidP="005B260B">
      <w:pPr>
        <w:pStyle w:val="Text"/>
        <w:keepNext/>
      </w:pPr>
      <w:r>
        <w:t>(12) Handling complaints about unlawful content (§ 3(1)(1) NetzDG): Supervisory procedure</w:t>
      </w:r>
    </w:p>
    <w:p w:rsidR="00DF0C7F" w:rsidRPr="00CB1818" w:rsidRDefault="00DF0C7F" w:rsidP="00565385">
      <w:pPr>
        <w:pStyle w:val="Text"/>
      </w:pPr>
      <w:r>
        <w:t xml:space="preserve">It is estimated that on average supervisory procedures (§ 4a(2) NetzDG) will have to be initiated in </w:t>
      </w:r>
      <w:r w:rsidR="002C2CBC">
        <w:t>11</w:t>
      </w:r>
      <w:r>
        <w:t xml:space="preserve"> cases each year concerning the obligation to have an effective and transparent procedure for handling complaints about unlawful content (§ 3e(1) and (2) and/or (3) in conjunction with § 3(1)(1) NetzDG). This is based on the estimate that with eight large providers (seven potentially large providers previously covered and one newly covered large provider), there may be am initial suspicion that they offer a social network and/or video sharing platform service without being exempt from the obligation as per § 3 NetzDG in accordance with § 1(2) NetzDG. In addition, it is estimated that three small providers will have to implement § 3 NetzDG in some cases on the basis of § 3e(2) NetzDG.</w:t>
      </w:r>
    </w:p>
    <w:p w:rsidR="00DF0C7F" w:rsidRPr="00CB1818" w:rsidRDefault="00DF0C7F" w:rsidP="005B260B">
      <w:pPr>
        <w:pStyle w:val="Text"/>
        <w:keepNext/>
      </w:pPr>
      <w:r>
        <w:t>The corresponding procedures are complex because they require a review of the organisational implementation of the requirements for the complaints procedure. According to an estimate by the Federal Office of Justice, this results in the following additional costs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0.9631</w:t>
            </w:r>
          </w:p>
        </w:tc>
        <w:tc>
          <w:tcPr>
            <w:tcW w:w="2835" w:type="dxa"/>
          </w:tcPr>
          <w:p w:rsidR="00DF0C7F" w:rsidRPr="00CB1818" w:rsidRDefault="00DF0C7F" w:rsidP="009E7D5E">
            <w:pPr>
              <w:pStyle w:val="TabelleText"/>
            </w:pPr>
            <w:r>
              <w:t>8 640</w:t>
            </w:r>
          </w:p>
        </w:tc>
        <w:tc>
          <w:tcPr>
            <w:tcW w:w="2127" w:type="dxa"/>
          </w:tcPr>
          <w:p w:rsidR="00DF0C7F" w:rsidRPr="00CB1818" w:rsidRDefault="00DF0C7F" w:rsidP="009E7D5E">
            <w:pPr>
              <w:pStyle w:val="TabelleText"/>
            </w:pPr>
            <w:r>
              <w:rPr>
                <w:color w:val="000000"/>
              </w:rPr>
              <w:t>95 040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0.4648</w:t>
            </w:r>
          </w:p>
        </w:tc>
        <w:tc>
          <w:tcPr>
            <w:tcW w:w="2835" w:type="dxa"/>
          </w:tcPr>
          <w:p w:rsidR="00DF0C7F" w:rsidRPr="00CB1818" w:rsidRDefault="00DF0C7F" w:rsidP="009E7D5E">
            <w:pPr>
              <w:pStyle w:val="TabelleText"/>
            </w:pPr>
            <w:r>
              <w:t>4 170</w:t>
            </w:r>
          </w:p>
        </w:tc>
        <w:tc>
          <w:tcPr>
            <w:tcW w:w="2127" w:type="dxa"/>
          </w:tcPr>
          <w:p w:rsidR="00DF0C7F" w:rsidRPr="00CB1818" w:rsidRDefault="00DF0C7F" w:rsidP="009E7D5E">
            <w:pPr>
              <w:pStyle w:val="TabelleText"/>
            </w:pPr>
            <w:r>
              <w:rPr>
                <w:color w:val="000000"/>
              </w:rPr>
              <w:t>45 870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0.2608</w:t>
            </w:r>
          </w:p>
        </w:tc>
        <w:tc>
          <w:tcPr>
            <w:tcW w:w="2835" w:type="dxa"/>
          </w:tcPr>
          <w:p w:rsidR="00DF0C7F" w:rsidRPr="00CB1818" w:rsidRDefault="00DF0C7F" w:rsidP="009E7D5E">
            <w:pPr>
              <w:pStyle w:val="TabelleText"/>
            </w:pPr>
            <w:r>
              <w:t>2 340</w:t>
            </w:r>
          </w:p>
        </w:tc>
        <w:tc>
          <w:tcPr>
            <w:tcW w:w="2127" w:type="dxa"/>
          </w:tcPr>
          <w:p w:rsidR="00DF0C7F" w:rsidRPr="00CB1818" w:rsidRDefault="00DF0C7F" w:rsidP="009E7D5E">
            <w:pPr>
              <w:pStyle w:val="TabelleText"/>
            </w:pPr>
            <w:r>
              <w:rPr>
                <w:color w:val="000000"/>
              </w:rPr>
              <w:t>25 740</w:t>
            </w:r>
          </w:p>
        </w:tc>
      </w:tr>
    </w:tbl>
    <w:p w:rsidR="00DF0C7F" w:rsidRPr="00CB1818" w:rsidRDefault="00DF0C7F" w:rsidP="005B260B">
      <w:pPr>
        <w:pStyle w:val="Text"/>
        <w:keepNext/>
      </w:pPr>
      <w:r>
        <w:t>(13) Appeal procedure (§ 3b NetzDG): Supervisory procedures and fine proceedings on the contact option requirement</w:t>
      </w:r>
    </w:p>
    <w:p w:rsidR="00DF0C7F" w:rsidRPr="00CB1818" w:rsidRDefault="00DF0C7F" w:rsidP="002007B2">
      <w:pPr>
        <w:pStyle w:val="Text"/>
      </w:pPr>
      <w:r>
        <w:t>Due to the requirements for the appeal procedure (§ 3b NetzDG), the social network providers will have to provide an easily recognisable procedure in the future which enables easy electronic contact and direct communication (for the purpose of filing an appeal), § 3b(1)(3) NetzDG .</w:t>
      </w:r>
    </w:p>
    <w:p w:rsidR="00DF0C7F" w:rsidRPr="00CB1818" w:rsidRDefault="00DF0C7F" w:rsidP="002007B2">
      <w:pPr>
        <w:pStyle w:val="Text"/>
      </w:pPr>
      <w:r>
        <w:t>The Federal Office of Justice will have to check this as part of its supervisory powers. Since this is a relatively easy requirement to implement, it is only estimated that three procedures to this effect will be necessary each year.</w:t>
      </w:r>
    </w:p>
    <w:p w:rsidR="00DF0C7F" w:rsidRPr="00CB1818" w:rsidRDefault="00DF0C7F" w:rsidP="005B260B">
      <w:pPr>
        <w:pStyle w:val="Text"/>
        <w:keepNext/>
      </w:pPr>
      <w:r>
        <w:lastRenderedPageBreak/>
        <w:t>According to an estimate by the Federal Office of Justice, this results in the following additional costs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0.2627</w:t>
            </w:r>
          </w:p>
        </w:tc>
        <w:tc>
          <w:tcPr>
            <w:tcW w:w="2835" w:type="dxa"/>
          </w:tcPr>
          <w:p w:rsidR="00DF0C7F" w:rsidRPr="00CB1818" w:rsidRDefault="00DF0C7F" w:rsidP="009E7D5E">
            <w:pPr>
              <w:pStyle w:val="TabelleText"/>
            </w:pPr>
            <w:r>
              <w:t>8 640</w:t>
            </w:r>
          </w:p>
        </w:tc>
        <w:tc>
          <w:tcPr>
            <w:tcW w:w="2127" w:type="dxa"/>
          </w:tcPr>
          <w:p w:rsidR="00DF0C7F" w:rsidRPr="00CB1818" w:rsidRDefault="00DF0C7F" w:rsidP="009E7D5E">
            <w:pPr>
              <w:pStyle w:val="TabelleText"/>
            </w:pPr>
            <w:r>
              <w:rPr>
                <w:color w:val="000000"/>
              </w:rPr>
              <w:t>25 920</w:t>
            </w:r>
          </w:p>
        </w:tc>
      </w:tr>
      <w:tr w:rsidR="00DF0C7F" w:rsidRPr="00CB1818" w:rsidTr="009E7D5E">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0.1268</w:t>
            </w:r>
          </w:p>
        </w:tc>
        <w:tc>
          <w:tcPr>
            <w:tcW w:w="2835" w:type="dxa"/>
          </w:tcPr>
          <w:p w:rsidR="00DF0C7F" w:rsidRPr="00CB1818" w:rsidRDefault="00DF0C7F" w:rsidP="009E7D5E">
            <w:pPr>
              <w:pStyle w:val="TabelleText"/>
            </w:pPr>
            <w:r>
              <w:t>4 170</w:t>
            </w:r>
          </w:p>
        </w:tc>
        <w:tc>
          <w:tcPr>
            <w:tcW w:w="2127" w:type="dxa"/>
          </w:tcPr>
          <w:p w:rsidR="00DF0C7F" w:rsidRPr="00CB1818" w:rsidRDefault="00DF0C7F" w:rsidP="009E7D5E">
            <w:pPr>
              <w:pStyle w:val="TabelleText"/>
            </w:pPr>
            <w:r>
              <w:rPr>
                <w:color w:val="000000"/>
              </w:rPr>
              <w:t>12 510</w:t>
            </w:r>
          </w:p>
        </w:tc>
      </w:tr>
      <w:tr w:rsidR="00DF0C7F" w:rsidRPr="00CB1818" w:rsidTr="009E7D5E">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0.0711</w:t>
            </w:r>
          </w:p>
        </w:tc>
        <w:tc>
          <w:tcPr>
            <w:tcW w:w="2835" w:type="dxa"/>
          </w:tcPr>
          <w:p w:rsidR="00DF0C7F" w:rsidRPr="00CB1818" w:rsidRDefault="00DF0C7F" w:rsidP="009E7D5E">
            <w:pPr>
              <w:pStyle w:val="TabelleText"/>
            </w:pPr>
            <w:r>
              <w:t>2 340</w:t>
            </w:r>
          </w:p>
        </w:tc>
        <w:tc>
          <w:tcPr>
            <w:tcW w:w="2127" w:type="dxa"/>
          </w:tcPr>
          <w:p w:rsidR="00DF0C7F" w:rsidRPr="00CB1818" w:rsidRDefault="00DF0C7F" w:rsidP="009E7D5E">
            <w:pPr>
              <w:pStyle w:val="TabelleText"/>
            </w:pPr>
            <w:r>
              <w:rPr>
                <w:color w:val="000000"/>
              </w:rPr>
              <w:t>7 020</w:t>
            </w:r>
          </w:p>
        </w:tc>
      </w:tr>
    </w:tbl>
    <w:p w:rsidR="00DF0C7F" w:rsidRPr="00CB1818" w:rsidRDefault="00DF0C7F" w:rsidP="002007B2">
      <w:pPr>
        <w:pStyle w:val="Text"/>
      </w:pPr>
      <w:r>
        <w:t>It is also possible that the Federal Office of Justice must also pursue violations of § 3b(1)(3) NetzDG in administrative fine proceedings, § 4(1)(3) NetzDG. It is estimated that only half the number of administrative fine proceedings will be required. The costs for each procedure will be moderate, since the essential steps in the investigation will already take place in the supervisory procedure.</w:t>
      </w:r>
    </w:p>
    <w:p w:rsidR="00DF0C7F" w:rsidRPr="00CB1818" w:rsidRDefault="00DF0C7F" w:rsidP="005B260B">
      <w:pPr>
        <w:pStyle w:val="Text"/>
        <w:keepNext/>
      </w:pPr>
      <w:r>
        <w:t>According to an estimate by the Federal Office of Justice, this results in the following additional costs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rPr>
                <w:color w:val="000000"/>
              </w:rPr>
              <w:t>1.5</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0.0474</w:t>
            </w:r>
          </w:p>
        </w:tc>
        <w:tc>
          <w:tcPr>
            <w:tcW w:w="2835" w:type="dxa"/>
          </w:tcPr>
          <w:p w:rsidR="00DF0C7F" w:rsidRPr="00CB1818" w:rsidRDefault="00DF0C7F" w:rsidP="009E7D5E">
            <w:pPr>
              <w:pStyle w:val="TabelleText"/>
            </w:pPr>
            <w:r>
              <w:rPr>
                <w:color w:val="000000"/>
              </w:rPr>
              <w:t>3 120</w:t>
            </w:r>
          </w:p>
        </w:tc>
        <w:tc>
          <w:tcPr>
            <w:tcW w:w="2127" w:type="dxa"/>
          </w:tcPr>
          <w:p w:rsidR="00DF0C7F" w:rsidRPr="00CB1818" w:rsidRDefault="00DF0C7F" w:rsidP="009E7D5E">
            <w:pPr>
              <w:pStyle w:val="TabelleText"/>
            </w:pPr>
            <w:r>
              <w:rPr>
                <w:color w:val="000000"/>
              </w:rPr>
              <w:t>4 680</w:t>
            </w:r>
          </w:p>
        </w:tc>
      </w:tr>
      <w:tr w:rsidR="00DF0C7F" w:rsidRPr="00CB1818" w:rsidTr="009E7D5E">
        <w:tc>
          <w:tcPr>
            <w:tcW w:w="988" w:type="dxa"/>
          </w:tcPr>
          <w:p w:rsidR="00DF0C7F" w:rsidRPr="00CB1818" w:rsidRDefault="00DF0C7F" w:rsidP="009E7D5E">
            <w:pPr>
              <w:pStyle w:val="TabelleText"/>
            </w:pPr>
            <w:r>
              <w:rPr>
                <w:color w:val="000000"/>
              </w:rPr>
              <w:t>1.5</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0.0447</w:t>
            </w:r>
          </w:p>
        </w:tc>
        <w:tc>
          <w:tcPr>
            <w:tcW w:w="2835" w:type="dxa"/>
          </w:tcPr>
          <w:p w:rsidR="00DF0C7F" w:rsidRPr="00CB1818" w:rsidRDefault="00DF0C7F" w:rsidP="009E7D5E">
            <w:pPr>
              <w:pStyle w:val="TabelleText"/>
            </w:pPr>
            <w:r>
              <w:rPr>
                <w:color w:val="000000"/>
              </w:rPr>
              <w:t>2 940</w:t>
            </w:r>
          </w:p>
        </w:tc>
        <w:tc>
          <w:tcPr>
            <w:tcW w:w="2127" w:type="dxa"/>
          </w:tcPr>
          <w:p w:rsidR="00DF0C7F" w:rsidRPr="00CB1818" w:rsidRDefault="00DF0C7F" w:rsidP="009E7D5E">
            <w:pPr>
              <w:pStyle w:val="TabelleText"/>
            </w:pPr>
            <w:r>
              <w:rPr>
                <w:color w:val="000000"/>
              </w:rPr>
              <w:t>4 410</w:t>
            </w:r>
          </w:p>
        </w:tc>
      </w:tr>
      <w:tr w:rsidR="00DF0C7F" w:rsidRPr="00CB1818" w:rsidTr="009E7D5E">
        <w:tc>
          <w:tcPr>
            <w:tcW w:w="988" w:type="dxa"/>
          </w:tcPr>
          <w:p w:rsidR="00DF0C7F" w:rsidRPr="00CB1818" w:rsidRDefault="00DF0C7F" w:rsidP="009E7D5E">
            <w:pPr>
              <w:pStyle w:val="TabelleText"/>
            </w:pPr>
            <w:r>
              <w:rPr>
                <w:color w:val="000000"/>
              </w:rPr>
              <w:t>1.5</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0.0251</w:t>
            </w:r>
          </w:p>
        </w:tc>
        <w:tc>
          <w:tcPr>
            <w:tcW w:w="2835" w:type="dxa"/>
          </w:tcPr>
          <w:p w:rsidR="00DF0C7F" w:rsidRPr="00CB1818" w:rsidRDefault="00DF0C7F" w:rsidP="009E7D5E">
            <w:pPr>
              <w:pStyle w:val="TabelleText"/>
            </w:pPr>
            <w:r>
              <w:rPr>
                <w:color w:val="000000"/>
              </w:rPr>
              <w:t>1 650</w:t>
            </w:r>
          </w:p>
        </w:tc>
        <w:tc>
          <w:tcPr>
            <w:tcW w:w="2127" w:type="dxa"/>
          </w:tcPr>
          <w:p w:rsidR="00DF0C7F" w:rsidRPr="00CB1818" w:rsidRDefault="00DF0C7F" w:rsidP="009E7D5E">
            <w:pPr>
              <w:pStyle w:val="TabelleText"/>
            </w:pPr>
            <w:r>
              <w:rPr>
                <w:color w:val="000000"/>
              </w:rPr>
              <w:t>2 475</w:t>
            </w:r>
          </w:p>
        </w:tc>
      </w:tr>
    </w:tbl>
    <w:p w:rsidR="00DF0C7F" w:rsidRPr="00CB1818" w:rsidRDefault="00DF0C7F" w:rsidP="005B260B">
      <w:pPr>
        <w:pStyle w:val="Text"/>
        <w:keepNext/>
      </w:pPr>
      <w:r>
        <w:t>(14) Appeal procedure (§ 3b NetzDG): Checking individual reports about incorrect handling on the part of the provider</w:t>
      </w:r>
    </w:p>
    <w:p w:rsidR="00B32668" w:rsidRPr="00CB1818" w:rsidRDefault="00DF0C7F" w:rsidP="002007B2">
      <w:pPr>
        <w:pStyle w:val="Text"/>
      </w:pPr>
      <w:r>
        <w:t>Based on the requirements for the appeal procedure (§ 3b NetzDG), the social network providers will have to inform the opposing party (user or complainant) about the content of the appeal in the future, if they want to remedy an appeal. Furthermore, the review decision will have to be justified on a case-by-case basis. Users or complainants can report any deficiencies to the Federal Office of Justice. Taking into account the previous figures for individual reports due to non-deletion/non-removal, it is estimated that only a moderate amount (50 per requirement, i.e. a total of 100) of corresponding individual reports which must be checked by the Federal Office of Justice will be received.</w:t>
      </w:r>
    </w:p>
    <w:p w:rsidR="00DF0C7F" w:rsidRPr="00CB1818" w:rsidRDefault="00DF0C7F" w:rsidP="005B260B">
      <w:pPr>
        <w:pStyle w:val="Text"/>
        <w:keepNext/>
      </w:pPr>
      <w:r>
        <w:t>According to an estimate by the Federal Office of Justice, this results in the additional costs shown below because of the need to examine these individual cases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100</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0.5168</w:t>
            </w:r>
          </w:p>
        </w:tc>
        <w:tc>
          <w:tcPr>
            <w:tcW w:w="2835" w:type="dxa"/>
          </w:tcPr>
          <w:p w:rsidR="00DF0C7F" w:rsidRPr="00CB1818" w:rsidRDefault="00DF0C7F" w:rsidP="009E7D5E">
            <w:pPr>
              <w:pStyle w:val="TabelleText"/>
            </w:pPr>
            <w:r>
              <w:rPr>
                <w:color w:val="000000"/>
              </w:rPr>
              <w:t>510</w:t>
            </w:r>
          </w:p>
        </w:tc>
        <w:tc>
          <w:tcPr>
            <w:tcW w:w="2127" w:type="dxa"/>
          </w:tcPr>
          <w:p w:rsidR="00DF0C7F" w:rsidRPr="00CB1818" w:rsidRDefault="00DF0C7F" w:rsidP="009E7D5E">
            <w:pPr>
              <w:pStyle w:val="TabelleText"/>
            </w:pPr>
            <w:r>
              <w:rPr>
                <w:color w:val="000000"/>
              </w:rPr>
              <w:t>51 000</w:t>
            </w:r>
          </w:p>
        </w:tc>
      </w:tr>
      <w:tr w:rsidR="00DF0C7F" w:rsidRPr="00CB1818" w:rsidTr="009E7D5E">
        <w:tc>
          <w:tcPr>
            <w:tcW w:w="988" w:type="dxa"/>
          </w:tcPr>
          <w:p w:rsidR="00DF0C7F" w:rsidRPr="00CB1818" w:rsidRDefault="00DF0C7F" w:rsidP="00D32D29">
            <w:pPr>
              <w:pStyle w:val="TabelleText"/>
            </w:pPr>
            <w:r>
              <w:t>100</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0.5776</w:t>
            </w:r>
          </w:p>
        </w:tc>
        <w:tc>
          <w:tcPr>
            <w:tcW w:w="2835" w:type="dxa"/>
          </w:tcPr>
          <w:p w:rsidR="00DF0C7F" w:rsidRPr="00CB1818" w:rsidRDefault="00DF0C7F" w:rsidP="009E7D5E">
            <w:pPr>
              <w:pStyle w:val="TabelleText"/>
            </w:pPr>
            <w:r>
              <w:rPr>
                <w:color w:val="000000"/>
              </w:rPr>
              <w:t>570</w:t>
            </w:r>
          </w:p>
        </w:tc>
        <w:tc>
          <w:tcPr>
            <w:tcW w:w="2127" w:type="dxa"/>
          </w:tcPr>
          <w:p w:rsidR="00DF0C7F" w:rsidRPr="00CB1818" w:rsidRDefault="00DF0C7F" w:rsidP="009E7D5E">
            <w:pPr>
              <w:pStyle w:val="TabelleText"/>
            </w:pPr>
            <w:r>
              <w:rPr>
                <w:color w:val="000000"/>
              </w:rPr>
              <w:t>57 000</w:t>
            </w:r>
          </w:p>
        </w:tc>
      </w:tr>
      <w:tr w:rsidR="00DF0C7F" w:rsidRPr="00CB1818" w:rsidTr="009E7D5E">
        <w:tc>
          <w:tcPr>
            <w:tcW w:w="988" w:type="dxa"/>
          </w:tcPr>
          <w:p w:rsidR="00DF0C7F" w:rsidRPr="00CB1818" w:rsidRDefault="00DF0C7F" w:rsidP="00D32D29">
            <w:pPr>
              <w:pStyle w:val="TabelleText"/>
            </w:pPr>
            <w:r>
              <w:t>100</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0.1824</w:t>
            </w:r>
          </w:p>
        </w:tc>
        <w:tc>
          <w:tcPr>
            <w:tcW w:w="2835" w:type="dxa"/>
          </w:tcPr>
          <w:p w:rsidR="00DF0C7F" w:rsidRPr="00CB1818" w:rsidRDefault="00DF0C7F" w:rsidP="009E7D5E">
            <w:pPr>
              <w:pStyle w:val="TabelleText"/>
            </w:pPr>
            <w:r>
              <w:rPr>
                <w:color w:val="000000"/>
              </w:rPr>
              <w:t>180</w:t>
            </w:r>
          </w:p>
        </w:tc>
        <w:tc>
          <w:tcPr>
            <w:tcW w:w="2127" w:type="dxa"/>
          </w:tcPr>
          <w:p w:rsidR="00DF0C7F" w:rsidRPr="00CB1818" w:rsidRDefault="00DF0C7F" w:rsidP="009E7D5E">
            <w:pPr>
              <w:pStyle w:val="TabelleText"/>
            </w:pPr>
            <w:r>
              <w:rPr>
                <w:color w:val="000000"/>
              </w:rPr>
              <w:t>18 000</w:t>
            </w:r>
          </w:p>
        </w:tc>
      </w:tr>
    </w:tbl>
    <w:p w:rsidR="00DF0C7F" w:rsidRPr="00CB1818" w:rsidRDefault="00DF0C7F" w:rsidP="005B260B">
      <w:pPr>
        <w:pStyle w:val="Text"/>
        <w:keepNext/>
      </w:pPr>
      <w:r>
        <w:t>(15) Appeal procedure (§ 3b NetzDG): Provision of appeal procedures, supervisory procedures and fine proceedings</w:t>
      </w:r>
    </w:p>
    <w:p w:rsidR="00DF0C7F" w:rsidRPr="00CB1818" w:rsidRDefault="00DF0C7F" w:rsidP="002007B2">
      <w:pPr>
        <w:pStyle w:val="Text"/>
      </w:pPr>
      <w:r>
        <w:t xml:space="preserve">A violation of the organisational requirement for conducting an appeal procedure comes into consideration if the appeals are handled incorrectly in a systematic manner. Based on </w:t>
      </w:r>
      <w:r>
        <w:lastRenderedPageBreak/>
        <w:t>the estimate of only relatively few individual reports, it is assumed that each requirement (information which may be required from the other side, case-by-case justification) will only give rise to one systemic failure every two years on average (number of cases 0.5 per year, respectively, total number of cases 1 per year).</w:t>
      </w:r>
    </w:p>
    <w:p w:rsidR="00DF0C7F" w:rsidRPr="00CB1818" w:rsidRDefault="00DF0C7F" w:rsidP="005B260B">
      <w:pPr>
        <w:pStyle w:val="Text"/>
        <w:keepNext/>
      </w:pPr>
      <w:r>
        <w:t>According to an estimate by the Federal Office of Justice, this results in the additional costs shown below for the performance of supervisory procedures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0.0876</w:t>
            </w:r>
          </w:p>
        </w:tc>
        <w:tc>
          <w:tcPr>
            <w:tcW w:w="2835" w:type="dxa"/>
          </w:tcPr>
          <w:p w:rsidR="00DF0C7F" w:rsidRPr="00CB1818" w:rsidRDefault="00DF0C7F" w:rsidP="009E7D5E">
            <w:pPr>
              <w:pStyle w:val="TabelleText"/>
            </w:pPr>
            <w:r>
              <w:t>8 640</w:t>
            </w:r>
          </w:p>
        </w:tc>
        <w:tc>
          <w:tcPr>
            <w:tcW w:w="2127" w:type="dxa"/>
          </w:tcPr>
          <w:p w:rsidR="00DF0C7F" w:rsidRPr="00CB1818" w:rsidRDefault="00DF0C7F" w:rsidP="009E7D5E">
            <w:pPr>
              <w:pStyle w:val="TabelleText"/>
            </w:pPr>
            <w:r>
              <w:t>8 640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0.0423</w:t>
            </w:r>
          </w:p>
        </w:tc>
        <w:tc>
          <w:tcPr>
            <w:tcW w:w="2835" w:type="dxa"/>
          </w:tcPr>
          <w:p w:rsidR="00DF0C7F" w:rsidRPr="00CB1818" w:rsidRDefault="00DF0C7F" w:rsidP="009E7D5E">
            <w:pPr>
              <w:pStyle w:val="TabelleText"/>
            </w:pPr>
            <w:r>
              <w:t>4 170</w:t>
            </w:r>
          </w:p>
        </w:tc>
        <w:tc>
          <w:tcPr>
            <w:tcW w:w="2127" w:type="dxa"/>
          </w:tcPr>
          <w:p w:rsidR="00DF0C7F" w:rsidRPr="00CB1818" w:rsidRDefault="00DF0C7F" w:rsidP="009E7D5E">
            <w:pPr>
              <w:pStyle w:val="TabelleText"/>
            </w:pPr>
            <w:r>
              <w:t>4 170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0.0237</w:t>
            </w:r>
          </w:p>
        </w:tc>
        <w:tc>
          <w:tcPr>
            <w:tcW w:w="2835" w:type="dxa"/>
          </w:tcPr>
          <w:p w:rsidR="00DF0C7F" w:rsidRPr="00CB1818" w:rsidRDefault="00DF0C7F" w:rsidP="009E7D5E">
            <w:pPr>
              <w:pStyle w:val="TabelleText"/>
            </w:pPr>
            <w:r>
              <w:t>2 340</w:t>
            </w:r>
          </w:p>
        </w:tc>
        <w:tc>
          <w:tcPr>
            <w:tcW w:w="2127" w:type="dxa"/>
          </w:tcPr>
          <w:p w:rsidR="00DF0C7F" w:rsidRPr="00CB1818" w:rsidRDefault="00DF0C7F" w:rsidP="009E7D5E">
            <w:pPr>
              <w:pStyle w:val="TabelleText"/>
            </w:pPr>
            <w:r>
              <w:t>2 340</w:t>
            </w:r>
          </w:p>
        </w:tc>
      </w:tr>
    </w:tbl>
    <w:p w:rsidR="00DF0C7F" w:rsidRPr="00CB1818" w:rsidRDefault="00DF0C7F" w:rsidP="002007B2">
      <w:pPr>
        <w:pStyle w:val="Text"/>
      </w:pPr>
      <w:r>
        <w:t>In the case of the possible systemic deficits in the provision of the appeal procedure which have just been explained, the holding of fine proceedings also comes into consideration. It is estimated here that one procedure has to be carried out each year on average. Since the decisive findings should already result from the supervisory process, the workload is rather moderate.</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0.0284</w:t>
            </w:r>
          </w:p>
        </w:tc>
        <w:tc>
          <w:tcPr>
            <w:tcW w:w="2835" w:type="dxa"/>
          </w:tcPr>
          <w:p w:rsidR="00DF0C7F" w:rsidRPr="00CB1818" w:rsidRDefault="00DF0C7F" w:rsidP="009E7D5E">
            <w:pPr>
              <w:pStyle w:val="TabelleText"/>
            </w:pPr>
            <w:r>
              <w:rPr>
                <w:color w:val="000000"/>
              </w:rPr>
              <w:t>2 800</w:t>
            </w:r>
          </w:p>
        </w:tc>
        <w:tc>
          <w:tcPr>
            <w:tcW w:w="2127" w:type="dxa"/>
          </w:tcPr>
          <w:p w:rsidR="00DF0C7F" w:rsidRPr="00CB1818" w:rsidRDefault="00DF0C7F" w:rsidP="009E7D5E">
            <w:pPr>
              <w:pStyle w:val="TabelleText"/>
            </w:pPr>
            <w:r>
              <w:rPr>
                <w:color w:val="000000"/>
              </w:rPr>
              <w:t>2 800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0.0058</w:t>
            </w:r>
          </w:p>
        </w:tc>
        <w:tc>
          <w:tcPr>
            <w:tcW w:w="2835" w:type="dxa"/>
          </w:tcPr>
          <w:p w:rsidR="00DF0C7F" w:rsidRPr="00CB1818" w:rsidRDefault="00DF0C7F" w:rsidP="009E7D5E">
            <w:pPr>
              <w:pStyle w:val="TabelleText"/>
            </w:pPr>
            <w:r>
              <w:rPr>
                <w:color w:val="000000"/>
              </w:rPr>
              <w:t>570</w:t>
            </w:r>
          </w:p>
        </w:tc>
        <w:tc>
          <w:tcPr>
            <w:tcW w:w="2127" w:type="dxa"/>
          </w:tcPr>
          <w:p w:rsidR="00DF0C7F" w:rsidRPr="00CB1818" w:rsidRDefault="00DF0C7F" w:rsidP="009E7D5E">
            <w:pPr>
              <w:pStyle w:val="TabelleText"/>
            </w:pPr>
            <w:r>
              <w:rPr>
                <w:color w:val="000000"/>
              </w:rPr>
              <w:t>570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0.0046</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pPr>
            <w:r>
              <w:rPr>
                <w:color w:val="000000"/>
              </w:rPr>
              <w:t>450</w:t>
            </w:r>
          </w:p>
        </w:tc>
      </w:tr>
    </w:tbl>
    <w:p w:rsidR="00DF0C7F" w:rsidRPr="00CB1818" w:rsidRDefault="00B32668" w:rsidP="005B260B">
      <w:pPr>
        <w:pStyle w:val="Text"/>
        <w:keepNext/>
      </w:pPr>
      <w:r>
        <w:t>(16) Arbitration (§ 3c NetzDG): Recognition and supervision of arbitration bodies, mediation, provision of information</w:t>
      </w:r>
    </w:p>
    <w:p w:rsidR="00DF0C7F" w:rsidRPr="00CB1818" w:rsidRDefault="00DF0C7F" w:rsidP="005F4EB6">
      <w:pPr>
        <w:pStyle w:val="Text"/>
      </w:pPr>
      <w:r>
        <w:t>In the future, the Federal Office of Justice will have to decide on the recognition of arbitration bodies in accordance with § 3c(1) NetzDG. It is assumed that one corresponding procedure is to be carried out each year on average.</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0.0100</w:t>
            </w:r>
          </w:p>
        </w:tc>
        <w:tc>
          <w:tcPr>
            <w:tcW w:w="2835" w:type="dxa"/>
          </w:tcPr>
          <w:p w:rsidR="00DF0C7F" w:rsidRPr="00CB1818" w:rsidRDefault="00DF0C7F" w:rsidP="009E7D5E">
            <w:pPr>
              <w:pStyle w:val="TabelleText"/>
            </w:pPr>
            <w:r>
              <w:rPr>
                <w:color w:val="000000"/>
              </w:rPr>
              <w:t>990</w:t>
            </w:r>
          </w:p>
        </w:tc>
        <w:tc>
          <w:tcPr>
            <w:tcW w:w="2127" w:type="dxa"/>
          </w:tcPr>
          <w:p w:rsidR="00DF0C7F" w:rsidRPr="00CB1818" w:rsidRDefault="00DF0C7F" w:rsidP="009E7D5E">
            <w:pPr>
              <w:pStyle w:val="TabelleText"/>
            </w:pPr>
            <w:r>
              <w:rPr>
                <w:color w:val="000000"/>
              </w:rPr>
              <w:t>990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0.0152</w:t>
            </w:r>
          </w:p>
        </w:tc>
        <w:tc>
          <w:tcPr>
            <w:tcW w:w="2835" w:type="dxa"/>
          </w:tcPr>
          <w:p w:rsidR="00DF0C7F" w:rsidRPr="00CB1818" w:rsidRDefault="00DF0C7F" w:rsidP="009E7D5E">
            <w:pPr>
              <w:pStyle w:val="TabelleText"/>
            </w:pPr>
            <w:r>
              <w:rPr>
                <w:color w:val="000000"/>
              </w:rPr>
              <w:t>1 500</w:t>
            </w:r>
          </w:p>
        </w:tc>
        <w:tc>
          <w:tcPr>
            <w:tcW w:w="2127" w:type="dxa"/>
          </w:tcPr>
          <w:p w:rsidR="00DF0C7F" w:rsidRPr="00CB1818" w:rsidRDefault="00DF0C7F" w:rsidP="009E7D5E">
            <w:pPr>
              <w:pStyle w:val="TabelleText"/>
            </w:pPr>
            <w:r>
              <w:rPr>
                <w:color w:val="000000"/>
              </w:rPr>
              <w:t>1 500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0.0006</w:t>
            </w:r>
          </w:p>
        </w:tc>
        <w:tc>
          <w:tcPr>
            <w:tcW w:w="2835" w:type="dxa"/>
          </w:tcPr>
          <w:p w:rsidR="00DF0C7F" w:rsidRPr="00CB1818" w:rsidRDefault="00DF0C7F" w:rsidP="009E7D5E">
            <w:pPr>
              <w:pStyle w:val="TabelleText"/>
            </w:pPr>
            <w:r>
              <w:rPr>
                <w:color w:val="000000"/>
              </w:rPr>
              <w:t>60</w:t>
            </w:r>
          </w:p>
        </w:tc>
        <w:tc>
          <w:tcPr>
            <w:tcW w:w="2127" w:type="dxa"/>
          </w:tcPr>
          <w:p w:rsidR="00DF0C7F" w:rsidRPr="00CB1818" w:rsidRDefault="00DF0C7F" w:rsidP="009E7D5E">
            <w:pPr>
              <w:pStyle w:val="TabelleText"/>
            </w:pPr>
            <w:r>
              <w:rPr>
                <w:color w:val="000000"/>
              </w:rPr>
              <w:t>60</w:t>
            </w:r>
          </w:p>
        </w:tc>
      </w:tr>
    </w:tbl>
    <w:p w:rsidR="00DF0C7F" w:rsidRPr="00CB1818" w:rsidRDefault="00DF0C7F" w:rsidP="005F4EB6">
      <w:pPr>
        <w:pStyle w:val="Text"/>
      </w:pPr>
      <w:r>
        <w:t>In the future, the Federal Office of Justice will also carry out supervision of recognised arbitration bodies in accordance with § 3c(2)(2) NetzDG. It is assumed that no more than two corresponding procedures will have to be carried out each year.</w:t>
      </w:r>
    </w:p>
    <w:p w:rsidR="00DF0C7F" w:rsidRPr="00CB1818" w:rsidRDefault="00DF0C7F" w:rsidP="005B260B">
      <w:pPr>
        <w:pStyle w:val="Text"/>
        <w:keepNext/>
      </w:pPr>
      <w:r>
        <w:lastRenderedPageBreak/>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2</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0.0018</w:t>
            </w:r>
          </w:p>
        </w:tc>
        <w:tc>
          <w:tcPr>
            <w:tcW w:w="2835" w:type="dxa"/>
          </w:tcPr>
          <w:p w:rsidR="00DF0C7F" w:rsidRPr="00CB1818" w:rsidRDefault="00DF0C7F" w:rsidP="009E7D5E">
            <w:pPr>
              <w:pStyle w:val="TabelleText"/>
            </w:pPr>
            <w:r>
              <w:rPr>
                <w:color w:val="000000"/>
              </w:rPr>
              <w:t>90</w:t>
            </w:r>
          </w:p>
        </w:tc>
        <w:tc>
          <w:tcPr>
            <w:tcW w:w="2127" w:type="dxa"/>
          </w:tcPr>
          <w:p w:rsidR="00DF0C7F" w:rsidRPr="00CB1818" w:rsidRDefault="00DF0C7F" w:rsidP="009E7D5E">
            <w:pPr>
              <w:pStyle w:val="TabelleText"/>
            </w:pPr>
            <w:r>
              <w:rPr>
                <w:color w:val="000000"/>
              </w:rPr>
              <w:t>180</w:t>
            </w:r>
          </w:p>
        </w:tc>
      </w:tr>
      <w:tr w:rsidR="00DF0C7F" w:rsidRPr="00CB1818" w:rsidTr="009611DD">
        <w:tc>
          <w:tcPr>
            <w:tcW w:w="988" w:type="dxa"/>
          </w:tcPr>
          <w:p w:rsidR="00DF0C7F" w:rsidRPr="00CB1818" w:rsidRDefault="00DF0C7F" w:rsidP="009E7D5E">
            <w:pPr>
              <w:pStyle w:val="TabelleText"/>
            </w:pPr>
            <w:r>
              <w:rPr>
                <w:color w:val="000000"/>
              </w:rPr>
              <w:t>2</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0.0249</w:t>
            </w:r>
          </w:p>
        </w:tc>
        <w:tc>
          <w:tcPr>
            <w:tcW w:w="2835" w:type="dxa"/>
          </w:tcPr>
          <w:p w:rsidR="00DF0C7F" w:rsidRPr="00CB1818" w:rsidRDefault="00DF0C7F" w:rsidP="009E7D5E">
            <w:pPr>
              <w:pStyle w:val="TabelleText"/>
            </w:pPr>
            <w:r>
              <w:rPr>
                <w:color w:val="000000"/>
              </w:rPr>
              <w:t>1 230</w:t>
            </w:r>
          </w:p>
        </w:tc>
        <w:tc>
          <w:tcPr>
            <w:tcW w:w="2127" w:type="dxa"/>
          </w:tcPr>
          <w:p w:rsidR="00DF0C7F" w:rsidRPr="00CB1818" w:rsidRDefault="00DF0C7F" w:rsidP="009E7D5E">
            <w:pPr>
              <w:pStyle w:val="TabelleText"/>
            </w:pPr>
            <w:r>
              <w:rPr>
                <w:color w:val="000000"/>
              </w:rPr>
              <w:t>2 460</w:t>
            </w:r>
          </w:p>
        </w:tc>
      </w:tr>
      <w:tr w:rsidR="00DF0C7F" w:rsidRPr="00CB1818" w:rsidTr="009611DD">
        <w:tc>
          <w:tcPr>
            <w:tcW w:w="988" w:type="dxa"/>
          </w:tcPr>
          <w:p w:rsidR="00DF0C7F" w:rsidRPr="00CB1818" w:rsidRDefault="00DF0C7F" w:rsidP="009E7D5E">
            <w:pPr>
              <w:pStyle w:val="TabelleText"/>
            </w:pPr>
            <w:r>
              <w:rPr>
                <w:color w:val="000000"/>
              </w:rPr>
              <w:t>2</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0.0018</w:t>
            </w:r>
          </w:p>
        </w:tc>
        <w:tc>
          <w:tcPr>
            <w:tcW w:w="2835" w:type="dxa"/>
          </w:tcPr>
          <w:p w:rsidR="00DF0C7F" w:rsidRPr="00CB1818" w:rsidRDefault="00DF0C7F" w:rsidP="009E7D5E">
            <w:pPr>
              <w:pStyle w:val="TabelleText"/>
            </w:pPr>
            <w:r>
              <w:rPr>
                <w:color w:val="000000"/>
              </w:rPr>
              <w:t>90</w:t>
            </w:r>
          </w:p>
        </w:tc>
        <w:tc>
          <w:tcPr>
            <w:tcW w:w="2127" w:type="dxa"/>
          </w:tcPr>
          <w:p w:rsidR="00DF0C7F" w:rsidRPr="00CB1818" w:rsidRDefault="00DF0C7F" w:rsidP="009E7D5E">
            <w:pPr>
              <w:pStyle w:val="TabelleText"/>
            </w:pPr>
            <w:r>
              <w:rPr>
                <w:color w:val="000000"/>
              </w:rPr>
              <w:t>180</w:t>
            </w:r>
          </w:p>
        </w:tc>
      </w:tr>
    </w:tbl>
    <w:p w:rsidR="00DF0C7F" w:rsidRPr="00CB1818" w:rsidRDefault="00DF0C7F" w:rsidP="005F4EB6">
      <w:pPr>
        <w:pStyle w:val="Text"/>
      </w:pPr>
      <w:r>
        <w:t xml:space="preserve">In the future, the Federal Office of Justice will also carry out official arbitration in accordance with § 3f NetzDG. The official arbitration body is only responsible for certain disputes if arbitration under private law does not come into consideration, § 3f(1)(3) NetzDG. It is therefore assumed that no more than </w:t>
      </w:r>
      <w:r w:rsidR="002C2CBC">
        <w:t>10</w:t>
      </w:r>
      <w:r>
        <w:t xml:space="preserve"> corresponding procedures will have to be carried out each year.</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0.0547</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5 400</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0.0274</w:t>
            </w:r>
          </w:p>
        </w:tc>
        <w:tc>
          <w:tcPr>
            <w:tcW w:w="2835" w:type="dxa"/>
          </w:tcPr>
          <w:p w:rsidR="00DF0C7F" w:rsidRPr="00CB1818" w:rsidRDefault="00DF0C7F" w:rsidP="009E7D5E">
            <w:pPr>
              <w:pStyle w:val="TabelleText"/>
            </w:pPr>
            <w:r>
              <w:rPr>
                <w:color w:val="000000"/>
              </w:rPr>
              <w:t>270</w:t>
            </w:r>
          </w:p>
        </w:tc>
        <w:tc>
          <w:tcPr>
            <w:tcW w:w="2127" w:type="dxa"/>
          </w:tcPr>
          <w:p w:rsidR="00DF0C7F" w:rsidRPr="00CB1818" w:rsidRDefault="00DF0C7F" w:rsidP="009E7D5E">
            <w:pPr>
              <w:pStyle w:val="TabelleText"/>
            </w:pPr>
            <w:r>
              <w:rPr>
                <w:color w:val="000000"/>
              </w:rPr>
              <w:t>2 700</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0.0122</w:t>
            </w:r>
          </w:p>
        </w:tc>
        <w:tc>
          <w:tcPr>
            <w:tcW w:w="2835" w:type="dxa"/>
          </w:tcPr>
          <w:p w:rsidR="00DF0C7F" w:rsidRPr="00CB1818" w:rsidRDefault="00DF0C7F" w:rsidP="009E7D5E">
            <w:pPr>
              <w:pStyle w:val="TabelleText"/>
            </w:pPr>
            <w:r>
              <w:rPr>
                <w:color w:val="000000"/>
              </w:rPr>
              <w:t>120</w:t>
            </w:r>
          </w:p>
        </w:tc>
        <w:tc>
          <w:tcPr>
            <w:tcW w:w="2127" w:type="dxa"/>
          </w:tcPr>
          <w:p w:rsidR="00DF0C7F" w:rsidRPr="00CB1818" w:rsidRDefault="00DF0C7F" w:rsidP="009E7D5E">
            <w:pPr>
              <w:pStyle w:val="TabelleText"/>
            </w:pPr>
            <w:r>
              <w:rPr>
                <w:color w:val="000000"/>
              </w:rPr>
              <w:t>1 200</w:t>
            </w:r>
          </w:p>
        </w:tc>
      </w:tr>
    </w:tbl>
    <w:p w:rsidR="00B32668" w:rsidRPr="00CB1818" w:rsidRDefault="00DF0C7F" w:rsidP="005F4EB6">
      <w:pPr>
        <w:pStyle w:val="Text"/>
      </w:pPr>
      <w:r>
        <w:t>Finally, the Federal Office of Justice will provide information on arbitration in order to comply with the requirements for arbitration.</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 xml:space="preserve">Case officer, executive grade </w:t>
            </w:r>
          </w:p>
        </w:tc>
        <w:tc>
          <w:tcPr>
            <w:tcW w:w="1333" w:type="dxa"/>
          </w:tcPr>
          <w:p w:rsidR="00DF0C7F" w:rsidRPr="00CB1818" w:rsidRDefault="00DF0C7F" w:rsidP="009E7D5E">
            <w:pPr>
              <w:pStyle w:val="TabelleText"/>
            </w:pPr>
            <w:r>
              <w:rPr>
                <w:color w:val="000000"/>
              </w:rPr>
              <w:t>0.0109</w:t>
            </w:r>
          </w:p>
        </w:tc>
        <w:tc>
          <w:tcPr>
            <w:tcW w:w="2835" w:type="dxa"/>
          </w:tcPr>
          <w:p w:rsidR="00DF0C7F" w:rsidRPr="00CB1818" w:rsidRDefault="00DF0C7F" w:rsidP="009E7D5E">
            <w:pPr>
              <w:pStyle w:val="TabelleText"/>
            </w:pPr>
            <w:r>
              <w:rPr>
                <w:color w:val="000000"/>
              </w:rPr>
              <w:t>1 080</w:t>
            </w:r>
          </w:p>
        </w:tc>
        <w:tc>
          <w:tcPr>
            <w:tcW w:w="2127" w:type="dxa"/>
          </w:tcPr>
          <w:p w:rsidR="00DF0C7F" w:rsidRPr="00CB1818" w:rsidRDefault="00DF0C7F" w:rsidP="009E7D5E">
            <w:pPr>
              <w:pStyle w:val="TabelleText"/>
            </w:pPr>
            <w:r>
              <w:rPr>
                <w:color w:val="000000"/>
              </w:rPr>
              <w:t>1 080</w:t>
            </w:r>
          </w:p>
        </w:tc>
      </w:tr>
    </w:tbl>
    <w:p w:rsidR="00DF0C7F" w:rsidRPr="00CB1818" w:rsidRDefault="00DF0C7F" w:rsidP="005B260B">
      <w:pPr>
        <w:pStyle w:val="Text"/>
        <w:keepNext/>
      </w:pPr>
      <w:r>
        <w:t>(17) Consultation procedure for foreign video sharing platform services (§ 3e(3) NetzDG)</w:t>
      </w:r>
    </w:p>
    <w:p w:rsidR="00DF0C7F" w:rsidRPr="00CB1818" w:rsidRDefault="00DF0C7F" w:rsidP="005F4EB6">
      <w:pPr>
        <w:pStyle w:val="Text"/>
      </w:pPr>
      <w:r>
        <w:t>In the future, the Federal Office of Justice will also conduct consultation procedures with other Member States (because of providers based there) and with the European Commission on the basis of § 3e(3)(3) NetzDG in conjunction with § 3(5)(1) TMG. It is estimated that this will be the case in three cases each year.</w:t>
      </w:r>
    </w:p>
    <w:p w:rsidR="00B32668" w:rsidRPr="00CB1818" w:rsidRDefault="00DF0C7F" w:rsidP="005F4EB6">
      <w:pPr>
        <w:pStyle w:val="Text"/>
      </w:pPr>
      <w:r>
        <w:t>This results in additional costs, since in these cases the prerequisites of § 3(5) TMG must be checked within the scope of the supervisory powers and authorities.</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0.2608</w:t>
            </w:r>
          </w:p>
        </w:tc>
        <w:tc>
          <w:tcPr>
            <w:tcW w:w="2835" w:type="dxa"/>
          </w:tcPr>
          <w:p w:rsidR="00DF0C7F" w:rsidRPr="00CB1818" w:rsidRDefault="00DF0C7F" w:rsidP="009E7D5E">
            <w:pPr>
              <w:pStyle w:val="TabelleText"/>
            </w:pPr>
            <w:r>
              <w:rPr>
                <w:color w:val="000000"/>
              </w:rPr>
              <w:t>8 580</w:t>
            </w:r>
          </w:p>
        </w:tc>
        <w:tc>
          <w:tcPr>
            <w:tcW w:w="2127" w:type="dxa"/>
          </w:tcPr>
          <w:p w:rsidR="00DF0C7F" w:rsidRPr="00CB1818" w:rsidRDefault="00DF0C7F" w:rsidP="009E7D5E">
            <w:pPr>
              <w:pStyle w:val="TabelleText"/>
            </w:pPr>
            <w:r>
              <w:rPr>
                <w:color w:val="000000"/>
              </w:rPr>
              <w:t>25 740</w:t>
            </w:r>
          </w:p>
        </w:tc>
      </w:tr>
      <w:tr w:rsidR="00DF0C7F" w:rsidRPr="00CB1818" w:rsidTr="009611DD">
        <w:tc>
          <w:tcPr>
            <w:tcW w:w="988" w:type="dxa"/>
          </w:tcPr>
          <w:p w:rsidR="00DF0C7F" w:rsidRPr="00CB1818" w:rsidRDefault="00DF0C7F" w:rsidP="009E7D5E">
            <w:pPr>
              <w:pStyle w:val="TabelleText"/>
            </w:pPr>
            <w:r>
              <w:rPr>
                <w:color w:val="000000"/>
              </w:rPr>
              <w:lastRenderedPageBreak/>
              <w:t>3</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0.0648</w:t>
            </w:r>
          </w:p>
        </w:tc>
        <w:tc>
          <w:tcPr>
            <w:tcW w:w="2835" w:type="dxa"/>
          </w:tcPr>
          <w:p w:rsidR="00DF0C7F" w:rsidRPr="00CB1818" w:rsidRDefault="00DF0C7F" w:rsidP="009E7D5E">
            <w:pPr>
              <w:pStyle w:val="TabelleText"/>
            </w:pPr>
            <w:r>
              <w:rPr>
                <w:color w:val="000000"/>
              </w:rPr>
              <w:t>2 130</w:t>
            </w:r>
          </w:p>
        </w:tc>
        <w:tc>
          <w:tcPr>
            <w:tcW w:w="2127" w:type="dxa"/>
          </w:tcPr>
          <w:p w:rsidR="00DF0C7F" w:rsidRPr="00CB1818" w:rsidRDefault="00DF0C7F" w:rsidP="009E7D5E">
            <w:pPr>
              <w:pStyle w:val="TabelleText"/>
            </w:pPr>
            <w:r>
              <w:rPr>
                <w:color w:val="000000"/>
              </w:rPr>
              <w:t>6 390</w:t>
            </w:r>
          </w:p>
        </w:tc>
      </w:tr>
      <w:tr w:rsidR="00DF0C7F" w:rsidRPr="00CB1818" w:rsidTr="009611DD">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0.0182</w:t>
            </w:r>
          </w:p>
        </w:tc>
        <w:tc>
          <w:tcPr>
            <w:tcW w:w="2835" w:type="dxa"/>
          </w:tcPr>
          <w:p w:rsidR="00DF0C7F" w:rsidRPr="00CB1818" w:rsidRDefault="00DF0C7F" w:rsidP="009E7D5E">
            <w:pPr>
              <w:pStyle w:val="TabelleText"/>
            </w:pPr>
            <w:r>
              <w:rPr>
                <w:color w:val="000000"/>
              </w:rPr>
              <w:t>600</w:t>
            </w:r>
          </w:p>
        </w:tc>
        <w:tc>
          <w:tcPr>
            <w:tcW w:w="2127" w:type="dxa"/>
          </w:tcPr>
          <w:p w:rsidR="00DF0C7F" w:rsidRPr="00CB1818" w:rsidRDefault="00DF0C7F" w:rsidP="009E7D5E">
            <w:pPr>
              <w:pStyle w:val="TabelleText"/>
            </w:pPr>
            <w:r>
              <w:rPr>
                <w:color w:val="000000"/>
              </w:rPr>
              <w:t>1 800</w:t>
            </w:r>
          </w:p>
        </w:tc>
      </w:tr>
    </w:tbl>
    <w:p w:rsidR="00B32668" w:rsidRPr="00CB1818" w:rsidRDefault="00DF0C7F" w:rsidP="00271D47">
      <w:pPr>
        <w:pStyle w:val="Text"/>
      </w:pPr>
      <w:r>
        <w:t xml:space="preserve">In each case, the necessary correspondence and responses will have to be translated in the consultation process according to § 3(5) TMG, meaning that </w:t>
      </w:r>
      <w:r w:rsidR="002C2CBC">
        <w:t>12</w:t>
      </w:r>
      <w:r>
        <w:t xml:space="preserve"> translation cases can be assumed.</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Policy officer (Language Service), professional grade</w:t>
            </w:r>
          </w:p>
        </w:tc>
        <w:tc>
          <w:tcPr>
            <w:tcW w:w="1333" w:type="dxa"/>
          </w:tcPr>
          <w:p w:rsidR="00DF0C7F" w:rsidRPr="00CB1818" w:rsidRDefault="00DF0C7F" w:rsidP="009E7D5E">
            <w:pPr>
              <w:pStyle w:val="TabelleText"/>
            </w:pPr>
            <w:r>
              <w:rPr>
                <w:color w:val="000000"/>
              </w:rPr>
              <w:t>0.0547</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pPr>
            <w:r>
              <w:rPr>
                <w:color w:val="000000"/>
              </w:rPr>
              <w:t>5 400</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 xml:space="preserve">Office clerk (Language Service), mid-level </w:t>
            </w:r>
          </w:p>
        </w:tc>
        <w:tc>
          <w:tcPr>
            <w:tcW w:w="1333" w:type="dxa"/>
          </w:tcPr>
          <w:p w:rsidR="00DF0C7F" w:rsidRPr="00CB1818" w:rsidRDefault="00DF0C7F" w:rsidP="009E7D5E">
            <w:pPr>
              <w:pStyle w:val="TabelleText"/>
            </w:pPr>
            <w:r>
              <w:rPr>
                <w:color w:val="000000"/>
              </w:rPr>
              <w:t>0.0300</w:t>
            </w:r>
          </w:p>
        </w:tc>
        <w:tc>
          <w:tcPr>
            <w:tcW w:w="2835" w:type="dxa"/>
          </w:tcPr>
          <w:p w:rsidR="00DF0C7F" w:rsidRPr="00CB1818" w:rsidRDefault="00DF0C7F" w:rsidP="009E7D5E">
            <w:pPr>
              <w:pStyle w:val="TabelleText"/>
            </w:pPr>
            <w:r>
              <w:rPr>
                <w:color w:val="000000"/>
              </w:rPr>
              <w:t>247</w:t>
            </w:r>
          </w:p>
        </w:tc>
        <w:tc>
          <w:tcPr>
            <w:tcW w:w="2127" w:type="dxa"/>
          </w:tcPr>
          <w:p w:rsidR="00DF0C7F" w:rsidRPr="00CB1818" w:rsidRDefault="00DF0C7F" w:rsidP="009E7D5E">
            <w:pPr>
              <w:pStyle w:val="TabelleText"/>
            </w:pPr>
            <w:r>
              <w:rPr>
                <w:color w:val="000000"/>
              </w:rPr>
              <w:t>2 964</w:t>
            </w:r>
          </w:p>
        </w:tc>
      </w:tr>
    </w:tbl>
    <w:p w:rsidR="00DF0C7F" w:rsidRPr="00CB1818" w:rsidRDefault="00DF0C7F" w:rsidP="005B260B">
      <w:pPr>
        <w:pStyle w:val="Text"/>
        <w:keepNext/>
      </w:pPr>
      <w:r>
        <w:t>(18) Other supervisory procedures and specific tasks</w:t>
      </w:r>
    </w:p>
    <w:p w:rsidR="00B32668" w:rsidRPr="00CB1818" w:rsidRDefault="00DF0C7F" w:rsidP="00271D47">
      <w:pPr>
        <w:pStyle w:val="Text"/>
      </w:pPr>
      <w:r>
        <w:t>It is assumed that the Federal Office of Justice will conduct supervisory procedures and injunction proceedings on the basis of § 4a(1) and (2) NetzDG to eliminate possible violations of further provisions of the NetzDG. On the one hand, this affects the requirements pursuant to § 5 NetzDG. It is assumed here that it is estimated that three supervisory procedures will have to be conducted in connection with the domestic process agent as per § 5(1) NetzDG and in connection with the authorised recipient as per § 5(2) NetzDG. In addition, an estimated five procedures on compliance with the reporting obligation pursuant to § 3a NetzDG are expected each year, as well as one procedure each year in connection with the requirement pursuant to § 3e(4) NetzDG for the arrangement of certain prohibitions of dissemination.</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0.5618</w:t>
            </w:r>
          </w:p>
        </w:tc>
        <w:tc>
          <w:tcPr>
            <w:tcW w:w="2835" w:type="dxa"/>
          </w:tcPr>
          <w:p w:rsidR="00DF0C7F" w:rsidRPr="00CB1818" w:rsidRDefault="00DF0C7F" w:rsidP="009E7D5E">
            <w:pPr>
              <w:pStyle w:val="TabelleText"/>
            </w:pPr>
            <w:r>
              <w:rPr>
                <w:color w:val="000000"/>
              </w:rPr>
              <w:t>4 620</w:t>
            </w:r>
          </w:p>
        </w:tc>
        <w:tc>
          <w:tcPr>
            <w:tcW w:w="2127" w:type="dxa"/>
          </w:tcPr>
          <w:p w:rsidR="00DF0C7F" w:rsidRPr="00CB1818" w:rsidRDefault="00DF0C7F" w:rsidP="009E7D5E">
            <w:pPr>
              <w:pStyle w:val="TabelleText"/>
            </w:pPr>
            <w:r>
              <w:rPr>
                <w:color w:val="000000"/>
              </w:rPr>
              <w:t>55 440</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0.3940</w:t>
            </w:r>
          </w:p>
        </w:tc>
        <w:tc>
          <w:tcPr>
            <w:tcW w:w="2835" w:type="dxa"/>
          </w:tcPr>
          <w:p w:rsidR="00DF0C7F" w:rsidRPr="00CB1818" w:rsidRDefault="00DF0C7F" w:rsidP="009E7D5E">
            <w:pPr>
              <w:pStyle w:val="TabelleText"/>
            </w:pPr>
            <w:r>
              <w:rPr>
                <w:color w:val="000000"/>
              </w:rPr>
              <w:t>3 240</w:t>
            </w:r>
          </w:p>
        </w:tc>
        <w:tc>
          <w:tcPr>
            <w:tcW w:w="2127" w:type="dxa"/>
          </w:tcPr>
          <w:p w:rsidR="00DF0C7F" w:rsidRPr="00CB1818" w:rsidRDefault="00DF0C7F" w:rsidP="009E7D5E">
            <w:pPr>
              <w:pStyle w:val="TabelleText"/>
            </w:pPr>
            <w:r>
              <w:rPr>
                <w:color w:val="000000"/>
              </w:rPr>
              <w:t>38 880</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0.0584</w:t>
            </w:r>
          </w:p>
        </w:tc>
        <w:tc>
          <w:tcPr>
            <w:tcW w:w="2835" w:type="dxa"/>
          </w:tcPr>
          <w:p w:rsidR="00DF0C7F" w:rsidRPr="00CB1818" w:rsidRDefault="00DF0C7F" w:rsidP="009E7D5E">
            <w:pPr>
              <w:pStyle w:val="TabelleText"/>
            </w:pPr>
            <w:r>
              <w:rPr>
                <w:color w:val="000000"/>
              </w:rPr>
              <w:t>480</w:t>
            </w:r>
          </w:p>
        </w:tc>
        <w:tc>
          <w:tcPr>
            <w:tcW w:w="2127" w:type="dxa"/>
          </w:tcPr>
          <w:p w:rsidR="00DF0C7F" w:rsidRPr="00CB1818" w:rsidRDefault="00DF0C7F" w:rsidP="009E7D5E">
            <w:pPr>
              <w:pStyle w:val="TabelleText"/>
            </w:pPr>
            <w:r>
              <w:rPr>
                <w:color w:val="000000"/>
              </w:rPr>
              <w:t>5 760</w:t>
            </w:r>
          </w:p>
        </w:tc>
      </w:tr>
    </w:tbl>
    <w:p w:rsidR="00DF0C7F" w:rsidRPr="00CB1818" w:rsidRDefault="00DF0C7F" w:rsidP="00271D47">
      <w:pPr>
        <w:pStyle w:val="Text"/>
      </w:pPr>
      <w:r>
        <w:t>In the future, the Federal Office of Justice will also maintain a list of authorised recipients as per § 5(2)(4) and (5) NetzDG and provide information to domestic law enforcement authorities. A total of 20 procedures per year are assumed.</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 xml:space="preserve">Office, mid-level </w:t>
            </w:r>
          </w:p>
        </w:tc>
        <w:tc>
          <w:tcPr>
            <w:tcW w:w="1333" w:type="dxa"/>
          </w:tcPr>
          <w:p w:rsidR="00DF0C7F" w:rsidRPr="00CB1818" w:rsidRDefault="00DF0C7F" w:rsidP="009E7D5E">
            <w:pPr>
              <w:pStyle w:val="TabelleText"/>
            </w:pPr>
            <w:r>
              <w:rPr>
                <w:color w:val="000000"/>
              </w:rPr>
              <w:t>0.0061</w:t>
            </w:r>
          </w:p>
        </w:tc>
        <w:tc>
          <w:tcPr>
            <w:tcW w:w="2835" w:type="dxa"/>
          </w:tcPr>
          <w:p w:rsidR="00DF0C7F" w:rsidRPr="00CB1818" w:rsidRDefault="00DF0C7F" w:rsidP="009E7D5E">
            <w:pPr>
              <w:pStyle w:val="TabelleText"/>
            </w:pPr>
            <w:r>
              <w:rPr>
                <w:color w:val="000000"/>
              </w:rPr>
              <w:t>60</w:t>
            </w:r>
          </w:p>
        </w:tc>
        <w:tc>
          <w:tcPr>
            <w:tcW w:w="2127" w:type="dxa"/>
          </w:tcPr>
          <w:p w:rsidR="00DF0C7F" w:rsidRPr="00CB1818" w:rsidRDefault="00DF0C7F" w:rsidP="009E7D5E">
            <w:pPr>
              <w:pStyle w:val="TabelleText"/>
            </w:pPr>
            <w:r>
              <w:rPr>
                <w:color w:val="000000"/>
              </w:rPr>
              <w:t>600</w:t>
            </w:r>
          </w:p>
        </w:tc>
      </w:tr>
    </w:tbl>
    <w:p w:rsidR="00DF0C7F" w:rsidRPr="00CB1818" w:rsidRDefault="00DF0C7F" w:rsidP="00271D47">
      <w:pPr>
        <w:pStyle w:val="Text"/>
      </w:pPr>
      <w:r>
        <w:lastRenderedPageBreak/>
        <w:t>Finally, the Federal Office of Justice will in the future review and, if necessary, issue auxiliary provisions when deciding on the recognition of self-regulation bodies as per § 3(7)(2) NetzDG. It is assumed that this is required in one procedure each year on average.</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vAlign w:val="bottom"/>
          </w:tcPr>
          <w:p w:rsidR="00DF0C7F" w:rsidRPr="00CB1818" w:rsidRDefault="00DF0C7F" w:rsidP="009E7D5E">
            <w:pPr>
              <w:pStyle w:val="TabelleText"/>
              <w:rPr>
                <w:color w:val="000000"/>
              </w:rPr>
            </w:pPr>
            <w:r>
              <w:rPr>
                <w:color w:val="000000"/>
              </w:rPr>
              <w:t>1</w:t>
            </w:r>
          </w:p>
        </w:tc>
        <w:tc>
          <w:tcPr>
            <w:tcW w:w="1643" w:type="dxa"/>
          </w:tcPr>
          <w:p w:rsidR="00DF0C7F" w:rsidRPr="00CB1818" w:rsidRDefault="00DF0C7F" w:rsidP="009E7D5E">
            <w:pPr>
              <w:pStyle w:val="TabelleText"/>
            </w:pPr>
            <w:r>
              <w:t>Policy officer, professional grade</w:t>
            </w:r>
          </w:p>
        </w:tc>
        <w:tc>
          <w:tcPr>
            <w:tcW w:w="1333" w:type="dxa"/>
            <w:vAlign w:val="bottom"/>
          </w:tcPr>
          <w:p w:rsidR="00DF0C7F" w:rsidRPr="00CB1818" w:rsidRDefault="00DF0C7F" w:rsidP="009E7D5E">
            <w:pPr>
              <w:pStyle w:val="TabelleText"/>
            </w:pPr>
            <w:r>
              <w:rPr>
                <w:color w:val="000000"/>
              </w:rPr>
              <w:t>0.0030</w:t>
            </w:r>
          </w:p>
        </w:tc>
        <w:tc>
          <w:tcPr>
            <w:tcW w:w="2835" w:type="dxa"/>
            <w:vAlign w:val="bottom"/>
          </w:tcPr>
          <w:p w:rsidR="00DF0C7F" w:rsidRPr="00CB1818" w:rsidRDefault="00DF0C7F" w:rsidP="009E7D5E">
            <w:pPr>
              <w:pStyle w:val="TabelleText"/>
            </w:pPr>
            <w:r>
              <w:rPr>
                <w:color w:val="000000"/>
              </w:rPr>
              <w:t>294</w:t>
            </w:r>
          </w:p>
        </w:tc>
        <w:tc>
          <w:tcPr>
            <w:tcW w:w="2127" w:type="dxa"/>
            <w:vAlign w:val="bottom"/>
          </w:tcPr>
          <w:p w:rsidR="00DF0C7F" w:rsidRPr="00CB1818" w:rsidRDefault="00DF0C7F" w:rsidP="009E7D5E">
            <w:pPr>
              <w:pStyle w:val="TabelleText"/>
            </w:pPr>
            <w:r>
              <w:rPr>
                <w:color w:val="000000"/>
              </w:rPr>
              <w:t>294</w:t>
            </w:r>
          </w:p>
        </w:tc>
      </w:tr>
      <w:tr w:rsidR="00DF0C7F" w:rsidRPr="00CB1818" w:rsidTr="009611DD">
        <w:tc>
          <w:tcPr>
            <w:tcW w:w="988" w:type="dxa"/>
            <w:vAlign w:val="bottom"/>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Case officer, executive grade</w:t>
            </w:r>
          </w:p>
        </w:tc>
        <w:tc>
          <w:tcPr>
            <w:tcW w:w="1333" w:type="dxa"/>
            <w:vAlign w:val="bottom"/>
          </w:tcPr>
          <w:p w:rsidR="00DF0C7F" w:rsidRPr="00CB1818" w:rsidRDefault="00DF0C7F" w:rsidP="009E7D5E">
            <w:pPr>
              <w:pStyle w:val="TabelleText"/>
            </w:pPr>
            <w:r>
              <w:rPr>
                <w:color w:val="000000"/>
              </w:rPr>
              <w:t>0.0002</w:t>
            </w:r>
          </w:p>
        </w:tc>
        <w:tc>
          <w:tcPr>
            <w:tcW w:w="2835" w:type="dxa"/>
            <w:vAlign w:val="bottom"/>
          </w:tcPr>
          <w:p w:rsidR="00DF0C7F" w:rsidRPr="00CB1818" w:rsidRDefault="00DF0C7F" w:rsidP="009E7D5E">
            <w:pPr>
              <w:pStyle w:val="TabelleText"/>
            </w:pPr>
            <w:r>
              <w:rPr>
                <w:color w:val="000000"/>
              </w:rPr>
              <w:t>21</w:t>
            </w:r>
          </w:p>
        </w:tc>
        <w:tc>
          <w:tcPr>
            <w:tcW w:w="2127" w:type="dxa"/>
            <w:vAlign w:val="bottom"/>
          </w:tcPr>
          <w:p w:rsidR="00DF0C7F" w:rsidRPr="00CB1818" w:rsidRDefault="00DF0C7F" w:rsidP="009E7D5E">
            <w:pPr>
              <w:pStyle w:val="TabelleText"/>
            </w:pPr>
            <w:r>
              <w:rPr>
                <w:color w:val="000000"/>
              </w:rPr>
              <w:t>21</w:t>
            </w:r>
          </w:p>
        </w:tc>
      </w:tr>
    </w:tbl>
    <w:p w:rsidR="00DF0C7F" w:rsidRPr="00CB1818" w:rsidRDefault="00DF0C7F" w:rsidP="00271D47">
      <w:pPr>
        <w:pStyle w:val="Text"/>
      </w:pPr>
      <w:r>
        <w:t>After all, in the future, the Federal Office of Justice will have to monitor compliance with the information and reporting obligations of the self-regulation bodies and/or will have to receive the relevant information.</w:t>
      </w:r>
    </w:p>
    <w:p w:rsidR="00DF0C7F" w:rsidRPr="00CB1818" w:rsidRDefault="00DF0C7F" w:rsidP="005B260B">
      <w:pPr>
        <w:pStyle w:val="Text"/>
        <w:keepNext/>
      </w:pPr>
      <w:r>
        <w:t>According to an estimate by the Federal Office of Justice, this results in the additional costs shown below each year:</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Policy officer, professional grade</w:t>
            </w:r>
          </w:p>
        </w:tc>
        <w:tc>
          <w:tcPr>
            <w:tcW w:w="1333" w:type="dxa"/>
            <w:vAlign w:val="bottom"/>
          </w:tcPr>
          <w:p w:rsidR="00DF0C7F" w:rsidRPr="00CB1818" w:rsidRDefault="00DF0C7F" w:rsidP="009E7D5E">
            <w:pPr>
              <w:pStyle w:val="TabelleText"/>
            </w:pPr>
            <w:r>
              <w:rPr>
                <w:color w:val="000000"/>
              </w:rPr>
              <w:t>0.0009</w:t>
            </w:r>
          </w:p>
        </w:tc>
        <w:tc>
          <w:tcPr>
            <w:tcW w:w="2835" w:type="dxa"/>
            <w:vAlign w:val="bottom"/>
          </w:tcPr>
          <w:p w:rsidR="00DF0C7F" w:rsidRPr="00CB1818" w:rsidRDefault="00DF0C7F" w:rsidP="009E7D5E">
            <w:pPr>
              <w:pStyle w:val="TabelleText"/>
            </w:pPr>
            <w:r>
              <w:rPr>
                <w:color w:val="000000"/>
              </w:rPr>
              <w:t>90</w:t>
            </w:r>
          </w:p>
        </w:tc>
        <w:tc>
          <w:tcPr>
            <w:tcW w:w="2127" w:type="dxa"/>
            <w:vAlign w:val="bottom"/>
          </w:tcPr>
          <w:p w:rsidR="00DF0C7F" w:rsidRPr="00CB1818" w:rsidRDefault="00DF0C7F" w:rsidP="009E7D5E">
            <w:pPr>
              <w:pStyle w:val="TabelleText"/>
            </w:pPr>
            <w:r>
              <w:rPr>
                <w:color w:val="000000"/>
              </w:rPr>
              <w:t>90</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Case officer, executive grade</w:t>
            </w:r>
          </w:p>
        </w:tc>
        <w:tc>
          <w:tcPr>
            <w:tcW w:w="1333" w:type="dxa"/>
            <w:vAlign w:val="bottom"/>
          </w:tcPr>
          <w:p w:rsidR="00DF0C7F" w:rsidRPr="00CB1818" w:rsidRDefault="00DF0C7F" w:rsidP="009E7D5E">
            <w:pPr>
              <w:pStyle w:val="TabelleText"/>
            </w:pPr>
            <w:r>
              <w:rPr>
                <w:color w:val="000000"/>
              </w:rPr>
              <w:t>0.0465</w:t>
            </w:r>
          </w:p>
        </w:tc>
        <w:tc>
          <w:tcPr>
            <w:tcW w:w="2835" w:type="dxa"/>
            <w:vAlign w:val="bottom"/>
          </w:tcPr>
          <w:p w:rsidR="00DF0C7F" w:rsidRPr="00CB1818" w:rsidRDefault="00DF0C7F" w:rsidP="009E7D5E">
            <w:pPr>
              <w:pStyle w:val="TabelleText"/>
            </w:pPr>
            <w:r>
              <w:rPr>
                <w:color w:val="000000"/>
              </w:rPr>
              <w:t>4 590</w:t>
            </w:r>
          </w:p>
        </w:tc>
        <w:tc>
          <w:tcPr>
            <w:tcW w:w="2127" w:type="dxa"/>
            <w:vAlign w:val="bottom"/>
          </w:tcPr>
          <w:p w:rsidR="00DF0C7F" w:rsidRPr="00CB1818" w:rsidRDefault="00DF0C7F" w:rsidP="009E7D5E">
            <w:pPr>
              <w:pStyle w:val="TabelleText"/>
            </w:pPr>
            <w:r>
              <w:rPr>
                <w:color w:val="000000"/>
              </w:rPr>
              <w:t>4 590</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 xml:space="preserve">Office, mid-level </w:t>
            </w:r>
          </w:p>
        </w:tc>
        <w:tc>
          <w:tcPr>
            <w:tcW w:w="1333" w:type="dxa"/>
            <w:vAlign w:val="bottom"/>
          </w:tcPr>
          <w:p w:rsidR="00DF0C7F" w:rsidRPr="00CB1818" w:rsidRDefault="00DF0C7F" w:rsidP="009E7D5E">
            <w:pPr>
              <w:pStyle w:val="TabelleText"/>
            </w:pPr>
            <w:r>
              <w:rPr>
                <w:color w:val="000000"/>
              </w:rPr>
              <w:t>0.0204</w:t>
            </w:r>
          </w:p>
        </w:tc>
        <w:tc>
          <w:tcPr>
            <w:tcW w:w="2835" w:type="dxa"/>
            <w:vAlign w:val="bottom"/>
          </w:tcPr>
          <w:p w:rsidR="00DF0C7F" w:rsidRPr="00CB1818" w:rsidRDefault="00DF0C7F" w:rsidP="009E7D5E">
            <w:pPr>
              <w:pStyle w:val="TabelleText"/>
            </w:pPr>
            <w:r>
              <w:rPr>
                <w:color w:val="000000"/>
              </w:rPr>
              <w:t>2 010</w:t>
            </w:r>
          </w:p>
        </w:tc>
        <w:tc>
          <w:tcPr>
            <w:tcW w:w="2127" w:type="dxa"/>
            <w:vAlign w:val="bottom"/>
          </w:tcPr>
          <w:p w:rsidR="00DF0C7F" w:rsidRPr="00CB1818" w:rsidRDefault="00DF0C7F" w:rsidP="009E7D5E">
            <w:pPr>
              <w:pStyle w:val="TabelleText"/>
            </w:pPr>
            <w:r>
              <w:rPr>
                <w:color w:val="000000"/>
              </w:rPr>
              <w:t>2 010</w:t>
            </w:r>
          </w:p>
        </w:tc>
      </w:tr>
    </w:tbl>
    <w:p w:rsidR="00DF0C7F" w:rsidRPr="00CB1818" w:rsidRDefault="00DF0C7F" w:rsidP="005B260B">
      <w:pPr>
        <w:pStyle w:val="Text"/>
        <w:keepNext/>
      </w:pPr>
      <w:r>
        <w:t>(19) Head of supervisory unit, cross-sectional tasks</w:t>
      </w:r>
    </w:p>
    <w:p w:rsidR="00DF0C7F" w:rsidRPr="00CB1818" w:rsidRDefault="00DF0C7F" w:rsidP="005B260B">
      <w:pPr>
        <w:pStyle w:val="Text"/>
        <w:keepNext/>
      </w:pPr>
      <w:r>
        <w:t>In the future, the Federal Office of Justice will have to carry out a significant number of supervisory procedures and injunction proceedings, § 4a(1) and (2) NetzDG. These procedures are aimed at determining the existence of a violation of the NetzDG and then taking the necessary measures to remedy the violation in a forward-looking manner. These are to be distinguished from fine proceedings that have already been used to repressively punish an administrative offence under § 4(1) NetzDG. The procedures should be separated in an organisational manner. This also takes into account that certain information obtained in the supervisory procedure may not be used in the fine proceedings (§ 4a(3) NetzDG). It is therefore necessary to set up another unit in addition to the two units that were previously in the Federal Office of Justice (competent for questions of principle and for fine proceedings under the NetzDG). An additional head of unit is required. This results in the following costs: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vAlign w:val="bottom"/>
          </w:tcPr>
          <w:p w:rsidR="00DF0C7F" w:rsidRPr="00CB1818" w:rsidRDefault="00DF0C7F" w:rsidP="009E7D5E">
            <w:pPr>
              <w:pStyle w:val="TabelleText"/>
              <w:rPr>
                <w:color w:val="000000"/>
              </w:rPr>
            </w:pPr>
            <w:r>
              <w:rPr>
                <w:color w:val="000000"/>
              </w:rPr>
              <w:t>1</w:t>
            </w:r>
          </w:p>
        </w:tc>
        <w:tc>
          <w:tcPr>
            <w:tcW w:w="1643" w:type="dxa"/>
          </w:tcPr>
          <w:p w:rsidR="00DF0C7F" w:rsidRPr="00CB1818" w:rsidRDefault="00DF0C7F" w:rsidP="009E7D5E">
            <w:pPr>
              <w:pStyle w:val="TabelleText"/>
            </w:pPr>
            <w:r>
              <w:t>Head of unit, professional grade</w:t>
            </w:r>
          </w:p>
        </w:tc>
        <w:tc>
          <w:tcPr>
            <w:tcW w:w="1333" w:type="dxa"/>
            <w:vAlign w:val="bottom"/>
          </w:tcPr>
          <w:p w:rsidR="00DF0C7F" w:rsidRPr="00CB1818" w:rsidRDefault="00DF0C7F" w:rsidP="009E7D5E">
            <w:pPr>
              <w:pStyle w:val="TabelleText"/>
            </w:pPr>
            <w:r>
              <w:rPr>
                <w:color w:val="000000"/>
              </w:rPr>
              <w:t>1</w:t>
            </w:r>
          </w:p>
        </w:tc>
        <w:tc>
          <w:tcPr>
            <w:tcW w:w="2835" w:type="dxa"/>
          </w:tcPr>
          <w:p w:rsidR="00DF0C7F" w:rsidRPr="00CB1818" w:rsidRDefault="00DF0C7F" w:rsidP="009E7D5E">
            <w:pPr>
              <w:pStyle w:val="TabelleText"/>
            </w:pPr>
            <w:r>
              <w:rPr>
                <w:color w:val="000000"/>
              </w:rPr>
              <w:t>98 683</w:t>
            </w:r>
          </w:p>
        </w:tc>
        <w:tc>
          <w:tcPr>
            <w:tcW w:w="2127" w:type="dxa"/>
          </w:tcPr>
          <w:p w:rsidR="00DF0C7F" w:rsidRPr="00CB1818" w:rsidRDefault="00DF0C7F" w:rsidP="009E7D5E">
            <w:pPr>
              <w:pStyle w:val="TabelleText"/>
            </w:pPr>
            <w:r>
              <w:rPr>
                <w:color w:val="000000"/>
              </w:rPr>
              <w:t>98 683</w:t>
            </w:r>
          </w:p>
        </w:tc>
      </w:tr>
    </w:tbl>
    <w:p w:rsidR="00DF0C7F" w:rsidRPr="00CB1818" w:rsidRDefault="00DF0C7F" w:rsidP="005B260B">
      <w:pPr>
        <w:pStyle w:val="Text"/>
        <w:keepNext/>
      </w:pPr>
      <w:r>
        <w:lastRenderedPageBreak/>
        <w:t>In addition, the new tasks will result in considerable additional costs in the area of IT tasks (operational application management, formal description of technical requirements, planning and cooperation in the event of future changes due to technical and technical requirements, technical fine-tuning with contracted service providers, etc.). According to the estimate of the Federal Office of Justice, an additional executive grade post is required:</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E7D5E">
        <w:tc>
          <w:tcPr>
            <w:tcW w:w="988" w:type="dxa"/>
          </w:tcPr>
          <w:p w:rsidR="00DF0C7F" w:rsidRPr="00CB1818" w:rsidRDefault="00DF0C7F" w:rsidP="009E7D5E">
            <w:pPr>
              <w:pStyle w:val="TabelleText"/>
              <w:rPr>
                <w:color w:val="000000"/>
              </w:rPr>
            </w:pPr>
            <w:r>
              <w:rPr>
                <w:color w:val="000000"/>
              </w:rP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1</w:t>
            </w:r>
          </w:p>
        </w:tc>
        <w:tc>
          <w:tcPr>
            <w:tcW w:w="2835" w:type="dxa"/>
          </w:tcPr>
          <w:p w:rsidR="00DF0C7F" w:rsidRPr="00CB1818" w:rsidRDefault="00DF0C7F" w:rsidP="009E7D5E">
            <w:pPr>
              <w:pStyle w:val="TabelleText"/>
              <w:rPr>
                <w:color w:val="000000"/>
              </w:rPr>
            </w:pPr>
            <w:r>
              <w:rPr>
                <w:color w:val="000000"/>
              </w:rPr>
              <w:t>98 683</w:t>
            </w:r>
          </w:p>
        </w:tc>
        <w:tc>
          <w:tcPr>
            <w:tcW w:w="2127" w:type="dxa"/>
          </w:tcPr>
          <w:p w:rsidR="00DF0C7F" w:rsidRPr="00CB1818" w:rsidRDefault="00DF0C7F" w:rsidP="009E7D5E">
            <w:pPr>
              <w:pStyle w:val="TabelleText"/>
              <w:rPr>
                <w:color w:val="000000"/>
              </w:rPr>
            </w:pPr>
            <w:r>
              <w:rPr>
                <w:color w:val="000000"/>
              </w:rPr>
              <w:t>98 683</w:t>
            </w:r>
          </w:p>
        </w:tc>
      </w:tr>
    </w:tbl>
    <w:p w:rsidR="00DF0C7F" w:rsidRPr="00CB1818" w:rsidRDefault="00DF0C7F" w:rsidP="005B260B">
      <w:pPr>
        <w:pStyle w:val="Text"/>
        <w:keepNext/>
      </w:pPr>
      <w:r>
        <w:t>Finally, the new tasks resulting from the NetzDG also increase the costs required for cross-sectional tasks in the Federal Office of Justice (personnel, organisation, budget, internal service, property management, legal advisory etc.). The additional requirements are estimated as follows: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Number of cases</w:t>
            </w:r>
          </w:p>
        </w:tc>
        <w:tc>
          <w:tcPr>
            <w:tcW w:w="1643" w:type="dxa"/>
          </w:tcPr>
          <w:p w:rsidR="00DF0C7F" w:rsidRPr="00CB1818" w:rsidRDefault="00DF0C7F" w:rsidP="005B260B">
            <w:pPr>
              <w:pStyle w:val="TabelleText"/>
              <w:keepNext/>
            </w:pPr>
            <w:r>
              <w:t>Function and service</w:t>
            </w:r>
          </w:p>
        </w:tc>
        <w:tc>
          <w:tcPr>
            <w:tcW w:w="1333" w:type="dxa"/>
          </w:tcPr>
          <w:p w:rsidR="00DF0C7F" w:rsidRPr="00CB1818" w:rsidRDefault="00DF0C7F" w:rsidP="005B260B">
            <w:pPr>
              <w:pStyle w:val="TabelleText"/>
              <w:keepNext/>
            </w:pPr>
            <w:r>
              <w:t>Manpower</w:t>
            </w:r>
          </w:p>
        </w:tc>
        <w:tc>
          <w:tcPr>
            <w:tcW w:w="2835" w:type="dxa"/>
          </w:tcPr>
          <w:p w:rsidR="00DF0C7F" w:rsidRPr="00CB1818" w:rsidRDefault="00DF0C7F" w:rsidP="005B260B">
            <w:pPr>
              <w:pStyle w:val="TabelleText"/>
              <w:keepNext/>
            </w:pPr>
            <w:r>
              <w:t>Average workload in minutes per case</w:t>
            </w:r>
          </w:p>
        </w:tc>
        <w:tc>
          <w:tcPr>
            <w:tcW w:w="2127" w:type="dxa"/>
          </w:tcPr>
          <w:p w:rsidR="00DF0C7F" w:rsidRPr="00CB1818" w:rsidRDefault="00DF0C7F" w:rsidP="005B260B">
            <w:pPr>
              <w:pStyle w:val="TabelleText"/>
              <w:keepNext/>
            </w:pPr>
            <w:r>
              <w:t>Total workload in minutes</w:t>
            </w:r>
          </w:p>
        </w:tc>
      </w:tr>
      <w:tr w:rsidR="00DF0C7F" w:rsidRPr="00CB1818" w:rsidTr="009611DD">
        <w:tc>
          <w:tcPr>
            <w:tcW w:w="988" w:type="dxa"/>
          </w:tcPr>
          <w:p w:rsidR="00DF0C7F" w:rsidRPr="00CB1818" w:rsidRDefault="00DF0C7F" w:rsidP="009E7D5E">
            <w:pPr>
              <w:pStyle w:val="TabelleText"/>
            </w:pPr>
            <w:r>
              <w:rPr>
                <w:color w:val="000000"/>
              </w:rPr>
              <w:t>0.42</w:t>
            </w:r>
          </w:p>
        </w:tc>
        <w:tc>
          <w:tcPr>
            <w:tcW w:w="1643" w:type="dxa"/>
          </w:tcPr>
          <w:p w:rsidR="00DF0C7F" w:rsidRPr="00CB1818" w:rsidRDefault="00DF0C7F" w:rsidP="009E7D5E">
            <w:pPr>
              <w:pStyle w:val="TabelleText"/>
            </w:pPr>
            <w:r>
              <w:t>Policy officer, professional grade</w:t>
            </w:r>
          </w:p>
        </w:tc>
        <w:tc>
          <w:tcPr>
            <w:tcW w:w="1333" w:type="dxa"/>
          </w:tcPr>
          <w:p w:rsidR="00DF0C7F" w:rsidRPr="00CB1818" w:rsidRDefault="00DF0C7F" w:rsidP="009E7D5E">
            <w:pPr>
              <w:pStyle w:val="TabelleText"/>
            </w:pPr>
            <w:r>
              <w:rPr>
                <w:color w:val="000000"/>
              </w:rPr>
              <w:t>0.4200</w:t>
            </w:r>
          </w:p>
        </w:tc>
        <w:tc>
          <w:tcPr>
            <w:tcW w:w="2835" w:type="dxa"/>
          </w:tcPr>
          <w:p w:rsidR="00DF0C7F" w:rsidRPr="00CB1818" w:rsidRDefault="00DF0C7F" w:rsidP="009E7D5E">
            <w:pPr>
              <w:pStyle w:val="TabelleText"/>
            </w:pPr>
            <w:r>
              <w:rPr>
                <w:color w:val="000000"/>
              </w:rPr>
              <w:t>98 683</w:t>
            </w:r>
          </w:p>
        </w:tc>
        <w:tc>
          <w:tcPr>
            <w:tcW w:w="2127" w:type="dxa"/>
          </w:tcPr>
          <w:p w:rsidR="00DF0C7F" w:rsidRPr="00CB1818" w:rsidRDefault="00DF0C7F" w:rsidP="009E7D5E">
            <w:pPr>
              <w:pStyle w:val="TabelleText"/>
            </w:pPr>
            <w:r>
              <w:rPr>
                <w:color w:val="000000"/>
              </w:rPr>
              <w:t>41 447</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Case officer, executive grade</w:t>
            </w:r>
          </w:p>
        </w:tc>
        <w:tc>
          <w:tcPr>
            <w:tcW w:w="1333" w:type="dxa"/>
          </w:tcPr>
          <w:p w:rsidR="00DF0C7F" w:rsidRPr="00CB1818" w:rsidRDefault="00DF0C7F" w:rsidP="009E7D5E">
            <w:pPr>
              <w:pStyle w:val="TabelleText"/>
            </w:pPr>
            <w:r>
              <w:rPr>
                <w:color w:val="000000"/>
              </w:rPr>
              <w:t>1.0000</w:t>
            </w:r>
          </w:p>
        </w:tc>
        <w:tc>
          <w:tcPr>
            <w:tcW w:w="2835" w:type="dxa"/>
          </w:tcPr>
          <w:p w:rsidR="00DF0C7F" w:rsidRPr="00CB1818" w:rsidRDefault="00DF0C7F" w:rsidP="009E7D5E">
            <w:pPr>
              <w:pStyle w:val="TabelleText"/>
            </w:pPr>
            <w:r>
              <w:rPr>
                <w:color w:val="000000"/>
              </w:rPr>
              <w:t>98 683</w:t>
            </w:r>
          </w:p>
        </w:tc>
        <w:tc>
          <w:tcPr>
            <w:tcW w:w="2127" w:type="dxa"/>
          </w:tcPr>
          <w:p w:rsidR="00DF0C7F" w:rsidRPr="00CB1818" w:rsidRDefault="00DF0C7F" w:rsidP="009E7D5E">
            <w:pPr>
              <w:pStyle w:val="TabelleText"/>
            </w:pPr>
            <w:r>
              <w:rPr>
                <w:color w:val="000000"/>
              </w:rPr>
              <w:t>98 683</w:t>
            </w:r>
          </w:p>
        </w:tc>
      </w:tr>
    </w:tbl>
    <w:p w:rsidR="00DF0C7F" w:rsidRPr="00CB1818" w:rsidRDefault="00DF0C7F" w:rsidP="005B260B">
      <w:pPr>
        <w:pStyle w:val="Text"/>
        <w:keepNext/>
      </w:pPr>
      <w:r>
        <w:t>(20) Savings in the fulfilment of tasks under the previous NetzDG and consideration of reduced requirements in the area of the previous NetzDG</w:t>
      </w:r>
    </w:p>
    <w:p w:rsidR="00B32668" w:rsidRPr="00CB1818" w:rsidRDefault="00DF0C7F" w:rsidP="00F74CC4">
      <w:pPr>
        <w:pStyle w:val="Text"/>
      </w:pPr>
      <w:r>
        <w:t>The additional compliance costs resulting by the Draft are offset by the fact that savings effects will occur in the area of the tasks required under the previous NetzDG. This is based on the assumption that, due to the new supervisory procedures to be carried out on the basis of § 4a(2) NetzDG and the enactment of orders to remedy deficits there, the need to carry out fine proceedings will decrease. On the one hand, initiation will have to be refrained from if a previous supervisory procedure has already determined that a violation of the NetzDG is not at hand. On the other hand, the supervision will result in violations of the NetzDG being remedied more quickly and, moreover, the initiation of fine proceedings being refrained from for reasons of convenience (estimated: in half of the previous cases).</w:t>
      </w:r>
    </w:p>
    <w:p w:rsidR="00DF0C7F" w:rsidRPr="00CB1818" w:rsidRDefault="00DF0C7F" w:rsidP="005B260B">
      <w:pPr>
        <w:pStyle w:val="Text"/>
        <w:keepNext/>
      </w:pPr>
      <w:r>
        <w:t>According to an estimate by the Federal Office of Justice, there will be savings effects as follows:</w:t>
      </w:r>
    </w:p>
    <w:tbl>
      <w:tblPr>
        <w:tblStyle w:val="Tabellenraster3"/>
        <w:tblW w:w="8735" w:type="dxa"/>
        <w:tblLook w:val="04A0" w:firstRow="1" w:lastRow="0" w:firstColumn="1" w:lastColumn="0" w:noHBand="0" w:noVBand="1"/>
      </w:tblPr>
      <w:tblGrid>
        <w:gridCol w:w="1207"/>
        <w:gridCol w:w="2166"/>
        <w:gridCol w:w="1515"/>
        <w:gridCol w:w="1531"/>
        <w:gridCol w:w="2389"/>
      </w:tblGrid>
      <w:tr w:rsidR="00DF0C7F" w:rsidRPr="00CB1818" w:rsidTr="00D32D29">
        <w:tc>
          <w:tcPr>
            <w:tcW w:w="1134" w:type="dxa"/>
            <w:hideMark/>
          </w:tcPr>
          <w:p w:rsidR="00DF0C7F" w:rsidRPr="00CB1818" w:rsidRDefault="00DF0C7F" w:rsidP="005B260B">
            <w:pPr>
              <w:pStyle w:val="TabelleText"/>
              <w:keepNext/>
            </w:pPr>
            <w:r>
              <w:t>Function and service</w:t>
            </w:r>
          </w:p>
        </w:tc>
        <w:tc>
          <w:tcPr>
            <w:tcW w:w="2166" w:type="dxa"/>
            <w:hideMark/>
          </w:tcPr>
          <w:p w:rsidR="00DF0C7F" w:rsidRPr="00CB1818" w:rsidRDefault="00DF0C7F" w:rsidP="005B260B">
            <w:pPr>
              <w:pStyle w:val="TabelleText"/>
              <w:keepNext/>
            </w:pPr>
            <w:r>
              <w:t>Total processing time in hours</w:t>
            </w:r>
          </w:p>
        </w:tc>
        <w:tc>
          <w:tcPr>
            <w:tcW w:w="1515" w:type="dxa"/>
            <w:hideMark/>
          </w:tcPr>
          <w:p w:rsidR="00DF0C7F" w:rsidRPr="00CB1818" w:rsidRDefault="00DF0C7F" w:rsidP="005B260B">
            <w:pPr>
              <w:pStyle w:val="TabelleText"/>
              <w:keepNext/>
            </w:pPr>
            <w:r>
              <w:t>Hourly labour costs (EUR)</w:t>
            </w:r>
          </w:p>
        </w:tc>
        <w:tc>
          <w:tcPr>
            <w:tcW w:w="1531" w:type="dxa"/>
            <w:hideMark/>
          </w:tcPr>
          <w:p w:rsidR="00DF0C7F" w:rsidRPr="00CB1818" w:rsidRDefault="00DF0C7F" w:rsidP="005B260B">
            <w:pPr>
              <w:pStyle w:val="TabelleText"/>
              <w:keepNext/>
            </w:pPr>
            <w:r>
              <w:t>Hourly material costs</w:t>
            </w:r>
          </w:p>
        </w:tc>
        <w:tc>
          <w:tcPr>
            <w:tcW w:w="2389" w:type="dxa"/>
            <w:hideMark/>
          </w:tcPr>
          <w:p w:rsidR="00DF0C7F" w:rsidRPr="00CB1818" w:rsidRDefault="00DF0C7F" w:rsidP="005B260B">
            <w:pPr>
              <w:pStyle w:val="TabelleText"/>
              <w:keepNext/>
            </w:pPr>
            <w:r>
              <w:t>Compliance costs (EUR)</w:t>
            </w:r>
          </w:p>
        </w:tc>
      </w:tr>
      <w:tr w:rsidR="00DF0C7F" w:rsidRPr="00CB1818" w:rsidTr="00D32D29">
        <w:tc>
          <w:tcPr>
            <w:tcW w:w="1134" w:type="dxa"/>
            <w:noWrap/>
            <w:hideMark/>
          </w:tcPr>
          <w:p w:rsidR="00DF0C7F" w:rsidRPr="00CB1818" w:rsidRDefault="00DF0C7F" w:rsidP="009E7D5E">
            <w:pPr>
              <w:pStyle w:val="TabelleText"/>
            </w:pPr>
            <w:r>
              <w:t>Professional grade service</w:t>
            </w:r>
          </w:p>
        </w:tc>
        <w:tc>
          <w:tcPr>
            <w:tcW w:w="2166" w:type="dxa"/>
            <w:noWrap/>
            <w:hideMark/>
          </w:tcPr>
          <w:p w:rsidR="00DF0C7F" w:rsidRPr="00CB1818" w:rsidRDefault="00DF0C7F" w:rsidP="009E7D5E">
            <w:pPr>
              <w:pStyle w:val="TabelleText"/>
            </w:pPr>
            <w:r>
              <w:t>2 039.45</w:t>
            </w:r>
          </w:p>
        </w:tc>
        <w:tc>
          <w:tcPr>
            <w:tcW w:w="1515" w:type="dxa"/>
            <w:noWrap/>
            <w:hideMark/>
          </w:tcPr>
          <w:p w:rsidR="00DF0C7F" w:rsidRPr="00CB1818" w:rsidRDefault="00DF0C7F" w:rsidP="009E7D5E">
            <w:pPr>
              <w:pStyle w:val="TabelleText"/>
            </w:pPr>
            <w:r>
              <w:t>65.4</w:t>
            </w:r>
          </w:p>
        </w:tc>
        <w:tc>
          <w:tcPr>
            <w:tcW w:w="1531" w:type="dxa"/>
            <w:noWrap/>
            <w:hideMark/>
          </w:tcPr>
          <w:p w:rsidR="00DF0C7F" w:rsidRPr="00CB1818" w:rsidRDefault="00DF0C7F" w:rsidP="009E7D5E">
            <w:pPr>
              <w:pStyle w:val="TabelleText"/>
            </w:pPr>
            <w:r>
              <w:t>-</w:t>
            </w:r>
          </w:p>
        </w:tc>
        <w:tc>
          <w:tcPr>
            <w:tcW w:w="2389" w:type="dxa"/>
            <w:noWrap/>
            <w:hideMark/>
          </w:tcPr>
          <w:p w:rsidR="00DF0C7F" w:rsidRPr="00CB1818" w:rsidRDefault="00DF0C7F" w:rsidP="009E7D5E">
            <w:pPr>
              <w:pStyle w:val="TabelleText"/>
            </w:pPr>
            <w:r>
              <w:t>133 379.94</w:t>
            </w:r>
          </w:p>
        </w:tc>
      </w:tr>
      <w:tr w:rsidR="00DF0C7F" w:rsidRPr="00CB1818" w:rsidTr="00D32D29">
        <w:tc>
          <w:tcPr>
            <w:tcW w:w="1134" w:type="dxa"/>
            <w:noWrap/>
            <w:hideMark/>
          </w:tcPr>
          <w:p w:rsidR="00DF0C7F" w:rsidRPr="00CB1818" w:rsidRDefault="00DF0C7F" w:rsidP="009E7D5E">
            <w:pPr>
              <w:pStyle w:val="TabelleText"/>
            </w:pPr>
            <w:r>
              <w:t>Executive grade service</w:t>
            </w:r>
          </w:p>
        </w:tc>
        <w:tc>
          <w:tcPr>
            <w:tcW w:w="2166" w:type="dxa"/>
            <w:noWrap/>
            <w:hideMark/>
          </w:tcPr>
          <w:p w:rsidR="00DF0C7F" w:rsidRPr="00CB1818" w:rsidRDefault="00DF0C7F" w:rsidP="009E7D5E">
            <w:pPr>
              <w:pStyle w:val="TabelleText"/>
            </w:pPr>
            <w:r>
              <w:t>3 240.09</w:t>
            </w:r>
          </w:p>
        </w:tc>
        <w:tc>
          <w:tcPr>
            <w:tcW w:w="1515" w:type="dxa"/>
            <w:noWrap/>
            <w:hideMark/>
          </w:tcPr>
          <w:p w:rsidR="00DF0C7F" w:rsidRPr="00CB1818" w:rsidRDefault="00DF0C7F" w:rsidP="009E7D5E">
            <w:pPr>
              <w:pStyle w:val="TabelleText"/>
            </w:pPr>
            <w:r>
              <w:t>43.4</w:t>
            </w:r>
          </w:p>
        </w:tc>
        <w:tc>
          <w:tcPr>
            <w:tcW w:w="1531" w:type="dxa"/>
            <w:noWrap/>
            <w:hideMark/>
          </w:tcPr>
          <w:p w:rsidR="00DF0C7F" w:rsidRPr="00CB1818" w:rsidRDefault="00DF0C7F" w:rsidP="009E7D5E">
            <w:pPr>
              <w:pStyle w:val="TabelleText"/>
            </w:pPr>
            <w:r>
              <w:t>-</w:t>
            </w:r>
          </w:p>
        </w:tc>
        <w:tc>
          <w:tcPr>
            <w:tcW w:w="2389" w:type="dxa"/>
            <w:noWrap/>
            <w:hideMark/>
          </w:tcPr>
          <w:p w:rsidR="00DF0C7F" w:rsidRPr="00CB1818" w:rsidRDefault="00DF0C7F" w:rsidP="009E7D5E">
            <w:pPr>
              <w:pStyle w:val="TabelleText"/>
            </w:pPr>
            <w:r>
              <w:t>140 619.99</w:t>
            </w:r>
          </w:p>
        </w:tc>
      </w:tr>
      <w:tr w:rsidR="00DF0C7F" w:rsidRPr="00CB1818" w:rsidTr="00D32D29">
        <w:tc>
          <w:tcPr>
            <w:tcW w:w="1134" w:type="dxa"/>
            <w:noWrap/>
            <w:hideMark/>
          </w:tcPr>
          <w:p w:rsidR="00DF0C7F" w:rsidRPr="00CB1818" w:rsidRDefault="00DF0C7F" w:rsidP="009E7D5E">
            <w:pPr>
              <w:pStyle w:val="TabelleText"/>
            </w:pPr>
            <w:r>
              <w:t>Mid-level service</w:t>
            </w:r>
          </w:p>
        </w:tc>
        <w:tc>
          <w:tcPr>
            <w:tcW w:w="2166" w:type="dxa"/>
            <w:noWrap/>
            <w:hideMark/>
          </w:tcPr>
          <w:p w:rsidR="00DF0C7F" w:rsidRPr="00CB1818" w:rsidRDefault="00DF0C7F" w:rsidP="009E7D5E">
            <w:pPr>
              <w:pStyle w:val="TabelleText"/>
            </w:pPr>
            <w:r>
              <w:t>312.50</w:t>
            </w:r>
          </w:p>
        </w:tc>
        <w:tc>
          <w:tcPr>
            <w:tcW w:w="1515" w:type="dxa"/>
            <w:noWrap/>
            <w:hideMark/>
          </w:tcPr>
          <w:p w:rsidR="00DF0C7F" w:rsidRPr="00CB1818" w:rsidRDefault="00DF0C7F" w:rsidP="009E7D5E">
            <w:pPr>
              <w:pStyle w:val="TabelleText"/>
            </w:pPr>
            <w:r>
              <w:t>31.7</w:t>
            </w:r>
          </w:p>
        </w:tc>
        <w:tc>
          <w:tcPr>
            <w:tcW w:w="1531" w:type="dxa"/>
            <w:noWrap/>
            <w:hideMark/>
          </w:tcPr>
          <w:p w:rsidR="00DF0C7F" w:rsidRPr="00CB1818" w:rsidRDefault="00DF0C7F" w:rsidP="009E7D5E">
            <w:pPr>
              <w:pStyle w:val="TabelleText"/>
            </w:pPr>
            <w:r>
              <w:t>-</w:t>
            </w:r>
          </w:p>
        </w:tc>
        <w:tc>
          <w:tcPr>
            <w:tcW w:w="2389" w:type="dxa"/>
            <w:noWrap/>
            <w:hideMark/>
          </w:tcPr>
          <w:p w:rsidR="00DF0C7F" w:rsidRPr="00CB1818" w:rsidRDefault="00DF0C7F" w:rsidP="009E7D5E">
            <w:pPr>
              <w:pStyle w:val="TabelleText"/>
            </w:pPr>
            <w:r>
              <w:t>9 906.13</w:t>
            </w:r>
          </w:p>
        </w:tc>
      </w:tr>
      <w:tr w:rsidR="00DF0C7F" w:rsidRPr="00CB1818" w:rsidTr="00D32D29">
        <w:tc>
          <w:tcPr>
            <w:tcW w:w="1134" w:type="dxa"/>
            <w:noWrap/>
            <w:hideMark/>
          </w:tcPr>
          <w:p w:rsidR="00DF0C7F" w:rsidRPr="00CB1818" w:rsidRDefault="00DF0C7F" w:rsidP="009E7D5E">
            <w:pPr>
              <w:pStyle w:val="TabelleText"/>
            </w:pPr>
            <w:r>
              <w:t> Total</w:t>
            </w:r>
          </w:p>
        </w:tc>
        <w:tc>
          <w:tcPr>
            <w:tcW w:w="2166" w:type="dxa"/>
            <w:noWrap/>
          </w:tcPr>
          <w:p w:rsidR="00DF0C7F" w:rsidRPr="00CB1818" w:rsidRDefault="00DF0C7F" w:rsidP="009E7D5E">
            <w:pPr>
              <w:pStyle w:val="TabelleText"/>
            </w:pPr>
          </w:p>
        </w:tc>
        <w:tc>
          <w:tcPr>
            <w:tcW w:w="1515" w:type="dxa"/>
            <w:noWrap/>
          </w:tcPr>
          <w:p w:rsidR="00DF0C7F" w:rsidRPr="00CB1818" w:rsidRDefault="00DF0C7F" w:rsidP="009E7D5E">
            <w:pPr>
              <w:pStyle w:val="TabelleText"/>
            </w:pPr>
          </w:p>
        </w:tc>
        <w:tc>
          <w:tcPr>
            <w:tcW w:w="1531" w:type="dxa"/>
            <w:noWrap/>
            <w:hideMark/>
          </w:tcPr>
          <w:p w:rsidR="00DF0C7F" w:rsidRPr="00CB1818" w:rsidRDefault="00DF0C7F" w:rsidP="009E7D5E">
            <w:pPr>
              <w:pStyle w:val="TabelleText"/>
            </w:pPr>
          </w:p>
        </w:tc>
        <w:tc>
          <w:tcPr>
            <w:tcW w:w="2389" w:type="dxa"/>
            <w:noWrap/>
            <w:hideMark/>
          </w:tcPr>
          <w:p w:rsidR="00DF0C7F" w:rsidRPr="00CB1818" w:rsidRDefault="00DF0C7F" w:rsidP="009E7D5E">
            <w:pPr>
              <w:pStyle w:val="TabelleText"/>
              <w:rPr>
                <w:bCs/>
              </w:rPr>
            </w:pPr>
            <w:r>
              <w:t>283 906.06</w:t>
            </w:r>
          </w:p>
        </w:tc>
      </w:tr>
    </w:tbl>
    <w:p w:rsidR="00E83886" w:rsidRPr="00CB1818" w:rsidRDefault="00E83886" w:rsidP="00F74CC4">
      <w:pPr>
        <w:pStyle w:val="berschriftarabischBegrndung"/>
      </w:pPr>
      <w:r>
        <w:t>Additional costs</w:t>
      </w:r>
    </w:p>
    <w:p w:rsidR="00843D7C" w:rsidRPr="00CB1818" w:rsidRDefault="00843D7C" w:rsidP="00F74CC4">
      <w:pPr>
        <w:pStyle w:val="Text"/>
      </w:pPr>
      <w:r>
        <w:t>The proposed changes also incur costs for the state judicial administrations and courts.</w:t>
      </w:r>
    </w:p>
    <w:p w:rsidR="00843D7C" w:rsidRPr="00CB1818" w:rsidRDefault="00843D7C" w:rsidP="00F74CC4">
      <w:pPr>
        <w:pStyle w:val="Text"/>
      </w:pPr>
      <w:r>
        <w:lastRenderedPageBreak/>
        <w:t>It is therefore to be expected that, due to the newly introduced supervisory powers of the Federal Office of Justice, there will be an average of five administrative court proceedings per year in which the legality of an injunction is disputed. Each of these procedures is likely to be more complex, resulting in a generous estimate of an additional staff requirement of 0.2 R1 posts.</w:t>
      </w:r>
    </w:p>
    <w:p w:rsidR="00B32668" w:rsidRPr="00CB1818" w:rsidRDefault="00843D7C" w:rsidP="00F74CC4">
      <w:pPr>
        <w:pStyle w:val="Text"/>
      </w:pPr>
      <w:r>
        <w:t>Furthermore, it is assumed that corresponding information procedures will increasingly be sought due to the new arrangement in § 14(3) and (4) TMG. 250 additional procedures are expected each year in this case. However, the future combination of information and the corresponding obligation will also result in savings (the process no longer has to be carried out in two stages). An additional requirement of 0.5 R1 posts is estimated.</w:t>
      </w:r>
    </w:p>
    <w:p w:rsidR="00843D7C" w:rsidRPr="00CB1818" w:rsidRDefault="00843D7C" w:rsidP="005B260B">
      <w:pPr>
        <w:pStyle w:val="Text"/>
        <w:keepNext/>
      </w:pPr>
      <w:r>
        <w:t>The overall estimate is as follows:</w:t>
      </w:r>
    </w:p>
    <w:tbl>
      <w:tblPr>
        <w:tblStyle w:val="Tabellenraster4"/>
        <w:tblW w:w="0" w:type="auto"/>
        <w:tblLook w:val="04A0" w:firstRow="1" w:lastRow="0" w:firstColumn="1" w:lastColumn="0" w:noHBand="0" w:noVBand="1"/>
      </w:tblPr>
      <w:tblGrid>
        <w:gridCol w:w="1838"/>
        <w:gridCol w:w="992"/>
        <w:gridCol w:w="3753"/>
        <w:gridCol w:w="2196"/>
      </w:tblGrid>
      <w:tr w:rsidR="00843D7C" w:rsidRPr="00CB1818" w:rsidTr="009E7D5E">
        <w:tc>
          <w:tcPr>
            <w:tcW w:w="1838" w:type="dxa"/>
          </w:tcPr>
          <w:p w:rsidR="00843D7C" w:rsidRPr="00CB1818" w:rsidRDefault="00A37647" w:rsidP="005B260B">
            <w:pPr>
              <w:pStyle w:val="TabelleText"/>
              <w:keepNext/>
            </w:pPr>
            <w:r>
              <w:t>Function and service</w:t>
            </w:r>
          </w:p>
        </w:tc>
        <w:tc>
          <w:tcPr>
            <w:tcW w:w="992" w:type="dxa"/>
          </w:tcPr>
          <w:p w:rsidR="00843D7C" w:rsidRPr="00CB1818" w:rsidRDefault="00843D7C" w:rsidP="005B260B">
            <w:pPr>
              <w:pStyle w:val="TabelleText"/>
              <w:keepNext/>
            </w:pPr>
            <w:r>
              <w:t>Posts</w:t>
            </w:r>
          </w:p>
        </w:tc>
        <w:tc>
          <w:tcPr>
            <w:tcW w:w="3753" w:type="dxa"/>
          </w:tcPr>
          <w:p w:rsidR="00843D7C" w:rsidRPr="00CB1818" w:rsidRDefault="00843D7C" w:rsidP="005B260B">
            <w:pPr>
              <w:pStyle w:val="TabelleText"/>
              <w:keepNext/>
            </w:pPr>
            <w:r>
              <w:t>Personnel costs per post per year, including flat-rate material expenses (EUR)</w:t>
            </w:r>
          </w:p>
        </w:tc>
        <w:tc>
          <w:tcPr>
            <w:tcW w:w="2196" w:type="dxa"/>
          </w:tcPr>
          <w:p w:rsidR="00843D7C" w:rsidRPr="00CB1818" w:rsidRDefault="00843D7C" w:rsidP="005B260B">
            <w:pPr>
              <w:pStyle w:val="TabelleText"/>
              <w:keepNext/>
            </w:pPr>
            <w:r>
              <w:t>Labour costs, total (EUR)</w:t>
            </w:r>
          </w:p>
        </w:tc>
      </w:tr>
      <w:tr w:rsidR="00843D7C" w:rsidRPr="00CB1818" w:rsidTr="009E7D5E">
        <w:tc>
          <w:tcPr>
            <w:tcW w:w="1838" w:type="dxa"/>
          </w:tcPr>
          <w:p w:rsidR="00843D7C" w:rsidRPr="00CB1818" w:rsidRDefault="00843D7C" w:rsidP="009E7D5E">
            <w:pPr>
              <w:pStyle w:val="TabelleText"/>
            </w:pPr>
            <w:r>
              <w:t>R1</w:t>
            </w:r>
          </w:p>
        </w:tc>
        <w:tc>
          <w:tcPr>
            <w:tcW w:w="992" w:type="dxa"/>
          </w:tcPr>
          <w:p w:rsidR="00843D7C" w:rsidRPr="00CB1818" w:rsidRDefault="00843D7C" w:rsidP="009E7D5E">
            <w:pPr>
              <w:pStyle w:val="TabelleText"/>
            </w:pPr>
            <w:r>
              <w:t>0.7</w:t>
            </w:r>
          </w:p>
        </w:tc>
        <w:tc>
          <w:tcPr>
            <w:tcW w:w="3753" w:type="dxa"/>
          </w:tcPr>
          <w:p w:rsidR="00843D7C" w:rsidRPr="00CB1818" w:rsidRDefault="00510B9D" w:rsidP="009E7D5E">
            <w:pPr>
              <w:pStyle w:val="TabelleText"/>
            </w:pPr>
            <w:r>
              <w:t>approx. 90 000.00</w:t>
            </w:r>
          </w:p>
        </w:tc>
        <w:tc>
          <w:tcPr>
            <w:tcW w:w="2196" w:type="dxa"/>
          </w:tcPr>
          <w:p w:rsidR="00843D7C" w:rsidRPr="00CB1818" w:rsidRDefault="00843D7C" w:rsidP="009E7D5E">
            <w:pPr>
              <w:pStyle w:val="TabelleText"/>
            </w:pPr>
            <w:r>
              <w:t xml:space="preserve">63 000 </w:t>
            </w:r>
          </w:p>
        </w:tc>
      </w:tr>
    </w:tbl>
    <w:p w:rsidR="00843D7C" w:rsidRPr="00CB1818" w:rsidRDefault="009E7D5E" w:rsidP="00382B89">
      <w:pPr>
        <w:pStyle w:val="AufzhlungStufe1"/>
      </w:pPr>
      <w:r>
        <w:t>Total: EUR 63 000.</w:t>
      </w:r>
    </w:p>
    <w:p w:rsidR="00E83886" w:rsidRPr="00CB1818" w:rsidRDefault="00E83886">
      <w:pPr>
        <w:pStyle w:val="berschriftarabischBegrndung"/>
      </w:pPr>
      <w:r>
        <w:t>Other legal consequences</w:t>
      </w:r>
    </w:p>
    <w:p w:rsidR="00D63D6D" w:rsidRPr="00CB1818" w:rsidRDefault="00D63D6D" w:rsidP="00D63D6D">
      <w:pPr>
        <w:pStyle w:val="Text"/>
      </w:pPr>
      <w:r>
        <w:t>The draft has implications for equality policy. The draft shall contribute to combating in a more effective manner on social network platforms discrimination also on account of sex as a result of hate crime and other criminal content.</w:t>
      </w:r>
    </w:p>
    <w:p w:rsidR="00E83886" w:rsidRPr="00CB1818" w:rsidRDefault="00E83886">
      <w:pPr>
        <w:pStyle w:val="berschriftrmischBegrndung"/>
      </w:pPr>
      <w:r>
        <w:t>Time limitation; evaluation</w:t>
      </w:r>
    </w:p>
    <w:p w:rsidR="003C2DC8" w:rsidRPr="00CB1818" w:rsidRDefault="00605E53" w:rsidP="00605E53">
      <w:pPr>
        <w:pStyle w:val="Text"/>
      </w:pPr>
      <w:r>
        <w:t>The Act will be evaluated no later than five years after it has entered into force. This is to determine whether and to what extent the intended effects on the providers recorded have been achieved. This includes, in particular, the questions as to whether the required information content of the transparency reports has been achieved, the reporting channels for the transmission of complaints about unlawful content have been designed in accordance with the clarifications in § 3(1)(2) NetzDG and whether the possibilities for settling disputes with the providers have improved. Furthermore, it should also be examined how the compliance costs for businesses and administration have developed and whether this development is in reasonable proportion to the regulatory effects identified. The evaluation will include investigating any unintentional side-effects and the acceptance and practicability of the regulations.</w:t>
      </w:r>
    </w:p>
    <w:p w:rsidR="003C2DC8" w:rsidRPr="00CB1818" w:rsidRDefault="003C2DC8" w:rsidP="00605E53">
      <w:pPr>
        <w:pStyle w:val="Text"/>
      </w:pPr>
      <w:r>
        <w:t>The extent to which the objectives of the Act are achieved will have to be determined on the basis of various criteria. As part of the evaluation, it is to be examined in particular which changes the providers make in the design of the reporting channels for the transmission of complaints about unlawful content. Furthermore, it must be examined whether the transparency reports have been supplemented and what information has been added. It should also be taken into account whether and to what extent appeal procedures and arbitration bodies are used and to what extent the process agent are used to assert reinstatement claims in accordance with § 5(1) NetzDG. Another criterion will be whether the new arrangement of the information procedure as per § 14(3) and (4) TMG leads to the corresponding information disclosures being clarified in a uniform procedure.</w:t>
      </w:r>
    </w:p>
    <w:p w:rsidR="003C2DC8" w:rsidRPr="00CB1818" w:rsidRDefault="00F36013" w:rsidP="00F36013">
      <w:pPr>
        <w:pStyle w:val="Text"/>
      </w:pPr>
      <w:r>
        <w:t xml:space="preserve">The evaluation should be based on various data sources. Important findings will emerge from the Federal Office of Justice's investigations and procedures. Finally, feedback from the groups concerned, in particular the social network providers and video sharing platform services, as well as those affected by unlawful content or their representatives or corresponding organisations is of particular relevance. Feedback from law enforcement agencies, the evaluation of judicial decisions and knowledge from the ranks of science </w:t>
      </w:r>
      <w:r>
        <w:lastRenderedPageBreak/>
        <w:t>and research are also of relevance. Empirical studies should be taken into account to a suitable extent.</w:t>
      </w:r>
    </w:p>
    <w:p w:rsidR="00605E53" w:rsidRPr="00CB1818" w:rsidRDefault="00E112F4" w:rsidP="00605E53">
      <w:pPr>
        <w:pStyle w:val="Text"/>
      </w:pPr>
      <w:r>
        <w:t>A time limitation on the Act is not envisaged. It is taken into account that the amendments to the NetzDG partly serve to implement the AVMSD and that the additions are aimed at eliminating temporary deficits that are not foreseeable.</w:t>
      </w:r>
    </w:p>
    <w:p w:rsidR="00E83886" w:rsidRPr="00CB1818" w:rsidRDefault="00E83886" w:rsidP="000822D2">
      <w:pPr>
        <w:pStyle w:val="BegrndungBesondererTeil"/>
      </w:pPr>
      <w:r>
        <w:t>B. Specific part</w:t>
      </w:r>
    </w:p>
    <w:p w:rsidR="00C7339D" w:rsidRPr="00CB1818" w:rsidRDefault="00C7339D" w:rsidP="00C7339D">
      <w:pPr>
        <w:pStyle w:val="VerweisBegrndung"/>
      </w:pPr>
      <w:r>
        <w:t xml:space="preserve">Re </w:t>
      </w:r>
      <w:r>
        <w:rPr>
          <w:rStyle w:val="Binnenverweis"/>
        </w:rPr>
        <w:t>Article 1</w:t>
      </w:r>
      <w:r>
        <w:t xml:space="preserve"> (amending the Network Enforcement Act)</w:t>
      </w:r>
    </w:p>
    <w:p w:rsidR="00B152DE" w:rsidRPr="00CB1818" w:rsidRDefault="00B152DE" w:rsidP="00B152DE">
      <w:pPr>
        <w:pStyle w:val="VerweisBegrndung"/>
      </w:pPr>
      <w:r>
        <w:t xml:space="preserve">Re </w:t>
      </w:r>
      <w:r>
        <w:rPr>
          <w:rStyle w:val="Binnenverweis"/>
        </w:rPr>
        <w:t>point 1</w:t>
      </w:r>
    </w:p>
    <w:p w:rsidR="00B152DE" w:rsidRPr="00CB1818" w:rsidRDefault="00951270" w:rsidP="00B152DE">
      <w:pPr>
        <w:pStyle w:val="Text"/>
      </w:pPr>
      <w:r>
        <w:t>Smaller social networks are exempt from the obligations under § 3 NetzDG (handling complaints about unlawful content). This should be maintained. In this respect, it must be made clear that the proposed supplementation of the NetzDG by the addition of an appeal procedure (§ 3b NetzDG in the present draft), which is based on the obligations under § 3 NetzDG, does not apply to the smaller social networks as defined by § 1(2) NetzDG.</w:t>
      </w:r>
    </w:p>
    <w:p w:rsidR="00C7339D" w:rsidRPr="00CB1818" w:rsidRDefault="00C7339D" w:rsidP="00C7339D">
      <w:pPr>
        <w:pStyle w:val="VerweisBegrndung"/>
      </w:pPr>
      <w:r>
        <w:t xml:space="preserve">Re </w:t>
      </w:r>
      <w:r>
        <w:rPr>
          <w:rStyle w:val="Binnenverweis"/>
        </w:rPr>
        <w:t>point 2</w:t>
      </w:r>
    </w:p>
    <w:p w:rsidR="003768E4" w:rsidRPr="00CB1818" w:rsidRDefault="00C7339D" w:rsidP="003768E4">
      <w:pPr>
        <w:pStyle w:val="VerweisBegrndung"/>
        <w:rPr>
          <w:rStyle w:val="Marker"/>
          <w:color w:val="auto"/>
        </w:rPr>
      </w:pPr>
      <w:r>
        <w:t xml:space="preserve">Re </w:t>
      </w:r>
      <w:r>
        <w:rPr>
          <w:rStyle w:val="Binnenverweis"/>
        </w:rPr>
        <w:t>(a)</w:t>
      </w:r>
    </w:p>
    <w:p w:rsidR="003768E4" w:rsidRPr="00CB1818" w:rsidRDefault="003768E4" w:rsidP="005013C1">
      <w:pPr>
        <w:pStyle w:val="Text"/>
        <w:rPr>
          <w:rStyle w:val="Marker"/>
          <w:color w:val="auto"/>
        </w:rPr>
      </w:pPr>
      <w:r>
        <w:rPr>
          <w:rStyle w:val="Marker"/>
          <w:color w:val="auto"/>
        </w:rPr>
        <w:t>Given their great importance for the formation of public opinion and for social discourse and the factual dependence of many citizens on large social networks for communication and discourse, their providers have a special responsibility. This also applies to the question of how the content disseminated there is handled and how the private providers create transparency for the general public. In particular, it is of considerable public concern how the provider deals with complaints about unlawful content and how decisions about restrictions on the dissemination of content are made. This results in information on the extent to which criminal content is disseminated and reported, how providers handle it and what costs are being taken to protect freedom of expression when examining the relevant reports.</w:t>
      </w:r>
    </w:p>
    <w:p w:rsidR="00C718DA" w:rsidRPr="00CB1818" w:rsidRDefault="005013C1" w:rsidP="005013C1">
      <w:pPr>
        <w:pStyle w:val="Text"/>
        <w:rPr>
          <w:rStyle w:val="Marker"/>
          <w:color w:val="auto"/>
        </w:rPr>
      </w:pPr>
      <w:r>
        <w:rPr>
          <w:rStyle w:val="Marker"/>
          <w:color w:val="auto"/>
        </w:rPr>
        <w:t>The supplementation of § 2(2) NetzDG by addition a new obligation to provide information in accordance with point 2 will make it necessary in the future to report, among other things, on the basic principles of the functioning of procedures for the automated detection of content that should be removed or blocked (after further review, if necessary). Large social network providers report that some of the methods are already in use today. Thus the new obligation to provide information neither calls for the use of appropriate systems, nor does the NetzDG require such use elsewhere (the NetzDG does not entail an obligation to delete copies or to filter uploads). The NetzDG also makes no statement about the permissibility of the application of such procedures.</w:t>
      </w:r>
    </w:p>
    <w:p w:rsidR="005013C1" w:rsidRPr="00CB1818" w:rsidRDefault="00E01936" w:rsidP="005013C1">
      <w:pPr>
        <w:pStyle w:val="Text"/>
        <w:rPr>
          <w:rStyle w:val="Marker"/>
          <w:color w:val="auto"/>
        </w:rPr>
      </w:pPr>
      <w:r>
        <w:rPr>
          <w:rStyle w:val="Marker"/>
          <w:color w:val="auto"/>
        </w:rPr>
        <w:t xml:space="preserve">The transparency requirement covers content, the dissemination of which may violate criminal standards or other laws, as well as content which, from the provider's perspective, violates the contractual relationships with the users. This takes into account that reports have been made in the recent past that significant progress has been made in the automated detection of correspondingly prohibited content and that the public should be informed about this at a central point. The statements of large providers indicate that a large part of removals due to violation of their own community standards or so-called community guidelines is due to the automated detection of content (for a representation, see YouTube: </w:t>
      </w:r>
      <w:r>
        <w:rPr>
          <w:rStyle w:val="Hyperlink"/>
        </w:rPr>
        <w:t>https://transparencyreport.google.com/youtube-policy/removals?hl=de</w:t>
      </w:r>
      <w:r>
        <w:rPr>
          <w:rStyle w:val="Marker"/>
          <w:color w:val="auto"/>
        </w:rPr>
        <w:t xml:space="preserve">; and Facebook for content classified as ‘hate speech’: </w:t>
      </w:r>
      <w:r>
        <w:rPr>
          <w:rStyle w:val="Hyperlink"/>
        </w:rPr>
        <w:t>https://transparency.facebook.com/community-standards-enforcement#hate-speech</w:t>
      </w:r>
      <w:r>
        <w:rPr>
          <w:rStyle w:val="Marker"/>
          <w:color w:val="auto"/>
        </w:rPr>
        <w:t xml:space="preserve">). So far, the general public has largely been unaware of the use, scope and functionality of the </w:t>
      </w:r>
      <w:r>
        <w:rPr>
          <w:rStyle w:val="Marker"/>
          <w:color w:val="auto"/>
        </w:rPr>
        <w:lastRenderedPageBreak/>
        <w:t xml:space="preserve">corresponding processes. In view of the special importance of the large social network providers covered by § 2 NetzDG for the public discourse of the citizens on the </w:t>
      </w:r>
      <w:r w:rsidR="002C2CBC">
        <w:rPr>
          <w:rStyle w:val="Marker"/>
          <w:color w:val="auto"/>
        </w:rPr>
        <w:t>i</w:t>
      </w:r>
      <w:r>
        <w:rPr>
          <w:rStyle w:val="Marker"/>
          <w:color w:val="auto"/>
        </w:rPr>
        <w:t>nternet, there is considerable interest among society as a whole in the background and functioning of corresponding automated processes.</w:t>
      </w:r>
    </w:p>
    <w:p w:rsidR="00C535E7" w:rsidRPr="00CB1818" w:rsidRDefault="00892542" w:rsidP="005013C1">
      <w:pPr>
        <w:pStyle w:val="Text"/>
        <w:rPr>
          <w:rStyle w:val="Marker"/>
          <w:color w:val="auto"/>
        </w:rPr>
      </w:pPr>
      <w:r>
        <w:rPr>
          <w:rStyle w:val="Marker"/>
          <w:color w:val="auto"/>
        </w:rPr>
        <w:t>It is necessary to report on the type of processes used, e.g. any technical systems. It is also necessary to report on the basic principles of the functioning of the procedures. Basic aspects of the functionality include information about the criteria used to find the content to be found, whether the systems are self-learning and how the use is controlled. Range information includes in particular information about which content categories (e.g. text, images, etc.) and which definable parts of the service are recorded.</w:t>
      </w:r>
    </w:p>
    <w:p w:rsidR="00C718DA" w:rsidRPr="00CB1818" w:rsidRDefault="00C718DA" w:rsidP="00C718DA">
      <w:pPr>
        <w:pStyle w:val="Text"/>
        <w:rPr>
          <w:rStyle w:val="Marker"/>
          <w:color w:val="auto"/>
        </w:rPr>
      </w:pPr>
      <w:r>
        <w:rPr>
          <w:rStyle w:val="Marker"/>
          <w:color w:val="auto"/>
        </w:rPr>
        <w:t>The selection of any training data of the systems used, if applicable, plays a decisive role for the functionality. Providers should therefore also provide general information about the selection and quality of the training data so that any discriminatory effects can be identified.</w:t>
      </w:r>
    </w:p>
    <w:p w:rsidR="00C718DA" w:rsidRPr="00CB1818" w:rsidRDefault="00C718DA" w:rsidP="00C718DA">
      <w:pPr>
        <w:pStyle w:val="Text"/>
        <w:rPr>
          <w:rStyle w:val="Marker"/>
          <w:color w:val="auto"/>
        </w:rPr>
      </w:pPr>
      <w:r>
        <w:rPr>
          <w:rStyle w:val="Marker"/>
          <w:color w:val="auto"/>
        </w:rPr>
        <w:t>The information on the verification of the results of corresponding procedures by the provider should contain information as to whether and which procedures the provider uses for quality assurance or evaluation, and which goals are to be pursued. This may include measures to prevent discrimination based on certain characteristics. It is also necessary to state the extent to which any results are checked, in particular to what extent employees are involved (‘human oversight’).</w:t>
      </w:r>
    </w:p>
    <w:p w:rsidR="003D6C68" w:rsidRPr="00CB1818" w:rsidRDefault="00C535E7" w:rsidP="005013C1">
      <w:pPr>
        <w:pStyle w:val="Text"/>
        <w:rPr>
          <w:rStyle w:val="Marker"/>
          <w:color w:val="auto"/>
        </w:rPr>
      </w:pPr>
      <w:r>
        <w:rPr>
          <w:rStyle w:val="Marker"/>
          <w:color w:val="auto"/>
        </w:rPr>
        <w:t>Since this is information for a broad public, the information can only be basic information in a form that is generally understandable. Business secrets do not need to be revealed.</w:t>
      </w:r>
    </w:p>
    <w:p w:rsidR="00C535E7" w:rsidRPr="00CB1818" w:rsidRDefault="00510B9D" w:rsidP="005013C1">
      <w:pPr>
        <w:pStyle w:val="Text"/>
        <w:rPr>
          <w:rStyle w:val="Marker"/>
          <w:color w:val="auto"/>
        </w:rPr>
      </w:pPr>
      <w:r>
        <w:rPr>
          <w:rStyle w:val="Marker"/>
          <w:color w:val="auto"/>
        </w:rPr>
        <w:t>In addition, an important fundamental concern is that science and research can understand the use of procedures for the automated recognition of content on the platforms relevant to public discourse. § 2(2)(2) NetzDG therefore provides that the providers report whether and to what extent people from science and research are given appropriate insight.</w:t>
      </w:r>
    </w:p>
    <w:p w:rsidR="0028765E" w:rsidRPr="00CB1818" w:rsidRDefault="0028765E" w:rsidP="005013C1">
      <w:pPr>
        <w:pStyle w:val="Text"/>
        <w:rPr>
          <w:rStyle w:val="Marker"/>
          <w:color w:val="auto"/>
        </w:rPr>
      </w:pPr>
      <w:r>
        <w:rPr>
          <w:rStyle w:val="Marker"/>
          <w:color w:val="auto"/>
        </w:rPr>
        <w:t>Due to the new version of the previous duty to provide information in accordance with § 2(2)(2) NetzDG in a revised § 2(2)(3) NetzDG, in the future it will also be necessary to report on the course of the examination of complaints about unlawful content, in particular in which order and according to which testing standards (for Community guidelines or so-called community standards and legal requirements) checking is conducted.</w:t>
      </w:r>
    </w:p>
    <w:p w:rsidR="00C7339D" w:rsidRPr="00CB1818" w:rsidRDefault="00C7339D" w:rsidP="00C7339D">
      <w:pPr>
        <w:pStyle w:val="VerweisBegrndung"/>
      </w:pPr>
      <w:r>
        <w:t xml:space="preserve">Re </w:t>
      </w:r>
      <w:r>
        <w:rPr>
          <w:rStyle w:val="Binnenverweis"/>
        </w:rPr>
        <w:t>(b)</w:t>
      </w:r>
    </w:p>
    <w:p w:rsidR="0028765E" w:rsidRPr="00CB1818" w:rsidRDefault="0028765E" w:rsidP="005013C1">
      <w:pPr>
        <w:pStyle w:val="Text"/>
        <w:rPr>
          <w:rStyle w:val="Marker"/>
          <w:color w:val="auto"/>
        </w:rPr>
      </w:pPr>
      <w:r>
        <w:rPr>
          <w:rStyle w:val="Marker"/>
          <w:color w:val="auto"/>
        </w:rPr>
        <w:t>These are consequential amendments.</w:t>
      </w:r>
    </w:p>
    <w:p w:rsidR="00C7339D" w:rsidRPr="00CB1818" w:rsidRDefault="00C7339D" w:rsidP="00C7339D">
      <w:pPr>
        <w:pStyle w:val="VerweisBegrndung"/>
      </w:pPr>
      <w:r>
        <w:t xml:space="preserve">Re </w:t>
      </w:r>
      <w:r>
        <w:rPr>
          <w:rStyle w:val="Binnenverweis"/>
        </w:rPr>
        <w:t>(c)</w:t>
      </w:r>
    </w:p>
    <w:p w:rsidR="005013C1" w:rsidRPr="00CB1818" w:rsidRDefault="005013C1" w:rsidP="005013C1">
      <w:pPr>
        <w:pStyle w:val="Text"/>
        <w:rPr>
          <w:rStyle w:val="Marker"/>
          <w:color w:val="auto"/>
        </w:rPr>
      </w:pPr>
      <w:r>
        <w:rPr>
          <w:rStyle w:val="Marker"/>
          <w:color w:val="auto"/>
        </w:rPr>
        <w:t>The addition in § 2(2)(7) NetzDG makes it clear that the total amount of content deleted or blocked due to complaints about unlawful content must also be stated.</w:t>
      </w:r>
    </w:p>
    <w:p w:rsidR="00AF124E" w:rsidRPr="00CB1818" w:rsidRDefault="005013C1" w:rsidP="005013C1">
      <w:pPr>
        <w:pStyle w:val="Text"/>
        <w:rPr>
          <w:rStyle w:val="Marker"/>
          <w:color w:val="auto"/>
        </w:rPr>
      </w:pPr>
      <w:r>
        <w:rPr>
          <w:rStyle w:val="Marker"/>
          <w:color w:val="auto"/>
        </w:rPr>
        <w:t>In addition, the reporting obligation is supplemented so that the number of cases must be reported in which deletion or blocking due to a complaint about unlawful content is already due to a recognised violation of the contractual relationships between the social network provider and the user (such as violations of so-called community guidelines). There has not been any reporting obligation to that effect until now. The aim, in conjunction with the change in § 2(2)(3) NetzDG, is to gain more clarity as to how providers handle complaints about unlawful content internally and for what reasons content is removed or blocked.</w:t>
      </w:r>
    </w:p>
    <w:p w:rsidR="00AF124E" w:rsidRPr="00CB1818" w:rsidRDefault="005013C1" w:rsidP="005013C1">
      <w:pPr>
        <w:pStyle w:val="Text"/>
        <w:rPr>
          <w:rStyle w:val="Marker"/>
          <w:color w:val="auto"/>
        </w:rPr>
      </w:pPr>
      <w:r>
        <w:rPr>
          <w:rStyle w:val="Marker"/>
          <w:color w:val="auto"/>
        </w:rPr>
        <w:lastRenderedPageBreak/>
        <w:t>The newly introduced reporting obligation only applies to cases in which a complaint about unlawful content has been lodged, has actually been checked based on the standards of the contractual relationship and has already led to the deletion or blocking of this check.</w:t>
      </w:r>
    </w:p>
    <w:p w:rsidR="00C7339D" w:rsidRPr="00CB1818" w:rsidRDefault="00C7339D" w:rsidP="00C7339D">
      <w:pPr>
        <w:pStyle w:val="VerweisBegrndung"/>
      </w:pPr>
      <w:r>
        <w:t xml:space="preserve">Re </w:t>
      </w:r>
      <w:r>
        <w:rPr>
          <w:rStyle w:val="Binnenverweis"/>
        </w:rPr>
        <w:t>(d)</w:t>
      </w:r>
    </w:p>
    <w:p w:rsidR="005013C1" w:rsidRPr="00CB1818" w:rsidRDefault="005013C1" w:rsidP="005013C1">
      <w:pPr>
        <w:pStyle w:val="Text"/>
        <w:rPr>
          <w:rStyle w:val="Marker"/>
          <w:color w:val="auto"/>
        </w:rPr>
      </w:pPr>
      <w:r>
        <w:rPr>
          <w:rStyle w:val="Marker"/>
          <w:color w:val="auto"/>
        </w:rPr>
        <w:t>The revised wording of the previous § 2(2)(8) NetzDG in § 2(2)(9) NetzDG clarifies that the differentiated presentation of the periods (within 24 hours, within 48 hours, within a week, at a later date) between receipt of the complaint and removal or blocking should be clear for all complaints received in the reporting period. This provides (without differentiation based on the reason for the complaint or based on the complainant) an overview of the timeframe within which all complaints were processed, if they resulted in removal or blocking.</w:t>
      </w:r>
    </w:p>
    <w:p w:rsidR="005013C1" w:rsidRPr="00CB1818" w:rsidRDefault="005013C1" w:rsidP="005013C1">
      <w:pPr>
        <w:pStyle w:val="Text"/>
        <w:rPr>
          <w:rStyle w:val="Marker"/>
          <w:color w:val="auto"/>
        </w:rPr>
      </w:pPr>
      <w:r>
        <w:rPr>
          <w:rStyle w:val="Marker"/>
          <w:color w:val="auto"/>
        </w:rPr>
        <w:t>In addition, such an overview of all complaints received in the reporting period (without specification based on the reason for the complaint) should be differentiated based on the complainant in question (user or complaint office).</w:t>
      </w:r>
    </w:p>
    <w:p w:rsidR="005013C1" w:rsidRPr="00CB1818" w:rsidRDefault="006B1C31" w:rsidP="005013C1">
      <w:pPr>
        <w:pStyle w:val="Text"/>
        <w:rPr>
          <w:rStyle w:val="Marker"/>
          <w:color w:val="auto"/>
        </w:rPr>
      </w:pPr>
      <w:r>
        <w:rPr>
          <w:rStyle w:val="Marker"/>
          <w:color w:val="auto"/>
        </w:rPr>
        <w:t>In addition, an overview of user complaints, broken down by time period, should be broken down according to the reason for the complaint. Finally, such an overview should also be given for complaints from complaint offices, broken down according to the reason for the complaint.</w:t>
      </w:r>
    </w:p>
    <w:p w:rsidR="00C7339D" w:rsidRPr="00CB1818" w:rsidRDefault="00C7339D" w:rsidP="00C7339D">
      <w:pPr>
        <w:pStyle w:val="VerweisBegrndung"/>
      </w:pPr>
      <w:r>
        <w:t xml:space="preserve">Re </w:t>
      </w:r>
      <w:r>
        <w:rPr>
          <w:rStyle w:val="Binnenverweis"/>
        </w:rPr>
        <w:t>(e)</w:t>
      </w:r>
    </w:p>
    <w:p w:rsidR="00C7339D" w:rsidRPr="00CB1818" w:rsidRDefault="00325F59" w:rsidP="00C7339D">
      <w:pPr>
        <w:pStyle w:val="Text"/>
        <w:rPr>
          <w:rStyle w:val="Marker"/>
          <w:color w:val="auto"/>
        </w:rPr>
      </w:pPr>
      <w:r>
        <w:rPr>
          <w:rStyle w:val="Marker"/>
          <w:color w:val="auto"/>
        </w:rPr>
        <w:t>This is an editorial amendment.</w:t>
      </w:r>
    </w:p>
    <w:p w:rsidR="00C7339D" w:rsidRPr="00CB1818" w:rsidRDefault="00C7339D" w:rsidP="00C7339D">
      <w:pPr>
        <w:pStyle w:val="VerweisBegrndung"/>
      </w:pPr>
      <w:r>
        <w:t xml:space="preserve">Re </w:t>
      </w:r>
      <w:r>
        <w:rPr>
          <w:rStyle w:val="Binnenverweis"/>
        </w:rPr>
        <w:t>(f)</w:t>
      </w:r>
    </w:p>
    <w:p w:rsidR="005B0C0E" w:rsidRPr="00CB1818" w:rsidRDefault="00325F59" w:rsidP="001318B0">
      <w:pPr>
        <w:pStyle w:val="Text"/>
        <w:rPr>
          <w:rStyle w:val="Marker"/>
          <w:color w:val="auto"/>
        </w:rPr>
      </w:pPr>
      <w:r>
        <w:rPr>
          <w:rStyle w:val="Marker"/>
          <w:color w:val="auto"/>
        </w:rPr>
        <w:t>§ 2(2)(11) NetzDG introduces a further obligation to provide information. It is necessary to report on appeals from complainants and the users affected by removal or blockages and their handling by the social network providers. In particular, the number of appeals according to § 3b NetzDG and the number of cases in which remedial action was taken, i.e. an original decision (e.g. to remove or not to remove content), were revised. § 2(2)(11) NetzDG thus supplements the appeal procedure newly introduced by § 3b NetzDG with information on transparency.</w:t>
      </w:r>
    </w:p>
    <w:p w:rsidR="00B129F5" w:rsidRPr="00CB1818" w:rsidRDefault="00B60471" w:rsidP="00B129F5">
      <w:pPr>
        <w:pStyle w:val="Text"/>
      </w:pPr>
      <w:r>
        <w:rPr>
          <w:rStyle w:val="Marker"/>
          <w:color w:val="auto"/>
        </w:rPr>
        <w:t>Feedback has revealed that criminal hate speech is often directed against certain groups. Women and minorities in particular are affected by hate speech in a special manner. For example, women are exposed to sexist harassment and threats of rape. This represents a particularly serious violation of personal rights and often has massive physical and psychological effects as violence exerted using digital means. Prominent cases of politicians, journalists or internet activists clearly show that gender-based degradation and threats are of particular importance. Minorities can also be particularly affected or the target of hate speech. Such a goal of criminal hate speech also increases the potential intimidation effects, which in turn particularly endanger peaceful coexistence in a free, open and democratic society.</w:t>
      </w:r>
    </w:p>
    <w:p w:rsidR="00644AD2" w:rsidRPr="00CB1818" w:rsidRDefault="00C535E7" w:rsidP="009F6860">
      <w:pPr>
        <w:pStyle w:val="Text"/>
        <w:rPr>
          <w:rStyle w:val="Marker"/>
          <w:color w:val="auto"/>
        </w:rPr>
      </w:pPr>
      <w:r>
        <w:rPr>
          <w:rStyle w:val="Marker"/>
          <w:color w:val="auto"/>
        </w:rPr>
        <w:t xml:space="preserve">It is important to gain knowledge about specific concerns. This involves a widespread call to improve the detection of such things as misogynistic or sexist motives for evidence of such hate crime and thus the ability to counter the degradation of people in a more targeted manner. Therefore, it is also important to know whether the removed or blocked content is noticeably linked to the relevant personal characteristics. It is also reported that unlawful content is sometimes distributed in a coordinated manner, for example via the coordinated posting of posts directed against a specific person, possibly with the aim of suggesting a purported opinion-forming power or to achieve intimidation effects. Improved information about the relevant background is important in order to better classify the </w:t>
      </w:r>
      <w:r>
        <w:rPr>
          <w:rStyle w:val="Marker"/>
          <w:color w:val="auto"/>
        </w:rPr>
        <w:lastRenderedPageBreak/>
        <w:t>dissemination of unlawful content and to be able to respond to it in a more targeted manner.</w:t>
      </w:r>
    </w:p>
    <w:p w:rsidR="0090243B" w:rsidRPr="00CB1818" w:rsidRDefault="00644AD2" w:rsidP="004334F6">
      <w:pPr>
        <w:pStyle w:val="Text"/>
        <w:rPr>
          <w:rStyle w:val="Marker"/>
          <w:color w:val="auto"/>
        </w:rPr>
      </w:pPr>
      <w:r>
        <w:rPr>
          <w:rStyle w:val="Marker"/>
          <w:color w:val="auto"/>
        </w:rPr>
        <w:t>Independent scientific studies can primarily provide particularly reliable and in-depth knowledge of those affected by unlawful content, the type of content disseminated, as well as the structures of the perpetrators. The promotion of such projects is therefore an important concern. It also depends on whether the providers grant scientific and research groups access to relevant in-depth knowledge on their platforms. For that reason, in accordance with § 2(2)(2)(12) NetzDG, providers will in the future report on whether and to what extent science and research are granted access to potential insights for anonymised evaluation, concerning specific effects of unlawful content, coordinated behaviours in its dissemination, as well as the question as to the extent to which removed content is linked to characteristics defined by § 1 of the General Equal Treatment Act (AGG).</w:t>
      </w:r>
    </w:p>
    <w:p w:rsidR="0090243B" w:rsidRPr="00CB1818" w:rsidRDefault="00951270" w:rsidP="00325F59">
      <w:pPr>
        <w:pStyle w:val="Text"/>
        <w:rPr>
          <w:rStyle w:val="Marker"/>
          <w:color w:val="auto"/>
        </w:rPr>
      </w:pPr>
      <w:r>
        <w:rPr>
          <w:rStyle w:val="Marker"/>
          <w:color w:val="auto"/>
        </w:rPr>
        <w:t>In the future, § 2(2)(13) NetzDG will also require reporting on other measures that serve to protect or support those affected by criminal hate speech. This may pertain to cooperation with corresponding institutions as well as offered information or training for users for the purpose of their support.</w:t>
      </w:r>
    </w:p>
    <w:p w:rsidR="00325F59" w:rsidRPr="00CB1818" w:rsidRDefault="00325F59" w:rsidP="004334F6">
      <w:pPr>
        <w:pStyle w:val="Text"/>
        <w:rPr>
          <w:rStyle w:val="Marker"/>
          <w:color w:val="auto"/>
        </w:rPr>
      </w:pPr>
      <w:r>
        <w:rPr>
          <w:rStyle w:val="Marker"/>
          <w:color w:val="auto"/>
        </w:rPr>
        <w:t>The previous transparency reports have provided initial insights into how social network providers handle complaints about unlawful content. In some cases, major changes could be seen between the different reporting periods. In order to improve the comparability of the transparency reports and to increase their information content, the reports as per § 2(2)(14) NetzDG will in the future be supplemented by a summary which provides an overview of the most important key figures, also in comparison to the two previous reporting periods. Possible reasons for changes should also be explained.</w:t>
      </w:r>
    </w:p>
    <w:p w:rsidR="00C7339D" w:rsidRPr="00CB1818" w:rsidRDefault="00C7339D" w:rsidP="00C7339D">
      <w:pPr>
        <w:pStyle w:val="VerweisBegrndung"/>
      </w:pPr>
      <w:r>
        <w:t xml:space="preserve">Re </w:t>
      </w:r>
      <w:r>
        <w:rPr>
          <w:rStyle w:val="Binnenverweis"/>
        </w:rPr>
        <w:t>point 3</w:t>
      </w:r>
    </w:p>
    <w:p w:rsidR="00C7339D" w:rsidRPr="00CB1818" w:rsidRDefault="00C7339D" w:rsidP="00C7339D">
      <w:pPr>
        <w:pStyle w:val="VerweisBegrndung"/>
      </w:pPr>
      <w:r>
        <w:t xml:space="preserve">Re </w:t>
      </w:r>
      <w:r>
        <w:rPr>
          <w:rStyle w:val="Binnenverweis"/>
        </w:rPr>
        <w:t>(a)</w:t>
      </w:r>
    </w:p>
    <w:p w:rsidR="001463D2" w:rsidRPr="00CB1818" w:rsidRDefault="00E44D2A" w:rsidP="00E44D2A">
      <w:pPr>
        <w:pStyle w:val="Text"/>
        <w:rPr>
          <w:rStyle w:val="Marker"/>
          <w:color w:val="auto"/>
        </w:rPr>
      </w:pPr>
      <w:r>
        <w:rPr>
          <w:rStyle w:val="Marker"/>
          <w:color w:val="auto"/>
        </w:rPr>
        <w:t>§ 3(1)(2) NetzDG is supplemented by the addition that the procedure to be used by the provider for the transmission of complaints about unlawful content must not only be easily recognisable, immediately accessible and continuously available, but must also be expressly easy to use. This again makes it clear that user-friendliness is a central element of the reporting channels (corresponding to the justification for the NetzDG, Bundestag Document 18/12356, p. 22). For the area of implementation of the AVMSD, corresponding requirements result from Article 28b(3)(3)(d) AVMSD.</w:t>
      </w:r>
    </w:p>
    <w:p w:rsidR="00C21421" w:rsidRPr="00CB1818" w:rsidRDefault="001463D2" w:rsidP="00E44D2A">
      <w:pPr>
        <w:pStyle w:val="Text"/>
        <w:rPr>
          <w:rStyle w:val="Marker"/>
          <w:color w:val="auto"/>
        </w:rPr>
      </w:pPr>
      <w:r>
        <w:rPr>
          <w:rStyle w:val="Marker"/>
          <w:color w:val="auto"/>
        </w:rPr>
        <w:t>Even under current law, procedures for the transmission of complaints are only easy to use and user-friendly if they enable the complaint to be transmitted without unnecessarily hindering intermediate steps or clicking back and forth (for example, manual copying and pasting of identifying information such as URLs or screenshots). There has also already been a prerequisite that the procedure must not be designed to be unnecessarily deterring. For example, it should not appear that a complaint about unlawful content requires the correct designation of the criterion for an offence which has been met.</w:t>
      </w:r>
    </w:p>
    <w:p w:rsidR="00C21421" w:rsidRPr="00CB1818" w:rsidRDefault="00C21421" w:rsidP="00E44D2A">
      <w:pPr>
        <w:pStyle w:val="Text"/>
        <w:rPr>
          <w:rStyle w:val="Marker"/>
          <w:color w:val="auto"/>
        </w:rPr>
      </w:pPr>
      <w:r>
        <w:rPr>
          <w:rStyle w:val="Marker"/>
          <w:color w:val="auto"/>
        </w:rPr>
        <w:t>It also clarifies that the procedures for submitting complaints about unlawful content must be easily recognisable and immediately accessible in terms of the content. The NetzDG requires the procedure for submitting complaints to be easily recognisable and immediately accessible from the perspective of a sensible user. The starting point is generally the situation in which the user looks at the relevant content. From there, the procedure for the transmitting complaints must be easily and intuitively recognisable for the user and immediately accessible.</w:t>
      </w:r>
    </w:p>
    <w:p w:rsidR="00D63D6D" w:rsidRPr="00CB1818" w:rsidRDefault="00D63D6D" w:rsidP="00D63D6D">
      <w:pPr>
        <w:pStyle w:val="Text"/>
        <w:rPr>
          <w:rStyle w:val="Marker"/>
          <w:color w:val="auto"/>
        </w:rPr>
      </w:pPr>
      <w:r>
        <w:rPr>
          <w:rStyle w:val="Marker"/>
          <w:color w:val="auto"/>
        </w:rPr>
        <w:t xml:space="preserve">The clarifications in § 3(1)(2) NetzDG on the user-friendly reporting path supplement the addition of a legal definition of the complaint about unlawful content in § 1(4) NetzDG to </w:t>
      </w:r>
      <w:r>
        <w:rPr>
          <w:rStyle w:val="Marker"/>
          <w:color w:val="auto"/>
        </w:rPr>
        <w:lastRenderedPageBreak/>
        <w:t>the NetzDG provided for in the Draft Act to Combat Right-Wing Extremism and Hate Crime (Bundestag Document 87/20). In synopsis with the additions, it is ensured that corresponding complaints can be transmitted easily and in a user-friendly manner. It also ensures that the social network providers treat objections about unlawful content in cases of doubt as corresponding complaints about unlawful content.</w:t>
      </w:r>
    </w:p>
    <w:p w:rsidR="00883C6E" w:rsidRPr="00CB1818" w:rsidRDefault="00C7339D" w:rsidP="00440A43">
      <w:pPr>
        <w:pStyle w:val="VerweisBegrndung"/>
        <w:rPr>
          <w:rStyle w:val="Marker"/>
          <w:color w:val="auto"/>
        </w:rPr>
      </w:pPr>
      <w:r>
        <w:t xml:space="preserve">Re </w:t>
      </w:r>
      <w:r>
        <w:rPr>
          <w:rStyle w:val="Binnenverweis"/>
        </w:rPr>
        <w:t>(b)</w:t>
      </w:r>
    </w:p>
    <w:p w:rsidR="00C7339D" w:rsidRPr="00CB1818" w:rsidRDefault="00C7339D" w:rsidP="00C7339D">
      <w:pPr>
        <w:pStyle w:val="VerweisBegrndung"/>
      </w:pPr>
      <w:r>
        <w:t xml:space="preserve">Re </w:t>
      </w:r>
      <w:r>
        <w:rPr>
          <w:rStyle w:val="Binnenverweis"/>
        </w:rPr>
        <w:t>(bb)</w:t>
      </w:r>
    </w:p>
    <w:p w:rsidR="00CF37E8" w:rsidRPr="00CB1818" w:rsidRDefault="004A65F2" w:rsidP="004979EF">
      <w:pPr>
        <w:pStyle w:val="VerweisBegrndung"/>
        <w:jc w:val="both"/>
        <w:rPr>
          <w:rStyle w:val="Marker"/>
          <w:b w:val="0"/>
          <w:color w:val="auto"/>
        </w:rPr>
      </w:pPr>
      <w:r>
        <w:rPr>
          <w:rStyle w:val="Marker"/>
          <w:b w:val="0"/>
          <w:color w:val="auto"/>
        </w:rPr>
        <w:t>This is an editorial amendment.</w:t>
      </w:r>
    </w:p>
    <w:p w:rsidR="00B152DE" w:rsidRPr="00CB1818" w:rsidRDefault="00C7339D" w:rsidP="00951270">
      <w:pPr>
        <w:pStyle w:val="VerweisBegrndung"/>
      </w:pPr>
      <w:r>
        <w:t xml:space="preserve">Re </w:t>
      </w:r>
      <w:r>
        <w:rPr>
          <w:rStyle w:val="Binnenverweis"/>
        </w:rPr>
        <w:t>(cc)</w:t>
      </w:r>
    </w:p>
    <w:p w:rsidR="00E822CA" w:rsidRPr="00CB1818" w:rsidRDefault="003F0FFD" w:rsidP="005B260B">
      <w:pPr>
        <w:pStyle w:val="VerweisBegrndung"/>
        <w:keepNext w:val="0"/>
        <w:jc w:val="both"/>
        <w:rPr>
          <w:rStyle w:val="Marker"/>
          <w:b w:val="0"/>
          <w:color w:val="auto"/>
        </w:rPr>
      </w:pPr>
      <w:r>
        <w:rPr>
          <w:rStyle w:val="Marker"/>
          <w:b w:val="0"/>
          <w:color w:val="auto"/>
        </w:rPr>
        <w:t>The revision of § 3(2)(1)(4) NetzDG is an editorial amendment.</w:t>
      </w:r>
    </w:p>
    <w:p w:rsidR="004A65F2" w:rsidRPr="00CB1818" w:rsidRDefault="004A65F2" w:rsidP="005B260B">
      <w:pPr>
        <w:pStyle w:val="VerweisBegrndung"/>
        <w:keepNext w:val="0"/>
        <w:jc w:val="both"/>
        <w:rPr>
          <w:rStyle w:val="Marker"/>
          <w:b w:val="0"/>
          <w:color w:val="auto"/>
        </w:rPr>
      </w:pPr>
      <w:r>
        <w:rPr>
          <w:rStyle w:val="Marker"/>
          <w:b w:val="0"/>
          <w:color w:val="auto"/>
        </w:rPr>
        <w:t>The revision of § 3(2)(5) NetzDG supplements the social network provider's obligation to provide information when a decision is being made following a complaint about unlawful content. Information should be given about the possibility of an appeal.</w:t>
      </w:r>
    </w:p>
    <w:p w:rsidR="004A65F2" w:rsidRPr="00CB1818" w:rsidRDefault="00860237" w:rsidP="004A65F2">
      <w:pPr>
        <w:pStyle w:val="Text"/>
        <w:rPr>
          <w:rStyle w:val="Marker"/>
          <w:color w:val="auto"/>
        </w:rPr>
      </w:pPr>
      <w:r>
        <w:rPr>
          <w:rStyle w:val="Marker"/>
          <w:color w:val="auto"/>
        </w:rPr>
        <w:t>The complainant must also be advised that he can file a notice of an offence and, if necessary, an application for prosecution. The aim is to simplify the complainant's decision to take appropriate steps. General and meaningful information on the further possible steps for the person concerned must be shown, if necessary also by referring to relevant sources of further information, such as websites.</w:t>
      </w:r>
    </w:p>
    <w:p w:rsidR="008C65DD" w:rsidRPr="00CB1818" w:rsidRDefault="008C65DD" w:rsidP="004A65F2">
      <w:pPr>
        <w:pStyle w:val="Text"/>
      </w:pPr>
      <w:r>
        <w:rPr>
          <w:rStyle w:val="Marker"/>
          <w:color w:val="auto"/>
        </w:rPr>
        <w:t>The information requirements pursuant to § 3(2)(5) NetzDG do not affect any potential voluntary information (e.g. on the receipt of a complaint or the status of the review).</w:t>
      </w:r>
    </w:p>
    <w:p w:rsidR="004A65F2" w:rsidRPr="00CB1818" w:rsidRDefault="004A65F2" w:rsidP="005B260B">
      <w:pPr>
        <w:pStyle w:val="Text"/>
        <w:keepNext/>
        <w:rPr>
          <w:b/>
        </w:rPr>
      </w:pPr>
      <w:r>
        <w:rPr>
          <w:b/>
        </w:rPr>
        <w:t>Re (cc)</w:t>
      </w:r>
    </w:p>
    <w:p w:rsidR="0083523F" w:rsidRPr="00CB1818" w:rsidRDefault="00BE3801" w:rsidP="00BE3801">
      <w:pPr>
        <w:pStyle w:val="Text"/>
      </w:pPr>
      <w:r>
        <w:t>§ 3(2)(2) and (3) NetzDG specify the scope of the data transfer and processing powers under data protection law of the providers and the recognised self-regulation bodies which already exist on the basis of Article 6(1)(c) in conjunction with paragraphs (2) and (3) of the General Data Protection Regulation (GDPR). Accordingly, the provider may, if necessary, also provide information on the extent to which content has been disseminated, for example whether it has been made accessible to an indefinite larger audience or only to a small, closed group. This does not result in an authorisation to transmit the IP addresses or names of the recipients of the content. The authority to transmit content that is recognisable in relation to the content also relates in particular to content posted by other users of the social network which the contested content addresses or refers to.</w:t>
      </w:r>
    </w:p>
    <w:p w:rsidR="00BE3801" w:rsidRPr="00CB1818" w:rsidRDefault="00BE3801" w:rsidP="00BE3801">
      <w:pPr>
        <w:pStyle w:val="Text"/>
      </w:pPr>
      <w:r>
        <w:t>§ 3(2)(4) NetzDG clarifies that a violation of § 3(1)(1) NetzDG, and thus an administrative offence pursuant to § 4(1)(2) NetzDG, cannot be based on the provider having followed decisions of the self-regulation body.</w:t>
      </w:r>
    </w:p>
    <w:p w:rsidR="00C7339D" w:rsidRPr="00CB1818" w:rsidRDefault="00C7339D" w:rsidP="00C7339D">
      <w:pPr>
        <w:pStyle w:val="VerweisBegrndung"/>
      </w:pPr>
      <w:r>
        <w:t xml:space="preserve">Re </w:t>
      </w:r>
      <w:r>
        <w:rPr>
          <w:rStyle w:val="Binnenverweis"/>
        </w:rPr>
        <w:t>(c)</w:t>
      </w:r>
    </w:p>
    <w:p w:rsidR="00C7339D" w:rsidRPr="00CB1818" w:rsidRDefault="00C7339D" w:rsidP="00C7339D">
      <w:pPr>
        <w:pStyle w:val="VerweisBegrndung"/>
      </w:pPr>
      <w:r>
        <w:t>Re (aa)</w:t>
      </w:r>
    </w:p>
    <w:p w:rsidR="00DC1BCC" w:rsidRPr="00CB1818" w:rsidRDefault="00E822CA" w:rsidP="005B260B">
      <w:pPr>
        <w:pStyle w:val="VerweisBegrndung"/>
        <w:keepNext w:val="0"/>
        <w:jc w:val="both"/>
        <w:rPr>
          <w:rStyle w:val="Marker"/>
          <w:b w:val="0"/>
          <w:color w:val="auto"/>
        </w:rPr>
      </w:pPr>
      <w:r>
        <w:rPr>
          <w:rStyle w:val="Marker"/>
          <w:b w:val="0"/>
          <w:color w:val="auto"/>
        </w:rPr>
        <w:t xml:space="preserve">Up to now, § 3(6)(3) NetzDG has stipulated that the rules of procedure of a recognised self-regulation body must provide for the possibility of reviewing decisions (on the illegality of content). However, there is no arrangement as to whose request a review should be conducted at. The new version clarifies that a corresponding application must be open to the complainant on the one hand and to the user for whom the content has been saved on the other. The social network provider is not allowed to file an application because the </w:t>
      </w:r>
      <w:r>
        <w:rPr>
          <w:rStyle w:val="Marker"/>
          <w:b w:val="0"/>
          <w:color w:val="auto"/>
        </w:rPr>
        <w:lastRenderedPageBreak/>
        <w:t>provider already has the opportunity to comment comprehensively on the decision to be taken when the decision pursuant to § 3(2)(3)(b) NetzDG is transferred.</w:t>
      </w:r>
    </w:p>
    <w:p w:rsidR="00B00AD4" w:rsidRPr="00CB1818" w:rsidRDefault="00B00AD4" w:rsidP="00B00AD4">
      <w:pPr>
        <w:pStyle w:val="Text"/>
      </w:pPr>
      <w:r>
        <w:t>A provision is not being introduced to have the complainant or the user for whom the content is saved share in the costs of a review decision. This creates a synchronisation with the appeal procedure, in which both complainants and users can also make a review decision free of charge. This synchronisation is justified, since the appeal procedure is excluded for the relevant cases here, in which the social network has transferred a decision to self-regulation body, § 3b(1)(1) NetzDG.</w:t>
      </w:r>
    </w:p>
    <w:p w:rsidR="008C65DD" w:rsidRPr="00CB1818" w:rsidRDefault="00DC1BCC" w:rsidP="00DC1BCC">
      <w:pPr>
        <w:pStyle w:val="Text"/>
      </w:pPr>
      <w:r>
        <w:rPr>
          <w:rStyle w:val="Marker"/>
          <w:color w:val="auto"/>
        </w:rPr>
        <w:t>Taking into account the transition periods (§ 6 NetzDG), the altered requirements for regulated self-regulation also apply to bodies that were recognised before this Act came into force, but only after an appropriate transition period has elapsed. The new provisions lead to moderate additions to the obligations of these bodies. In this respect, both freedom of action (Article 2(1) Basic Law) and freedom of occupation (Article 12 Basic Law) of the recognised bodies and the social network providers that support them can be affected. However, the additions made constitute a permissible restriction. The addition to § 3(6)(3) NetzDG is necessary and suitable to enable both the complainant and the user for whom content is stored to make a comprehensive statement to the recognised self-regulation body and to request it to review a decision considered to be incorrect. The expansion of the provision to cover already recognised bodies is proportionate in the narrower sense, because the specific structure of the procedure can largely be shaped by the self-regulation bodies. There is also no excessive burden on the social network providers, especially since they are given a reasonable transition period in accordance with § 6(5) NetzDG. It is expected that already recognised self-regulation bodies will make the necessary adjustments within this period.</w:t>
      </w:r>
    </w:p>
    <w:p w:rsidR="00C7339D" w:rsidRPr="00CB1818" w:rsidRDefault="00C7339D" w:rsidP="00C7339D">
      <w:pPr>
        <w:pStyle w:val="VerweisBegrndung"/>
      </w:pPr>
      <w:r>
        <w:t xml:space="preserve">Re </w:t>
      </w:r>
      <w:r>
        <w:rPr>
          <w:rStyle w:val="Binnenverweis"/>
        </w:rPr>
        <w:t>(bb)</w:t>
      </w:r>
    </w:p>
    <w:p w:rsidR="000C3AF3" w:rsidRPr="00CB1818" w:rsidRDefault="000C3AF3" w:rsidP="00C7339D">
      <w:pPr>
        <w:pStyle w:val="Text"/>
      </w:pPr>
      <w:r>
        <w:t>§ 3(6)(4) NetzDG is rescinded. The express requirement of a complaint office is redundant insofar as the requirement for a possibility of reviewing the decisions made by the body already results from § 3(6)(3) NetzDG.</w:t>
      </w:r>
    </w:p>
    <w:p w:rsidR="004A65F2" w:rsidRPr="00CB1818" w:rsidRDefault="004A65F2" w:rsidP="004A65F2">
      <w:pPr>
        <w:pStyle w:val="VerweisBegrndung"/>
      </w:pPr>
      <w:r>
        <w:t xml:space="preserve">Re </w:t>
      </w:r>
      <w:r>
        <w:rPr>
          <w:rStyle w:val="Binnenverweis"/>
        </w:rPr>
        <w:t>(cc)</w:t>
      </w:r>
    </w:p>
    <w:p w:rsidR="004A65F2" w:rsidRPr="00CB1818" w:rsidRDefault="004A65F2" w:rsidP="00C7339D">
      <w:pPr>
        <w:pStyle w:val="Text"/>
      </w:pPr>
      <w:r>
        <w:t>This is an editorial consequential amendment.</w:t>
      </w:r>
    </w:p>
    <w:p w:rsidR="00C7339D" w:rsidRPr="00CB1818" w:rsidRDefault="00C7339D" w:rsidP="00C7339D">
      <w:pPr>
        <w:pStyle w:val="VerweisBegrndung"/>
      </w:pPr>
      <w:r>
        <w:t xml:space="preserve">Re </w:t>
      </w:r>
      <w:r>
        <w:rPr>
          <w:rStyle w:val="Binnenverweis"/>
        </w:rPr>
        <w:t>(d)</w:t>
      </w:r>
    </w:p>
    <w:p w:rsidR="000C3AF3" w:rsidRPr="00CB1818" w:rsidRDefault="000C3AF3" w:rsidP="005B260B">
      <w:pPr>
        <w:pStyle w:val="VerweisBegrndung"/>
        <w:keepNext w:val="0"/>
        <w:jc w:val="both"/>
        <w:rPr>
          <w:b w:val="0"/>
        </w:rPr>
      </w:pPr>
      <w:r>
        <w:rPr>
          <w:b w:val="0"/>
        </w:rPr>
        <w:t>§ 3(7) NetzDG is supplemented so that the recognition authority (Federal Office of Justice) can provide auxiliary conditions for the recognition decision, in particular a time limit. This should not be less than five years in order to guarantee that the bodies will have planning security. It is to be expected that this flexibility of the instruments for the recognition authority will simplify the recognition process.</w:t>
      </w:r>
    </w:p>
    <w:p w:rsidR="00C7339D" w:rsidRPr="00CB1818" w:rsidRDefault="00C7339D" w:rsidP="00C7339D">
      <w:pPr>
        <w:pStyle w:val="VerweisBegrndung"/>
      </w:pPr>
      <w:r>
        <w:t xml:space="preserve">Re </w:t>
      </w:r>
      <w:r>
        <w:rPr>
          <w:rStyle w:val="Binnenverweis"/>
        </w:rPr>
        <w:t>(e)</w:t>
      </w:r>
    </w:p>
    <w:p w:rsidR="00C7339D" w:rsidRPr="00CB1818" w:rsidRDefault="000C3AF3" w:rsidP="005B260B">
      <w:pPr>
        <w:pStyle w:val="VerweisBegrndung"/>
        <w:keepNext w:val="0"/>
        <w:jc w:val="both"/>
        <w:rPr>
          <w:b w:val="0"/>
        </w:rPr>
      </w:pPr>
      <w:r>
        <w:rPr>
          <w:b w:val="0"/>
        </w:rPr>
        <w:t>§ 3(8) NetzDG simplifies the Federal Office of Justice's supervision of the recognised self-regulation bodies. After that, they have to inform the Federal Office about any relevant changes at their own initiative.</w:t>
      </w:r>
    </w:p>
    <w:p w:rsidR="000C3AF3" w:rsidRPr="00CB1818" w:rsidRDefault="000C3AF3" w:rsidP="001463D2">
      <w:pPr>
        <w:pStyle w:val="Text"/>
      </w:pPr>
      <w:r>
        <w:t>In addition, § 3(9) NetzDG introduces a new obligation for recognised self-regulation bodies to submit and publish annual activity reports (including internet publication). This takes into account the considerable public interest in these bodies’ activities. The content of the reports can be based on the reports of existing self-regulatory bodies in the field of new media (e.g. FSM annual report).</w:t>
      </w:r>
    </w:p>
    <w:p w:rsidR="00DC1BCC" w:rsidRPr="00CB1818" w:rsidRDefault="00DC1BCC" w:rsidP="000C3AF3">
      <w:pPr>
        <w:pStyle w:val="Text"/>
        <w:rPr>
          <w:rStyle w:val="Marker"/>
          <w:color w:val="auto"/>
        </w:rPr>
      </w:pPr>
      <w:r>
        <w:rPr>
          <w:rStyle w:val="Marker"/>
          <w:color w:val="auto"/>
        </w:rPr>
        <w:lastRenderedPageBreak/>
        <w:t>Taking into account the transition periods (§ 6 NetzDG), the newly introduced information obligations also apply to bodies that were recognised before the changes proposed by this Act came into force. The restriction of the aspects protected by fundamental rights (see above under letter c, double letter aa) is appropriate and necessary in consideration of the interest in effective supervision of the self-regulation bodies as well as a special interest in informing the general public about their work. Taking into account the transition period in § 6(4) NetzDG, it is also proportionate in the narrower sense, especially since the reporting obligation only concerns one's own activity and does not require any specific assessments or evaluations.</w:t>
      </w:r>
    </w:p>
    <w:p w:rsidR="00C7339D" w:rsidRPr="00CB1818" w:rsidRDefault="00C7339D" w:rsidP="00C7339D">
      <w:pPr>
        <w:pStyle w:val="VerweisBegrndung"/>
      </w:pPr>
      <w:r>
        <w:t xml:space="preserve">Re </w:t>
      </w:r>
      <w:r>
        <w:rPr>
          <w:rStyle w:val="Binnenverweis"/>
        </w:rPr>
        <w:t>point 4</w:t>
      </w:r>
    </w:p>
    <w:p w:rsidR="00575297" w:rsidRPr="00CB1818" w:rsidRDefault="00575297" w:rsidP="00C7339D">
      <w:pPr>
        <w:pStyle w:val="VerweisBegrndung"/>
      </w:pPr>
      <w:r>
        <w:t>§ 3b NetzDG (appeal procedure)</w:t>
      </w:r>
    </w:p>
    <w:p w:rsidR="001463D2" w:rsidRPr="00CB1818" w:rsidRDefault="00886C17" w:rsidP="00575297">
      <w:pPr>
        <w:pStyle w:val="Text"/>
      </w:pPr>
      <w:r>
        <w:t>§ 3b NetzDG, introduces an appeal procedure for the first time. If the social network provider has made a decision about the illegality of a piece of content (e.g. to remove or not to remove the content), the complainant or the user concerned, for whom the contested content was saved, will have the opportunity in the future to have the provider review the decision. This must be applied for within two weeks. Reasons must be given for this, although the requirements must not be too strict.</w:t>
      </w:r>
    </w:p>
    <w:p w:rsidR="00886C17" w:rsidRPr="00CB1818" w:rsidRDefault="00886C17" w:rsidP="00575297">
      <w:pPr>
        <w:pStyle w:val="Text"/>
      </w:pPr>
      <w:r>
        <w:t>For the purpose of receiving appeals, the social network provider must guarantee simple and easily recognisable way to make contact, for example by means of a corresponding, clearly recognisable link in the notification of the initial decision made by means of which the provider must provide information in accordance with § 3(2)(5) NetzDG.</w:t>
      </w:r>
    </w:p>
    <w:p w:rsidR="00B00AD4" w:rsidRPr="00CB1818" w:rsidRDefault="00886C17" w:rsidP="00575297">
      <w:pPr>
        <w:pStyle w:val="Text"/>
      </w:pPr>
      <w:r>
        <w:t>In the further procedure of the appeal, the social network provider must – if it wishes to remedy the appeal – give the other side (complainant or user for whom the content was saved) the opportunity to comment and then review its original decision. The review is not limited to the reasons given in the appeal, but takes place in observance of all legal aspects that come into condition.</w:t>
      </w:r>
    </w:p>
    <w:p w:rsidR="00221106" w:rsidRPr="00CB1818" w:rsidRDefault="00B00AD4" w:rsidP="00575297">
      <w:pPr>
        <w:pStyle w:val="Text"/>
      </w:pPr>
      <w:r>
        <w:t>The restriction of the notification obligation to upcoming remedial decisions helps to ensure that the other side is not addressed unnecessarily. This also takes into account that appeals could theoretically be misused. The review should be carried out as impartially as possible, which is why a new reviewer must be involved. The result of the review (maintaining or revising the original decision) must be justified on a case-by-case basis. In this respect, the depth of justification required goes beyond the requirement to justify the original decision. Suitable text modules can be used in appropriate cases, however.</w:t>
      </w:r>
    </w:p>
    <w:p w:rsidR="00886C17" w:rsidRPr="00CB1818" w:rsidRDefault="00221106" w:rsidP="00575297">
      <w:pPr>
        <w:pStyle w:val="Text"/>
      </w:pPr>
      <w:r>
        <w:t>The provider’s re-examination in the context of the appeal refers to the original decision as per § 3(2)(1) to (3)(a) NetzDG. A further or second appeal against the decision then made does not require § 3b NetzDG, since both the complainant and the user for whom content has been saved are given sufficient opportunity to comment as part of the appeal procedure.</w:t>
      </w:r>
    </w:p>
    <w:p w:rsidR="00221106" w:rsidRPr="00CB1818" w:rsidRDefault="00221106" w:rsidP="00575297">
      <w:pPr>
        <w:pStyle w:val="Text"/>
      </w:pPr>
      <w:r>
        <w:t>The appeal as per § 3b NetzDG does not take place if it is preceded by a decision of a recognised self-regulation body as per § 3(2)(3)(b) NetzDG. The background to this is that there is a corresponding review procedure in these cases resulting from § 3(6)(3) NetzDG.</w:t>
      </w:r>
    </w:p>
    <w:p w:rsidR="00575297" w:rsidRPr="00CB1818" w:rsidRDefault="00886C17" w:rsidP="00886C17">
      <w:pPr>
        <w:pStyle w:val="Text"/>
        <w:rPr>
          <w:rStyle w:val="Marker"/>
          <w:color w:val="auto"/>
        </w:rPr>
      </w:pPr>
      <w:r>
        <w:rPr>
          <w:rStyle w:val="Marker"/>
          <w:color w:val="auto"/>
        </w:rPr>
        <w:t>It the provision of § 3b NetzDG by way of § 3e NetzDG will also apply to certain video sharing platform services in the future, then it will also serve to implement Article 28b(1) and (3)(i) AVMSD.</w:t>
      </w:r>
    </w:p>
    <w:p w:rsidR="00C718DA" w:rsidRPr="00CB1818" w:rsidRDefault="00C718DA" w:rsidP="00C718DA">
      <w:pPr>
        <w:pStyle w:val="Text"/>
        <w:rPr>
          <w:rStyle w:val="Marker"/>
          <w:color w:val="auto"/>
        </w:rPr>
      </w:pPr>
      <w:r>
        <w:rPr>
          <w:rStyle w:val="Marker"/>
          <w:color w:val="auto"/>
        </w:rPr>
        <w:t xml:space="preserve">Overall, in the appeal process, care must be taken to ensure that the identity of the parties involved is not disclosed, i.e. that the name and address of the complainant is not passed </w:t>
      </w:r>
      <w:r>
        <w:rPr>
          <w:rStyle w:val="Marker"/>
          <w:color w:val="auto"/>
        </w:rPr>
        <w:lastRenderedPageBreak/>
        <w:t>on to the user for whom the content is stored (e.g. inadvertently with the application for an appeal). This can only be done with the consent of the person concerned, if at all.</w:t>
      </w:r>
    </w:p>
    <w:p w:rsidR="0090243B" w:rsidRPr="00CB1818" w:rsidRDefault="00C718DA" w:rsidP="00C718DA">
      <w:pPr>
        <w:pStyle w:val="Text"/>
      </w:pPr>
      <w:r>
        <w:rPr>
          <w:rStyle w:val="Marker"/>
          <w:color w:val="auto"/>
        </w:rPr>
        <w:t>The appeal procedure ensures the procedural framework to effectuate the verification of a decision by the provider. The legal process to the courts remains unaffected in every situation of the procedure.</w:t>
      </w:r>
    </w:p>
    <w:p w:rsidR="00575297" w:rsidRPr="00CB1818" w:rsidRDefault="00575297" w:rsidP="005B260B">
      <w:pPr>
        <w:pStyle w:val="Text"/>
        <w:keepNext/>
        <w:rPr>
          <w:b/>
        </w:rPr>
      </w:pPr>
      <w:r>
        <w:rPr>
          <w:b/>
        </w:rPr>
        <w:t>§ 3c NetzDG (arbitration)</w:t>
      </w:r>
    </w:p>
    <w:p w:rsidR="00BC1485" w:rsidRPr="00CB1818" w:rsidRDefault="00BC1485" w:rsidP="005B260B">
      <w:pPr>
        <w:pStyle w:val="Text"/>
        <w:keepNext/>
        <w:rPr>
          <w:b/>
        </w:rPr>
      </w:pPr>
      <w:r>
        <w:rPr>
          <w:b/>
        </w:rPr>
        <w:t>Re (1)</w:t>
      </w:r>
    </w:p>
    <w:p w:rsidR="00BC1485" w:rsidRPr="00CB1818" w:rsidRDefault="00BC1485" w:rsidP="00BC1485">
      <w:pPr>
        <w:pStyle w:val="Text"/>
      </w:pPr>
      <w:r>
        <w:t>§ 3c(1) NetzDG creates an opportunity for organisations under private law to be recognised as arbitration bodies for out-of-court settlement of disputes between complainants or users for whom the contested content has been saved and social network providers on decisions made in accordance with § 3(2)(1)(1) to (3) NetzDG. The arbitration body is free to extend its activities to other disputes between the parties concerned.</w:t>
      </w:r>
    </w:p>
    <w:p w:rsidR="00BC1485" w:rsidRPr="00CB1818" w:rsidRDefault="00BC1485" w:rsidP="00BC1485">
      <w:pPr>
        <w:pStyle w:val="Text"/>
      </w:pPr>
      <w:r>
        <w:t>Such arbitration, particularly in conjunction with the newly introduced appeal procedure, can help in quickly resolving disputes between complainants/users and the provider. The arbitration body may not impose a binding solution to the dispute on the parties or limit their judicial legal protection. The arbitration should constitute a simple and low-threshold offer to those involved, which they should be able to make use of with few costs. In order to ensure the quality of arbitration, arbitration bodies can only be recognised if they meet the requirements specified in § 3c(2) NetzDG.</w:t>
      </w:r>
    </w:p>
    <w:p w:rsidR="00BC1485" w:rsidRPr="00CB1818" w:rsidRDefault="00BC1485" w:rsidP="005B260B">
      <w:pPr>
        <w:pStyle w:val="Text"/>
        <w:keepNext/>
        <w:rPr>
          <w:b/>
        </w:rPr>
      </w:pPr>
      <w:r>
        <w:rPr>
          <w:b/>
        </w:rPr>
        <w:t>Re paragraph 2</w:t>
      </w:r>
    </w:p>
    <w:p w:rsidR="00BC1485" w:rsidRPr="00CB1818" w:rsidRDefault="00BC1485" w:rsidP="00BC1485">
      <w:pPr>
        <w:pStyle w:val="Text"/>
      </w:pPr>
      <w:r>
        <w:t>§ 3c(2) NetzDG provides for the prerequisites under which arbitration bodies organised under private law are to be recognised.</w:t>
      </w:r>
    </w:p>
    <w:p w:rsidR="00BC1485" w:rsidRPr="00CB1818" w:rsidRDefault="00BC1485" w:rsidP="00BC1485">
      <w:pPr>
        <w:pStyle w:val="Text"/>
      </w:pPr>
      <w:r>
        <w:t>In order to ensure the accessibility and sustainability of the arbitration body, § 3c(2)(1) NetzDG requires its sponsorship by a legal entity domiciled in Germany. Financing for the arbitration body must also be secured.</w:t>
      </w:r>
    </w:p>
    <w:p w:rsidR="00BC1485" w:rsidRPr="00CB1818" w:rsidRDefault="00BC1485" w:rsidP="00BC1485">
      <w:pPr>
        <w:pStyle w:val="Text"/>
      </w:pPr>
      <w:r>
        <w:t>§ 3c(2)(2) NetzDG focuses on the independence, impartiality and expertise of the persons who are to be involved in the arbitration. The concept of independence is to be understood broadly and in particular requires the freedom to give instructions and the factual and personal independence of the persons involved in arbitration from the social network providers as well as from the respective complainant and user for whom the contested content has been saved. The persons involved in arbitration must not be subject to any conflicts of interest. The arbitration procedure is intended to enable impartial dispute settlement. The requirement of specialist knowledge is to ensure that the persons involved in arbitration have the knowledge necessary for arbitration, in particular knowledge of a legal nature.</w:t>
      </w:r>
    </w:p>
    <w:p w:rsidR="00BC1485" w:rsidRPr="00CB1818" w:rsidRDefault="00BC1485" w:rsidP="00BC1485">
      <w:pPr>
        <w:pStyle w:val="Text"/>
      </w:pPr>
      <w:r>
        <w:t>§ 3c(2)(3) NetzDG requires as a further prerequisite that the suitable equipment of the arbitration body and swift processing of the arbitration procedures are guaranteed.</w:t>
      </w:r>
    </w:p>
    <w:p w:rsidR="00BC1485" w:rsidRPr="00CB1818" w:rsidRDefault="00BC1485" w:rsidP="00BC1485">
      <w:pPr>
        <w:pStyle w:val="Text"/>
      </w:pPr>
      <w:r>
        <w:t>According to § 3c(2)(4) NetzDG, the arbitration body must arrange the details of the arbitration procedure and their responsibilities in arbitration rules. The arbitration procedure should be simple, and thus low-threshold and free of avoidable hurdles for all involved. A simple arbitration procedure is to be carried out in particular by enabling the parties involved to communicate with the arbitration body in text form, in particular by E</w:t>
      </w:r>
      <w:r w:rsidR="002C2CBC">
        <w:t>mail</w:t>
      </w:r>
      <w:r>
        <w:t xml:space="preserve"> and at least also in German. The mandatory physical presence of those involved in a location or their mandatory representation by a lawyer would, however, not be compatible with a low-threshold arbitration offer. The arbitration procedure should also be inexpensive. In particular, for the person who calls the arbitration body, it should be </w:t>
      </w:r>
      <w:r>
        <w:lastRenderedPageBreak/>
        <w:t>associated with low costs, which may not have a deterrent effect. Any costs must be specified in the arbitration rules so that the parties involved are informed of this before deciding to participate. The arbitration procedure is intended to be an offer to those involved, so it is voluntary and non-binding. This means that the arbitration body may neither impose a binding resolution to the dispute on the parties nor restrict their judicial legal protection. In order for the arbitration procedure to have a pacifying effect, the user for whom the contested content has been saved should be given the opportunity to participate, comparable to the appeal procedure, when a complainant calls the arbitration body. Likewise, if the user calls the arbitration body, for whom the contested content has been saved, the complainant should be given the opportunity to participate. The arbitration body must also guarantee an overall fair arbitration procedure.</w:t>
      </w:r>
    </w:p>
    <w:p w:rsidR="00070E97" w:rsidRPr="00CB1818" w:rsidRDefault="008E7132" w:rsidP="00BC1485">
      <w:pPr>
        <w:pStyle w:val="Text"/>
      </w:pPr>
      <w:r>
        <w:t>In accordance with § 3c(2)(5) NetzDG, the public must be informed about the aspects mentioned there. This can be achieved by such means as operating a website of the arbitration body, on which the above-mentioned information is presented in an understandable manner.</w:t>
      </w:r>
    </w:p>
    <w:p w:rsidR="008E7132" w:rsidRPr="00CB1818" w:rsidRDefault="008E7132" w:rsidP="00BC1485">
      <w:pPr>
        <w:pStyle w:val="Text"/>
      </w:pPr>
      <w:r>
        <w:t>The standards mentioned in § 3c(2)(2) NetzDG apply accordingly. The administrative authority can therefore attach auxiliary conditions to the decision (§ 3(7)(2) NetzDG). The arbitration body must inform the administrative authority of any changes and prepare annual activity reports (§ 3(8) and (9) NetzDG). Recognition can be revoked in whole or in part in accordance with § 3(10) NetzDG or auxiliary conditions can be attached to it if the prerequisites for the recognition are no longer applicable.</w:t>
      </w:r>
    </w:p>
    <w:p w:rsidR="00BC1485" w:rsidRPr="00CB1818" w:rsidRDefault="00BC1485" w:rsidP="005B260B">
      <w:pPr>
        <w:pStyle w:val="Text"/>
        <w:keepNext/>
        <w:rPr>
          <w:b/>
        </w:rPr>
      </w:pPr>
      <w:r>
        <w:rPr>
          <w:b/>
        </w:rPr>
        <w:t>Re paragraph 3</w:t>
      </w:r>
    </w:p>
    <w:p w:rsidR="00BC1485" w:rsidRPr="00CB1818" w:rsidRDefault="004859A5" w:rsidP="00BC1485">
      <w:pPr>
        <w:pStyle w:val="Text"/>
      </w:pPr>
      <w:r>
        <w:t>Complainants and users for whom the contested content has been saved can call an arbitration body recognised in accordance with paragraph 1 within the scope of its competence. Participation is voluntary for the complainant, for the user for whom the contested content was saved and for the provider concerned. Subsequent arbitration between the complainant, user for whom the contested content was saved, and the provider is not excluded by the transfer of the decision to a recognised self-regulation body in accordance with § 3(2)(3)(b) NetzDG. A check as per § 3b or § 3(6)(3) NetzDG should take place before an arbitration procedure. If the arbitration body is called, the provider concerned, if he or she is participating, may transmit the information specified in paragraph 3 to the arbitration body so that the arbitration body can carry out an arbitration procedure. The arbitration body is authorised under paragraph 3(3) to process the relevant personal data, insofar as this is necessary for the arbitration procedure. Disclosure of the personal data of the complainant and the user for whom the contested content was saved is excluded from the authority to process data. In accordance with Article 4(2) of the General Data Protection Regulation (GDPR), disclosure includes the transmission, distribution or other form of provision. Paragraph 3(3) serves to protect the confidentiality interests of the parties, in particular the complainant. The regulation ensures that the arbitration body can only disclose their personal data (e.g. to the other party concerned) with the consent of the complainant or the user for whom the contested content has been saved.</w:t>
      </w:r>
    </w:p>
    <w:p w:rsidR="00BC1485" w:rsidRPr="00CB1818" w:rsidRDefault="00BC1485" w:rsidP="005B260B">
      <w:pPr>
        <w:pStyle w:val="Text"/>
        <w:keepNext/>
        <w:rPr>
          <w:b/>
        </w:rPr>
      </w:pPr>
      <w:r>
        <w:rPr>
          <w:b/>
        </w:rPr>
        <w:t>Re paragraph 4</w:t>
      </w:r>
    </w:p>
    <w:p w:rsidR="00575297" w:rsidRPr="00CB1818" w:rsidRDefault="00BC1485" w:rsidP="00BC1485">
      <w:pPr>
        <w:pStyle w:val="Text"/>
      </w:pPr>
      <w:r>
        <w:t xml:space="preserve">§ 3c(4) NetzDG makes it clear that participation in the arbitration procedures referred to in § 3c NetzDG is voluntary and the right to appeal to the courts remains unaffected. In view of the fact that status as a complainant or user as defined by the NetzDG is not dependent on status as a consumer or entrepreneur, the statutory provisions introduced in the NetzDG are subject to general conditions different from those of the constellations arranged by the Act on Alternative Dispute Resolution in Consumer Matters. Unlike the NetzDG, the disputes with the consumer and entrepreneur involved, which are covered by </w:t>
      </w:r>
      <w:r>
        <w:lastRenderedPageBreak/>
        <w:t>the Act on Alternative Dispute Resolution in Consumer Matters, only pertain to two parties; the participation of other parties is not intended.</w:t>
      </w:r>
    </w:p>
    <w:p w:rsidR="00575297" w:rsidRPr="00CB1818" w:rsidRDefault="00575297" w:rsidP="005B260B">
      <w:pPr>
        <w:pStyle w:val="Text"/>
        <w:keepNext/>
        <w:rPr>
          <w:b/>
        </w:rPr>
      </w:pPr>
      <w:r>
        <w:rPr>
          <w:b/>
        </w:rPr>
        <w:t>§ 3d NetzDG (definition of terms for video sharing platform services)</w:t>
      </w:r>
    </w:p>
    <w:p w:rsidR="00E822CA" w:rsidRPr="00CB1818" w:rsidRDefault="00886C17" w:rsidP="00E822CA">
      <w:pPr>
        <w:pStyle w:val="Text"/>
      </w:pPr>
      <w:r>
        <w:t>§ 3d(1)(1) and (2) NetzDG serve to implement Article (1)(1)(aa) AVMSD (definition of video sharing platform services). This takes into account that, in accordance with Recital 6 of Directive (EU) 2018/1808, in the event that a separable part of a service for the purposes of the AVMSD is a video sharing platform service, only this part should be covered by the Directive. In these cases, the applicability of the NetzDG remains unaffected, provided that the provider is also the social network provider.</w:t>
      </w:r>
    </w:p>
    <w:p w:rsidR="004A65F2" w:rsidRPr="00CB1818" w:rsidRDefault="002F38E2" w:rsidP="00E822CA">
      <w:pPr>
        <w:pStyle w:val="Text"/>
      </w:pPr>
      <w:r>
        <w:t>§ 3d(1)(2) and (3) NetzDG adopt the definitions in Article 1(1)(b) and (ba) AVMSD. § 3d(1)(4) to (6) NetzDG adopt the definitions in Article 28a(2)(2)(a) to (c) AVMSD.</w:t>
      </w:r>
    </w:p>
    <w:p w:rsidR="00576D42" w:rsidRPr="00CB1818" w:rsidRDefault="005552C9" w:rsidP="00E822CA">
      <w:pPr>
        <w:pStyle w:val="Text"/>
      </w:pPr>
      <w:r>
        <w:t>In observance of Article 28a(1) to (4) AVMSD, § 3d(2) and (3) NetzDG determine when a provider of a video sharing platform service is or is deemed to be established in a Member State for the purposes of implementing the Directive.</w:t>
      </w:r>
    </w:p>
    <w:p w:rsidR="005552C9" w:rsidRPr="00CB1818" w:rsidRDefault="004A65F2" w:rsidP="00E822CA">
      <w:pPr>
        <w:pStyle w:val="Text"/>
      </w:pPr>
      <w:r>
        <w:t>§ 3d(4) NetzDG implements the obligation to consult provided for in Article 28a(7) AVMSD.</w:t>
      </w:r>
    </w:p>
    <w:p w:rsidR="00575297" w:rsidRPr="00CB1818" w:rsidRDefault="00575297" w:rsidP="005B260B">
      <w:pPr>
        <w:pStyle w:val="Text"/>
        <w:keepNext/>
        <w:rPr>
          <w:b/>
        </w:rPr>
      </w:pPr>
      <w:r>
        <w:rPr>
          <w:b/>
        </w:rPr>
        <w:t>§ 3e NetzDG (provisions applicable to video sharing platform services)</w:t>
      </w:r>
    </w:p>
    <w:p w:rsidR="00575297" w:rsidRPr="00CB1818" w:rsidRDefault="00056F24" w:rsidP="00575297">
      <w:pPr>
        <w:pStyle w:val="Text"/>
        <w:rPr>
          <w:rStyle w:val="Marker"/>
          <w:color w:val="auto"/>
        </w:rPr>
      </w:pPr>
      <w:r>
        <w:rPr>
          <w:rStyle w:val="Marker"/>
          <w:color w:val="auto"/>
        </w:rPr>
        <w:t>§ 3e NetzDG serves to implement Article 28b AVMSD, insofar as it overlaps with the providers covered by Article 28b AVMSD with regard to the providers (of social networks) and content (unlawful content pursuant to § 1(3) NetzDG) previously included in the NetzDG (video sharing platform services) as well as content (prohibited content according to Article 28b(1) AVMSD).</w:t>
      </w:r>
    </w:p>
    <w:p w:rsidR="00575297" w:rsidRPr="00CB1818" w:rsidRDefault="00575297" w:rsidP="00575297">
      <w:pPr>
        <w:pStyle w:val="Text"/>
        <w:rPr>
          <w:rStyle w:val="Marker"/>
          <w:color w:val="auto"/>
        </w:rPr>
      </w:pPr>
      <w:r>
        <w:rPr>
          <w:rStyle w:val="Marker"/>
          <w:color w:val="auto"/>
        </w:rPr>
        <w:t>In accordance with the previous approach of the NetzDG, the requirements of Article 28b AVMSD should be implemented if they are directed towards or related to the removal of content that is impermissible per se. This relates in particular to the requirements for the use of corresponding general terms and conditions (Article 28b(1), (3)(a) AVMSD), for maintaining reporting mechanisms (Article 28b(1)(3)(d) AVMSD) and for handling the notifications to the parties required with reports, e.g. about a decision to delete (Article 28b(1), (3)(e) AVMSD), as well as for the settlement of disputes about decisions made (Article 28b(1), (3)(i), (7) AVMSD). In contrast, the NetzDG should not regulate the handling of commercial communication as such. Corresponding regulations can already be found in the Telemedia Act (TMG) based on the current legal situation. Further provisions based on the requirements of Article 28b(2) and (3)(b) and (c) should also be reserved for the TMG and a corresponding separate legislative procedure. In addition – following the previous system in Germany – the NetzDG should not contain any specific provisions for the protection of children and adolescents. Corresponding provisions can be found in the Interstate Treaty on the Protection of Minors in the Media (JMStV) and in the Youth Protection Act (JuSchG) based on the applicable legal situation.</w:t>
      </w:r>
    </w:p>
    <w:p w:rsidR="00E332F8" w:rsidRPr="00CB1818" w:rsidRDefault="00BC1485" w:rsidP="005B260B">
      <w:pPr>
        <w:pStyle w:val="Text"/>
        <w:keepNext/>
        <w:rPr>
          <w:rStyle w:val="Marker"/>
          <w:b/>
          <w:color w:val="auto"/>
        </w:rPr>
      </w:pPr>
      <w:r>
        <w:rPr>
          <w:rStyle w:val="Marker"/>
          <w:b/>
          <w:color w:val="auto"/>
        </w:rPr>
        <w:t>Re (1)</w:t>
      </w:r>
    </w:p>
    <w:p w:rsidR="00056F24" w:rsidRPr="00CB1818" w:rsidRDefault="00056F24" w:rsidP="00575297">
      <w:pPr>
        <w:pStyle w:val="Text"/>
        <w:rPr>
          <w:rStyle w:val="Marker"/>
          <w:color w:val="auto"/>
        </w:rPr>
      </w:pPr>
      <w:r>
        <w:rPr>
          <w:rStyle w:val="Marker"/>
          <w:color w:val="auto"/>
        </w:rPr>
        <w:t xml:space="preserve">For the purpose of the aforementioned implementation, § 3e(1) NetzDG first stipulates the basic application of the provisions of the NetzDG to video sharing platform services (or equivalent separable parts according to § 3d(1)(2) NetzDG). This means that video sharing platform services – regardless of their size – are also covered which, due to the lack of focus on any content, have so far not constituted social network providers as defined by § 1(1)(1) NetzDG. In accordance with the stipulations of the AVMSD, video sharing platform services that are aimed at the dissemination of specific content (e.g. the </w:t>
      </w:r>
      <w:r>
        <w:rPr>
          <w:rStyle w:val="Marker"/>
          <w:color w:val="auto"/>
        </w:rPr>
        <w:lastRenderedPageBreak/>
        <w:t>sharing of scenes from computer games) are also covered. As a result, other providers will fall within the scope of application of the NetzDG.</w:t>
      </w:r>
    </w:p>
    <w:p w:rsidR="00E332F8" w:rsidRPr="00CB1818" w:rsidRDefault="00BC1485" w:rsidP="005B260B">
      <w:pPr>
        <w:pStyle w:val="Text"/>
        <w:keepNext/>
        <w:rPr>
          <w:rStyle w:val="Marker"/>
          <w:b/>
          <w:color w:val="auto"/>
        </w:rPr>
      </w:pPr>
      <w:r>
        <w:rPr>
          <w:rStyle w:val="Marker"/>
          <w:b/>
          <w:color w:val="auto"/>
        </w:rPr>
        <w:t>Re paragraph 2</w:t>
      </w:r>
    </w:p>
    <w:p w:rsidR="00E332F8" w:rsidRPr="00CB1818" w:rsidRDefault="00B60471" w:rsidP="00056F24">
      <w:pPr>
        <w:pStyle w:val="Text"/>
        <w:rPr>
          <w:rStyle w:val="Marker"/>
          <w:color w:val="auto"/>
        </w:rPr>
      </w:pPr>
      <w:r>
        <w:rPr>
          <w:rStyle w:val="Marker"/>
          <w:color w:val="auto"/>
        </w:rPr>
        <w:t>The AVMSD's compliance requirements also apply to smaller video sharing platform services. § 3e(2) NetzDG therefore defines the basic requirements of the NetzDG for smaller video sharing platform services as well. The provisions thus constitutes a special arrangement for § 1(2) NetzDG. At the same time, it is established that the NetzDG only applies to these smaller providers if they are or are deemed to be established in Germany.</w:t>
      </w:r>
    </w:p>
    <w:p w:rsidR="00E332F8" w:rsidRPr="00CB1818" w:rsidRDefault="00E332F8" w:rsidP="00E332F8">
      <w:pPr>
        <w:pStyle w:val="Text"/>
        <w:rPr>
          <w:rStyle w:val="Marker"/>
          <w:color w:val="auto"/>
        </w:rPr>
      </w:pPr>
      <w:r>
        <w:rPr>
          <w:rStyle w:val="Marker"/>
          <w:color w:val="auto"/>
        </w:rPr>
        <w:t>In addition, § 3e(2) NetzDG restricts the obligations for the smaller video sharing platform services covered for the first time to audiovisual content as defined by § 1(3) NetzDG which violates the provisions of §§ 111, 130(1) or (2), 131, 140, 166 or 184b in conjunction with 184d of the Criminal Code (StGB). This serves the purpose of implementing the requirements of Article 28b(1) AVMSD within the NetzDG for only the content categories already covered by the NetzDG (§ 1(3) NetzDG). There is no need to expand the NetzDG to include other content categories. In particular, no content categories are included that are covered by Article 28b(1) AVMSD but whose dissemination does not meet the criteria for an offence in the Criminal Code under German criminal law. This does not result in an implementation loophole; the necessary additional protection is provided by the provisions of the JMStV and JuSchG.</w:t>
      </w:r>
    </w:p>
    <w:p w:rsidR="00575297" w:rsidRPr="00CB1818" w:rsidRDefault="00D54D8C" w:rsidP="00E332F8">
      <w:pPr>
        <w:pStyle w:val="Text"/>
        <w:rPr>
          <w:rStyle w:val="Marker"/>
          <w:color w:val="auto"/>
        </w:rPr>
      </w:pPr>
      <w:r>
        <w:rPr>
          <w:rStyle w:val="Marker"/>
          <w:color w:val="auto"/>
        </w:rPr>
        <w:t>In accordance with Article 28b(3)(2) AVMSD, the measures to be taken should be proportionate and take into account the size of the video sharing platform service. For this reason, and for reasons of proportionality, smaller providers should only have to meet basic obligations and only to the extent specified by the Directive. They are completely exempt from the obligations under § 2 NetzDG (reporting obligations) and § 3a NetzDG (notification obligations). These smaller providers are partially exempt from the obligations under § 3 NetzDG (handling complaints about unlawful content). This applies both to the requirements for handling content which is not obviously unlawful (§ 3(2)(3) NetzDG), the obligations to store removed content (§ 3(2)(4) NetzDG) and the specific requirements for in-house monitoring of complaint management (§ 3(4) NetzDG). In this way, it is taken into account that the provisions to be implemented from Article 28b AVMSD to protect against impermissible content are in principle also intended for smaller providers, but on the other hand, the application of all provisions of the NetzDG could be an excessive burden for smaller services.</w:t>
      </w:r>
    </w:p>
    <w:p w:rsidR="00E332F8" w:rsidRPr="00CB1818" w:rsidRDefault="00BC1485" w:rsidP="005B260B">
      <w:pPr>
        <w:pStyle w:val="Text"/>
        <w:keepNext/>
        <w:rPr>
          <w:rStyle w:val="Marker"/>
          <w:b/>
          <w:color w:val="auto"/>
        </w:rPr>
      </w:pPr>
      <w:r>
        <w:rPr>
          <w:rStyle w:val="Marker"/>
          <w:b/>
          <w:color w:val="auto"/>
        </w:rPr>
        <w:t>Re paragraph 3</w:t>
      </w:r>
    </w:p>
    <w:p w:rsidR="00861858" w:rsidRPr="00CB1818" w:rsidRDefault="00E332F8" w:rsidP="00E332F8">
      <w:pPr>
        <w:pStyle w:val="Text"/>
        <w:rPr>
          <w:rStyle w:val="Marker"/>
          <w:color w:val="auto"/>
        </w:rPr>
      </w:pPr>
      <w:r>
        <w:rPr>
          <w:rStyle w:val="Marker"/>
          <w:color w:val="auto"/>
        </w:rPr>
        <w:t xml:space="preserve">§ 3e(3) NetzDG implements the minimum harmonisation of compliance obligations for video sharing platform services prescribed by Articles 28a and 28b AVMSD as well as the arrangements on competence introduced in this regard. In the field of application of Article 28b AVMSD, it must be assumed that the necessary level of protection harmonised by Article 28b in terms of European law is at least guaranteed by the Member State in which the video sharing platform service provider is established or is deemed to be established with regard to certain content and with regard to the purposes pursued by Article 28b AVMSD. In this context, the primary competence of the country of domicile is to be observed in accordance with Article 28a(1) AVMSD. Since Article 28b AVMSD harmonises the notification and remedial procedure, including the relevant information requirements and extrajudicial dispute settlement procedures (Article 28b(1), (3)(d), (e) and (i) AVMSD), the above priority primarily relates to the requirements of the NetzDG regulatory areas in §§ 3 and 3b NetzDG. The notification requirement as per § 3a is not covered by the counter-exception in § 3e(1)(1) NetzDG. The background to this is that corresponding notification obligations to law enforcement authorities do not fall within the area harmonised by Article 28b AVMSD and the provisions on legal sovereignty under Article 28a AVMSD only apply for the purposes of the Directive. The aim of </w:t>
      </w:r>
      <w:r>
        <w:rPr>
          <w:rStyle w:val="Marker"/>
          <w:color w:val="auto"/>
        </w:rPr>
        <w:lastRenderedPageBreak/>
        <w:t>Article 28b AVMSD is the preventive protection of minors or the general public from certain content. Article 28b AVMSD, on the other hand, does not affect the matter of law enforcement in such cases, which must be separated from this, nor does it affect the matter of obtaining information from the law enforcement authorities.</w:t>
      </w:r>
    </w:p>
    <w:p w:rsidR="00861858" w:rsidRPr="00CB1818" w:rsidRDefault="00E332F8" w:rsidP="00E332F8">
      <w:pPr>
        <w:pStyle w:val="Text"/>
        <w:rPr>
          <w:rStyle w:val="Marker"/>
          <w:color w:val="auto"/>
        </w:rPr>
      </w:pPr>
      <w:r>
        <w:rPr>
          <w:rStyle w:val="Marker"/>
          <w:color w:val="auto"/>
        </w:rPr>
        <w:t>If a video sharing platform service provider is domiciled in another EU Member State, but the provider in question also offers its services in Germany, then – in the field of content, providers and compliance requirements subject to minimum harmonisation – competence of the German authorities may only arise at the so-called place of marketing (known as ‘lex loci solutionis’ or ‘law of the place of performance’) in cases of particular necessity, and generally only after a consultation procedure with the country of domicile (Article 28a(5) AVMSD in conjunction with Article 3(4) of Directive 2000/31/EC (e-Commerce Directive). The prerequisites and necessary procedural steps for the Federal Office of Justice to take action result from § 3(5) TMG, which in turn implements and makes reference to Article 3(4) e-Commerce Directive. The possible arrangement of the application of obligations under the NetzDG as per § 3e(3)(1) NetzDG must serve one of the purposes mentioned in § 3(5) TMG (e.g. protection of public safety – such as prevention of criminal offences or combating racial agitation – from nuisances or serious and grave dangers), and the other prerequisites mentioned there must be met (appropriate relationship between protection objective and measure, implementation of consultation and information procedures).</w:t>
      </w:r>
    </w:p>
    <w:p w:rsidR="00E332F8" w:rsidRPr="00CB1818" w:rsidRDefault="00BC1485" w:rsidP="005B260B">
      <w:pPr>
        <w:pStyle w:val="Text"/>
        <w:keepNext/>
        <w:rPr>
          <w:rStyle w:val="Marker"/>
          <w:b/>
          <w:color w:val="auto"/>
        </w:rPr>
      </w:pPr>
      <w:r>
        <w:rPr>
          <w:rStyle w:val="Marker"/>
          <w:b/>
          <w:color w:val="auto"/>
        </w:rPr>
        <w:t>Re paragraph 4</w:t>
      </w:r>
    </w:p>
    <w:p w:rsidR="00575297" w:rsidRPr="00CB1818" w:rsidRDefault="00E332F8" w:rsidP="00575297">
      <w:pPr>
        <w:pStyle w:val="Text"/>
        <w:rPr>
          <w:rStyle w:val="Marker"/>
          <w:color w:val="auto"/>
        </w:rPr>
      </w:pPr>
      <w:r>
        <w:rPr>
          <w:rStyle w:val="Marker"/>
          <w:color w:val="auto"/>
        </w:rPr>
        <w:t>§ 3e(4) NetzDG serves to partially implement Article 28b (1) and (3)(a) AVMSD. The aim of only partial implementation in the NetzDG is achieved by referring to § 3e(2)(2) NetzDG, which limits the scope to audiovisual content pursuant to Article 28b(1) AVMSD that simultaneously constitutes content as defined by § 1(3) NetzDG. § 3e(4) NetzDG requires video sharing platform service providers to contractually agree with the users that the service may not be used for the content in question. Since § 3e NetzDG refers to at least basic requirements as per § 3 NetzDG for all providers covered, there is a requirement to check the reported content and remove it if necessary. There is no obligation under § 3e(4) NetzDG to proactively search for content that violates the agreements. This seems appropriate in view of the fact that Article 28b(1) and (3) AVMSD leaves leeway for implementation (‘where appropriate’) and, in accordance with Article 28b(6) AVMSD, it is clarified by the reference there to Article 15 e-Commerce Directive that general monitoring obligations should not be introduced (nor by requirements for the enforcement of contractual provisions) and remain unaffected in accordance with § 7(2) TMG (exclusion of general monitoring obligations).</w:t>
      </w:r>
    </w:p>
    <w:p w:rsidR="00CF37E8" w:rsidRPr="00CB1818" w:rsidRDefault="004568AE" w:rsidP="005B260B">
      <w:pPr>
        <w:pStyle w:val="Text"/>
        <w:keepNext/>
        <w:rPr>
          <w:b/>
        </w:rPr>
      </w:pPr>
      <w:r>
        <w:rPr>
          <w:b/>
        </w:rPr>
        <w:t>§ 3f NetzDG (official arbitration for disputes with video sharing platform services)</w:t>
      </w:r>
    </w:p>
    <w:p w:rsidR="00207AD5" w:rsidRPr="00CB1818" w:rsidRDefault="00207AD5" w:rsidP="00207AD5">
      <w:pPr>
        <w:pStyle w:val="Text"/>
      </w:pPr>
      <w:r>
        <w:t>Insofar as the requirements specified in Article 28b AVMSD are implemented in the NetzDG, § 3f NetzDG creates an official arbitration option for disputes with video sharing platform service providers in which the Federal Republic of Germany is or is deemed to be the country of domicile in implementation of Article 28b(7) AVMSD. The official arbitration option is limited to the disputes mentioned in § 3f NetzDG and is intended to ensure that there is an impartial extrajudicial possibility of settlement for the disputes mentioned there, even if arbitration under private law is not offered in accordance with § 3c(1) NetzDG. Accordingly, official arbitration is only used on a subsidiary basis.</w:t>
      </w:r>
    </w:p>
    <w:p w:rsidR="00C718DA" w:rsidRPr="00CB1818" w:rsidRDefault="00C718DA" w:rsidP="00207AD5">
      <w:pPr>
        <w:pStyle w:val="Text"/>
      </w:pPr>
      <w:r>
        <w:t>The official arbitration body may charge fees for carrying out the arbitration procedure. The arbitration rules must specify which participants in the arbitration procedure will be charged and the amount of the fees charged.</w:t>
      </w:r>
    </w:p>
    <w:p w:rsidR="00C7339D" w:rsidRPr="00CB1818" w:rsidRDefault="00C7339D" w:rsidP="00C7339D">
      <w:pPr>
        <w:pStyle w:val="VerweisBegrndung"/>
      </w:pPr>
      <w:r>
        <w:lastRenderedPageBreak/>
        <w:t xml:space="preserve">Re </w:t>
      </w:r>
      <w:r>
        <w:rPr>
          <w:rStyle w:val="Binnenverweis"/>
        </w:rPr>
        <w:t>point 5</w:t>
      </w:r>
    </w:p>
    <w:p w:rsidR="00C7339D" w:rsidRPr="00CB1818" w:rsidRDefault="00C7339D" w:rsidP="00C7339D">
      <w:pPr>
        <w:pStyle w:val="VerweisBegrndung"/>
      </w:pPr>
      <w:r>
        <w:t xml:space="preserve">Re </w:t>
      </w:r>
      <w:r>
        <w:rPr>
          <w:rStyle w:val="Binnenverweis"/>
        </w:rPr>
        <w:t>(a)</w:t>
      </w:r>
    </w:p>
    <w:p w:rsidR="00523138" w:rsidRPr="00CB1818" w:rsidRDefault="005552C9" w:rsidP="00C7339D">
      <w:pPr>
        <w:pStyle w:val="Text"/>
        <w:rPr>
          <w:rStyle w:val="Marker"/>
          <w:color w:val="auto"/>
        </w:rPr>
      </w:pPr>
      <w:r>
        <w:rPr>
          <w:rStyle w:val="Marker"/>
          <w:color w:val="auto"/>
        </w:rPr>
        <w:t>In accordance with § 4(1)(2) Alternative 2 NetzDG, those who intentionally or negligently fail to provide the appeal procedure mentioned there, or fail to do so properly or completely contrary to § 3b(1)(1) NetzDG, are committing an administrative offence. The corresponding organisational obligation is enforced by fines. Accordingly, errors in the handling of individual appeals do not regularly constitute an administrative offence; instead, the decisive factor is whether there is a systemic failure to handle appeals.</w:t>
      </w:r>
    </w:p>
    <w:p w:rsidR="00C7339D" w:rsidRPr="00CB1818" w:rsidRDefault="00576D42" w:rsidP="00C7339D">
      <w:pPr>
        <w:pStyle w:val="Text"/>
        <w:rPr>
          <w:rStyle w:val="Marker"/>
          <w:color w:val="auto"/>
        </w:rPr>
      </w:pPr>
      <w:r>
        <w:rPr>
          <w:rStyle w:val="Marker"/>
          <w:color w:val="auto"/>
        </w:rPr>
        <w:t>In accordance with § 4(1)(3) Alternative 2 NetzDG, anyone who does not provide or does not provide the procedure required for the transmission of appeals according to § 3b(1)(3) NetzDG is committing an administrative offence. The lack of or incorrect provision of a suitable contact and communication method is enforced by fines.</w:t>
      </w:r>
    </w:p>
    <w:p w:rsidR="00BE4434" w:rsidRPr="00CB1818" w:rsidRDefault="00566465" w:rsidP="00C7339D">
      <w:pPr>
        <w:pStyle w:val="Text"/>
        <w:rPr>
          <w:rStyle w:val="Marker"/>
          <w:color w:val="auto"/>
        </w:rPr>
      </w:pPr>
      <w:r>
        <w:rPr>
          <w:rStyle w:val="Marker"/>
          <w:color w:val="auto"/>
        </w:rPr>
        <w:t>The other amendments are changes to the numbering.</w:t>
      </w:r>
    </w:p>
    <w:p w:rsidR="00C7339D" w:rsidRPr="00CB1818" w:rsidRDefault="00C7339D" w:rsidP="00C7339D">
      <w:pPr>
        <w:pStyle w:val="VerweisBegrndung"/>
        <w:rPr>
          <w:rStyle w:val="Binnenverweis"/>
        </w:rPr>
      </w:pPr>
      <w:r>
        <w:t xml:space="preserve">Re </w:t>
      </w:r>
      <w:r>
        <w:rPr>
          <w:rStyle w:val="Binnenverweis"/>
        </w:rPr>
        <w:t>(b)</w:t>
      </w:r>
    </w:p>
    <w:p w:rsidR="00BE4434" w:rsidRPr="00CB1818" w:rsidRDefault="00BE4434" w:rsidP="00951270">
      <w:pPr>
        <w:pStyle w:val="Text"/>
      </w:pPr>
      <w:r>
        <w:t>This is an editorial consequential amendment.</w:t>
      </w:r>
    </w:p>
    <w:p w:rsidR="00C7339D" w:rsidRPr="00CB1818" w:rsidRDefault="00C7339D" w:rsidP="00C7339D">
      <w:pPr>
        <w:pStyle w:val="VerweisBegrndung"/>
      </w:pPr>
      <w:r>
        <w:t xml:space="preserve">Re </w:t>
      </w:r>
      <w:r>
        <w:rPr>
          <w:rStyle w:val="Binnenverweis"/>
        </w:rPr>
        <w:t>point 6</w:t>
      </w:r>
    </w:p>
    <w:p w:rsidR="00980A88" w:rsidRPr="00CB1818" w:rsidRDefault="00980A88" w:rsidP="00980A88">
      <w:pPr>
        <w:pStyle w:val="Text"/>
        <w:rPr>
          <w:rStyle w:val="Marker"/>
          <w:color w:val="auto"/>
        </w:rPr>
      </w:pPr>
      <w:r>
        <w:rPr>
          <w:rStyle w:val="Marker"/>
          <w:color w:val="auto"/>
        </w:rPr>
        <w:t>§ 4a NetzDG introduces supervisory powers and authorities of the Federal Office of Justice competent for the enforcement of the NetzDG.</w:t>
      </w:r>
    </w:p>
    <w:p w:rsidR="00980A88" w:rsidRPr="00CB1818" w:rsidRDefault="006D1FCE" w:rsidP="00980A88">
      <w:pPr>
        <w:pStyle w:val="Text"/>
        <w:rPr>
          <w:rStyle w:val="Marker"/>
          <w:color w:val="auto"/>
        </w:rPr>
      </w:pPr>
      <w:r>
        <w:rPr>
          <w:rStyle w:val="Marker"/>
          <w:color w:val="auto"/>
        </w:rPr>
        <w:t>The Federal Office of Justice is currently only a prosecution authority (§ 4(4)(1) NetzDG) and can therefore only act repressively after the fact (investigative proceedings and possibly a fine). Up to now, there is no supervisory competence based on which future-oriented desist orders can also be made to remedy a violation of the law. This loopholes should now be closed. The creation of supervisory competence also serves – in the scope of the AVMSD – to implement Article 28b(5) AVMSD.</w:t>
      </w:r>
    </w:p>
    <w:p w:rsidR="00C718DA" w:rsidRPr="00CB1818" w:rsidRDefault="00980A88" w:rsidP="00980A88">
      <w:pPr>
        <w:pStyle w:val="Text"/>
        <w:rPr>
          <w:rStyle w:val="Marker"/>
          <w:color w:val="auto"/>
        </w:rPr>
      </w:pPr>
      <w:r>
        <w:rPr>
          <w:rStyle w:val="Marker"/>
          <w:color w:val="auto"/>
        </w:rPr>
        <w:t>The established supervisory powers and authorities do not overlap with the competences of the state authorities. On the basis of § 59(4) of the Interstate Broadcasting Treaty (RStV), in the event of violations of the Interstate Treaty on the Protection of Minors in the Media (JMStV) in conjunction with § 20(1) and (4) JMStV, they can direct measures to block offers to the service provider, which also includes deletion orders (Volkmann, in: Spindler/Schuster Elektron. Media, 4th  Edition, 2019, RStV § 59 margin number 44). Corresponding regulatory powers will not arise from the NetzDG in the future either. With the newly added § 4a(2) NetzDG, only the elimination of violations of the compliance or organisational requirements of the NetzDG can be ordered (e.g. with regard to the requirements for the reporting channel as per § 3(1)(2) NetzDG or the requirement to establish effective procedure for handling complaints about unlawful content as per § 3(2) and (3) NetzDG).</w:t>
      </w:r>
    </w:p>
    <w:p w:rsidR="00C718DA" w:rsidRPr="00CB1818" w:rsidRDefault="00C718DA" w:rsidP="00980A88">
      <w:pPr>
        <w:pStyle w:val="Text"/>
        <w:rPr>
          <w:rStyle w:val="Marker"/>
          <w:color w:val="auto"/>
        </w:rPr>
      </w:pPr>
      <w:r>
        <w:rPr>
          <w:rStyle w:val="Marker"/>
          <w:color w:val="auto"/>
        </w:rPr>
        <w:t>A prerequisite for taking action in the scope of supervision is the determination of a violation of the NetzDG, § 4a(2) NetzDG. The cases mentioned in § 3e(3) NetzDG, in which the requirements for an order result from § 3(5) TMG, constitute a special case.</w:t>
      </w:r>
    </w:p>
    <w:p w:rsidR="00B3135F" w:rsidRPr="00CB1818" w:rsidRDefault="00B3135F" w:rsidP="00980A88">
      <w:pPr>
        <w:pStyle w:val="Text"/>
        <w:rPr>
          <w:rStyle w:val="Marker"/>
          <w:color w:val="auto"/>
        </w:rPr>
      </w:pPr>
      <w:r>
        <w:rPr>
          <w:rStyle w:val="Marker"/>
          <w:color w:val="auto"/>
        </w:rPr>
        <w:t>The creation of the supervisory powers and authorities serves the purpose working towards eliminating violations of the NetzDG in a targeted manner. In the field of the implementation of Article 28b AVMSD (§ 3e NetzDG), the introduction of appropriate powers by the Federal Office of Justice also serves to implement Article 28b(5) AVMSD. Accordingly, the necessary mechanisms for the assessment of the measures taken by video sharing platform service providers have to be made by the Member States.</w:t>
      </w:r>
    </w:p>
    <w:p w:rsidR="00280D6A" w:rsidRPr="00CB1818" w:rsidRDefault="00280D6A" w:rsidP="00280D6A">
      <w:pPr>
        <w:pStyle w:val="Text"/>
        <w:rPr>
          <w:rStyle w:val="Marker"/>
          <w:color w:val="auto"/>
        </w:rPr>
      </w:pPr>
      <w:r>
        <w:rPr>
          <w:rStyle w:val="Marker"/>
          <w:color w:val="auto"/>
        </w:rPr>
        <w:lastRenderedPageBreak/>
        <w:t>Insofar as the supervisory powers and authorities also relate to video sharing platform services, the requirements for the position of the regulatory authority according to Article 30 AVMSD are maintained by the Federal Office of Justice concerned. Within the framework of constitutional law, the Federal Office of Justice is subject to the legal and technical supervision of the Federal Ministry of Justice and Consumer Protection. Such supervision in accordance with national constitutional law is expressly permitted under Article 30(2)(2) AVMSD.</w:t>
      </w:r>
    </w:p>
    <w:p w:rsidR="00B3135F" w:rsidRPr="00CB1818" w:rsidRDefault="00A203C8" w:rsidP="00A203C8">
      <w:pPr>
        <w:pStyle w:val="Text"/>
        <w:rPr>
          <w:rStyle w:val="Marker"/>
          <w:color w:val="auto"/>
        </w:rPr>
      </w:pPr>
      <w:r>
        <w:rPr>
          <w:rStyle w:val="Marker"/>
          <w:color w:val="auto"/>
        </w:rPr>
        <w:t>§ 4a(3) NetzDG gives the competent Federal Office of Justice the power to request information about implementation measures by social network providers, the number of registered users in Germany and the number of complaints received in the past calendar year about unlawful content. The obligation to provide information applies to the provider. The persons named in § 4a(3)(1) second clause NetzDG are obliged to participate.</w:t>
      </w:r>
    </w:p>
    <w:p w:rsidR="00C718DA" w:rsidRPr="00CB1818" w:rsidRDefault="00C718DA" w:rsidP="00A203C8">
      <w:pPr>
        <w:pStyle w:val="Text"/>
        <w:rPr>
          <w:rStyle w:val="Marker"/>
          <w:color w:val="auto"/>
        </w:rPr>
      </w:pPr>
      <w:r>
        <w:rPr>
          <w:rStyle w:val="Marker"/>
          <w:color w:val="auto"/>
        </w:rPr>
        <w:t>For the purpose of supervision to be performed by the Federal Office of Justice in the future, it is necessary that the obligation to provide information can also include self-incriminating information. Otherwise, the determination of violations of the NetzDG would be hopeless or much more difficult for the Federal Office of Justice in many cases. The background to this is that the determination of various criteria for an offence in the context of the NetzDG can pose considerable difficulties in the investigation. One reason for this is that the relevant providers are based abroad and that there is no access to the matters to be clarified without effective information from the providers. This concerns, for example, the internal organisation of review processes concerning complaints about unlawful content or the question of whether a provider has at least two million registered users in Germany and is therefore subject to the relevant compliance obligations of the NetzDG, § 1(2) NetzDG. The obligation to provide information serves the sole purpose of ensuring effective monitoring with the aim of eliminating violations of the NetzDG. Use for repressive purposes in criminal or fine proceedings is explicitly ruled out in accordance with § 4a(2)(4) and (5) NetzDG, unless the party subject to disclosure obligation agrees to this separately. The prohibition on exploitation also protects the provider, even if the provider is not a natural person, since exploitation in a procedure for setting a fine pursuant to § 30 of the Code of Administrative Offences against it is fundamentally excluded pursuant to § 4(2)(5) NetzDG. In addition, the prohibition of use also protects relatives of the persons obliged to participate in the disclosure. The design chosen takes into account the prohibition of compulsory self-incrimination (nemo tenetur principle) as well as the right to a fair trial that follows from the rule of law. The case</w:t>
      </w:r>
      <w:r w:rsidR="003D079F">
        <w:rPr>
          <w:rStyle w:val="Marker"/>
          <w:color w:val="auto"/>
        </w:rPr>
        <w:t>-</w:t>
      </w:r>
      <w:r>
        <w:rPr>
          <w:rStyle w:val="Marker"/>
          <w:color w:val="auto"/>
        </w:rPr>
        <w:t>law of the Federal Constitutional Court (BverfG) recognises that constitutional law does not provide complete protection against self-incrimination. Instead, insofar as it concerns information to fulfil a legitimate need for information, the legislature is authorised to weigh the interests of the different parties against each other (BVerfG, Decision of 13 January 1981, 1 BvR 116/77, BverfGE 56, 37 – self-incrimination of the common debtor) .</w:t>
      </w:r>
    </w:p>
    <w:p w:rsidR="00980A88" w:rsidRPr="00CB1818" w:rsidRDefault="00A203C8" w:rsidP="00A203C8">
      <w:pPr>
        <w:pStyle w:val="Text"/>
        <w:rPr>
          <w:rStyle w:val="Marker"/>
          <w:color w:val="auto"/>
        </w:rPr>
      </w:pPr>
      <w:r>
        <w:rPr>
          <w:rStyle w:val="Marker"/>
          <w:color w:val="auto"/>
        </w:rPr>
        <w:t>§ 4a(4)(1) NetzDG stipulates that witnesses are obliged to testify in the information procedure pursuant to § 4a(2) NetzDG. § 4a(4)(2) NetzDG guarantees the nemo tenetur principle for the witnesses.</w:t>
      </w:r>
    </w:p>
    <w:p w:rsidR="00C7339D" w:rsidRPr="00CB1818" w:rsidRDefault="00C7339D" w:rsidP="00C7339D">
      <w:pPr>
        <w:pStyle w:val="VerweisBegrndung"/>
      </w:pPr>
      <w:r>
        <w:t xml:space="preserve">Re </w:t>
      </w:r>
      <w:r>
        <w:rPr>
          <w:rStyle w:val="Binnenverweis"/>
        </w:rPr>
        <w:t>point 7</w:t>
      </w:r>
    </w:p>
    <w:p w:rsidR="00C7339D" w:rsidRPr="00CB1818" w:rsidRDefault="00C7339D" w:rsidP="00C7339D">
      <w:pPr>
        <w:pStyle w:val="VerweisBegrndung"/>
      </w:pPr>
      <w:r>
        <w:t xml:space="preserve">Re </w:t>
      </w:r>
      <w:r>
        <w:rPr>
          <w:rStyle w:val="Binnenverweis"/>
        </w:rPr>
        <w:t>(a)</w:t>
      </w:r>
    </w:p>
    <w:p w:rsidR="00784109" w:rsidRPr="00CB1818" w:rsidRDefault="00784109" w:rsidP="00A70833">
      <w:pPr>
        <w:pStyle w:val="Text"/>
        <w:rPr>
          <w:rStyle w:val="Marker"/>
          <w:color w:val="auto"/>
        </w:rPr>
      </w:pPr>
      <w:r>
        <w:rPr>
          <w:rStyle w:val="Marker"/>
          <w:color w:val="auto"/>
        </w:rPr>
        <w:t xml:space="preserve">In accordance with § 5(1)(2) NetzDG, deliveries can be made to the process agents in court proceedings before German courts because of the dissemination of unlawful content, among other things. In any case, this includes procedures in which the removal or omission of certain unlawful content is to be achieved. Whether the previous provision should be interpreted so as to also cover procedures in which it is inversely asserted in a manner relevant to the decision that there is no unlawful content (e.g. in the case of complaints for the reinstatement of deleted content or – with the justification that unlawful </w:t>
      </w:r>
      <w:r>
        <w:rPr>
          <w:rStyle w:val="Marker"/>
          <w:color w:val="auto"/>
        </w:rPr>
        <w:lastRenderedPageBreak/>
        <w:t>content is at hand – blocked accounts due to – from the complainant’s perspective – content wrongly classified as unlawful), is controversial in practice (e.g. rejected by Appellate Court, Ruling of 6 March 2019 - 10 W 192/18, NJW 2019, 2624; Cologne Higher Regional Court, Ruling of 11 January 2019 - 15 W 59/18, marginal no. 19, juris). The addition of § 5(1)(2) NetzDG, eliminates this uncertainty and clarified that the provision also applies to procedures in which the unfounded assumption of the dissemination of unlawful content is asserted, for example if a user requests the reinstatement of deleted content.</w:t>
      </w:r>
    </w:p>
    <w:p w:rsidR="00784109" w:rsidRPr="00CB1818" w:rsidRDefault="00784109" w:rsidP="00784109">
      <w:pPr>
        <w:pStyle w:val="Text"/>
        <w:rPr>
          <w:rStyle w:val="Marker"/>
          <w:color w:val="auto"/>
        </w:rPr>
      </w:pPr>
      <w:r>
        <w:rPr>
          <w:rStyle w:val="Marker"/>
          <w:color w:val="auto"/>
        </w:rPr>
        <w:t>In addition, the provision has been supplemented to a minor degree and now also refers to deliveries in the regulatory procedure according to § 4a NetzDG.</w:t>
      </w:r>
    </w:p>
    <w:p w:rsidR="00784109" w:rsidRPr="00CB1818" w:rsidRDefault="00784109" w:rsidP="00784109">
      <w:pPr>
        <w:pStyle w:val="Text"/>
        <w:rPr>
          <w:rStyle w:val="Marker"/>
          <w:color w:val="auto"/>
        </w:rPr>
      </w:pPr>
      <w:r>
        <w:rPr>
          <w:rStyle w:val="Marker"/>
          <w:color w:val="auto"/>
        </w:rPr>
        <w:t xml:space="preserve">Finally, additions to § 5(1)(2) NetzDG clarify that the scope of the process agent for deliveries in court proceedings is to be understood broadly and also applies to the delivery of, </w:t>
      </w:r>
      <w:r w:rsidR="002C2CBC">
        <w:rPr>
          <w:rStyle w:val="Marker"/>
          <w:color w:val="auto"/>
        </w:rPr>
        <w:t>e.g.</w:t>
      </w:r>
      <w:r>
        <w:rPr>
          <w:rStyle w:val="Marker"/>
          <w:color w:val="auto"/>
        </w:rPr>
        <w:t xml:space="preserve"> summons to appear, final judicial decisions as well as deliveries in enforcement or enforcement proceedings.</w:t>
      </w:r>
    </w:p>
    <w:p w:rsidR="00C7339D" w:rsidRPr="00CB1818" w:rsidRDefault="00C7339D" w:rsidP="00C7339D">
      <w:pPr>
        <w:pStyle w:val="VerweisBegrndung"/>
        <w:rPr>
          <w:rStyle w:val="Binnenverweis"/>
        </w:rPr>
      </w:pPr>
      <w:r>
        <w:t xml:space="preserve">Re </w:t>
      </w:r>
      <w:r>
        <w:rPr>
          <w:rStyle w:val="Binnenverweis"/>
        </w:rPr>
        <w:t>(b)</w:t>
      </w:r>
    </w:p>
    <w:p w:rsidR="00E3743C" w:rsidRPr="00CB1818" w:rsidRDefault="00784109" w:rsidP="00E3743C">
      <w:pPr>
        <w:pStyle w:val="Text"/>
        <w:rPr>
          <w:rStyle w:val="Marker"/>
          <w:color w:val="auto"/>
        </w:rPr>
      </w:pPr>
      <w:r>
        <w:rPr>
          <w:rStyle w:val="Marker"/>
          <w:color w:val="auto"/>
        </w:rPr>
        <w:t>§ 5(2) NetzDG clarifies that social network providers have to centrally name the authorised recipients to the Federal Office of Justice, which keeps a list of them and informs the competent law enforcement authorities. A general publication of the names of the authorised recipients will not be made. It is the point of contact for law enforcement authorities only. The corresponding data should not be subject to general publication to protect against spam etc.</w:t>
      </w:r>
    </w:p>
    <w:p w:rsidR="00C7339D" w:rsidRPr="00CB1818" w:rsidRDefault="00C7339D" w:rsidP="00C7339D">
      <w:pPr>
        <w:pStyle w:val="VerweisBegrndung"/>
      </w:pPr>
      <w:r>
        <w:t xml:space="preserve">Re </w:t>
      </w:r>
      <w:r>
        <w:rPr>
          <w:rStyle w:val="Binnenverweis"/>
        </w:rPr>
        <w:t>point 8</w:t>
      </w:r>
    </w:p>
    <w:p w:rsidR="00C7339D" w:rsidRPr="00CB1818" w:rsidRDefault="005552C9" w:rsidP="00C7339D">
      <w:pPr>
        <w:pStyle w:val="Text"/>
        <w:rPr>
          <w:rStyle w:val="Marker"/>
          <w:color w:val="auto"/>
        </w:rPr>
      </w:pPr>
      <w:r>
        <w:rPr>
          <w:rStyle w:val="Marker"/>
          <w:color w:val="auto"/>
        </w:rPr>
        <w:t>The applicable transitional provisions in § 6 NetzDG are supplemented. This clarifies that the changes to reporting obligations in § 2(2) NetzDG must initially be taken into account for the reporting period that begins after this Act comes into force.</w:t>
      </w:r>
    </w:p>
    <w:p w:rsidR="000C3AF3" w:rsidRPr="00CB1818" w:rsidRDefault="00DC1BCC" w:rsidP="00C7339D">
      <w:pPr>
        <w:pStyle w:val="Text"/>
      </w:pPr>
      <w:r>
        <w:rPr>
          <w:rStyle w:val="Marker"/>
          <w:color w:val="auto"/>
        </w:rPr>
        <w:t>The new activity reports of recognised self-regulation bodies will be due for the first time on 31 July 2022.</w:t>
      </w:r>
    </w:p>
    <w:p w:rsidR="00C7339D" w:rsidRPr="00CB1818" w:rsidRDefault="00C7339D" w:rsidP="00C7339D">
      <w:pPr>
        <w:pStyle w:val="VerweisBegrndung"/>
      </w:pPr>
      <w:r>
        <w:t xml:space="preserve">Re </w:t>
      </w:r>
      <w:r>
        <w:rPr>
          <w:rStyle w:val="Binnenverweis"/>
        </w:rPr>
        <w:t>Article 2</w:t>
      </w:r>
      <w:r>
        <w:t xml:space="preserve"> (Amendment to the Telemedia Act)</w:t>
      </w:r>
    </w:p>
    <w:p w:rsidR="004A65F2" w:rsidRPr="00CB1818" w:rsidRDefault="00F55418" w:rsidP="00C7339D">
      <w:pPr>
        <w:pStyle w:val="Text"/>
        <w:rPr>
          <w:rStyle w:val="Marker"/>
          <w:color w:val="auto"/>
        </w:rPr>
      </w:pPr>
      <w:r>
        <w:rPr>
          <w:rStyle w:val="Marker"/>
          <w:color w:val="auto"/>
        </w:rPr>
        <w:t>§ 14(3) TMG is supplemented to the effect that providing the aggrieved party with information is not only permitted, but that the service provider also has a duty to do so. In the future, the court charged with the ruling regarding the permissibility of the disclosure of information as per § 14(4) TMG will, due to § 14(4)(2) TMG, also have to order the service provider's obligation concerning it in this case, unless the applicant expressly limits its application to the effect that only the permissibility of the disclosure of information should be decided on.</w:t>
      </w:r>
    </w:p>
    <w:p w:rsidR="00F55418" w:rsidRPr="00CB1818" w:rsidRDefault="00F55418" w:rsidP="008D7819">
      <w:pPr>
        <w:pStyle w:val="Text"/>
        <w:rPr>
          <w:rStyle w:val="Marker"/>
          <w:color w:val="auto"/>
        </w:rPr>
      </w:pPr>
      <w:r>
        <w:rPr>
          <w:rStyle w:val="Marker"/>
          <w:color w:val="auto"/>
        </w:rPr>
        <w:t>The background to the new arrangement is that § 14(3) to (5) TMG so far only provides for the data protection consent (subject to judicial decision) to the disclosure of the necessary existing and (by way of § 15(5)(4) TMG) usage data. The right to information (directed against the service provider) as such is not provided for. In the field of infringements covered by § 14(3) TMG, the right to information recognised by case</w:t>
      </w:r>
      <w:r w:rsidR="003D079F">
        <w:rPr>
          <w:rStyle w:val="Marker"/>
          <w:color w:val="auto"/>
        </w:rPr>
        <w:t>-</w:t>
      </w:r>
      <w:r>
        <w:rPr>
          <w:rStyle w:val="Marker"/>
          <w:color w:val="auto"/>
        </w:rPr>
        <w:t>law on the basis of § 242 Civil Code (BGB) (for example, Federal Court of Justice, Judgment of 1 July 2014 - VI Civil Law 345/13 ‘Physician Assessment I’, Federal Court of Justice Decisions on Civil Matters 201, 380, marginal number 6) comes into question in particular.</w:t>
      </w:r>
    </w:p>
    <w:p w:rsidR="001A0BA6" w:rsidRPr="00CB1818" w:rsidRDefault="00F55418" w:rsidP="001A0BA6">
      <w:pPr>
        <w:pStyle w:val="Text"/>
        <w:rPr>
          <w:rStyle w:val="Marker"/>
          <w:color w:val="auto"/>
        </w:rPr>
      </w:pPr>
      <w:r>
        <w:rPr>
          <w:rStyle w:val="Marker"/>
          <w:color w:val="auto"/>
        </w:rPr>
        <w:t>The right to information was not yet specified in a concrete legal form when NetzDG was adopted. However, it was already pointed out at the time that a legal arrangement could potentially be made (Bundestag Document 18/13013, p. 23).</w:t>
      </w:r>
    </w:p>
    <w:p w:rsidR="00641F12" w:rsidRPr="00CB1818" w:rsidRDefault="00F55418" w:rsidP="001A0BA6">
      <w:pPr>
        <w:pStyle w:val="Text"/>
        <w:rPr>
          <w:rStyle w:val="Marker"/>
          <w:color w:val="auto"/>
        </w:rPr>
      </w:pPr>
      <w:r>
        <w:rPr>
          <w:rStyle w:val="Marker"/>
          <w:color w:val="auto"/>
        </w:rPr>
        <w:lastRenderedPageBreak/>
        <w:t>In practice, the previous legal situation leads to a two-stage procedure, in which, at the first stage as per § 14(4) TMG, the competent regional court as per § 14(4)(4) TMG decides on the permissibility of the data disclosure in due application of the Act on Proceedings in Family Matters and in Matters of Non-contentious Jurisdiction (FamFG).</w:t>
      </w:r>
    </w:p>
    <w:p w:rsidR="00641F12" w:rsidRPr="00CB1818" w:rsidRDefault="00641F12" w:rsidP="001A0BA6">
      <w:pPr>
        <w:pStyle w:val="Text"/>
        <w:rPr>
          <w:rStyle w:val="Marker"/>
          <w:color w:val="auto"/>
        </w:rPr>
      </w:pPr>
      <w:r>
        <w:rPr>
          <w:rStyle w:val="Marker"/>
          <w:color w:val="auto"/>
        </w:rPr>
        <w:t>If the service provider refuses to disclose the data despite a decision permitting the data to be disclosed, the aggrieved party must rely on a further civil process being conducted to enforce the right to information on the basis of § 242 Civil Code. The competent court is determined according to the rules of the Code of Civil Procedure, which is also decisive for the procedure. It is not possible to connect the two procedural stages in a single court proceeding due to the different applicable procedural rules. It can also happen that different courts have jurisdiction.</w:t>
      </w:r>
    </w:p>
    <w:p w:rsidR="00E0062E" w:rsidRPr="00CB1818" w:rsidRDefault="00E4043D" w:rsidP="001A0BA6">
      <w:pPr>
        <w:pStyle w:val="Text"/>
        <w:rPr>
          <w:rStyle w:val="Marker"/>
          <w:color w:val="auto"/>
        </w:rPr>
      </w:pPr>
      <w:r>
        <w:rPr>
          <w:rStyle w:val="Marker"/>
          <w:color w:val="auto"/>
        </w:rPr>
        <w:t>The two-stage procedure described complicates and considerably slows down the procedure for obtaining the required data. It seems appropriate to bundle in the information disclosure procedure in order to avoid having two separate, subsequent judicial proceedings in different courts and using different procedural rules, despite having comparable matters that have to be clarified.</w:t>
      </w:r>
    </w:p>
    <w:p w:rsidR="001A0BA6" w:rsidRPr="00CB1818" w:rsidRDefault="00E0062E" w:rsidP="00C7339D">
      <w:pPr>
        <w:pStyle w:val="Text"/>
      </w:pPr>
      <w:r>
        <w:rPr>
          <w:rStyle w:val="Marker"/>
          <w:color w:val="auto"/>
        </w:rPr>
        <w:t>This refrains from codifying the general right to information based on § 242 Civil Code. Instead, a special arrangement is created for the field of cases described by § 14(3) TMG, according to which the service provider is also obliged to disclose data if the prerequisites of § 14(3)(1) TMG are met. A linking to the prerequisites of § 14(3)(1) TMG is appropriate because the requirements are similar to the criteria developed in the case</w:t>
      </w:r>
      <w:r w:rsidR="003D079F">
        <w:rPr>
          <w:rStyle w:val="Marker"/>
          <w:color w:val="auto"/>
        </w:rPr>
        <w:t>-</w:t>
      </w:r>
      <w:r>
        <w:rPr>
          <w:rStyle w:val="Marker"/>
          <w:color w:val="auto"/>
        </w:rPr>
        <w:t>law for § 242 Civil Code. It is an essential prerequisite for the general right to information based on § 242 Civil Code according to the case</w:t>
      </w:r>
      <w:r w:rsidR="003D079F">
        <w:rPr>
          <w:rStyle w:val="Marker"/>
          <w:color w:val="auto"/>
        </w:rPr>
        <w:t>-</w:t>
      </w:r>
      <w:r>
        <w:rPr>
          <w:rStyle w:val="Marker"/>
          <w:color w:val="auto"/>
        </w:rPr>
        <w:t xml:space="preserve">law that the entitled party is uncertain about the existence or scope of its right in an excusable manner and the obligated party is able to easily provide the information necessary to eliminate this uncertainty (Federal Court of Justice, loc. cit.). The prerequisite of § 14(3) TMG that the data disclosure ‘is necessary for the enforcement of claims under civil law ...’ is similar. A modification of the cost rule of the previous § 14(4)(6) TMG is refrained from in order to prevent overly hasty data disclosures by service providers (possibly to avoid potential cost risks). This ensures that data </w:t>
      </w:r>
      <w:r w:rsidR="002C2CBC">
        <w:rPr>
          <w:rStyle w:val="Marker"/>
          <w:color w:val="auto"/>
        </w:rPr>
        <w:t>are</w:t>
      </w:r>
      <w:r>
        <w:rPr>
          <w:rStyle w:val="Marker"/>
          <w:color w:val="auto"/>
        </w:rPr>
        <w:t xml:space="preserve"> only disclosed after a court decision in the relevant cases.</w:t>
      </w:r>
    </w:p>
    <w:p w:rsidR="00C7339D" w:rsidRPr="00CB1818" w:rsidRDefault="00C7339D" w:rsidP="00C7339D">
      <w:pPr>
        <w:pStyle w:val="VerweisBegrndung"/>
      </w:pPr>
      <w:r>
        <w:t xml:space="preserve">Re </w:t>
      </w:r>
      <w:r>
        <w:rPr>
          <w:rStyle w:val="Binnenverweis"/>
        </w:rPr>
        <w:t>Article 3</w:t>
      </w:r>
      <w:r>
        <w:t xml:space="preserve"> (Entry into force)</w:t>
      </w:r>
    </w:p>
    <w:p w:rsidR="00B355DA" w:rsidRPr="00CB1818" w:rsidRDefault="0022102F" w:rsidP="00C7339D">
      <w:pPr>
        <w:pStyle w:val="Text"/>
        <w:rPr>
          <w:rStyle w:val="Marker"/>
          <w:color w:val="auto"/>
        </w:rPr>
      </w:pPr>
      <w:r>
        <w:rPr>
          <w:rStyle w:val="Marker"/>
          <w:color w:val="auto"/>
        </w:rPr>
        <w:t>Article 3 regulates the entry into force.</w:t>
      </w:r>
    </w:p>
    <w:sectPr w:rsidR="00B355DA" w:rsidRPr="00CB1818" w:rsidSect="00D9408F">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59D" w:rsidRDefault="000B259D" w:rsidP="005D1540">
      <w:pPr>
        <w:spacing w:before="0" w:after="0"/>
      </w:pPr>
      <w:r>
        <w:separator/>
      </w:r>
    </w:p>
  </w:endnote>
  <w:endnote w:type="continuationSeparator" w:id="0">
    <w:p w:rsidR="000B259D" w:rsidRDefault="000B259D"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59D" w:rsidRDefault="000B259D" w:rsidP="005D1540">
      <w:pPr>
        <w:spacing w:before="0" w:after="0"/>
      </w:pPr>
      <w:r>
        <w:separator/>
      </w:r>
    </w:p>
  </w:footnote>
  <w:footnote w:type="continuationSeparator" w:id="0">
    <w:p w:rsidR="000B259D" w:rsidRDefault="000B259D" w:rsidP="005D1540">
      <w:pPr>
        <w:spacing w:before="0" w:after="0"/>
      </w:pPr>
      <w:r>
        <w:continuationSeparator/>
      </w:r>
    </w:p>
  </w:footnote>
  <w:footnote w:id="1">
    <w:p w:rsidR="003D079F" w:rsidRDefault="003D079F">
      <w:pPr>
        <w:pStyle w:val="FootnoteText"/>
      </w:pPr>
      <w:r>
        <w:rPr>
          <w:rStyle w:val="FootnoteReference"/>
        </w:rPr>
        <w:footnoteRef/>
      </w:r>
      <w:r>
        <w:rPr>
          <w:rStyle w:val="FootnoteReference"/>
          <w:vertAlign w:val="baseline"/>
        </w:rPr>
        <w:t>)</w:t>
      </w:r>
      <w:r>
        <w:tab/>
        <w:t>This Act serves to implement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w:t>
      </w:r>
    </w:p>
  </w:footnote>
  <w:footnote w:id="2">
    <w:p w:rsidR="003D079F" w:rsidRDefault="003D079F">
      <w:pPr>
        <w:pStyle w:val="FootnoteText"/>
      </w:pPr>
      <w:r>
        <w:rPr>
          <w:rStyle w:val="FootnoteReference"/>
        </w:rPr>
        <w:footnoteRef/>
      </w:r>
      <w:r>
        <w:rPr>
          <w:rStyle w:val="FootnoteReference"/>
          <w:vertAlign w:val="baseline"/>
        </w:rP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9F" w:rsidRPr="00D9408F" w:rsidRDefault="003D079F" w:rsidP="00D9408F">
    <w:pPr>
      <w:pStyle w:val="Header"/>
    </w:pPr>
    <w:r>
      <w:tab/>
      <w:t xml:space="preserve">- </w:t>
    </w:r>
    <w:r>
      <w:fldChar w:fldCharType="begin"/>
    </w:r>
    <w:r>
      <w:instrText xml:space="preserve"> PAGE  \* MERGEFORMAT </w:instrText>
    </w:r>
    <w:r>
      <w:fldChar w:fldCharType="separate"/>
    </w:r>
    <w:r w:rsidR="008A453E">
      <w:rPr>
        <w:noProof/>
      </w:rPr>
      <w:t>59</w:t>
    </w:r>
    <w:r>
      <w:fldChar w:fldCharType="end"/>
    </w:r>
    <w:r>
      <w:t xml:space="preserve"> -</w:t>
    </w:r>
    <w:r>
      <w:tab/>
    </w:r>
    <w:r>
      <w:rPr>
        <w:sz w:val="18"/>
      </w:rPr>
      <w:t>Version: 27/03/2020 11:57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9F" w:rsidRPr="00D9408F" w:rsidRDefault="003D079F" w:rsidP="00CF3579">
    <w:pPr>
      <w:pStyle w:val="Header"/>
      <w:jc w:val="right"/>
    </w:pPr>
    <w:r>
      <w:rPr>
        <w:sz w:val="18"/>
      </w:rPr>
      <w:t>Version: 27/03/2020 11:57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3">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4">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6">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7">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18">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9">
    <w:nsid w:val="4D451F88"/>
    <w:multiLevelType w:val="multilevel"/>
    <w:tmpl w:val="53C03C46"/>
    <w:numStyleLink w:val="ListeBMJnumerisch"/>
  </w:abstractNum>
  <w:abstractNum w:abstractNumId="2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nsid w:val="5CC4249E"/>
    <w:multiLevelType w:val="hybridMultilevel"/>
    <w:tmpl w:val="EA5C9034"/>
    <w:lvl w:ilvl="0" w:tplc="F5D6B3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6">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9">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1">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2">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0"/>
  </w:num>
  <w:num w:numId="12">
    <w:abstractNumId w:val="32"/>
  </w:num>
  <w:num w:numId="13">
    <w:abstractNumId w:val="2"/>
  </w:num>
  <w:num w:numId="14">
    <w:abstractNumId w:val="17"/>
  </w:num>
  <w:num w:numId="15">
    <w:abstractNumId w:val="19"/>
  </w:num>
  <w:num w:numId="16">
    <w:abstractNumId w:val="24"/>
  </w:num>
  <w:num w:numId="17">
    <w:abstractNumId w:val="6"/>
  </w:num>
  <w:num w:numId="18">
    <w:abstractNumId w:val="23"/>
  </w:num>
  <w:num w:numId="19">
    <w:abstractNumId w:val="33"/>
  </w:num>
  <w:num w:numId="20">
    <w:abstractNumId w:val="22"/>
  </w:num>
  <w:num w:numId="21">
    <w:abstractNumId w:val="4"/>
  </w:num>
  <w:num w:numId="22">
    <w:abstractNumId w:val="13"/>
  </w:num>
  <w:num w:numId="23">
    <w:abstractNumId w:val="0"/>
  </w:num>
  <w:num w:numId="24">
    <w:abstractNumId w:val="31"/>
  </w:num>
  <w:num w:numId="25">
    <w:abstractNumId w:val="14"/>
  </w:num>
  <w:num w:numId="26">
    <w:abstractNumId w:val="27"/>
  </w:num>
  <w:num w:numId="27">
    <w:abstractNumId w:val="3"/>
  </w:num>
  <w:num w:numId="28">
    <w:abstractNumId w:val="20"/>
  </w:num>
  <w:num w:numId="29">
    <w:abstractNumId w:val="8"/>
  </w:num>
  <w:num w:numId="30">
    <w:abstractNumId w:val="7"/>
  </w:num>
  <w:num w:numId="31">
    <w:abstractNumId w:val="18"/>
  </w:num>
  <w:num w:numId="32">
    <w:abstractNumId w:val="28"/>
  </w:num>
  <w:num w:numId="33">
    <w:abstractNumId w:val="9"/>
  </w:num>
  <w:num w:numId="34">
    <w:abstractNumId w:val="15"/>
  </w:num>
  <w:num w:numId="35">
    <w:abstractNumId w:val="1"/>
  </w:num>
  <w:num w:numId="36">
    <w:abstractNumId w:val="16"/>
  </w:num>
  <w:num w:numId="37">
    <w:abstractNumId w:val="5"/>
  </w:num>
  <w:num w:numId="38">
    <w:abstractNumId w:val="30"/>
  </w:num>
  <w:num w:numId="39">
    <w:abstractNumId w:val="29"/>
  </w:num>
  <w:num w:numId="40">
    <w:abstractNumId w:val="11"/>
  </w:num>
  <w:num w:numId="41">
    <w:abstractNumId w:val="2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20"/>
  </w:num>
  <w:num w:numId="62">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Aktualisierung der Strukturanzeige [1569ms] [Main] [eNormCommandLocal::DynamicStructureCheck.UpdateStructure]"/>
    <w:docVar w:name="BefehlsHistorie_BefehlsZähler" w:val="1"/>
    <w:docVar w:name="BefehlsKontext_SpeichernOOXML_Maximum" w:val="1022ms"/>
    <w:docVar w:name="BefehlsKontext_SpeichernOOXML_Schnitt" w:val="1022ms"/>
    <w:docVar w:name="BMJ" w:val="True"/>
    <w:docVar w:name="CUSTOMER" w:val="8"/>
    <w:docVar w:name="DQCDateTime" w:val="27.03.2020 10:22:03"/>
    <w:docVar w:name="DQCHighlighting" w:val="100"/>
    <w:docVar w:name="DQCPart_Begruendung" w:val="0"/>
    <w:docVar w:name="DQCPart_Dokument" w:val="0"/>
    <w:docVar w:name="DQCPart_Regelungsteil" w:val="0"/>
    <w:docVar w:name="DQCPart_Vorblatt" w:val="0"/>
    <w:docVar w:name="DQCResult_Aenderungsbefehl" w:val="0;6"/>
    <w:docVar w:name="DQCResult_Binnenverweise" w:val="0;0"/>
    <w:docVar w:name="DQCResult_Citations" w:val="0;0"/>
    <w:docVar w:name="DQCResult_EinzelneRegelungsteile" w:val="0;0"/>
    <w:docVar w:name="DQCResult_EmbeddedObjects" w:val="0;0"/>
    <w:docVar w:name="DQCResult_Gliederung" w:val="0;0"/>
    <w:docVar w:name="DQCResult_Marker" w:val="0;0"/>
    <w:docVar w:name="DQCResult_Metadata" w:val="0;0"/>
    <w:docVar w:name="DQCResult_ModifiedCharFormat" w:val="0;100"/>
    <w:docVar w:name="DQCResult_ModifiedMargins" w:val="22;0"/>
    <w:docVar w:name="DQCResult_ModifiedNumbering" w:val="0;0"/>
    <w:docVar w:name="DQCResult_StructureCheck" w:val="0;0"/>
    <w:docVar w:name="DQCResult_SuperfluousWhitespace" w:val="2;0"/>
    <w:docVar w:name="DQCResult_TermsAndDiction" w:val="0;17"/>
    <w:docVar w:name="DQCResult_Verweise" w:val="0;0"/>
    <w:docVar w:name="DQCWithWarnings" w:val="1"/>
    <w:docVar w:name="eNV_014D67E831A54E84AE69F682494D2210" w:val="Buchstabe a"/>
    <w:docVar w:name="eNV_014D67E831A54E84AE69F682494D2210_Struct" w:val="§ 1 Nummer 3 Buchstabe a;2;Struktur:1/0/3/1;CheckSums:-1/-1/-1/-1;eNV_014D67E831A54E84AE69F682494D2210_1@@2"/>
    <w:docVar w:name="eNV_02766DCDDD0C451696CD2CA9BA8F5F05" w:val="Artikel 1"/>
    <w:docVar w:name="eNV_02766DCDDD0C451696CD2CA9BA8F5F05_Struct" w:val="Artikel 1;6;Struktur:1;CheckSums:-1;eNV_02766DCDDD0C451696CD2CA9BA8F5F05_1@@2"/>
    <w:docVar w:name="eNV_04FF9BB8F8AA4AA7A9BF1B042E4A5062" w:val="Nummer 7"/>
    <w:docVar w:name="eNV_04FF9BB8F8AA4AA7A9BF1B042E4A5062_Struct" w:val="§ 1 Nummer 7;2;Struktur:1/0/7;CheckSums:-1/-1/-1;eNV_04FF9BB8F8AA4AA7A9BF1B042E4A5062_1@@2"/>
    <w:docVar w:name="eNV_1071D66C7A3A4E78904AD55041E5495E" w:val="Nummer 3"/>
    <w:docVar w:name="eNV_1071D66C7A3A4E78904AD55041E5495E_Struct" w:val="§ 1 Nummer 3;2;Struktur:1/0/3;CheckSums:-1/-1/-1;eNV_1071D66C7A3A4E78904AD55041E5495E_1@@2"/>
    <w:docVar w:name="eNV_1889E279CDC24205B0D826D1A9874907" w:val="Buchstabe e"/>
    <w:docVar w:name="eNV_1889E279CDC24205B0D826D1A9874907_Struct" w:val="§ 1 Nummer 2 Buchstabe e;2;Struktur:1/0/2/5;CheckSums:-1/-1/-1/-1;eNV_1889E279CDC24205B0D826D1A9874907_1@@2"/>
    <w:docVar w:name="eNV_1BD0FCD066BB4ADDA24D31C7AFEE9D76" w:val="Buchstabe c"/>
    <w:docVar w:name="eNV_1BD0FCD066BB4ADDA24D31C7AFEE9D76_Struct" w:val="§ 1 Nummer 3 Buchstabe c;2;Struktur:1/0/3/3;CheckSums:-1/-1/-1/-1;eNV_1BD0FCD066BB4ADDA24D31C7AFEE9D76_1@@2"/>
    <w:docVar w:name="eNV_24B3038AC4B7485CA5CBE49ECF8FDA5B" w:val="Nummer 4"/>
    <w:docVar w:name="eNV_24B3038AC4B7485CA5CBE49ECF8FDA5B_Struct" w:val="§ 1 Nummer 4;2;Struktur:1/0/4;CheckSums:-1/-1/-1;eNV_24B3038AC4B7485CA5CBE49ECF8FDA5B_1@@2"/>
    <w:docVar w:name="eNV_2647B04F6BD44C27A403E05A83BEA7BB" w:val="Buchstabe d"/>
    <w:docVar w:name="eNV_2647B04F6BD44C27A403E05A83BEA7BB_Struct" w:val="§ 1 Nummer 3 Buchstabe d;2;Struktur:1/0/3/4;CheckSums:-1/-1/-1/-1;eNV_2647B04F6BD44C27A403E05A83BEA7BB_1@@2"/>
    <w:docVar w:name="eNV_29BA89EA1BB2430697A4687983AABC93" w:val="Buchstabe b"/>
    <w:docVar w:name="eNV_29BA89EA1BB2430697A4687983AABC93_Struct" w:val="§ 1 Nummer 3 Buchstabe b;2;Struktur:1/0/3/2;CheckSums:-1/-1/-1/-1;eNV_29BA89EA1BB2430697A4687983AABC93_1@@2"/>
    <w:docVar w:name="eNV_3CAAC48361F44D8E911B82392C79CDB9" w:val="Buchstabe d"/>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 w:val="Doppelbuchstabe cc"/>
    <w:docVar w:name="eNV_60D697455DC24545A44B582DB9DD08B2_Struct" w:val="§ 1 Nummer 3 Buchstabe b Doppelbuchstabe cc;2;Struktur:1/0/3/2/3;CheckSums:-1/-1/-1/-1/-1;eNV_60D697455DC24545A44B582DB9DD08B2_1@@2"/>
    <w:docVar w:name="eNV_6C01AF3269F54A25937775F5B1921A82" w:val="Nummer 1"/>
    <w:docVar w:name="eNV_6C01AF3269F54A25937775F5B1921A82_Struct" w:val="Nummer 1;2;Struktur:-1/-1/1;CheckSums:-1/-1/-1;eNV_6C01AF3269F54A25937775F5B1921A82_1@@2"/>
    <w:docVar w:name="eNV_75EECEE39F6042299F02C89BB83ABA93" w:val="Artikel 2"/>
    <w:docVar w:name="eNV_75EECEE39F6042299F02C89BB83ABA93_Struct" w:val="Artikel 2;6;Struktur:2;CheckSums:-1;eNV_75EECEE39F6042299F02C89BB83ABA93_1@@2"/>
    <w:docVar w:name="eNV_9291AE4B799844E98739D68DE9F55F7C" w:val="Buchstabe b"/>
    <w:docVar w:name="eNV_9291AE4B799844E98739D68DE9F55F7C_Struct" w:val="§ 1 Nummer 7 Buchstabe b;2;Struktur:1/0/7/2;CheckSums:-1/-1/-1/-1;eNV_9291AE4B799844E98739D68DE9F55F7C_1@@2"/>
    <w:docVar w:name="eNV_95D0B1FF82E643548E19CDBF244405BA" w:val="Doppelbuchstabe bb"/>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 w:val="Buchstabe f"/>
    <w:docVar w:name="eNV_B7E77CF81DF546509590876B6BA20344_Struct" w:val="§ 1 Nummer 2 Buchstabe f;2;Struktur:1/0/2/6;CheckSums:-1/-1/-1/-1;eNV_B7E77CF81DF546509590876B6BA20344_1@@2"/>
    <w:docVar w:name="eNV_C4D4FB87EB23484289627BC27807BCE5" w:val="Buchstabe a"/>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 w:val="Buchstabe e"/>
    <w:docVar w:name="eNV_C9F4E65DC72A4A318587B7B03101C3D9_Struct" w:val="§ 1 Nummer 3 Buchstabe e;2;Struktur:1/0/3/5;CheckSums:-1/-1/-1/-1;eNV_C9F4E65DC72A4A318587B7B03101C3D9_1@@2"/>
    <w:docVar w:name="eNV_C9F55B4BE97741478F2249B607AE3168" w:val="Nummer 5"/>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 w:val="Buchstabe b"/>
    <w:docVar w:name="eNV_E1BA476FCB764ADDB48639E0A11B9ED4_Struct" w:val="§ 1 Nummer 2 Buchstabe b;2;Struktur:1/0/2/2;CheckSums:-1/-1/-1/-1;eNV_E1BA476FCB764ADDB48639E0A11B9ED4_1@@2"/>
    <w:docVar w:name="eNV_E3C684370782471181B2BC0D2620E1BC" w:val="Nummer 8"/>
    <w:docVar w:name="eNV_E3C684370782471181B2BC0D2620E1BC_Struct" w:val="§ 1 Nummer 8;2;Struktur:1/0/8;CheckSums:-1/-1/-1;eNV_E3C684370782471181B2BC0D2620E1BC_1@@2"/>
    <w:docVar w:name="eNV_E6DE02647D4D48EA8EC2D351BB8C0943" w:val="Nummer 6"/>
    <w:docVar w:name="eNV_E6DE02647D4D48EA8EC2D351BB8C0943_Struct" w:val="§ 1 Nummer 6;2;Struktur:1/0/6;CheckSums:-1/-1/-1;eNV_E6DE02647D4D48EA8EC2D351BB8C0943_1@@2"/>
    <w:docVar w:name="eNV_E8E53DE82E5F4774950097C7BE3BDB55" w:val="Buchstabe a"/>
    <w:docVar w:name="eNV_E8E53DE82E5F4774950097C7BE3BDB55_Struct" w:val="§ 1 Nummer 5 Buchstabe a;2;Struktur:1/0/5/1;CheckSums:-1/-1/-1/-1;eNV_E8E53DE82E5F4774950097C7BE3BDB55_1@@2"/>
    <w:docVar w:name="eNV_ECCE8084956041488F37F91682FA7EA5" w:val="Artikel 3"/>
    <w:docVar w:name="eNV_ECCE8084956041488F37F91682FA7EA5_Struct" w:val="Artikel 3;6;Struktur:3;CheckSums:-1;eNV_ECCE8084956041488F37F91682FA7EA5_1@@2"/>
    <w:docVar w:name="eNV_EEB47693F91D4F2B9784901065243950" w:val="Doppelbuchstabe bb"/>
    <w:docVar w:name="eNV_EEB47693F91D4F2B9784901065243950_Struct" w:val="§ 1 Nummer 3 Buchstabe b Doppelbuchstabe bb;2;Struktur:1/0/3/2/2;CheckSums:-1/-1/-1/-1/-1;eNV_EEB47693F91D4F2B9784901065243950_1@@2"/>
    <w:docVar w:name="eNV_F184275CB3ED43BBAC3DB3FE735A86E0" w:val="Nummer 2"/>
    <w:docVar w:name="eNV_F184275CB3ED43BBAC3DB3FE735A86E0_Struct" w:val="§ 1 Nummer 2;2;Struktur:1/0/2;CheckSums:-1/-1/-1;eNV_F184275CB3ED43BBAC3DB3FE735A86E0_1@@2"/>
    <w:docVar w:name="eNV_F1BD62BAB8A24907A434AC4AC5AA1BD4" w:val="Buchstabe b"/>
    <w:docVar w:name="eNV_F1BD62BAB8A24907A434AC4AC5AA1BD4_Struct" w:val="§ 1 Nummer 5 Buchstabe b;2;Struktur:1/0/5/2;CheckSums:-1/-1/-1/-1;eNV_F1BD62BAB8A24907A434AC4AC5AA1BD4_1@@2"/>
    <w:docVar w:name="eNV_F70A720BD02C436A9E59F78C4D2CC3D5" w:val="Buchstabe c"/>
    <w:docVar w:name="eNV_F70A720BD02C436A9E59F78C4D2CC3D5_Struct" w:val="§ 1 Nummer 2 Buchstabe c;2;Struktur:1/0/2/3;CheckSums:-1/-1/-1/-1;eNV_F70A720BD02C436A9E59F78C4D2CC3D5_1@@2"/>
    <w:docVar w:name="eNV_FE6D31F203874E4C8EEC616DEBA99F3C" w:val="Buchstabe a"/>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F9B"/>
    <w:rsid w:val="0002575A"/>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17C"/>
    <w:rsid w:val="00066393"/>
    <w:rsid w:val="00070558"/>
    <w:rsid w:val="00070E97"/>
    <w:rsid w:val="0007149F"/>
    <w:rsid w:val="00072BA3"/>
    <w:rsid w:val="000746D3"/>
    <w:rsid w:val="0007471C"/>
    <w:rsid w:val="00074CDF"/>
    <w:rsid w:val="00076314"/>
    <w:rsid w:val="000822D2"/>
    <w:rsid w:val="0008388B"/>
    <w:rsid w:val="000877B3"/>
    <w:rsid w:val="00092488"/>
    <w:rsid w:val="00093C0D"/>
    <w:rsid w:val="000A05D0"/>
    <w:rsid w:val="000A336F"/>
    <w:rsid w:val="000A5E86"/>
    <w:rsid w:val="000B259D"/>
    <w:rsid w:val="000B476D"/>
    <w:rsid w:val="000B4861"/>
    <w:rsid w:val="000B5126"/>
    <w:rsid w:val="000B6BAC"/>
    <w:rsid w:val="000B770D"/>
    <w:rsid w:val="000C09CB"/>
    <w:rsid w:val="000C2AEB"/>
    <w:rsid w:val="000C3AF3"/>
    <w:rsid w:val="000C67F3"/>
    <w:rsid w:val="000C6C89"/>
    <w:rsid w:val="000D4021"/>
    <w:rsid w:val="000E1AD4"/>
    <w:rsid w:val="000E1FA6"/>
    <w:rsid w:val="000E2AA5"/>
    <w:rsid w:val="000E2F07"/>
    <w:rsid w:val="000E3781"/>
    <w:rsid w:val="000E5BC1"/>
    <w:rsid w:val="000E65B3"/>
    <w:rsid w:val="000E7957"/>
    <w:rsid w:val="000F1BE0"/>
    <w:rsid w:val="000F7EE0"/>
    <w:rsid w:val="001028A6"/>
    <w:rsid w:val="001130A7"/>
    <w:rsid w:val="00115323"/>
    <w:rsid w:val="001201FF"/>
    <w:rsid w:val="001205F9"/>
    <w:rsid w:val="00130920"/>
    <w:rsid w:val="001318B0"/>
    <w:rsid w:val="001323B8"/>
    <w:rsid w:val="00134C8F"/>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B15"/>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B001F"/>
    <w:rsid w:val="002B1FCE"/>
    <w:rsid w:val="002B2FB1"/>
    <w:rsid w:val="002B3991"/>
    <w:rsid w:val="002B431C"/>
    <w:rsid w:val="002B4B76"/>
    <w:rsid w:val="002B50D8"/>
    <w:rsid w:val="002B5122"/>
    <w:rsid w:val="002B6935"/>
    <w:rsid w:val="002C2CBC"/>
    <w:rsid w:val="002D0FE2"/>
    <w:rsid w:val="002D39F2"/>
    <w:rsid w:val="002E3D41"/>
    <w:rsid w:val="002E5517"/>
    <w:rsid w:val="002F2ED2"/>
    <w:rsid w:val="002F38E2"/>
    <w:rsid w:val="002F5084"/>
    <w:rsid w:val="002F6D0D"/>
    <w:rsid w:val="00300F58"/>
    <w:rsid w:val="0030128E"/>
    <w:rsid w:val="00302B09"/>
    <w:rsid w:val="0030304A"/>
    <w:rsid w:val="00305DBD"/>
    <w:rsid w:val="00310FDF"/>
    <w:rsid w:val="00311201"/>
    <w:rsid w:val="003169A8"/>
    <w:rsid w:val="0032020B"/>
    <w:rsid w:val="00321605"/>
    <w:rsid w:val="003237A2"/>
    <w:rsid w:val="00324498"/>
    <w:rsid w:val="00324C4D"/>
    <w:rsid w:val="00325F59"/>
    <w:rsid w:val="00330094"/>
    <w:rsid w:val="00330160"/>
    <w:rsid w:val="00331D06"/>
    <w:rsid w:val="00340D2D"/>
    <w:rsid w:val="00340EE5"/>
    <w:rsid w:val="003417AD"/>
    <w:rsid w:val="00343845"/>
    <w:rsid w:val="00343DBD"/>
    <w:rsid w:val="00347CFE"/>
    <w:rsid w:val="0035151A"/>
    <w:rsid w:val="003518A6"/>
    <w:rsid w:val="00354F24"/>
    <w:rsid w:val="00364C41"/>
    <w:rsid w:val="003701D0"/>
    <w:rsid w:val="003748BA"/>
    <w:rsid w:val="003764C3"/>
    <w:rsid w:val="003768E4"/>
    <w:rsid w:val="003818B0"/>
    <w:rsid w:val="00382AC7"/>
    <w:rsid w:val="00382AD2"/>
    <w:rsid w:val="00382B89"/>
    <w:rsid w:val="003869B3"/>
    <w:rsid w:val="00386D14"/>
    <w:rsid w:val="00387D06"/>
    <w:rsid w:val="00392332"/>
    <w:rsid w:val="0039538A"/>
    <w:rsid w:val="003A17AA"/>
    <w:rsid w:val="003A401C"/>
    <w:rsid w:val="003A4063"/>
    <w:rsid w:val="003A5929"/>
    <w:rsid w:val="003B0B10"/>
    <w:rsid w:val="003B1D17"/>
    <w:rsid w:val="003B72B2"/>
    <w:rsid w:val="003C0E19"/>
    <w:rsid w:val="003C2DC8"/>
    <w:rsid w:val="003C6BE2"/>
    <w:rsid w:val="003C6E31"/>
    <w:rsid w:val="003D079F"/>
    <w:rsid w:val="003D081C"/>
    <w:rsid w:val="003D18F4"/>
    <w:rsid w:val="003D22E2"/>
    <w:rsid w:val="003D6C68"/>
    <w:rsid w:val="003E04BA"/>
    <w:rsid w:val="003E0D92"/>
    <w:rsid w:val="003E4228"/>
    <w:rsid w:val="003E6C7B"/>
    <w:rsid w:val="003F0736"/>
    <w:rsid w:val="003F0FFD"/>
    <w:rsid w:val="003F1107"/>
    <w:rsid w:val="003F3C24"/>
    <w:rsid w:val="003F402B"/>
    <w:rsid w:val="003F4F4D"/>
    <w:rsid w:val="003F6172"/>
    <w:rsid w:val="00406568"/>
    <w:rsid w:val="00410A7F"/>
    <w:rsid w:val="0041137A"/>
    <w:rsid w:val="004174C6"/>
    <w:rsid w:val="00417D03"/>
    <w:rsid w:val="00417DFD"/>
    <w:rsid w:val="00420B90"/>
    <w:rsid w:val="004256B4"/>
    <w:rsid w:val="004334F6"/>
    <w:rsid w:val="004353F0"/>
    <w:rsid w:val="00435424"/>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1E06"/>
    <w:rsid w:val="004C2588"/>
    <w:rsid w:val="004C44DE"/>
    <w:rsid w:val="004C5829"/>
    <w:rsid w:val="004C737B"/>
    <w:rsid w:val="004C7947"/>
    <w:rsid w:val="004D1006"/>
    <w:rsid w:val="004D2B75"/>
    <w:rsid w:val="004D543D"/>
    <w:rsid w:val="004E1CA6"/>
    <w:rsid w:val="004E23E0"/>
    <w:rsid w:val="004E33E8"/>
    <w:rsid w:val="004E5037"/>
    <w:rsid w:val="004F19D8"/>
    <w:rsid w:val="004F1EF9"/>
    <w:rsid w:val="004F3239"/>
    <w:rsid w:val="004F6B94"/>
    <w:rsid w:val="005013C1"/>
    <w:rsid w:val="005024B8"/>
    <w:rsid w:val="005027B0"/>
    <w:rsid w:val="00503960"/>
    <w:rsid w:val="005040E1"/>
    <w:rsid w:val="0050573B"/>
    <w:rsid w:val="00505E43"/>
    <w:rsid w:val="00506A34"/>
    <w:rsid w:val="0050737C"/>
    <w:rsid w:val="005109A2"/>
    <w:rsid w:val="00510B9D"/>
    <w:rsid w:val="00512DAE"/>
    <w:rsid w:val="00514371"/>
    <w:rsid w:val="0051510A"/>
    <w:rsid w:val="005151DB"/>
    <w:rsid w:val="00516163"/>
    <w:rsid w:val="00516310"/>
    <w:rsid w:val="0051695A"/>
    <w:rsid w:val="00523138"/>
    <w:rsid w:val="00523F7B"/>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66D8"/>
    <w:rsid w:val="005B0C0E"/>
    <w:rsid w:val="005B14B9"/>
    <w:rsid w:val="005B260B"/>
    <w:rsid w:val="005B32DB"/>
    <w:rsid w:val="005B4A44"/>
    <w:rsid w:val="005B677C"/>
    <w:rsid w:val="005C48C8"/>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2151"/>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66B0"/>
    <w:rsid w:val="0068712E"/>
    <w:rsid w:val="006940A1"/>
    <w:rsid w:val="006A29BC"/>
    <w:rsid w:val="006A31C2"/>
    <w:rsid w:val="006A356C"/>
    <w:rsid w:val="006A535E"/>
    <w:rsid w:val="006A76DB"/>
    <w:rsid w:val="006B014F"/>
    <w:rsid w:val="006B0944"/>
    <w:rsid w:val="006B1C31"/>
    <w:rsid w:val="006B2529"/>
    <w:rsid w:val="006B3E33"/>
    <w:rsid w:val="006B53DD"/>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21F"/>
    <w:rsid w:val="006F73FF"/>
    <w:rsid w:val="007061F1"/>
    <w:rsid w:val="007068D4"/>
    <w:rsid w:val="007142D2"/>
    <w:rsid w:val="00715217"/>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1A89"/>
    <w:rsid w:val="0079470C"/>
    <w:rsid w:val="00795DF7"/>
    <w:rsid w:val="007A039E"/>
    <w:rsid w:val="007A559F"/>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E1B4C"/>
    <w:rsid w:val="007E6A11"/>
    <w:rsid w:val="007F0C8C"/>
    <w:rsid w:val="007F1D4B"/>
    <w:rsid w:val="007F6E94"/>
    <w:rsid w:val="00800164"/>
    <w:rsid w:val="00806E78"/>
    <w:rsid w:val="00807BF4"/>
    <w:rsid w:val="00810BB1"/>
    <w:rsid w:val="008122A1"/>
    <w:rsid w:val="00813D2E"/>
    <w:rsid w:val="00815100"/>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25F6"/>
    <w:rsid w:val="008A2AA4"/>
    <w:rsid w:val="008A2FC0"/>
    <w:rsid w:val="008A3551"/>
    <w:rsid w:val="008A453E"/>
    <w:rsid w:val="008A6931"/>
    <w:rsid w:val="008A766D"/>
    <w:rsid w:val="008A7D27"/>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A88"/>
    <w:rsid w:val="00981346"/>
    <w:rsid w:val="00983F01"/>
    <w:rsid w:val="00986693"/>
    <w:rsid w:val="0098689C"/>
    <w:rsid w:val="0098690A"/>
    <w:rsid w:val="00987661"/>
    <w:rsid w:val="0098798D"/>
    <w:rsid w:val="009920AA"/>
    <w:rsid w:val="0099624E"/>
    <w:rsid w:val="009A0259"/>
    <w:rsid w:val="009A104D"/>
    <w:rsid w:val="009A2E2C"/>
    <w:rsid w:val="009A5A02"/>
    <w:rsid w:val="009A5E06"/>
    <w:rsid w:val="009B1C5D"/>
    <w:rsid w:val="009B2742"/>
    <w:rsid w:val="009C00A8"/>
    <w:rsid w:val="009C08F3"/>
    <w:rsid w:val="009C0E4C"/>
    <w:rsid w:val="009C30FC"/>
    <w:rsid w:val="009C349B"/>
    <w:rsid w:val="009C3C3B"/>
    <w:rsid w:val="009D0916"/>
    <w:rsid w:val="009D1DB5"/>
    <w:rsid w:val="009D1EFD"/>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30B7"/>
    <w:rsid w:val="00A23594"/>
    <w:rsid w:val="00A23F48"/>
    <w:rsid w:val="00A301D7"/>
    <w:rsid w:val="00A302FE"/>
    <w:rsid w:val="00A3242E"/>
    <w:rsid w:val="00A326F9"/>
    <w:rsid w:val="00A32A2A"/>
    <w:rsid w:val="00A37647"/>
    <w:rsid w:val="00A41680"/>
    <w:rsid w:val="00A46F15"/>
    <w:rsid w:val="00A524ED"/>
    <w:rsid w:val="00A5288E"/>
    <w:rsid w:val="00A52CB3"/>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22B6"/>
    <w:rsid w:val="00AC24A8"/>
    <w:rsid w:val="00AC2CB9"/>
    <w:rsid w:val="00AC77F9"/>
    <w:rsid w:val="00AD09F5"/>
    <w:rsid w:val="00AD0A3F"/>
    <w:rsid w:val="00AD2CA4"/>
    <w:rsid w:val="00AD52F5"/>
    <w:rsid w:val="00AD64FF"/>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52756"/>
    <w:rsid w:val="00B52C47"/>
    <w:rsid w:val="00B538B4"/>
    <w:rsid w:val="00B53CF0"/>
    <w:rsid w:val="00B5400A"/>
    <w:rsid w:val="00B55DE6"/>
    <w:rsid w:val="00B5725D"/>
    <w:rsid w:val="00B60471"/>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3017"/>
    <w:rsid w:val="00BC525C"/>
    <w:rsid w:val="00BD1804"/>
    <w:rsid w:val="00BD57F8"/>
    <w:rsid w:val="00BD5D3F"/>
    <w:rsid w:val="00BD5F1E"/>
    <w:rsid w:val="00BD6C2C"/>
    <w:rsid w:val="00BD74BF"/>
    <w:rsid w:val="00BE01D3"/>
    <w:rsid w:val="00BE08ED"/>
    <w:rsid w:val="00BE13DB"/>
    <w:rsid w:val="00BE305C"/>
    <w:rsid w:val="00BE3801"/>
    <w:rsid w:val="00BE43F7"/>
    <w:rsid w:val="00BE4434"/>
    <w:rsid w:val="00BF27CC"/>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C99"/>
    <w:rsid w:val="00C606DE"/>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B0BB5"/>
    <w:rsid w:val="00CB0CB7"/>
    <w:rsid w:val="00CB1818"/>
    <w:rsid w:val="00CC2D2B"/>
    <w:rsid w:val="00CC3E8B"/>
    <w:rsid w:val="00CC6F08"/>
    <w:rsid w:val="00CD0D15"/>
    <w:rsid w:val="00CD17B6"/>
    <w:rsid w:val="00CD20BF"/>
    <w:rsid w:val="00CD4547"/>
    <w:rsid w:val="00CD55BC"/>
    <w:rsid w:val="00CD7A84"/>
    <w:rsid w:val="00CE245D"/>
    <w:rsid w:val="00CE291E"/>
    <w:rsid w:val="00CF3579"/>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2D29"/>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408F"/>
    <w:rsid w:val="00D944BB"/>
    <w:rsid w:val="00D96391"/>
    <w:rsid w:val="00DA00AE"/>
    <w:rsid w:val="00DA7EEC"/>
    <w:rsid w:val="00DB0F1F"/>
    <w:rsid w:val="00DB207F"/>
    <w:rsid w:val="00DB51F9"/>
    <w:rsid w:val="00DB5656"/>
    <w:rsid w:val="00DC1381"/>
    <w:rsid w:val="00DC17F6"/>
    <w:rsid w:val="00DC1BCC"/>
    <w:rsid w:val="00DC3DF6"/>
    <w:rsid w:val="00DC43C7"/>
    <w:rsid w:val="00DC4F31"/>
    <w:rsid w:val="00DC61CF"/>
    <w:rsid w:val="00DC63DB"/>
    <w:rsid w:val="00DD04F8"/>
    <w:rsid w:val="00DD1C05"/>
    <w:rsid w:val="00DD4259"/>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64C6"/>
    <w:rsid w:val="00E36EB7"/>
    <w:rsid w:val="00E3743C"/>
    <w:rsid w:val="00E37E10"/>
    <w:rsid w:val="00E4043D"/>
    <w:rsid w:val="00E40C42"/>
    <w:rsid w:val="00E43EFE"/>
    <w:rsid w:val="00E44D2A"/>
    <w:rsid w:val="00E461C4"/>
    <w:rsid w:val="00E476F0"/>
    <w:rsid w:val="00E52363"/>
    <w:rsid w:val="00E53401"/>
    <w:rsid w:val="00E53B58"/>
    <w:rsid w:val="00E54B08"/>
    <w:rsid w:val="00E54EBB"/>
    <w:rsid w:val="00E63F30"/>
    <w:rsid w:val="00E67EE9"/>
    <w:rsid w:val="00E73DD7"/>
    <w:rsid w:val="00E756B5"/>
    <w:rsid w:val="00E76B98"/>
    <w:rsid w:val="00E776ED"/>
    <w:rsid w:val="00E80868"/>
    <w:rsid w:val="00E822CA"/>
    <w:rsid w:val="00E83886"/>
    <w:rsid w:val="00E83CBF"/>
    <w:rsid w:val="00E84EAD"/>
    <w:rsid w:val="00E85F0A"/>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F005F0"/>
    <w:rsid w:val="00F007B3"/>
    <w:rsid w:val="00F01D7B"/>
    <w:rsid w:val="00F051CA"/>
    <w:rsid w:val="00F125C6"/>
    <w:rsid w:val="00F141BF"/>
    <w:rsid w:val="00F14E0A"/>
    <w:rsid w:val="00F158A2"/>
    <w:rsid w:val="00F22090"/>
    <w:rsid w:val="00F226C2"/>
    <w:rsid w:val="00F246DD"/>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40E6"/>
    <w:rsid w:val="00F676C2"/>
    <w:rsid w:val="00F706C6"/>
    <w:rsid w:val="00F710FC"/>
    <w:rsid w:val="00F73392"/>
    <w:rsid w:val="00F73F43"/>
    <w:rsid w:val="00F74CC4"/>
    <w:rsid w:val="00F765E6"/>
    <w:rsid w:val="00F7772D"/>
    <w:rsid w:val="00F828FC"/>
    <w:rsid w:val="00F82F72"/>
    <w:rsid w:val="00F84B41"/>
    <w:rsid w:val="00F85B00"/>
    <w:rsid w:val="00F85CF7"/>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27"/>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27"/>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27"/>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27"/>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DF0C7F"/>
    <w:pPr>
      <w:keepNext/>
      <w:keepLines/>
      <w:spacing w:before="40" w:after="0"/>
      <w:outlineLvl w:val="4"/>
    </w:pPr>
    <w:rPr>
      <w:rFonts w:asciiTheme="minorHAnsi" w:eastAsia="Times New Roman" w:hAnsiTheme="minorHAnsi" w:cstheme="minorBidi"/>
      <w:color w:val="243F60"/>
    </w:rPr>
  </w:style>
  <w:style w:type="paragraph" w:styleId="Heading6">
    <w:name w:val="heading 6"/>
    <w:basedOn w:val="Normal"/>
    <w:next w:val="Normal"/>
    <w:link w:val="Heading6Char"/>
    <w:uiPriority w:val="9"/>
    <w:semiHidden/>
    <w:unhideWhenUsed/>
    <w:qFormat/>
    <w:rsid w:val="00DF0C7F"/>
    <w:pPr>
      <w:keepNext/>
      <w:keepLines/>
      <w:spacing w:before="40" w:after="0"/>
      <w:outlineLvl w:val="5"/>
    </w:pPr>
    <w:rPr>
      <w:rFonts w:asciiTheme="minorHAnsi" w:eastAsia="Times New Roman" w:hAnsiTheme="minorHAnsi" w:cstheme="minorBidi"/>
      <w:i/>
      <w:iCs/>
      <w:color w:val="243F60"/>
    </w:rPr>
  </w:style>
  <w:style w:type="paragraph" w:styleId="Heading7">
    <w:name w:val="heading 7"/>
    <w:basedOn w:val="Normal"/>
    <w:next w:val="Normal"/>
    <w:link w:val="Heading7Char"/>
    <w:uiPriority w:val="9"/>
    <w:semiHidden/>
    <w:unhideWhenUsed/>
    <w:qFormat/>
    <w:rsid w:val="00DF0C7F"/>
    <w:pPr>
      <w:keepNext/>
      <w:keepLines/>
      <w:spacing w:before="40" w:after="0"/>
      <w:outlineLvl w:val="6"/>
    </w:pPr>
    <w:rPr>
      <w:rFonts w:asciiTheme="minorHAnsi" w:eastAsia="Times New Roman" w:hAnsiTheme="minorHAnsi" w:cstheme="minorBidi"/>
      <w:i/>
      <w:iCs/>
      <w:color w:val="404040"/>
    </w:rPr>
  </w:style>
  <w:style w:type="paragraph" w:styleId="Heading8">
    <w:name w:val="heading 8"/>
    <w:basedOn w:val="Normal"/>
    <w:next w:val="Normal"/>
    <w:link w:val="Heading8Char"/>
    <w:uiPriority w:val="9"/>
    <w:semiHidden/>
    <w:unhideWhenUsed/>
    <w:qFormat/>
    <w:rsid w:val="00DF0C7F"/>
    <w:pPr>
      <w:keepNext/>
      <w:keepLines/>
      <w:spacing w:before="40" w:after="0"/>
      <w:outlineLvl w:val="7"/>
    </w:pPr>
    <w:rPr>
      <w:rFonts w:asciiTheme="minorHAnsi" w:eastAsia="Times New Roman" w:hAnsiTheme="minorHAnsi" w:cstheme="minorBidi"/>
      <w:color w:val="404040"/>
      <w:sz w:val="20"/>
      <w:szCs w:val="20"/>
    </w:rPr>
  </w:style>
  <w:style w:type="paragraph" w:styleId="Heading9">
    <w:name w:val="heading 9"/>
    <w:basedOn w:val="Normal"/>
    <w:next w:val="Normal"/>
    <w:link w:val="Heading9Char"/>
    <w:uiPriority w:val="9"/>
    <w:semiHidden/>
    <w:unhideWhenUsed/>
    <w:qFormat/>
    <w:rsid w:val="00DF0C7F"/>
    <w:pPr>
      <w:keepNext/>
      <w:keepLines/>
      <w:spacing w:before="40" w:after="0"/>
      <w:outlineLvl w:val="8"/>
    </w:pPr>
    <w:rPr>
      <w:rFonts w:asciiTheme="minorHAnsi" w:eastAsia="Times New Roman" w:hAnsiTheme="minorHAnsi" w:cstheme="min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3886"/>
    <w:rPr>
      <w:color w:val="0000FF"/>
      <w:u w:val="single"/>
    </w:rPr>
  </w:style>
  <w:style w:type="character" w:styleId="CommentReference">
    <w:name w:val="annotation reference"/>
    <w:basedOn w:val="DefaultParagraphFont"/>
    <w:uiPriority w:val="99"/>
    <w:semiHidden/>
    <w:unhideWhenUsed/>
    <w:rsid w:val="00876620"/>
    <w:rPr>
      <w:sz w:val="16"/>
      <w:szCs w:val="16"/>
    </w:rPr>
  </w:style>
  <w:style w:type="paragraph" w:styleId="CommentText">
    <w:name w:val="annotation text"/>
    <w:basedOn w:val="Normal"/>
    <w:link w:val="CommentTextChar"/>
    <w:uiPriority w:val="99"/>
    <w:unhideWhenUsed/>
    <w:rsid w:val="00876620"/>
    <w:rPr>
      <w:sz w:val="20"/>
      <w:szCs w:val="20"/>
    </w:rPr>
  </w:style>
  <w:style w:type="character" w:customStyle="1" w:styleId="CommentTextChar">
    <w:name w:val="Comment Text Char"/>
    <w:basedOn w:val="DefaultParagraphFont"/>
    <w:link w:val="CommentText"/>
    <w:uiPriority w:val="99"/>
    <w:rsid w:val="0087662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76620"/>
    <w:rPr>
      <w:b/>
      <w:bCs/>
    </w:rPr>
  </w:style>
  <w:style w:type="character" w:customStyle="1" w:styleId="CommentSubjectChar">
    <w:name w:val="Comment Subject Char"/>
    <w:basedOn w:val="CommentTextChar"/>
    <w:link w:val="CommentSubject"/>
    <w:uiPriority w:val="99"/>
    <w:semiHidden/>
    <w:rsid w:val="00876620"/>
    <w:rPr>
      <w:rFonts w:ascii="Arial" w:hAnsi="Arial" w:cs="Arial"/>
      <w:b/>
      <w:bCs/>
      <w:sz w:val="20"/>
      <w:szCs w:val="20"/>
    </w:rPr>
  </w:style>
  <w:style w:type="paragraph" w:styleId="BalloonText">
    <w:name w:val="Balloon Text"/>
    <w:basedOn w:val="Normal"/>
    <w:link w:val="BalloonTextChar"/>
    <w:uiPriority w:val="99"/>
    <w:semiHidden/>
    <w:unhideWhenUsed/>
    <w:rsid w:val="001E09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4B"/>
    <w:rPr>
      <w:rFonts w:ascii="Segoe UI" w:hAnsi="Segoe UI" w:cs="Segoe UI"/>
      <w:sz w:val="18"/>
      <w:szCs w:val="18"/>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leGrid">
    <w:name w:val="Table Grid"/>
    <w:basedOn w:val="TableNorma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NoList"/>
    <w:uiPriority w:val="99"/>
    <w:semiHidden/>
    <w:unhideWhenUsed/>
    <w:rsid w:val="00DF0C7F"/>
  </w:style>
  <w:style w:type="paragraph" w:styleId="ListParagraph">
    <w:name w:val="List Paragraph"/>
    <w:basedOn w:val="Normal"/>
    <w:uiPriority w:val="34"/>
    <w:qFormat/>
    <w:rsid w:val="00DF0C7F"/>
    <w:pPr>
      <w:spacing w:before="0" w:after="0" w:line="360" w:lineRule="auto"/>
      <w:ind w:left="720"/>
      <w:contextualSpacing/>
      <w:jc w:val="left"/>
    </w:pPr>
    <w:rPr>
      <w:rFonts w:cs="Times New Roman"/>
    </w:rPr>
  </w:style>
  <w:style w:type="numbering" w:customStyle="1" w:styleId="ListeBMJalphanumerisch">
    <w:name w:val="Liste_BMJ_alphanumerisch"/>
    <w:uiPriority w:val="99"/>
    <w:rsid w:val="00DF0C7F"/>
    <w:pPr>
      <w:numPr>
        <w:numId w:val="8"/>
      </w:numPr>
    </w:pPr>
  </w:style>
  <w:style w:type="character" w:customStyle="1" w:styleId="Heading5Char">
    <w:name w:val="Heading 5 Char"/>
    <w:basedOn w:val="DefaultParagraphFont"/>
    <w:link w:val="Heading5"/>
    <w:uiPriority w:val="9"/>
    <w:semiHidden/>
    <w:rsid w:val="00DF0C7F"/>
    <w:rPr>
      <w:rFonts w:eastAsia="Times New Roman"/>
      <w:color w:val="243F60"/>
    </w:rPr>
  </w:style>
  <w:style w:type="character" w:customStyle="1" w:styleId="Heading6Char">
    <w:name w:val="Heading 6 Char"/>
    <w:basedOn w:val="DefaultParagraphFont"/>
    <w:link w:val="Heading6"/>
    <w:uiPriority w:val="9"/>
    <w:semiHidden/>
    <w:rsid w:val="00DF0C7F"/>
    <w:rPr>
      <w:rFonts w:eastAsia="Times New Roman"/>
      <w:i/>
      <w:iCs/>
      <w:color w:val="243F60"/>
    </w:rPr>
  </w:style>
  <w:style w:type="character" w:customStyle="1" w:styleId="Heading7Char">
    <w:name w:val="Heading 7 Char"/>
    <w:basedOn w:val="DefaultParagraphFont"/>
    <w:link w:val="Heading7"/>
    <w:uiPriority w:val="9"/>
    <w:semiHidden/>
    <w:rsid w:val="00DF0C7F"/>
    <w:rPr>
      <w:rFonts w:eastAsia="Times New Roman"/>
      <w:i/>
      <w:iCs/>
      <w:color w:val="404040"/>
    </w:rPr>
  </w:style>
  <w:style w:type="character" w:customStyle="1" w:styleId="Heading8Char">
    <w:name w:val="Heading 8 Char"/>
    <w:basedOn w:val="DefaultParagraphFont"/>
    <w:link w:val="Heading8"/>
    <w:uiPriority w:val="9"/>
    <w:semiHidden/>
    <w:rsid w:val="00DF0C7F"/>
    <w:rPr>
      <w:rFonts w:eastAsia="Times New Roman"/>
      <w:color w:val="404040"/>
      <w:sz w:val="20"/>
      <w:szCs w:val="20"/>
    </w:rPr>
  </w:style>
  <w:style w:type="character" w:customStyle="1" w:styleId="Heading9Char">
    <w:name w:val="Heading 9 Char"/>
    <w:basedOn w:val="DefaultParagraphFont"/>
    <w:link w:val="Heading9"/>
    <w:uiPriority w:val="9"/>
    <w:semiHidden/>
    <w:rsid w:val="00DF0C7F"/>
    <w:rPr>
      <w:rFonts w:eastAsia="Times New Roman"/>
      <w:i/>
      <w:iCs/>
      <w:color w:val="404040"/>
      <w:sz w:val="20"/>
      <w:szCs w:val="20"/>
    </w:r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TableNormal"/>
    <w:next w:val="TableGrid"/>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styleId="NoSpacing">
    <w:name w:val="No Spacing"/>
    <w:uiPriority w:val="9"/>
    <w:qFormat/>
    <w:rsid w:val="00DF0C7F"/>
    <w:pPr>
      <w:spacing w:after="0" w:line="240" w:lineRule="auto"/>
    </w:pPr>
    <w:rPr>
      <w:rFonts w:ascii="Arial" w:hAnsi="Arial" w:cs="Times New Roman"/>
    </w:rPr>
  </w:style>
  <w:style w:type="paragraph" w:customStyle="1" w:styleId="Inhaltsverzeichnisberschrift1">
    <w:name w:val="Inhaltsverzeichnisüberschrift1"/>
    <w:basedOn w:val="Heading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DefaultParagraphFon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DefaultParagraphFont"/>
    <w:uiPriority w:val="9"/>
    <w:semiHidden/>
    <w:rsid w:val="00DF0C7F"/>
    <w:rPr>
      <w:rFonts w:ascii="Arial" w:eastAsia="Times New Roman" w:hAnsi="Arial" w:cs="Times New Roman"/>
      <w:color w:val="243F60"/>
    </w:rPr>
  </w:style>
  <w:style w:type="character" w:customStyle="1" w:styleId="berschrift6Zchn1">
    <w:name w:val="Überschrift 6 Zchn1"/>
    <w:basedOn w:val="DefaultParagraphFont"/>
    <w:uiPriority w:val="9"/>
    <w:semiHidden/>
    <w:rsid w:val="00DF0C7F"/>
    <w:rPr>
      <w:rFonts w:ascii="Arial" w:eastAsia="Times New Roman" w:hAnsi="Arial" w:cs="Times New Roman"/>
      <w:i/>
      <w:iCs/>
      <w:color w:val="243F60"/>
    </w:rPr>
  </w:style>
  <w:style w:type="character" w:customStyle="1" w:styleId="berschrift7Zchn1">
    <w:name w:val="Überschrift 7 Zchn1"/>
    <w:basedOn w:val="DefaultParagraphFont"/>
    <w:uiPriority w:val="9"/>
    <w:semiHidden/>
    <w:rsid w:val="00DF0C7F"/>
    <w:rPr>
      <w:rFonts w:ascii="Arial" w:eastAsia="Times New Roman" w:hAnsi="Arial" w:cs="Times New Roman"/>
      <w:i/>
      <w:iCs/>
      <w:color w:val="404040"/>
    </w:rPr>
  </w:style>
  <w:style w:type="character" w:customStyle="1" w:styleId="berschrift8Zchn1">
    <w:name w:val="Überschrift 8 Zchn1"/>
    <w:basedOn w:val="DefaultParagraphFon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DefaultParagraphFon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character" w:customStyle="1" w:styleId="TitleChar">
    <w:name w:val="Title Char"/>
    <w:basedOn w:val="DefaultParagraphFont"/>
    <w:link w:val="Title"/>
    <w:uiPriority w:val="10"/>
    <w:rsid w:val="00DF0C7F"/>
    <w:rPr>
      <w:rFonts w:eastAsia="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customStyle="1" w:styleId="SubtitleChar">
    <w:name w:val="Subtitle Char"/>
    <w:basedOn w:val="DefaultParagraphFont"/>
    <w:link w:val="Subtitle"/>
    <w:uiPriority w:val="11"/>
    <w:rsid w:val="00DF0C7F"/>
    <w:rPr>
      <w:rFonts w:eastAsia="Times New Roman"/>
      <w:i/>
      <w:iCs/>
      <w:color w:val="4F81BD"/>
      <w:spacing w:val="15"/>
      <w:sz w:val="24"/>
      <w:szCs w:val="24"/>
    </w:rPr>
  </w:style>
  <w:style w:type="character" w:styleId="Strong">
    <w:name w:val="Strong"/>
    <w:basedOn w:val="DefaultParagraphFont"/>
    <w:uiPriority w:val="22"/>
    <w:qFormat/>
    <w:rsid w:val="00DF0C7F"/>
    <w:rPr>
      <w:b/>
      <w:bCs/>
    </w:rPr>
  </w:style>
  <w:style w:type="character" w:styleId="Emphasis">
    <w:name w:val="Emphasis"/>
    <w:basedOn w:val="DefaultParagraphFon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character" w:customStyle="1" w:styleId="QuoteChar">
    <w:name w:val="Quote Char"/>
    <w:basedOn w:val="DefaultParagraphFont"/>
    <w:link w:val="Quote"/>
    <w:uiPriority w:val="29"/>
    <w:rsid w:val="00DF0C7F"/>
    <w:rPr>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IntenseQuoteChar">
    <w:name w:val="Intense Quote Char"/>
    <w:basedOn w:val="DefaultParagraphFont"/>
    <w:link w:val="IntenseQuote"/>
    <w:uiPriority w:val="30"/>
    <w:rsid w:val="00DF0C7F"/>
    <w:rPr>
      <w:b/>
      <w:bCs/>
      <w:i/>
      <w:iCs/>
      <w:color w:val="4F81BD"/>
    </w:rPr>
  </w:style>
  <w:style w:type="character" w:customStyle="1" w:styleId="SchwacheHervorhebung1">
    <w:name w:val="Schwache Hervorhebung1"/>
    <w:basedOn w:val="DefaultParagraphFont"/>
    <w:uiPriority w:val="19"/>
    <w:qFormat/>
    <w:rsid w:val="00DF0C7F"/>
    <w:rPr>
      <w:i/>
      <w:iCs/>
      <w:color w:val="808080"/>
    </w:rPr>
  </w:style>
  <w:style w:type="character" w:customStyle="1" w:styleId="IntensiveHervorhebung1">
    <w:name w:val="Intensive Hervorhebung1"/>
    <w:basedOn w:val="DefaultParagraphFont"/>
    <w:uiPriority w:val="21"/>
    <w:qFormat/>
    <w:rsid w:val="00DF0C7F"/>
    <w:rPr>
      <w:b/>
      <w:bCs/>
      <w:i/>
      <w:iCs/>
      <w:color w:val="4F81BD"/>
    </w:rPr>
  </w:style>
  <w:style w:type="character" w:customStyle="1" w:styleId="SchwacherVerweis1">
    <w:name w:val="Schwacher Verweis1"/>
    <w:basedOn w:val="DefaultParagraphFont"/>
    <w:uiPriority w:val="31"/>
    <w:qFormat/>
    <w:rsid w:val="00DF0C7F"/>
    <w:rPr>
      <w:smallCaps/>
      <w:color w:val="C0504D"/>
      <w:u w:val="single"/>
    </w:rPr>
  </w:style>
  <w:style w:type="character" w:customStyle="1" w:styleId="IntensiverVerweis1">
    <w:name w:val="Intensiver Verweis1"/>
    <w:basedOn w:val="DefaultParagraphFont"/>
    <w:uiPriority w:val="32"/>
    <w:qFormat/>
    <w:rsid w:val="00DF0C7F"/>
    <w:rPr>
      <w:b/>
      <w:bCs/>
      <w:smallCaps/>
      <w:color w:val="C0504D"/>
      <w:spacing w:val="5"/>
      <w:u w:val="single"/>
    </w:rPr>
  </w:style>
  <w:style w:type="character" w:styleId="BookTitle">
    <w:name w:val="Book Title"/>
    <w:basedOn w:val="DefaultParagraphFont"/>
    <w:uiPriority w:val="33"/>
    <w:qFormat/>
    <w:rsid w:val="00DF0C7F"/>
    <w:rPr>
      <w:b/>
      <w:bCs/>
      <w:smallCaps/>
      <w:spacing w:val="5"/>
    </w:rPr>
  </w:style>
  <w:style w:type="paragraph" w:styleId="BodyText">
    <w:name w:val="Body Text"/>
    <w:basedOn w:val="Normal"/>
    <w:link w:val="BodyTextChar"/>
    <w:uiPriority w:val="99"/>
    <w:semiHidden/>
    <w:unhideWhenUsed/>
    <w:rsid w:val="00DF0C7F"/>
    <w:pPr>
      <w:spacing w:before="0" w:line="360" w:lineRule="auto"/>
      <w:jc w:val="left"/>
    </w:pPr>
    <w:rPr>
      <w:rFonts w:cs="Times New Roman"/>
    </w:rPr>
  </w:style>
  <w:style w:type="character" w:customStyle="1" w:styleId="BodyTextChar">
    <w:name w:val="Body Text Char"/>
    <w:basedOn w:val="DefaultParagraphFont"/>
    <w:link w:val="BodyText"/>
    <w:uiPriority w:val="99"/>
    <w:semiHidden/>
    <w:rsid w:val="00DF0C7F"/>
    <w:rPr>
      <w:rFonts w:ascii="Arial" w:hAnsi="Arial" w:cs="Times New Roman"/>
    </w:rPr>
  </w:style>
  <w:style w:type="character" w:customStyle="1" w:styleId="berschrift5Zchn2">
    <w:name w:val="Überschrift 5 Zchn2"/>
    <w:basedOn w:val="DefaultParagraphFon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DefaultParagraphFon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DefaultParagraphFon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DefaultParagraphFon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DefaultParagraphFont"/>
    <w:uiPriority w:val="9"/>
    <w:semiHidden/>
    <w:rsid w:val="00DF0C7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F0C7F"/>
    <w:pPr>
      <w:spacing w:before="0" w:after="0"/>
      <w:contextualSpacing/>
    </w:pPr>
    <w:rPr>
      <w:rFonts w:asciiTheme="minorHAnsi" w:eastAsia="Times New Roman" w:hAnsiTheme="minorHAnsi" w:cstheme="minorBidi"/>
      <w:color w:val="17365D"/>
      <w:spacing w:val="5"/>
      <w:kern w:val="28"/>
      <w:sz w:val="52"/>
      <w:szCs w:val="52"/>
    </w:rPr>
  </w:style>
  <w:style w:type="character" w:customStyle="1" w:styleId="TitelZchn1">
    <w:name w:val="Titel Zchn1"/>
    <w:basedOn w:val="DefaultParagraphFont"/>
    <w:uiPriority w:val="10"/>
    <w:rsid w:val="00DF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C7F"/>
    <w:pPr>
      <w:numPr>
        <w:ilvl w:val="1"/>
      </w:numPr>
      <w:spacing w:after="160"/>
    </w:pPr>
    <w:rPr>
      <w:rFonts w:asciiTheme="minorHAnsi" w:eastAsia="Times New Roman" w:hAnsiTheme="minorHAnsi" w:cstheme="minorBidi"/>
      <w:i/>
      <w:iCs/>
      <w:color w:val="4F81BD"/>
      <w:spacing w:val="15"/>
      <w:sz w:val="24"/>
      <w:szCs w:val="24"/>
    </w:rPr>
  </w:style>
  <w:style w:type="character" w:customStyle="1" w:styleId="UntertitelZchn1">
    <w:name w:val="Untertitel Zchn1"/>
    <w:basedOn w:val="DefaultParagraphFont"/>
    <w:uiPriority w:val="11"/>
    <w:rsid w:val="00DF0C7F"/>
    <w:rPr>
      <w:rFonts w:eastAsiaTheme="minorEastAsia"/>
      <w:color w:val="5A5A5A" w:themeColor="text1" w:themeTint="A5"/>
      <w:spacing w:val="15"/>
    </w:rPr>
  </w:style>
  <w:style w:type="paragraph" w:styleId="Quote">
    <w:name w:val="Quote"/>
    <w:basedOn w:val="Normal"/>
    <w:next w:val="Normal"/>
    <w:link w:val="QuoteChar"/>
    <w:uiPriority w:val="29"/>
    <w:qFormat/>
    <w:rsid w:val="00DF0C7F"/>
    <w:pPr>
      <w:spacing w:before="200" w:after="160"/>
      <w:ind w:left="864" w:right="864"/>
      <w:jc w:val="center"/>
    </w:pPr>
    <w:rPr>
      <w:rFonts w:asciiTheme="minorHAnsi" w:hAnsiTheme="minorHAnsi" w:cstheme="minorBidi"/>
      <w:i/>
      <w:iCs/>
      <w:color w:val="000000"/>
    </w:rPr>
  </w:style>
  <w:style w:type="character" w:customStyle="1" w:styleId="ZitatZchn1">
    <w:name w:val="Zitat Zchn1"/>
    <w:basedOn w:val="DefaultParagraphFont"/>
    <w:uiPriority w:val="29"/>
    <w:rsid w:val="00DF0C7F"/>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DF0C7F"/>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b/>
      <w:bCs/>
      <w:i/>
      <w:iCs/>
      <w:color w:val="4F81BD"/>
    </w:rPr>
  </w:style>
  <w:style w:type="character" w:customStyle="1" w:styleId="IntensivesZitatZchn1">
    <w:name w:val="Intensives Zitat Zchn1"/>
    <w:basedOn w:val="DefaultParagraphFont"/>
    <w:uiPriority w:val="30"/>
    <w:rsid w:val="00DF0C7F"/>
    <w:rPr>
      <w:rFonts w:ascii="Arial" w:hAnsi="Arial" w:cs="Arial"/>
      <w:i/>
      <w:iCs/>
      <w:color w:val="4F81BD" w:themeColor="accent1"/>
    </w:rPr>
  </w:style>
  <w:style w:type="character" w:styleId="SubtleEmphasis">
    <w:name w:val="Subtle Emphasis"/>
    <w:basedOn w:val="DefaultParagraphFont"/>
    <w:uiPriority w:val="19"/>
    <w:qFormat/>
    <w:rsid w:val="00DF0C7F"/>
    <w:rPr>
      <w:i/>
      <w:iCs/>
      <w:color w:val="404040" w:themeColor="text1" w:themeTint="BF"/>
    </w:rPr>
  </w:style>
  <w:style w:type="character" w:styleId="IntenseEmphasis">
    <w:name w:val="Intense Emphasis"/>
    <w:basedOn w:val="DefaultParagraphFont"/>
    <w:uiPriority w:val="21"/>
    <w:qFormat/>
    <w:rsid w:val="00DF0C7F"/>
    <w:rPr>
      <w:i/>
      <w:iCs/>
      <w:color w:val="4F81BD" w:themeColor="accent1"/>
    </w:rPr>
  </w:style>
  <w:style w:type="character" w:styleId="SubtleReference">
    <w:name w:val="Subtle Reference"/>
    <w:basedOn w:val="DefaultParagraphFont"/>
    <w:uiPriority w:val="31"/>
    <w:qFormat/>
    <w:rsid w:val="00DF0C7F"/>
    <w:rPr>
      <w:smallCaps/>
      <w:color w:val="5A5A5A" w:themeColor="text1" w:themeTint="A5"/>
    </w:rPr>
  </w:style>
  <w:style w:type="character" w:styleId="IntenseReference">
    <w:name w:val="Intense Reference"/>
    <w:basedOn w:val="DefaultParagraphFont"/>
    <w:uiPriority w:val="32"/>
    <w:qFormat/>
    <w:rsid w:val="00DF0C7F"/>
    <w:rPr>
      <w:b/>
      <w:bCs/>
      <w:smallCaps/>
      <w:color w:val="4F81BD" w:themeColor="accent1"/>
      <w:spacing w:val="5"/>
    </w:rPr>
  </w:style>
  <w:style w:type="table" w:customStyle="1" w:styleId="Tabellenraster4">
    <w:name w:val="Tabellenraster4"/>
    <w:basedOn w:val="TableNormal"/>
    <w:next w:val="TableGrid"/>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791D"/>
    <w:rPr>
      <w:color w:val="800080" w:themeColor="followedHyperlink"/>
      <w:u w:val="single"/>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23"/>
      </w:numPr>
      <w:spacing w:before="60" w:after="60"/>
    </w:pPr>
    <w:rPr>
      <w:sz w:val="18"/>
    </w:rPr>
  </w:style>
  <w:style w:type="paragraph" w:customStyle="1" w:styleId="TabelleListe">
    <w:name w:val="Tabelle Liste"/>
    <w:basedOn w:val="Normal"/>
    <w:rsid w:val="00A147E3"/>
    <w:pPr>
      <w:numPr>
        <w:numId w:val="24"/>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22"/>
      </w:numPr>
      <w:tabs>
        <w:tab w:val="left" w:pos="0"/>
      </w:tabs>
    </w:pPr>
  </w:style>
  <w:style w:type="paragraph" w:customStyle="1" w:styleId="ListeFolgeabsatzStufe1">
    <w:name w:val="Liste Folgeabsatz (Stufe 1)"/>
    <w:basedOn w:val="Normal"/>
    <w:rsid w:val="00A147E3"/>
    <w:pPr>
      <w:numPr>
        <w:ilvl w:val="1"/>
        <w:numId w:val="22"/>
      </w:numPr>
    </w:pPr>
  </w:style>
  <w:style w:type="paragraph" w:customStyle="1" w:styleId="ListeStufe2">
    <w:name w:val="Liste (Stufe 2)"/>
    <w:basedOn w:val="Normal"/>
    <w:rsid w:val="00A147E3"/>
    <w:pPr>
      <w:numPr>
        <w:ilvl w:val="2"/>
        <w:numId w:val="22"/>
      </w:numPr>
    </w:pPr>
  </w:style>
  <w:style w:type="paragraph" w:customStyle="1" w:styleId="ListeFolgeabsatzStufe2">
    <w:name w:val="Liste Folgeabsatz (Stufe 2)"/>
    <w:basedOn w:val="Normal"/>
    <w:rsid w:val="00A147E3"/>
    <w:pPr>
      <w:numPr>
        <w:ilvl w:val="3"/>
        <w:numId w:val="22"/>
      </w:numPr>
    </w:pPr>
  </w:style>
  <w:style w:type="paragraph" w:customStyle="1" w:styleId="ListeStufe3">
    <w:name w:val="Liste (Stufe 3)"/>
    <w:basedOn w:val="Normal"/>
    <w:rsid w:val="00A147E3"/>
    <w:pPr>
      <w:numPr>
        <w:ilvl w:val="4"/>
        <w:numId w:val="22"/>
      </w:numPr>
    </w:pPr>
  </w:style>
  <w:style w:type="paragraph" w:customStyle="1" w:styleId="ListeFolgeabsatzStufe3">
    <w:name w:val="Liste Folgeabsatz (Stufe 3)"/>
    <w:basedOn w:val="Normal"/>
    <w:rsid w:val="00A147E3"/>
    <w:pPr>
      <w:numPr>
        <w:ilvl w:val="5"/>
        <w:numId w:val="22"/>
      </w:numPr>
    </w:pPr>
  </w:style>
  <w:style w:type="paragraph" w:customStyle="1" w:styleId="ListeStufe4">
    <w:name w:val="Liste (Stufe 4)"/>
    <w:basedOn w:val="Normal"/>
    <w:rsid w:val="00A147E3"/>
    <w:pPr>
      <w:numPr>
        <w:ilvl w:val="6"/>
        <w:numId w:val="22"/>
      </w:numPr>
    </w:pPr>
  </w:style>
  <w:style w:type="paragraph" w:customStyle="1" w:styleId="ListeFolgeabsatzStufe4">
    <w:name w:val="Liste Folgeabsatz (Stufe 4)"/>
    <w:basedOn w:val="Normal"/>
    <w:rsid w:val="00A147E3"/>
    <w:pPr>
      <w:numPr>
        <w:ilvl w:val="7"/>
        <w:numId w:val="22"/>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17"/>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8"/>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9"/>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20"/>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21"/>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37"/>
      </w:numPr>
    </w:pPr>
  </w:style>
  <w:style w:type="paragraph" w:customStyle="1" w:styleId="NummerierungStufe2">
    <w:name w:val="Nummerierung (Stufe 2)"/>
    <w:basedOn w:val="Normal"/>
    <w:rsid w:val="00A147E3"/>
    <w:pPr>
      <w:numPr>
        <w:ilvl w:val="4"/>
        <w:numId w:val="37"/>
      </w:numPr>
    </w:pPr>
  </w:style>
  <w:style w:type="paragraph" w:customStyle="1" w:styleId="NummerierungStufe3">
    <w:name w:val="Nummerierung (Stufe 3)"/>
    <w:basedOn w:val="Normal"/>
    <w:rsid w:val="00A147E3"/>
    <w:pPr>
      <w:numPr>
        <w:ilvl w:val="5"/>
        <w:numId w:val="37"/>
      </w:numPr>
    </w:pPr>
  </w:style>
  <w:style w:type="paragraph" w:customStyle="1" w:styleId="NummerierungStufe4">
    <w:name w:val="Nummerierung (Stufe 4)"/>
    <w:basedOn w:val="Normal"/>
    <w:rsid w:val="00A147E3"/>
    <w:pPr>
      <w:numPr>
        <w:ilvl w:val="6"/>
        <w:numId w:val="37"/>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25"/>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26"/>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8"/>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37"/>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37"/>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9"/>
      </w:numPr>
      <w:spacing w:before="480"/>
      <w:jc w:val="center"/>
    </w:pPr>
    <w:rPr>
      <w:b/>
      <w:sz w:val="26"/>
    </w:rPr>
  </w:style>
  <w:style w:type="paragraph" w:customStyle="1" w:styleId="Buchberschrift">
    <w:name w:val="Buch Überschrift"/>
    <w:basedOn w:val="Normal"/>
    <w:next w:val="ParagraphBezeichner"/>
    <w:rsid w:val="00A147E3"/>
    <w:pPr>
      <w:keepNext/>
      <w:numPr>
        <w:numId w:val="40"/>
      </w:numPr>
      <w:spacing w:after="240"/>
      <w:jc w:val="center"/>
    </w:pPr>
    <w:rPr>
      <w:b/>
      <w:sz w:val="26"/>
    </w:rPr>
  </w:style>
  <w:style w:type="paragraph" w:customStyle="1" w:styleId="TeilBezeichner">
    <w:name w:val="Teil Bezeichner"/>
    <w:basedOn w:val="Normal"/>
    <w:next w:val="Teilberschrift"/>
    <w:rsid w:val="00A147E3"/>
    <w:pPr>
      <w:keepNext/>
      <w:numPr>
        <w:ilvl w:val="1"/>
        <w:numId w:val="39"/>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40"/>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39"/>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40"/>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39"/>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40"/>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39"/>
      </w:numPr>
      <w:spacing w:before="480"/>
      <w:jc w:val="center"/>
    </w:pPr>
  </w:style>
  <w:style w:type="paragraph" w:customStyle="1" w:styleId="Unterabschnittberschrift">
    <w:name w:val="Unterabschnitt Überschrift"/>
    <w:basedOn w:val="Normal"/>
    <w:next w:val="ParagraphBezeichner"/>
    <w:rsid w:val="00A147E3"/>
    <w:pPr>
      <w:keepNext/>
      <w:numPr>
        <w:ilvl w:val="4"/>
        <w:numId w:val="40"/>
      </w:numPr>
      <w:spacing w:after="240"/>
      <w:jc w:val="center"/>
    </w:pPr>
  </w:style>
  <w:style w:type="paragraph" w:customStyle="1" w:styleId="TitelBezeichner">
    <w:name w:val="Titel Bezeichner"/>
    <w:basedOn w:val="Normal"/>
    <w:next w:val="Titelberschrift"/>
    <w:rsid w:val="00A147E3"/>
    <w:pPr>
      <w:keepNext/>
      <w:numPr>
        <w:ilvl w:val="5"/>
        <w:numId w:val="39"/>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40"/>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39"/>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40"/>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41"/>
      </w:numPr>
      <w:spacing w:before="360"/>
    </w:pPr>
    <w:rPr>
      <w:b/>
    </w:rPr>
  </w:style>
  <w:style w:type="paragraph" w:customStyle="1" w:styleId="berschriftarabischBegrndung">
    <w:name w:val="Überschrift arabisch (Begründung)"/>
    <w:basedOn w:val="Normal"/>
    <w:next w:val="Text"/>
    <w:rsid w:val="00A147E3"/>
    <w:pPr>
      <w:keepNext/>
      <w:numPr>
        <w:ilvl w:val="1"/>
        <w:numId w:val="41"/>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28"/>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8"/>
      </w:numPr>
    </w:pPr>
    <w:rPr>
      <w:color w:val="800000"/>
    </w:rPr>
  </w:style>
  <w:style w:type="paragraph" w:customStyle="1" w:styleId="RevisionNummerierungStufe2">
    <w:name w:val="Revision Nummerierung (Stufe 2)"/>
    <w:basedOn w:val="Normal"/>
    <w:rsid w:val="00A147E3"/>
    <w:pPr>
      <w:numPr>
        <w:ilvl w:val="4"/>
        <w:numId w:val="28"/>
      </w:numPr>
    </w:pPr>
    <w:rPr>
      <w:color w:val="800000"/>
    </w:rPr>
  </w:style>
  <w:style w:type="paragraph" w:customStyle="1" w:styleId="RevisionNummerierungStufe3">
    <w:name w:val="Revision Nummerierung (Stufe 3)"/>
    <w:basedOn w:val="Normal"/>
    <w:rsid w:val="00A147E3"/>
    <w:pPr>
      <w:numPr>
        <w:ilvl w:val="5"/>
        <w:numId w:val="28"/>
      </w:numPr>
    </w:pPr>
    <w:rPr>
      <w:color w:val="800000"/>
    </w:rPr>
  </w:style>
  <w:style w:type="paragraph" w:customStyle="1" w:styleId="RevisionNummerierungStufe4">
    <w:name w:val="Revision Nummerierung (Stufe 4)"/>
    <w:basedOn w:val="Normal"/>
    <w:rsid w:val="00A147E3"/>
    <w:pPr>
      <w:numPr>
        <w:ilvl w:val="6"/>
        <w:numId w:val="28"/>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8"/>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28"/>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35"/>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9"/>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9"/>
      </w:numPr>
    </w:pPr>
    <w:rPr>
      <w:color w:val="800000"/>
    </w:rPr>
  </w:style>
  <w:style w:type="paragraph" w:customStyle="1" w:styleId="RevisionListeStufe2">
    <w:name w:val="Revision Liste (Stufe 2)"/>
    <w:basedOn w:val="Normal"/>
    <w:rsid w:val="00A147E3"/>
    <w:pPr>
      <w:numPr>
        <w:ilvl w:val="2"/>
        <w:numId w:val="29"/>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9"/>
      </w:numPr>
    </w:pPr>
    <w:rPr>
      <w:color w:val="800000"/>
    </w:rPr>
  </w:style>
  <w:style w:type="paragraph" w:customStyle="1" w:styleId="RevisionListeStufe3">
    <w:name w:val="Revision Liste (Stufe 3)"/>
    <w:basedOn w:val="Normal"/>
    <w:rsid w:val="00A147E3"/>
    <w:pPr>
      <w:numPr>
        <w:ilvl w:val="4"/>
        <w:numId w:val="29"/>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9"/>
      </w:numPr>
    </w:pPr>
    <w:rPr>
      <w:color w:val="800000"/>
    </w:rPr>
  </w:style>
  <w:style w:type="paragraph" w:customStyle="1" w:styleId="RevisionListeStufe4">
    <w:name w:val="Revision Liste (Stufe 4)"/>
    <w:basedOn w:val="Normal"/>
    <w:rsid w:val="00A147E3"/>
    <w:pPr>
      <w:numPr>
        <w:ilvl w:val="6"/>
        <w:numId w:val="29"/>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9"/>
      </w:numPr>
    </w:pPr>
    <w:rPr>
      <w:color w:val="800000"/>
    </w:rPr>
  </w:style>
  <w:style w:type="paragraph" w:customStyle="1" w:styleId="RevisionAufzhlungStufe1">
    <w:name w:val="Revision Aufzählung (Stufe 1)"/>
    <w:basedOn w:val="Normal"/>
    <w:rsid w:val="00A147E3"/>
    <w:pPr>
      <w:numPr>
        <w:numId w:val="30"/>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31"/>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32"/>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33"/>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34"/>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36"/>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37"/>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27"/>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27"/>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27"/>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27"/>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DF0C7F"/>
    <w:pPr>
      <w:keepNext/>
      <w:keepLines/>
      <w:spacing w:before="40" w:after="0"/>
      <w:outlineLvl w:val="4"/>
    </w:pPr>
    <w:rPr>
      <w:rFonts w:asciiTheme="minorHAnsi" w:eastAsia="Times New Roman" w:hAnsiTheme="minorHAnsi" w:cstheme="minorBidi"/>
      <w:color w:val="243F60"/>
    </w:rPr>
  </w:style>
  <w:style w:type="paragraph" w:styleId="Heading6">
    <w:name w:val="heading 6"/>
    <w:basedOn w:val="Normal"/>
    <w:next w:val="Normal"/>
    <w:link w:val="Heading6Char"/>
    <w:uiPriority w:val="9"/>
    <w:semiHidden/>
    <w:unhideWhenUsed/>
    <w:qFormat/>
    <w:rsid w:val="00DF0C7F"/>
    <w:pPr>
      <w:keepNext/>
      <w:keepLines/>
      <w:spacing w:before="40" w:after="0"/>
      <w:outlineLvl w:val="5"/>
    </w:pPr>
    <w:rPr>
      <w:rFonts w:asciiTheme="minorHAnsi" w:eastAsia="Times New Roman" w:hAnsiTheme="minorHAnsi" w:cstheme="minorBidi"/>
      <w:i/>
      <w:iCs/>
      <w:color w:val="243F60"/>
    </w:rPr>
  </w:style>
  <w:style w:type="paragraph" w:styleId="Heading7">
    <w:name w:val="heading 7"/>
    <w:basedOn w:val="Normal"/>
    <w:next w:val="Normal"/>
    <w:link w:val="Heading7Char"/>
    <w:uiPriority w:val="9"/>
    <w:semiHidden/>
    <w:unhideWhenUsed/>
    <w:qFormat/>
    <w:rsid w:val="00DF0C7F"/>
    <w:pPr>
      <w:keepNext/>
      <w:keepLines/>
      <w:spacing w:before="40" w:after="0"/>
      <w:outlineLvl w:val="6"/>
    </w:pPr>
    <w:rPr>
      <w:rFonts w:asciiTheme="minorHAnsi" w:eastAsia="Times New Roman" w:hAnsiTheme="minorHAnsi" w:cstheme="minorBidi"/>
      <w:i/>
      <w:iCs/>
      <w:color w:val="404040"/>
    </w:rPr>
  </w:style>
  <w:style w:type="paragraph" w:styleId="Heading8">
    <w:name w:val="heading 8"/>
    <w:basedOn w:val="Normal"/>
    <w:next w:val="Normal"/>
    <w:link w:val="Heading8Char"/>
    <w:uiPriority w:val="9"/>
    <w:semiHidden/>
    <w:unhideWhenUsed/>
    <w:qFormat/>
    <w:rsid w:val="00DF0C7F"/>
    <w:pPr>
      <w:keepNext/>
      <w:keepLines/>
      <w:spacing w:before="40" w:after="0"/>
      <w:outlineLvl w:val="7"/>
    </w:pPr>
    <w:rPr>
      <w:rFonts w:asciiTheme="minorHAnsi" w:eastAsia="Times New Roman" w:hAnsiTheme="minorHAnsi" w:cstheme="minorBidi"/>
      <w:color w:val="404040"/>
      <w:sz w:val="20"/>
      <w:szCs w:val="20"/>
    </w:rPr>
  </w:style>
  <w:style w:type="paragraph" w:styleId="Heading9">
    <w:name w:val="heading 9"/>
    <w:basedOn w:val="Normal"/>
    <w:next w:val="Normal"/>
    <w:link w:val="Heading9Char"/>
    <w:uiPriority w:val="9"/>
    <w:semiHidden/>
    <w:unhideWhenUsed/>
    <w:qFormat/>
    <w:rsid w:val="00DF0C7F"/>
    <w:pPr>
      <w:keepNext/>
      <w:keepLines/>
      <w:spacing w:before="40" w:after="0"/>
      <w:outlineLvl w:val="8"/>
    </w:pPr>
    <w:rPr>
      <w:rFonts w:asciiTheme="minorHAnsi" w:eastAsia="Times New Roman" w:hAnsiTheme="minorHAnsi" w:cstheme="min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3886"/>
    <w:rPr>
      <w:color w:val="0000FF"/>
      <w:u w:val="single"/>
    </w:rPr>
  </w:style>
  <w:style w:type="character" w:styleId="CommentReference">
    <w:name w:val="annotation reference"/>
    <w:basedOn w:val="DefaultParagraphFont"/>
    <w:uiPriority w:val="99"/>
    <w:semiHidden/>
    <w:unhideWhenUsed/>
    <w:rsid w:val="00876620"/>
    <w:rPr>
      <w:sz w:val="16"/>
      <w:szCs w:val="16"/>
    </w:rPr>
  </w:style>
  <w:style w:type="paragraph" w:styleId="CommentText">
    <w:name w:val="annotation text"/>
    <w:basedOn w:val="Normal"/>
    <w:link w:val="CommentTextChar"/>
    <w:uiPriority w:val="99"/>
    <w:unhideWhenUsed/>
    <w:rsid w:val="00876620"/>
    <w:rPr>
      <w:sz w:val="20"/>
      <w:szCs w:val="20"/>
    </w:rPr>
  </w:style>
  <w:style w:type="character" w:customStyle="1" w:styleId="CommentTextChar">
    <w:name w:val="Comment Text Char"/>
    <w:basedOn w:val="DefaultParagraphFont"/>
    <w:link w:val="CommentText"/>
    <w:uiPriority w:val="99"/>
    <w:rsid w:val="0087662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76620"/>
    <w:rPr>
      <w:b/>
      <w:bCs/>
    </w:rPr>
  </w:style>
  <w:style w:type="character" w:customStyle="1" w:styleId="CommentSubjectChar">
    <w:name w:val="Comment Subject Char"/>
    <w:basedOn w:val="CommentTextChar"/>
    <w:link w:val="CommentSubject"/>
    <w:uiPriority w:val="99"/>
    <w:semiHidden/>
    <w:rsid w:val="00876620"/>
    <w:rPr>
      <w:rFonts w:ascii="Arial" w:hAnsi="Arial" w:cs="Arial"/>
      <w:b/>
      <w:bCs/>
      <w:sz w:val="20"/>
      <w:szCs w:val="20"/>
    </w:rPr>
  </w:style>
  <w:style w:type="paragraph" w:styleId="BalloonText">
    <w:name w:val="Balloon Text"/>
    <w:basedOn w:val="Normal"/>
    <w:link w:val="BalloonTextChar"/>
    <w:uiPriority w:val="99"/>
    <w:semiHidden/>
    <w:unhideWhenUsed/>
    <w:rsid w:val="001E09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4B"/>
    <w:rPr>
      <w:rFonts w:ascii="Segoe UI" w:hAnsi="Segoe UI" w:cs="Segoe UI"/>
      <w:sz w:val="18"/>
      <w:szCs w:val="18"/>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leGrid">
    <w:name w:val="Table Grid"/>
    <w:basedOn w:val="TableNorma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NoList"/>
    <w:uiPriority w:val="99"/>
    <w:semiHidden/>
    <w:unhideWhenUsed/>
    <w:rsid w:val="00DF0C7F"/>
  </w:style>
  <w:style w:type="paragraph" w:styleId="ListParagraph">
    <w:name w:val="List Paragraph"/>
    <w:basedOn w:val="Normal"/>
    <w:uiPriority w:val="34"/>
    <w:qFormat/>
    <w:rsid w:val="00DF0C7F"/>
    <w:pPr>
      <w:spacing w:before="0" w:after="0" w:line="360" w:lineRule="auto"/>
      <w:ind w:left="720"/>
      <w:contextualSpacing/>
      <w:jc w:val="left"/>
    </w:pPr>
    <w:rPr>
      <w:rFonts w:cs="Times New Roman"/>
    </w:rPr>
  </w:style>
  <w:style w:type="numbering" w:customStyle="1" w:styleId="ListeBMJalphanumerisch">
    <w:name w:val="Liste_BMJ_alphanumerisch"/>
    <w:uiPriority w:val="99"/>
    <w:rsid w:val="00DF0C7F"/>
    <w:pPr>
      <w:numPr>
        <w:numId w:val="8"/>
      </w:numPr>
    </w:pPr>
  </w:style>
  <w:style w:type="character" w:customStyle="1" w:styleId="Heading5Char">
    <w:name w:val="Heading 5 Char"/>
    <w:basedOn w:val="DefaultParagraphFont"/>
    <w:link w:val="Heading5"/>
    <w:uiPriority w:val="9"/>
    <w:semiHidden/>
    <w:rsid w:val="00DF0C7F"/>
    <w:rPr>
      <w:rFonts w:eastAsia="Times New Roman"/>
      <w:color w:val="243F60"/>
    </w:rPr>
  </w:style>
  <w:style w:type="character" w:customStyle="1" w:styleId="Heading6Char">
    <w:name w:val="Heading 6 Char"/>
    <w:basedOn w:val="DefaultParagraphFont"/>
    <w:link w:val="Heading6"/>
    <w:uiPriority w:val="9"/>
    <w:semiHidden/>
    <w:rsid w:val="00DF0C7F"/>
    <w:rPr>
      <w:rFonts w:eastAsia="Times New Roman"/>
      <w:i/>
      <w:iCs/>
      <w:color w:val="243F60"/>
    </w:rPr>
  </w:style>
  <w:style w:type="character" w:customStyle="1" w:styleId="Heading7Char">
    <w:name w:val="Heading 7 Char"/>
    <w:basedOn w:val="DefaultParagraphFont"/>
    <w:link w:val="Heading7"/>
    <w:uiPriority w:val="9"/>
    <w:semiHidden/>
    <w:rsid w:val="00DF0C7F"/>
    <w:rPr>
      <w:rFonts w:eastAsia="Times New Roman"/>
      <w:i/>
      <w:iCs/>
      <w:color w:val="404040"/>
    </w:rPr>
  </w:style>
  <w:style w:type="character" w:customStyle="1" w:styleId="Heading8Char">
    <w:name w:val="Heading 8 Char"/>
    <w:basedOn w:val="DefaultParagraphFont"/>
    <w:link w:val="Heading8"/>
    <w:uiPriority w:val="9"/>
    <w:semiHidden/>
    <w:rsid w:val="00DF0C7F"/>
    <w:rPr>
      <w:rFonts w:eastAsia="Times New Roman"/>
      <w:color w:val="404040"/>
      <w:sz w:val="20"/>
      <w:szCs w:val="20"/>
    </w:rPr>
  </w:style>
  <w:style w:type="character" w:customStyle="1" w:styleId="Heading9Char">
    <w:name w:val="Heading 9 Char"/>
    <w:basedOn w:val="DefaultParagraphFont"/>
    <w:link w:val="Heading9"/>
    <w:uiPriority w:val="9"/>
    <w:semiHidden/>
    <w:rsid w:val="00DF0C7F"/>
    <w:rPr>
      <w:rFonts w:eastAsia="Times New Roman"/>
      <w:i/>
      <w:iCs/>
      <w:color w:val="404040"/>
      <w:sz w:val="20"/>
      <w:szCs w:val="20"/>
    </w:r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TableNormal"/>
    <w:next w:val="TableGrid"/>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styleId="NoSpacing">
    <w:name w:val="No Spacing"/>
    <w:uiPriority w:val="9"/>
    <w:qFormat/>
    <w:rsid w:val="00DF0C7F"/>
    <w:pPr>
      <w:spacing w:after="0" w:line="240" w:lineRule="auto"/>
    </w:pPr>
    <w:rPr>
      <w:rFonts w:ascii="Arial" w:hAnsi="Arial" w:cs="Times New Roman"/>
    </w:rPr>
  </w:style>
  <w:style w:type="paragraph" w:customStyle="1" w:styleId="Inhaltsverzeichnisberschrift1">
    <w:name w:val="Inhaltsverzeichnisüberschrift1"/>
    <w:basedOn w:val="Heading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DefaultParagraphFon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DefaultParagraphFont"/>
    <w:uiPriority w:val="9"/>
    <w:semiHidden/>
    <w:rsid w:val="00DF0C7F"/>
    <w:rPr>
      <w:rFonts w:ascii="Arial" w:eastAsia="Times New Roman" w:hAnsi="Arial" w:cs="Times New Roman"/>
      <w:color w:val="243F60"/>
    </w:rPr>
  </w:style>
  <w:style w:type="character" w:customStyle="1" w:styleId="berschrift6Zchn1">
    <w:name w:val="Überschrift 6 Zchn1"/>
    <w:basedOn w:val="DefaultParagraphFont"/>
    <w:uiPriority w:val="9"/>
    <w:semiHidden/>
    <w:rsid w:val="00DF0C7F"/>
    <w:rPr>
      <w:rFonts w:ascii="Arial" w:eastAsia="Times New Roman" w:hAnsi="Arial" w:cs="Times New Roman"/>
      <w:i/>
      <w:iCs/>
      <w:color w:val="243F60"/>
    </w:rPr>
  </w:style>
  <w:style w:type="character" w:customStyle="1" w:styleId="berschrift7Zchn1">
    <w:name w:val="Überschrift 7 Zchn1"/>
    <w:basedOn w:val="DefaultParagraphFont"/>
    <w:uiPriority w:val="9"/>
    <w:semiHidden/>
    <w:rsid w:val="00DF0C7F"/>
    <w:rPr>
      <w:rFonts w:ascii="Arial" w:eastAsia="Times New Roman" w:hAnsi="Arial" w:cs="Times New Roman"/>
      <w:i/>
      <w:iCs/>
      <w:color w:val="404040"/>
    </w:rPr>
  </w:style>
  <w:style w:type="character" w:customStyle="1" w:styleId="berschrift8Zchn1">
    <w:name w:val="Überschrift 8 Zchn1"/>
    <w:basedOn w:val="DefaultParagraphFon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DefaultParagraphFon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character" w:customStyle="1" w:styleId="TitleChar">
    <w:name w:val="Title Char"/>
    <w:basedOn w:val="DefaultParagraphFont"/>
    <w:link w:val="Title"/>
    <w:uiPriority w:val="10"/>
    <w:rsid w:val="00DF0C7F"/>
    <w:rPr>
      <w:rFonts w:eastAsia="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customStyle="1" w:styleId="SubtitleChar">
    <w:name w:val="Subtitle Char"/>
    <w:basedOn w:val="DefaultParagraphFont"/>
    <w:link w:val="Subtitle"/>
    <w:uiPriority w:val="11"/>
    <w:rsid w:val="00DF0C7F"/>
    <w:rPr>
      <w:rFonts w:eastAsia="Times New Roman"/>
      <w:i/>
      <w:iCs/>
      <w:color w:val="4F81BD"/>
      <w:spacing w:val="15"/>
      <w:sz w:val="24"/>
      <w:szCs w:val="24"/>
    </w:rPr>
  </w:style>
  <w:style w:type="character" w:styleId="Strong">
    <w:name w:val="Strong"/>
    <w:basedOn w:val="DefaultParagraphFont"/>
    <w:uiPriority w:val="22"/>
    <w:qFormat/>
    <w:rsid w:val="00DF0C7F"/>
    <w:rPr>
      <w:b/>
      <w:bCs/>
    </w:rPr>
  </w:style>
  <w:style w:type="character" w:styleId="Emphasis">
    <w:name w:val="Emphasis"/>
    <w:basedOn w:val="DefaultParagraphFon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character" w:customStyle="1" w:styleId="QuoteChar">
    <w:name w:val="Quote Char"/>
    <w:basedOn w:val="DefaultParagraphFont"/>
    <w:link w:val="Quote"/>
    <w:uiPriority w:val="29"/>
    <w:rsid w:val="00DF0C7F"/>
    <w:rPr>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IntenseQuoteChar">
    <w:name w:val="Intense Quote Char"/>
    <w:basedOn w:val="DefaultParagraphFont"/>
    <w:link w:val="IntenseQuote"/>
    <w:uiPriority w:val="30"/>
    <w:rsid w:val="00DF0C7F"/>
    <w:rPr>
      <w:b/>
      <w:bCs/>
      <w:i/>
      <w:iCs/>
      <w:color w:val="4F81BD"/>
    </w:rPr>
  </w:style>
  <w:style w:type="character" w:customStyle="1" w:styleId="SchwacheHervorhebung1">
    <w:name w:val="Schwache Hervorhebung1"/>
    <w:basedOn w:val="DefaultParagraphFont"/>
    <w:uiPriority w:val="19"/>
    <w:qFormat/>
    <w:rsid w:val="00DF0C7F"/>
    <w:rPr>
      <w:i/>
      <w:iCs/>
      <w:color w:val="808080"/>
    </w:rPr>
  </w:style>
  <w:style w:type="character" w:customStyle="1" w:styleId="IntensiveHervorhebung1">
    <w:name w:val="Intensive Hervorhebung1"/>
    <w:basedOn w:val="DefaultParagraphFont"/>
    <w:uiPriority w:val="21"/>
    <w:qFormat/>
    <w:rsid w:val="00DF0C7F"/>
    <w:rPr>
      <w:b/>
      <w:bCs/>
      <w:i/>
      <w:iCs/>
      <w:color w:val="4F81BD"/>
    </w:rPr>
  </w:style>
  <w:style w:type="character" w:customStyle="1" w:styleId="SchwacherVerweis1">
    <w:name w:val="Schwacher Verweis1"/>
    <w:basedOn w:val="DefaultParagraphFont"/>
    <w:uiPriority w:val="31"/>
    <w:qFormat/>
    <w:rsid w:val="00DF0C7F"/>
    <w:rPr>
      <w:smallCaps/>
      <w:color w:val="C0504D"/>
      <w:u w:val="single"/>
    </w:rPr>
  </w:style>
  <w:style w:type="character" w:customStyle="1" w:styleId="IntensiverVerweis1">
    <w:name w:val="Intensiver Verweis1"/>
    <w:basedOn w:val="DefaultParagraphFont"/>
    <w:uiPriority w:val="32"/>
    <w:qFormat/>
    <w:rsid w:val="00DF0C7F"/>
    <w:rPr>
      <w:b/>
      <w:bCs/>
      <w:smallCaps/>
      <w:color w:val="C0504D"/>
      <w:spacing w:val="5"/>
      <w:u w:val="single"/>
    </w:rPr>
  </w:style>
  <w:style w:type="character" w:styleId="BookTitle">
    <w:name w:val="Book Title"/>
    <w:basedOn w:val="DefaultParagraphFont"/>
    <w:uiPriority w:val="33"/>
    <w:qFormat/>
    <w:rsid w:val="00DF0C7F"/>
    <w:rPr>
      <w:b/>
      <w:bCs/>
      <w:smallCaps/>
      <w:spacing w:val="5"/>
    </w:rPr>
  </w:style>
  <w:style w:type="paragraph" w:styleId="BodyText">
    <w:name w:val="Body Text"/>
    <w:basedOn w:val="Normal"/>
    <w:link w:val="BodyTextChar"/>
    <w:uiPriority w:val="99"/>
    <w:semiHidden/>
    <w:unhideWhenUsed/>
    <w:rsid w:val="00DF0C7F"/>
    <w:pPr>
      <w:spacing w:before="0" w:line="360" w:lineRule="auto"/>
      <w:jc w:val="left"/>
    </w:pPr>
    <w:rPr>
      <w:rFonts w:cs="Times New Roman"/>
    </w:rPr>
  </w:style>
  <w:style w:type="character" w:customStyle="1" w:styleId="BodyTextChar">
    <w:name w:val="Body Text Char"/>
    <w:basedOn w:val="DefaultParagraphFont"/>
    <w:link w:val="BodyText"/>
    <w:uiPriority w:val="99"/>
    <w:semiHidden/>
    <w:rsid w:val="00DF0C7F"/>
    <w:rPr>
      <w:rFonts w:ascii="Arial" w:hAnsi="Arial" w:cs="Times New Roman"/>
    </w:rPr>
  </w:style>
  <w:style w:type="character" w:customStyle="1" w:styleId="berschrift5Zchn2">
    <w:name w:val="Überschrift 5 Zchn2"/>
    <w:basedOn w:val="DefaultParagraphFon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DefaultParagraphFon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DefaultParagraphFon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DefaultParagraphFon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DefaultParagraphFont"/>
    <w:uiPriority w:val="9"/>
    <w:semiHidden/>
    <w:rsid w:val="00DF0C7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F0C7F"/>
    <w:pPr>
      <w:spacing w:before="0" w:after="0"/>
      <w:contextualSpacing/>
    </w:pPr>
    <w:rPr>
      <w:rFonts w:asciiTheme="minorHAnsi" w:eastAsia="Times New Roman" w:hAnsiTheme="minorHAnsi" w:cstheme="minorBidi"/>
      <w:color w:val="17365D"/>
      <w:spacing w:val="5"/>
      <w:kern w:val="28"/>
      <w:sz w:val="52"/>
      <w:szCs w:val="52"/>
    </w:rPr>
  </w:style>
  <w:style w:type="character" w:customStyle="1" w:styleId="TitelZchn1">
    <w:name w:val="Titel Zchn1"/>
    <w:basedOn w:val="DefaultParagraphFont"/>
    <w:uiPriority w:val="10"/>
    <w:rsid w:val="00DF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C7F"/>
    <w:pPr>
      <w:numPr>
        <w:ilvl w:val="1"/>
      </w:numPr>
      <w:spacing w:after="160"/>
    </w:pPr>
    <w:rPr>
      <w:rFonts w:asciiTheme="minorHAnsi" w:eastAsia="Times New Roman" w:hAnsiTheme="minorHAnsi" w:cstheme="minorBidi"/>
      <w:i/>
      <w:iCs/>
      <w:color w:val="4F81BD"/>
      <w:spacing w:val="15"/>
      <w:sz w:val="24"/>
      <w:szCs w:val="24"/>
    </w:rPr>
  </w:style>
  <w:style w:type="character" w:customStyle="1" w:styleId="UntertitelZchn1">
    <w:name w:val="Untertitel Zchn1"/>
    <w:basedOn w:val="DefaultParagraphFont"/>
    <w:uiPriority w:val="11"/>
    <w:rsid w:val="00DF0C7F"/>
    <w:rPr>
      <w:rFonts w:eastAsiaTheme="minorEastAsia"/>
      <w:color w:val="5A5A5A" w:themeColor="text1" w:themeTint="A5"/>
      <w:spacing w:val="15"/>
    </w:rPr>
  </w:style>
  <w:style w:type="paragraph" w:styleId="Quote">
    <w:name w:val="Quote"/>
    <w:basedOn w:val="Normal"/>
    <w:next w:val="Normal"/>
    <w:link w:val="QuoteChar"/>
    <w:uiPriority w:val="29"/>
    <w:qFormat/>
    <w:rsid w:val="00DF0C7F"/>
    <w:pPr>
      <w:spacing w:before="200" w:after="160"/>
      <w:ind w:left="864" w:right="864"/>
      <w:jc w:val="center"/>
    </w:pPr>
    <w:rPr>
      <w:rFonts w:asciiTheme="minorHAnsi" w:hAnsiTheme="minorHAnsi" w:cstheme="minorBidi"/>
      <w:i/>
      <w:iCs/>
      <w:color w:val="000000"/>
    </w:rPr>
  </w:style>
  <w:style w:type="character" w:customStyle="1" w:styleId="ZitatZchn1">
    <w:name w:val="Zitat Zchn1"/>
    <w:basedOn w:val="DefaultParagraphFont"/>
    <w:uiPriority w:val="29"/>
    <w:rsid w:val="00DF0C7F"/>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DF0C7F"/>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b/>
      <w:bCs/>
      <w:i/>
      <w:iCs/>
      <w:color w:val="4F81BD"/>
    </w:rPr>
  </w:style>
  <w:style w:type="character" w:customStyle="1" w:styleId="IntensivesZitatZchn1">
    <w:name w:val="Intensives Zitat Zchn1"/>
    <w:basedOn w:val="DefaultParagraphFont"/>
    <w:uiPriority w:val="30"/>
    <w:rsid w:val="00DF0C7F"/>
    <w:rPr>
      <w:rFonts w:ascii="Arial" w:hAnsi="Arial" w:cs="Arial"/>
      <w:i/>
      <w:iCs/>
      <w:color w:val="4F81BD" w:themeColor="accent1"/>
    </w:rPr>
  </w:style>
  <w:style w:type="character" w:styleId="SubtleEmphasis">
    <w:name w:val="Subtle Emphasis"/>
    <w:basedOn w:val="DefaultParagraphFont"/>
    <w:uiPriority w:val="19"/>
    <w:qFormat/>
    <w:rsid w:val="00DF0C7F"/>
    <w:rPr>
      <w:i/>
      <w:iCs/>
      <w:color w:val="404040" w:themeColor="text1" w:themeTint="BF"/>
    </w:rPr>
  </w:style>
  <w:style w:type="character" w:styleId="IntenseEmphasis">
    <w:name w:val="Intense Emphasis"/>
    <w:basedOn w:val="DefaultParagraphFont"/>
    <w:uiPriority w:val="21"/>
    <w:qFormat/>
    <w:rsid w:val="00DF0C7F"/>
    <w:rPr>
      <w:i/>
      <w:iCs/>
      <w:color w:val="4F81BD" w:themeColor="accent1"/>
    </w:rPr>
  </w:style>
  <w:style w:type="character" w:styleId="SubtleReference">
    <w:name w:val="Subtle Reference"/>
    <w:basedOn w:val="DefaultParagraphFont"/>
    <w:uiPriority w:val="31"/>
    <w:qFormat/>
    <w:rsid w:val="00DF0C7F"/>
    <w:rPr>
      <w:smallCaps/>
      <w:color w:val="5A5A5A" w:themeColor="text1" w:themeTint="A5"/>
    </w:rPr>
  </w:style>
  <w:style w:type="character" w:styleId="IntenseReference">
    <w:name w:val="Intense Reference"/>
    <w:basedOn w:val="DefaultParagraphFont"/>
    <w:uiPriority w:val="32"/>
    <w:qFormat/>
    <w:rsid w:val="00DF0C7F"/>
    <w:rPr>
      <w:b/>
      <w:bCs/>
      <w:smallCaps/>
      <w:color w:val="4F81BD" w:themeColor="accent1"/>
      <w:spacing w:val="5"/>
    </w:rPr>
  </w:style>
  <w:style w:type="table" w:customStyle="1" w:styleId="Tabellenraster4">
    <w:name w:val="Tabellenraster4"/>
    <w:basedOn w:val="TableNormal"/>
    <w:next w:val="TableGrid"/>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791D"/>
    <w:rPr>
      <w:color w:val="800080" w:themeColor="followedHyperlink"/>
      <w:u w:val="single"/>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23"/>
      </w:numPr>
      <w:spacing w:before="60" w:after="60"/>
    </w:pPr>
    <w:rPr>
      <w:sz w:val="18"/>
    </w:rPr>
  </w:style>
  <w:style w:type="paragraph" w:customStyle="1" w:styleId="TabelleListe">
    <w:name w:val="Tabelle Liste"/>
    <w:basedOn w:val="Normal"/>
    <w:rsid w:val="00A147E3"/>
    <w:pPr>
      <w:numPr>
        <w:numId w:val="24"/>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22"/>
      </w:numPr>
      <w:tabs>
        <w:tab w:val="left" w:pos="0"/>
      </w:tabs>
    </w:pPr>
  </w:style>
  <w:style w:type="paragraph" w:customStyle="1" w:styleId="ListeFolgeabsatzStufe1">
    <w:name w:val="Liste Folgeabsatz (Stufe 1)"/>
    <w:basedOn w:val="Normal"/>
    <w:rsid w:val="00A147E3"/>
    <w:pPr>
      <w:numPr>
        <w:ilvl w:val="1"/>
        <w:numId w:val="22"/>
      </w:numPr>
    </w:pPr>
  </w:style>
  <w:style w:type="paragraph" w:customStyle="1" w:styleId="ListeStufe2">
    <w:name w:val="Liste (Stufe 2)"/>
    <w:basedOn w:val="Normal"/>
    <w:rsid w:val="00A147E3"/>
    <w:pPr>
      <w:numPr>
        <w:ilvl w:val="2"/>
        <w:numId w:val="22"/>
      </w:numPr>
    </w:pPr>
  </w:style>
  <w:style w:type="paragraph" w:customStyle="1" w:styleId="ListeFolgeabsatzStufe2">
    <w:name w:val="Liste Folgeabsatz (Stufe 2)"/>
    <w:basedOn w:val="Normal"/>
    <w:rsid w:val="00A147E3"/>
    <w:pPr>
      <w:numPr>
        <w:ilvl w:val="3"/>
        <w:numId w:val="22"/>
      </w:numPr>
    </w:pPr>
  </w:style>
  <w:style w:type="paragraph" w:customStyle="1" w:styleId="ListeStufe3">
    <w:name w:val="Liste (Stufe 3)"/>
    <w:basedOn w:val="Normal"/>
    <w:rsid w:val="00A147E3"/>
    <w:pPr>
      <w:numPr>
        <w:ilvl w:val="4"/>
        <w:numId w:val="22"/>
      </w:numPr>
    </w:pPr>
  </w:style>
  <w:style w:type="paragraph" w:customStyle="1" w:styleId="ListeFolgeabsatzStufe3">
    <w:name w:val="Liste Folgeabsatz (Stufe 3)"/>
    <w:basedOn w:val="Normal"/>
    <w:rsid w:val="00A147E3"/>
    <w:pPr>
      <w:numPr>
        <w:ilvl w:val="5"/>
        <w:numId w:val="22"/>
      </w:numPr>
    </w:pPr>
  </w:style>
  <w:style w:type="paragraph" w:customStyle="1" w:styleId="ListeStufe4">
    <w:name w:val="Liste (Stufe 4)"/>
    <w:basedOn w:val="Normal"/>
    <w:rsid w:val="00A147E3"/>
    <w:pPr>
      <w:numPr>
        <w:ilvl w:val="6"/>
        <w:numId w:val="22"/>
      </w:numPr>
    </w:pPr>
  </w:style>
  <w:style w:type="paragraph" w:customStyle="1" w:styleId="ListeFolgeabsatzStufe4">
    <w:name w:val="Liste Folgeabsatz (Stufe 4)"/>
    <w:basedOn w:val="Normal"/>
    <w:rsid w:val="00A147E3"/>
    <w:pPr>
      <w:numPr>
        <w:ilvl w:val="7"/>
        <w:numId w:val="22"/>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17"/>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8"/>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9"/>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20"/>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21"/>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37"/>
      </w:numPr>
    </w:pPr>
  </w:style>
  <w:style w:type="paragraph" w:customStyle="1" w:styleId="NummerierungStufe2">
    <w:name w:val="Nummerierung (Stufe 2)"/>
    <w:basedOn w:val="Normal"/>
    <w:rsid w:val="00A147E3"/>
    <w:pPr>
      <w:numPr>
        <w:ilvl w:val="4"/>
        <w:numId w:val="37"/>
      </w:numPr>
    </w:pPr>
  </w:style>
  <w:style w:type="paragraph" w:customStyle="1" w:styleId="NummerierungStufe3">
    <w:name w:val="Nummerierung (Stufe 3)"/>
    <w:basedOn w:val="Normal"/>
    <w:rsid w:val="00A147E3"/>
    <w:pPr>
      <w:numPr>
        <w:ilvl w:val="5"/>
        <w:numId w:val="37"/>
      </w:numPr>
    </w:pPr>
  </w:style>
  <w:style w:type="paragraph" w:customStyle="1" w:styleId="NummerierungStufe4">
    <w:name w:val="Nummerierung (Stufe 4)"/>
    <w:basedOn w:val="Normal"/>
    <w:rsid w:val="00A147E3"/>
    <w:pPr>
      <w:numPr>
        <w:ilvl w:val="6"/>
        <w:numId w:val="37"/>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25"/>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26"/>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8"/>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37"/>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37"/>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9"/>
      </w:numPr>
      <w:spacing w:before="480"/>
      <w:jc w:val="center"/>
    </w:pPr>
    <w:rPr>
      <w:b/>
      <w:sz w:val="26"/>
    </w:rPr>
  </w:style>
  <w:style w:type="paragraph" w:customStyle="1" w:styleId="Buchberschrift">
    <w:name w:val="Buch Überschrift"/>
    <w:basedOn w:val="Normal"/>
    <w:next w:val="ParagraphBezeichner"/>
    <w:rsid w:val="00A147E3"/>
    <w:pPr>
      <w:keepNext/>
      <w:numPr>
        <w:numId w:val="40"/>
      </w:numPr>
      <w:spacing w:after="240"/>
      <w:jc w:val="center"/>
    </w:pPr>
    <w:rPr>
      <w:b/>
      <w:sz w:val="26"/>
    </w:rPr>
  </w:style>
  <w:style w:type="paragraph" w:customStyle="1" w:styleId="TeilBezeichner">
    <w:name w:val="Teil Bezeichner"/>
    <w:basedOn w:val="Normal"/>
    <w:next w:val="Teilberschrift"/>
    <w:rsid w:val="00A147E3"/>
    <w:pPr>
      <w:keepNext/>
      <w:numPr>
        <w:ilvl w:val="1"/>
        <w:numId w:val="39"/>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40"/>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39"/>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40"/>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39"/>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40"/>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39"/>
      </w:numPr>
      <w:spacing w:before="480"/>
      <w:jc w:val="center"/>
    </w:pPr>
  </w:style>
  <w:style w:type="paragraph" w:customStyle="1" w:styleId="Unterabschnittberschrift">
    <w:name w:val="Unterabschnitt Überschrift"/>
    <w:basedOn w:val="Normal"/>
    <w:next w:val="ParagraphBezeichner"/>
    <w:rsid w:val="00A147E3"/>
    <w:pPr>
      <w:keepNext/>
      <w:numPr>
        <w:ilvl w:val="4"/>
        <w:numId w:val="40"/>
      </w:numPr>
      <w:spacing w:after="240"/>
      <w:jc w:val="center"/>
    </w:pPr>
  </w:style>
  <w:style w:type="paragraph" w:customStyle="1" w:styleId="TitelBezeichner">
    <w:name w:val="Titel Bezeichner"/>
    <w:basedOn w:val="Normal"/>
    <w:next w:val="Titelberschrift"/>
    <w:rsid w:val="00A147E3"/>
    <w:pPr>
      <w:keepNext/>
      <w:numPr>
        <w:ilvl w:val="5"/>
        <w:numId w:val="39"/>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40"/>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39"/>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40"/>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41"/>
      </w:numPr>
      <w:spacing w:before="360"/>
    </w:pPr>
    <w:rPr>
      <w:b/>
    </w:rPr>
  </w:style>
  <w:style w:type="paragraph" w:customStyle="1" w:styleId="berschriftarabischBegrndung">
    <w:name w:val="Überschrift arabisch (Begründung)"/>
    <w:basedOn w:val="Normal"/>
    <w:next w:val="Text"/>
    <w:rsid w:val="00A147E3"/>
    <w:pPr>
      <w:keepNext/>
      <w:numPr>
        <w:ilvl w:val="1"/>
        <w:numId w:val="41"/>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28"/>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8"/>
      </w:numPr>
    </w:pPr>
    <w:rPr>
      <w:color w:val="800000"/>
    </w:rPr>
  </w:style>
  <w:style w:type="paragraph" w:customStyle="1" w:styleId="RevisionNummerierungStufe2">
    <w:name w:val="Revision Nummerierung (Stufe 2)"/>
    <w:basedOn w:val="Normal"/>
    <w:rsid w:val="00A147E3"/>
    <w:pPr>
      <w:numPr>
        <w:ilvl w:val="4"/>
        <w:numId w:val="28"/>
      </w:numPr>
    </w:pPr>
    <w:rPr>
      <w:color w:val="800000"/>
    </w:rPr>
  </w:style>
  <w:style w:type="paragraph" w:customStyle="1" w:styleId="RevisionNummerierungStufe3">
    <w:name w:val="Revision Nummerierung (Stufe 3)"/>
    <w:basedOn w:val="Normal"/>
    <w:rsid w:val="00A147E3"/>
    <w:pPr>
      <w:numPr>
        <w:ilvl w:val="5"/>
        <w:numId w:val="28"/>
      </w:numPr>
    </w:pPr>
    <w:rPr>
      <w:color w:val="800000"/>
    </w:rPr>
  </w:style>
  <w:style w:type="paragraph" w:customStyle="1" w:styleId="RevisionNummerierungStufe4">
    <w:name w:val="Revision Nummerierung (Stufe 4)"/>
    <w:basedOn w:val="Normal"/>
    <w:rsid w:val="00A147E3"/>
    <w:pPr>
      <w:numPr>
        <w:ilvl w:val="6"/>
        <w:numId w:val="28"/>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8"/>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28"/>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35"/>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9"/>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9"/>
      </w:numPr>
    </w:pPr>
    <w:rPr>
      <w:color w:val="800000"/>
    </w:rPr>
  </w:style>
  <w:style w:type="paragraph" w:customStyle="1" w:styleId="RevisionListeStufe2">
    <w:name w:val="Revision Liste (Stufe 2)"/>
    <w:basedOn w:val="Normal"/>
    <w:rsid w:val="00A147E3"/>
    <w:pPr>
      <w:numPr>
        <w:ilvl w:val="2"/>
        <w:numId w:val="29"/>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9"/>
      </w:numPr>
    </w:pPr>
    <w:rPr>
      <w:color w:val="800000"/>
    </w:rPr>
  </w:style>
  <w:style w:type="paragraph" w:customStyle="1" w:styleId="RevisionListeStufe3">
    <w:name w:val="Revision Liste (Stufe 3)"/>
    <w:basedOn w:val="Normal"/>
    <w:rsid w:val="00A147E3"/>
    <w:pPr>
      <w:numPr>
        <w:ilvl w:val="4"/>
        <w:numId w:val="29"/>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9"/>
      </w:numPr>
    </w:pPr>
    <w:rPr>
      <w:color w:val="800000"/>
    </w:rPr>
  </w:style>
  <w:style w:type="paragraph" w:customStyle="1" w:styleId="RevisionListeStufe4">
    <w:name w:val="Revision Liste (Stufe 4)"/>
    <w:basedOn w:val="Normal"/>
    <w:rsid w:val="00A147E3"/>
    <w:pPr>
      <w:numPr>
        <w:ilvl w:val="6"/>
        <w:numId w:val="29"/>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9"/>
      </w:numPr>
    </w:pPr>
    <w:rPr>
      <w:color w:val="800000"/>
    </w:rPr>
  </w:style>
  <w:style w:type="paragraph" w:customStyle="1" w:styleId="RevisionAufzhlungStufe1">
    <w:name w:val="Revision Aufzählung (Stufe 1)"/>
    <w:basedOn w:val="Normal"/>
    <w:rsid w:val="00A147E3"/>
    <w:pPr>
      <w:numPr>
        <w:numId w:val="30"/>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31"/>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32"/>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33"/>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34"/>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36"/>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37"/>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dium.com/amnesty-insights/unsocial-media-the-real-toll-of-online-abuse-against-women-37134ddab3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z-jena.de/fileadmin/user_upload/_Hass_im_Netz_-_Der_schleichende_Angriff.pdf"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28C1-196B-4933-ADF3-4E910DB3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55</TotalTime>
  <Pages>59</Pages>
  <Words>27507</Words>
  <Characters>156791</Characters>
  <Application>Microsoft Office Word</Application>
  <DocSecurity>0</DocSecurity>
  <Lines>1306</Lines>
  <Paragraphs>367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BMWi, IT-Referat</Company>
  <LinksUpToDate>false</LinksUpToDate>
  <CharactersWithSpaces>183931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Holznagel, Daniel</dc:creator>
  <cp:lastModifiedBy>DA</cp:lastModifiedBy>
  <cp:revision>13</cp:revision>
  <cp:lastPrinted>2020-03-26T09:36:00Z</cp:lastPrinted>
  <dcterms:created xsi:type="dcterms:W3CDTF">2020-03-30T11:16:00Z</dcterms:created>
  <dcterms:modified xsi:type="dcterms:W3CDTF">2020-04-17T10:00:00Z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20200121</vt:lpwstr>
  </property>
  <property fmtid="{D5CDD505-2E9C-101B-9397-08002B2CF9AE}" pid="7" name="eNorm-Version Erstellung">
    <vt:lpwstr>4.0.3.1, Bundesregierung, [20190301]</vt:lpwstr>
  </property>
  <property fmtid="{D5CDD505-2E9C-101B-9397-08002B2CF9AE}" pid="8" name="eNorm-Version letzte Bearbeitung">
    <vt:lpwstr>4.1.2.2 Bundesregierung [20200121]</vt:lpwstr>
  </property>
  <property fmtid="{D5CDD505-2E9C-101B-9397-08002B2CF9AE}" pid="9" name="Meta_Initiant">
    <vt:lpwstr>Bundesministerium der Justiz und f³r Verbraucherschutz</vt:lpwstr>
  </property>
  <property fmtid="{D5CDD505-2E9C-101B-9397-08002B2CF9AE}" pid="10" name="eNorm-Version vorherige Bearbeitung">
    <vt:lpwstr>4.1.2.2 Bundesregierung [20200121]</vt:lpwstr>
  </property>
  <property fmtid="{D5CDD505-2E9C-101B-9397-08002B2CF9AE}" pid="11" name="Bearbeitungsstand">
    <vt:lpwstr>Bearbeitungsstand: 27.03.2020  11:57 Uhr</vt:lpwstr>
  </property>
  <property fmtid="{D5CDD505-2E9C-101B-9397-08002B2CF9AE}" pid="12" name="DQP-Ergebnis für Version 4">
    <vt:lpwstr>24 Fehler, 76 Warnungen</vt:lpwstr>
  </property>
  <property fmtid="{D5CDD505-2E9C-101B-9397-08002B2CF9AE}" pid="13" name="eNorm-Version letzte DQP">
    <vt:lpwstr>4.1.2.2, Bundesregierung, [20200121]</vt:lpwstr>
  </property>
  <property fmtid="{D5CDD505-2E9C-101B-9397-08002B2CF9AE}" pid="14" name="Meta_Bezeichnung">
    <vt:lpwstr>Entwurf eines Gesetzes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Dieses Gesetz dient der Umsetzung der Richtlinie (EU) 2018/1808 des Europäischen Parlaments und des Rates vom 14. November 2018 zur Änderung der Richtlinie 2010/13/EU zur Koordinierung bestimmter Rechts- und Verwaltungsvorschriften der Mitgliedstaaten übe</vt:lpwstr>
  </property>
  <property fmtid="{D5CDD505-2E9C-101B-9397-08002B2CF9AE}" pid="20" name="Meta_Umsetzung von EU-Recht_2">
    <vt:lpwstr>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