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6" w:rsidRPr="004C1E06" w:rsidRDefault="004C1E06" w:rsidP="004C1E06">
      <w:pPr>
        <w:rPr>
          <w:rFonts w:ascii="Courier New" w:hAnsi="Courier New"/>
          <w:sz w:val="20"/>
        </w:rPr>
      </w:pPr>
      <w:r>
        <w:rPr>
          <w:rFonts w:ascii="Courier New" w:hAnsi="Courier New"/>
          <w:sz w:val="20"/>
        </w:rPr>
        <w:t>1. ------IND- 2020 0174 D-- FR- ------ 20200429 --- --- PROJET</w:t>
      </w:r>
    </w:p>
    <w:p w:rsidR="00E83886" w:rsidRPr="00CB1818" w:rsidRDefault="006F34CB" w:rsidP="00715217">
      <w:pPr>
        <w:pStyle w:val="VorblattDokumentstatus"/>
        <w:keepNext/>
      </w:pPr>
      <w:r>
        <w:t>Projet de loi</w:t>
      </w:r>
    </w:p>
    <w:p w:rsidR="00E83886" w:rsidRPr="00CB1818" w:rsidRDefault="009635BF" w:rsidP="00715217">
      <w:pPr>
        <w:pStyle w:val="Initiant"/>
        <w:keepNext/>
      </w:pPr>
      <w:r>
        <w:t>du gouvernement fédéral</w:t>
      </w:r>
    </w:p>
    <w:p w:rsidR="00E83886" w:rsidRPr="00CB1818" w:rsidRDefault="00E83886" w:rsidP="00715217">
      <w:pPr>
        <w:pStyle w:val="VorblattBezeichnung"/>
        <w:keepNext/>
      </w:pPr>
      <w:r>
        <w:t>Projet de loi portant modification de la loi relative à l'application des lois sur les réseaux</w:t>
      </w:r>
    </w:p>
    <w:p w:rsidR="00E83886" w:rsidRPr="00CB1818" w:rsidRDefault="00E83886" w:rsidP="00715217">
      <w:pPr>
        <w:pStyle w:val="VorblattTitelProblemundZiel"/>
        <w:keepNext/>
      </w:pPr>
      <w:r>
        <w:t>A. Problème et objectif</w:t>
      </w:r>
    </w:p>
    <w:p w:rsidR="001F15A2" w:rsidRPr="00CB1818" w:rsidRDefault="002037BC" w:rsidP="001F15A2">
      <w:pPr>
        <w:pStyle w:val="Text"/>
      </w:pPr>
      <w:r>
        <w:t>La nécessité de lutter contre les discours de haine criminels en ligne reste d'actualité. Les citoyens sont en droit de s’attendre à ce que les attaques punissables telles que les incitations à la violence ou les menaces ne soient pas tolérées. Cela vaut également pour l’internet. De plus, les discours de haine criminels peuvent devenir un terreau</w:t>
      </w:r>
      <w:bookmarkStart w:id="0" w:name="_GoBack"/>
      <w:bookmarkEnd w:id="0"/>
      <w:r>
        <w:t xml:space="preserve"> fertile pour les atteintes à la vie et à l’intégrité des citoyens. Le meurtre du président du district de Kassel, Walter Lübcke, ou les attentats à proximité de la synagogue de Halle (Saale) sont des signes inquiétants. Cela vaut également pour l’attaque extrémiste à Hanau en février 2020 par un auteur qui avait précédemment publié et diffusé des contenus racistes sur les réseaux sociaux.</w:t>
      </w:r>
    </w:p>
    <w:p w:rsidR="002037BC" w:rsidRPr="00CB1818" w:rsidRDefault="002037BC" w:rsidP="00B60471">
      <w:pPr>
        <w:pStyle w:val="Text"/>
      </w:pPr>
      <w:r>
        <w:t>Les discours de haine criminels peuvent également provoquer de graves intimidations. Cela peut conduire à l’abandon de l’engagement social ou politique ou au retrait des citoyens du discours en ligne ou à leur absence totale de participation. Les effets d’intimidation des discours de haine criminels mettent en danger non seulement la liberté d’expression et d’action de l’individu, mais aussi le dialogue démocratique en tant que tel et donc les fondements de notre démocratie dans son ensemble.</w:t>
      </w:r>
    </w:p>
    <w:p w:rsidR="00F84B41" w:rsidRPr="00CB1818" w:rsidRDefault="00F84B41" w:rsidP="00B60471">
      <w:pPr>
        <w:pStyle w:val="Text"/>
      </w:pPr>
      <w:r>
        <w:t>De plus, il ne faut pas oublier non plus que les discours de haine sont souvent dirigés contre les femmes ou les minorités, ce qui met particulièrement en danger la coexistence pacifique dans une société libre, ouverte et démocratique.</w:t>
      </w:r>
    </w:p>
    <w:p w:rsidR="00330094" w:rsidRPr="00CB1818" w:rsidRDefault="007437B5" w:rsidP="002037BC">
      <w:pPr>
        <w:pStyle w:val="Text"/>
      </w:pPr>
      <w:r>
        <w:t>L’approche de la loi d’application du droit aux réseaux sociaux (NetzDG), entrée en vigueur le 1</w:t>
      </w:r>
      <w:r>
        <w:rPr>
          <w:vertAlign w:val="superscript"/>
        </w:rPr>
        <w:t>er</w:t>
      </w:r>
      <w:r>
        <w:t xml:space="preserve"> octobre 2017, consistant à justifier la responsabilité actuelle des fournisseurs de réseaux sociaux dans le traitement des plaintes concernant des contenus illégaux portés à leur attention, a généralement fait ses preuves. Les fournisseurs de réseaux sociaux ont fait des efforts pour mettre en œuvre les exigences de traitement des plaintes. Les procédures de dépôt de plaintes pour contenus illégaux ont été révisées et le droit pénal allemand a été adopté comme référence. Selon les rapports de transparence requis par la loi, les fournisseurs réussissent également la plupart du temps à examiner rapidement les plaintes soumises. Finalement, les principaux fournisseurs ont désigné des personnes habilitées à recevoir des actes judiciaires et des destinataires ayant droit en guise d’interlocuteurs nationaux.</w:t>
      </w:r>
    </w:p>
    <w:p w:rsidR="00330094" w:rsidRPr="00CB1818" w:rsidRDefault="002037BC" w:rsidP="002037BC">
      <w:pPr>
        <w:pStyle w:val="Text"/>
      </w:pPr>
      <w:r>
        <w:t xml:space="preserve">Cependant, l’expérience de la NetzDG montre que certaines réglementations doivent être davantage développées. Par exemple, la convivialité des canaux de signalement pour le dépôt de plaintes concernant des contenus illégaux, dont certains sont encore trop compliqués ou difficiles à identifier, doit être améliorée. En outre, le contenu informatif et la comparabilité des rapports de transparence à soumettre conformément à l’article 2 de la NetzDG devraient être améliorés. Dans le cas de litiges entre des plaignants ou des utilisateurs avec le fournisseur de réseaux sociaux concernant la suppression (effective ou rejetée) de contenus, il n’existe actuellement aucune règle pour un règlement extrajudiciaire simple des litiges; des procédures appropriées doivent être mises en place. </w:t>
      </w:r>
      <w:r>
        <w:lastRenderedPageBreak/>
        <w:t>Dans le cas des personnes habilitées à recevoir des actes judiciaires en Allemagne (article 5, paragraphe 1 de la NetzDG), les avis divergent sur la pratique juridique concernant le domaine d’application; il convient de préciser que la personne habilitée à recevoir des actes judiciaires est également responsable des actions dites de restauration. Dans l’application de la NetzDG, l’Office fédéral de la justice compétent n’a jusqu’à présent pas été en mesure d’émettre des instructions pour remédier aux déficits; des pouvoirs de contrôle correspondants doivent être mis en place.</w:t>
      </w:r>
    </w:p>
    <w:p w:rsidR="00EF60DE" w:rsidRPr="00CB1818" w:rsidRDefault="002037BC">
      <w:pPr>
        <w:pStyle w:val="Text"/>
      </w:pPr>
      <w:r>
        <w:t>Il est également important de mettre en œuvre les nouvelles directives européennes. La NetzDG doit être adaptée à la nouvelle version de la directive 2010/13/UE du Parlement européen et du Conseil du 10 mars 2010 visant à la coordination de certaines dispositions juridiques et administratives des États membres relatives à la fourniture de services de médias audiovisuels (directive Services de médias audiovisuels; JO L 95 du 15.4.2010, p. 1; L 263, p. 15; ci-après: la directive SMAV). À la suite des modifications apportées par la directive (UE) 2018/1808 du Parlement européen et du Conseil du 14 novembre 2018 modifiant la directive 2010/13/UE relative à la coordination de certaines dispositions juridiques et administratives des États membres concernant la fourniture de services de médias audiovisuels (directive sur les services de médias audiovisuels) en ce qui concerne l’évolution des conditions du marché (JO L 303 du 28.11.2018, p. 69), la directive SMAV contient de nouvelles exigences en matière de réglementation de conformité pour la protection contre les contenus non autorisés sur les services de plate-forme de partage de vidéos. Certains de ces services sont déjà couverts par la NetzDG. Contrairement à la NetzDG en vigueur, la directive SMAV requiert également l’introduction d’exigences de conformité pour les petits fournisseurs spécialisés; en outre, la répartition des responsabilités entre les États membres, telle que réglementée dans la directive SMAV, doit être respectée.</w:t>
      </w:r>
    </w:p>
    <w:p w:rsidR="00E83886" w:rsidRPr="00CB1818" w:rsidRDefault="00E83886" w:rsidP="00715217">
      <w:pPr>
        <w:pStyle w:val="VorblattTitelLsung"/>
        <w:keepNext/>
      </w:pPr>
      <w:r>
        <w:t>B. Solution</w:t>
      </w:r>
    </w:p>
    <w:p w:rsidR="00E83886" w:rsidRPr="00CB1818" w:rsidRDefault="002037BC">
      <w:pPr>
        <w:pStyle w:val="Text"/>
        <w:rPr>
          <w:rStyle w:val="Marker"/>
          <w:color w:val="auto"/>
        </w:rPr>
      </w:pPr>
      <w:r>
        <w:rPr>
          <w:rStyle w:val="Marker"/>
          <w:color w:val="auto"/>
        </w:rPr>
        <w:t>La NetzDG doit être complétée. Des compléments aux exigences d’information dans le cadre de l’article 2 de la NetzDG sont nécessaires afin d’améliorer le contenu informatif et la comparabilité des rapports de transparence. La convivialité requise des canaux de signalement pour la transmission des plaintes concernant des contenus illégaux doit être clarifiée à l’article 3, paragraphe 1, phrase 2 de la NetzDG. En outre, une procédure de traitement des appels contre les mesures prises par le fournisseur d’un réseau social et une possibilité de reconnaissance d’un organisme d’arbitrage pour les litiges correspondants doivent être introduites. Dans le cas des personnes habilitées à recevoir des actes judiciaires en Allemagne (article 5, paragraphe 1 de la NetzDG), leur responsabilité pour les actions dites de restauration doit être clairement indiquée. Les pouvoirs de l’Office fédéral de la justice doivent être élargis pour inclure les pouvoirs de contrôle. En outre, des réglementations spéciales doivent être créées pour répertorier les services de plate-forme de partage de vidéos.</w:t>
      </w:r>
    </w:p>
    <w:p w:rsidR="00BC109E" w:rsidRPr="00CB1818" w:rsidRDefault="00BC109E" w:rsidP="001F598A">
      <w:pPr>
        <w:pStyle w:val="Text"/>
      </w:pPr>
      <w:r>
        <w:t>Entre autres, il est attendu que la réglementation supplémentaire améliorera davantage la lutte contre les contenus criminels sur les plateformes des fournisseurs répertoriés et la rendra plus transparente. Il est également attendu que le règlement des litiges entre les plaignants et les utilisateurs avec les fournisseurs sera plus facile et plus efficace à l’avenir. Enfin, on peut s’attendre à ce que l’exécution des actions en justice civile pour cause de violation de droits fondamentaux en raison de contenus illégaux soit facilitée.</w:t>
      </w:r>
    </w:p>
    <w:p w:rsidR="00E83886" w:rsidRPr="00CB1818" w:rsidRDefault="00E83886" w:rsidP="00715217">
      <w:pPr>
        <w:pStyle w:val="VorblattTitelAlternativen"/>
        <w:keepNext/>
      </w:pPr>
      <w:r>
        <w:t>C. Alternatives</w:t>
      </w:r>
    </w:p>
    <w:p w:rsidR="00800164" w:rsidRPr="00CB1818" w:rsidRDefault="00800164" w:rsidP="00BB6818">
      <w:pPr>
        <w:pStyle w:val="Text"/>
      </w:pPr>
      <w:r>
        <w:t>L’objectif du projet de loi est d’une part de transposer la directive SMAV relative aux obligations de conformité dans le domaine des services de plate-forme de partage de vidéos. Bien que cette transposition aurait pu être effectuée dans d’autres lois, la transposition dans la NetzDG est préférable en raison du grand nombre de recoupements avec les exigences déjà réglementées dans la NetzDG. Un autre objectif du projet de loi est de développer davantage la réglementation de la NetzDG en tenant compte de l’expérience pratique. Compte tenu du besoin parfois considérable de clarifications (par exemple sur la convivialité des canaux de signalement et le domaine d’application de la personne habilitée à recevoir des actes judiciaires), attendre une future procédure de sanction pécuniaire de l’Office fédéral de la justice à ce sujet ou laisser la NetzDG telle quelle ne semble pas être une alternative appropriée.</w:t>
      </w:r>
    </w:p>
    <w:p w:rsidR="00E83886" w:rsidRPr="00CB1818" w:rsidRDefault="00E83886" w:rsidP="00715217">
      <w:pPr>
        <w:pStyle w:val="VorblattTitelHaushaltsausgabenohneErfllungsaufwand"/>
        <w:keepNext/>
      </w:pPr>
      <w:r>
        <w:t>D. Dépenses budgétaires sans charge d’exécution</w:t>
      </w:r>
    </w:p>
    <w:p w:rsidR="00800164" w:rsidRPr="00CB1818" w:rsidRDefault="00450990" w:rsidP="00800164">
      <w:pPr>
        <w:pStyle w:val="Text"/>
      </w:pPr>
      <w:r>
        <w:t>Les charges d’exécution supplémentaires de 1 064 987 EUR pour l’administration (voir explications sur les charges d’exécution) entraînent des charges budgétaires correspondantes. Cela s’explique par le besoin de postes au ministère fédéral de la Justice et de la Protection des Consommateurs et à l’Office fédéral de la justice, avec un total (arrondi) de 6,5 postes de haut fonctionnaire, 4 postes de cadre dirigeant et 1,5 poste de cadre.</w:t>
      </w:r>
    </w:p>
    <w:p w:rsidR="00E83886" w:rsidRPr="00CB1818" w:rsidRDefault="00800164" w:rsidP="00657D1F">
      <w:pPr>
        <w:pStyle w:val="Text"/>
      </w:pPr>
      <w:r>
        <w:t>Les besoins supplémentaires en ressources matérielles et humaines doivent être compensés financièrement et par poste dans le cadre du plan individuel 07. Les détails de la couverture des besoins supplémentaires devront être décidés dans le cadre de la procédure de composition du budget à venir.</w:t>
      </w:r>
    </w:p>
    <w:p w:rsidR="00E83886" w:rsidRPr="00CB1818" w:rsidRDefault="00E83886" w:rsidP="00715217">
      <w:pPr>
        <w:pStyle w:val="VorblattTitelErfllungsaufwand"/>
        <w:keepNext/>
      </w:pPr>
      <w:r>
        <w:t>E. Charges d’exécution</w:t>
      </w:r>
    </w:p>
    <w:p w:rsidR="00E83886" w:rsidRPr="00CB1818" w:rsidRDefault="00E83886" w:rsidP="00715217">
      <w:pPr>
        <w:pStyle w:val="VorblattTitelErfllungsaufwandBrgerinnenundBrger"/>
        <w:keepNext/>
      </w:pPr>
      <w:r>
        <w:t>E.1 Charges d’exécution pour les citoyens</w:t>
      </w:r>
    </w:p>
    <w:p w:rsidR="00FF4995" w:rsidRPr="00CB1818" w:rsidRDefault="00D80C85" w:rsidP="00657D1F">
      <w:pPr>
        <w:pStyle w:val="Text"/>
      </w:pPr>
      <w:r>
        <w:t>Aucune.</w:t>
      </w:r>
    </w:p>
    <w:p w:rsidR="00E83886" w:rsidRPr="00CB1818" w:rsidRDefault="00E83886" w:rsidP="00715217">
      <w:pPr>
        <w:pStyle w:val="VorblattTitelErfllungsaufwandWirtschaft"/>
        <w:keepNext/>
      </w:pPr>
      <w:r>
        <w:t>E.2 Charges d’exécution pour le secteur économique</w:t>
      </w:r>
    </w:p>
    <w:p w:rsidR="00800164" w:rsidRPr="00CB1818" w:rsidRDefault="00800164" w:rsidP="00BB6818">
      <w:pPr>
        <w:pStyle w:val="Text"/>
      </w:pPr>
      <w:r>
        <w:t>Le projet introduit partiellement de nouvelles obligations à respecter par les fournisseurs de réseaux sociaux et certains services de plate-forme de partage de vidéos. Il en résulte une charge d’exécution unique de 284 000 EUR et annuelle de 2 279 000 EUR,</w:t>
      </w:r>
    </w:p>
    <w:p w:rsidR="00800164" w:rsidRPr="00CB1818" w:rsidRDefault="00800164" w:rsidP="00BB6818">
      <w:pPr>
        <w:pStyle w:val="Text"/>
      </w:pPr>
      <w:r>
        <w:t>dont une charge unique de 45 400 EUR et annuelle de 89 400 EUR pour la mise en œuvre intégrale de l’article 28b de la directive SMAV. Dans le cadre de la «règle one-in-one-out», il y a donc une charge d’exécution permanente de 2 189 600 EUR. La compensation est assurée par les allégements de la loi visant à renforcer la concurrence loyale.</w:t>
      </w:r>
    </w:p>
    <w:p w:rsidR="00E83886" w:rsidRPr="00CB1818" w:rsidRDefault="00E83886" w:rsidP="00715217">
      <w:pPr>
        <w:pStyle w:val="VorblattTitelErfllungsaufwandVerwaltung"/>
        <w:keepNext/>
      </w:pPr>
      <w:r>
        <w:t>E.3 Charges d’exécution pour l’administration</w:t>
      </w:r>
    </w:p>
    <w:p w:rsidR="00800164" w:rsidRPr="00CB1818" w:rsidRDefault="00800164" w:rsidP="00030FC3">
      <w:pPr>
        <w:pStyle w:val="Text"/>
      </w:pPr>
      <w:r>
        <w:t>Il est attendu que la charge d’exécution pour l’État fédéral s’élève à 1 064 987 EUR chaque année. Le projet lui-même entraîne des coûts supplémentaires de 1 348 893 EUR par an en raison de frais de personnel supplémentaires de 1 239 112 EUR à l’Office fédéral de la justice ainsi qu’au ministère fédéral de la Justice et de la Protection des Consommateurs de 109 780 EUR. Il faut cependant également tenir compte du fait que le projet permet de réaliser des économies dans l’exécution des tâches déjà requises par la situation juridique actuelle à l’Office fédéral de la justice dans le domaine de la NetzDG. Il s’agit d’économies de frais de personnel de 283 906 EUR.</w:t>
      </w:r>
    </w:p>
    <w:p w:rsidR="00E83886" w:rsidRPr="00CB1818" w:rsidRDefault="00E83886" w:rsidP="00715217">
      <w:pPr>
        <w:pStyle w:val="VorblattTitelWeitereKosten"/>
        <w:keepNext/>
      </w:pPr>
      <w:r>
        <w:t>F. Autres coûts</w:t>
      </w:r>
    </w:p>
    <w:p w:rsidR="00800164" w:rsidRPr="00CB1818" w:rsidRDefault="00800164" w:rsidP="00BB6818">
      <w:pPr>
        <w:pStyle w:val="Text"/>
      </w:pPr>
      <w:r>
        <w:t>Des coûts supplémentaires de 63 000 EUR par an sont attendus pour les administrations judiciaires des Länder. Aucune répercussion sur le niveau des prix, notamment sur le niveau des prix à la consommation, n’est prévue.</w:t>
      </w:r>
    </w:p>
    <w:p w:rsidR="00E83886" w:rsidRPr="00CB1818" w:rsidRDefault="00E83886" w:rsidP="00E83886">
      <w:pPr>
        <w:sectPr w:rsidR="00E83886" w:rsidRPr="00CB1818" w:rsidSect="00D9408F">
          <w:headerReference w:type="default" r:id="rId8"/>
          <w:headerReference w:type="first" r:id="rId9"/>
          <w:pgSz w:w="11907" w:h="16839"/>
          <w:pgMar w:top="1134" w:right="1417" w:bottom="1134" w:left="1701" w:header="709" w:footer="709" w:gutter="0"/>
          <w:pgNumType w:start="1"/>
          <w:cols w:space="708"/>
          <w:titlePg/>
          <w:docGrid w:linePitch="360"/>
        </w:sectPr>
      </w:pPr>
    </w:p>
    <w:p w:rsidR="00E83886" w:rsidRPr="00CB1818" w:rsidRDefault="0044741B">
      <w:pPr>
        <w:pStyle w:val="Dokumentstatus"/>
      </w:pPr>
      <w:r>
        <w:t>Projet de loi du gouvernement fédéral</w:t>
      </w:r>
    </w:p>
    <w:p w:rsidR="00E83886" w:rsidRPr="00CB1818" w:rsidRDefault="00E83886">
      <w:pPr>
        <w:pStyle w:val="Bezeichnungnderungsdokument"/>
      </w:pPr>
      <w:r>
        <w:t>Projet de loi portant modification de la loi d’application du droit aux réseaux sociaux</w:t>
      </w:r>
      <w:r w:rsidR="0016324D" w:rsidRPr="00CB1818">
        <w:rPr>
          <w:rStyle w:val="FootnoteReference"/>
        </w:rPr>
        <w:footnoteReference w:id="1"/>
      </w:r>
      <w:r w:rsidR="0016324D" w:rsidRPr="00CB1818">
        <w:rPr>
          <w:rStyle w:val="FootnoteReference"/>
        </w:rPr>
        <w:t>)</w:t>
      </w:r>
      <w:r>
        <w:rPr>
          <w:rStyle w:val="FootnoteReference"/>
        </w:rPr>
        <w:t>)</w:t>
      </w:r>
      <w:r>
        <w:t xml:space="preserve"> </w:t>
      </w:r>
      <w:r w:rsidR="00AC22B6" w:rsidRPr="00CB1818">
        <w:rPr>
          <w:rStyle w:val="FootnoteReference"/>
        </w:rPr>
        <w:footnoteReference w:id="2"/>
      </w:r>
      <w:r w:rsidR="00AC22B6" w:rsidRPr="00CB1818">
        <w:rPr>
          <w:rStyle w:val="FootnoteReference"/>
        </w:rPr>
        <w:t>)</w:t>
      </w:r>
      <w:r>
        <w:rPr>
          <w:rStyle w:val="FootnoteReference"/>
        </w:rPr>
        <w:t>)</w:t>
      </w:r>
      <w:r>
        <w:t xml:space="preserve"> </w:t>
      </w:r>
    </w:p>
    <w:p w:rsidR="00E83886" w:rsidRPr="00CB1818" w:rsidRDefault="00E83886">
      <w:pPr>
        <w:pStyle w:val="Ausfertigungsdatumnderungsdokument"/>
      </w:pPr>
      <w:r>
        <w:t>du ...</w:t>
      </w:r>
    </w:p>
    <w:p w:rsidR="00E83886" w:rsidRPr="00CB1818" w:rsidRDefault="00E83886">
      <w:pPr>
        <w:pStyle w:val="EingangsformelStandardnderungsdokument"/>
      </w:pPr>
      <w:r>
        <w:t>Le Bundestag a adopté la loi suivante:</w:t>
      </w:r>
    </w:p>
    <w:p w:rsidR="00E83886" w:rsidRPr="00CB1818" w:rsidRDefault="00CF3579" w:rsidP="00CF3579">
      <w:pPr>
        <w:pStyle w:val="ArtikelBezeichner"/>
        <w:numPr>
          <w:ilvl w:val="0"/>
          <w:numId w:val="0"/>
        </w:numPr>
      </w:pPr>
      <w:r>
        <w:t>Article premier</w:t>
      </w:r>
    </w:p>
    <w:p w:rsidR="00E83886" w:rsidRPr="00CB1818" w:rsidRDefault="00BC2E28">
      <w:pPr>
        <w:pStyle w:val="Artikelberschrift"/>
      </w:pPr>
      <w:r>
        <w:t>Modification de la loi relative à l'application des lois sur les réseaux</w:t>
      </w:r>
    </w:p>
    <w:p w:rsidR="00E83886" w:rsidRPr="00CB1818" w:rsidRDefault="00BC2E28" w:rsidP="00715217">
      <w:pPr>
        <w:pStyle w:val="JuristischerAbsatznichtnummeriert"/>
        <w:keepNext/>
      </w:pPr>
      <w:r>
        <w:t>La loi d’application des lois aux réseaux sociaux du 1</w:t>
      </w:r>
      <w:r>
        <w:rPr>
          <w:vertAlign w:val="superscript"/>
        </w:rPr>
        <w:t>er</w:t>
      </w:r>
      <w:r>
        <w:t> septembre 2017 (Journal officiel de la République fédérale d’Allemagne I p. 3352), modifiée en dernier lieu par ... [Article 6 du projet de loi sur la lutte contre l’extrémisme de droite et les crimes inspirés par la haine, imprimé 87/20 du Conseil fédéral] est modifiée comme suit:</w:t>
      </w:r>
    </w:p>
    <w:p w:rsidR="009C3C3B" w:rsidRPr="00CB1818" w:rsidRDefault="009C3C3B" w:rsidP="00FD2509">
      <w:pPr>
        <w:pStyle w:val="NummerierungStufe1"/>
      </w:pPr>
      <w:r>
        <w:t xml:space="preserve">A l’article 1er, paragraphe 2, l’indication </w:t>
      </w:r>
      <w:r>
        <w:rPr>
          <w:rStyle w:val="RevisionText"/>
        </w:rPr>
        <w:t>«articles 2 à 3a»</w:t>
      </w:r>
      <w:r>
        <w:t xml:space="preserve"> est remplacée par l’indication </w:t>
      </w:r>
      <w:r>
        <w:rPr>
          <w:rStyle w:val="RevisionText"/>
        </w:rPr>
        <w:t>«articles 2 à 3b»</w:t>
      </w:r>
      <w:r>
        <w:t>.</w:t>
      </w:r>
    </w:p>
    <w:p w:rsidR="00FD2509" w:rsidRPr="00CB1818" w:rsidRDefault="00D563DB" w:rsidP="00715217">
      <w:pPr>
        <w:pStyle w:val="NummerierungStufe1"/>
        <w:keepNext/>
      </w:pPr>
      <w:r>
        <w:t>L’article 2, paragraphe 2, est modifié comme suit:</w:t>
      </w:r>
    </w:p>
    <w:p w:rsidR="00D563DB" w:rsidRPr="00CB1818" w:rsidRDefault="00D563DB" w:rsidP="00715217">
      <w:pPr>
        <w:pStyle w:val="NummerierungStufe2"/>
        <w:keepNext/>
      </w:pPr>
      <w:r>
        <w:t>Le point 2 est remplacé par les points 2 et 3 suivants:</w:t>
      </w:r>
    </w:p>
    <w:p w:rsidR="00D563DB" w:rsidRPr="00CB1818" w:rsidRDefault="00D563DB" w:rsidP="00FD1FA8">
      <w:pPr>
        <w:pStyle w:val="RevisionNummerierungStufe1manuell"/>
        <w:tabs>
          <w:tab w:val="clear" w:pos="425"/>
          <w:tab w:val="left" w:pos="1350"/>
        </w:tabs>
        <w:ind w:left="1350" w:hanging="500"/>
      </w:pPr>
      <w:r>
        <w:t>«2.</w:t>
      </w:r>
      <w:r>
        <w:tab/>
        <w:t>La nature, les grandes lignes et la portée des procédures utilisées pour la détection automatisée des contenus à supprimer ou à bloquer, y compris des informations générales sur les données de formation utilisées et l’examen des résultats de ces procédures par le fournisseur, ainsi que des informations sur la mesure dans laquelle la science et la recherche est soutenue dans l’évaluation de ces procédures,</w:t>
      </w:r>
    </w:p>
    <w:p w:rsidR="00200260" w:rsidRPr="00CB1818" w:rsidRDefault="00E43EFE" w:rsidP="00FD1FA8">
      <w:pPr>
        <w:pStyle w:val="RevisionNummerierungStufe1manuell"/>
        <w:tabs>
          <w:tab w:val="clear" w:pos="425"/>
          <w:tab w:val="left" w:pos="1350"/>
        </w:tabs>
        <w:ind w:left="1350"/>
      </w:pPr>
      <w:r>
        <w:t>3.</w:t>
      </w:r>
      <w:r>
        <w:tab/>
        <w:t>Présentation des mécanismes de dépôt de plaintes concernant des contenus illégaux, présentation des critères décisionnels pour la suppression et le blocage de contenus illégaux et présentation de la procédure de contrôle, y compris l’ordre de contrôle permettant de déterminer si les contenus sont illégaux ou s’il y a eu violation des dispositions contractuelles entre le fournisseur et l’utilisateur,».</w:t>
      </w:r>
    </w:p>
    <w:p w:rsidR="00E43EFE" w:rsidRPr="00CB1818" w:rsidRDefault="00E43EFE" w:rsidP="003764C3">
      <w:pPr>
        <w:pStyle w:val="NummerierungStufe2"/>
      </w:pPr>
      <w:r>
        <w:t>Les actuels points 3 à 6 deviennent les points 4 à 7.</w:t>
      </w:r>
    </w:p>
    <w:p w:rsidR="00DE0035" w:rsidRPr="00CB1818" w:rsidRDefault="00E43EFE" w:rsidP="003764C3">
      <w:pPr>
        <w:pStyle w:val="NummerierungStufe2"/>
      </w:pPr>
      <w:r>
        <w:t xml:space="preserve">Le point précédent 7 devient le point 8 et après les mots </w:t>
      </w:r>
      <w:r>
        <w:rPr>
          <w:rStyle w:val="RevisionText"/>
        </w:rPr>
        <w:t>«ont entraîné»</w:t>
      </w:r>
      <w:r>
        <w:t xml:space="preserve">, les mots </w:t>
      </w:r>
      <w:r>
        <w:rPr>
          <w:rStyle w:val="RevisionText"/>
        </w:rPr>
        <w:t>«selon le nombre total ainsi que»</w:t>
      </w:r>
      <w:r>
        <w:t xml:space="preserve"> sont ajoutés. Après les mots </w:t>
      </w:r>
      <w:r>
        <w:rPr>
          <w:rStyle w:val="RevisionText"/>
        </w:rPr>
        <w:t>«effectué par l’utilisateur»</w:t>
      </w:r>
      <w:r>
        <w:t xml:space="preserve">, une virgule et les mots </w:t>
      </w:r>
      <w:r>
        <w:rPr>
          <w:rStyle w:val="RevisionText"/>
        </w:rPr>
        <w:t>«quelle étape de la procédure de contrôle selon le point 3 a conduit à la suppression ou au blocage»</w:t>
      </w:r>
      <w:r>
        <w:t xml:space="preserve"> sont ajoutés.</w:t>
      </w:r>
    </w:p>
    <w:p w:rsidR="008D6E45" w:rsidRPr="00CB1818" w:rsidRDefault="00E43EFE" w:rsidP="00715217">
      <w:pPr>
        <w:pStyle w:val="NummerierungStufe2"/>
        <w:keepNext/>
      </w:pPr>
      <w:r>
        <w:t>L’actuel point 8 devient le point 9 et est formulé comme suit:</w:t>
      </w:r>
    </w:p>
    <w:p w:rsidR="008D6E45" w:rsidRPr="00CB1818" w:rsidRDefault="008D6E45" w:rsidP="00FD1FA8">
      <w:pPr>
        <w:pStyle w:val="RevisionNummerierungStufe1manuell"/>
        <w:tabs>
          <w:tab w:val="clear" w:pos="425"/>
          <w:tab w:val="left" w:pos="1350"/>
        </w:tabs>
        <w:suppressAutoHyphens/>
        <w:ind w:left="1350" w:hanging="500"/>
      </w:pPr>
      <w:r>
        <w:t>«9.</w:t>
      </w:r>
      <w:r>
        <w:tab/>
        <w:t>le nombre de plaintes concernant des contenus illégaux ayant entraîné la suppression ou le blocage des contenus illégaux dans les 24 heures, dans les 48 heures, dans la semaine ou plus tard, classé selon les plaintes par les bureaux des plaintes et selon les utilisateurs ainsi que selon le motif de la plainte,».</w:t>
      </w:r>
    </w:p>
    <w:p w:rsidR="003764C3" w:rsidRPr="00CB1818" w:rsidRDefault="00E43EFE" w:rsidP="003764C3">
      <w:pPr>
        <w:pStyle w:val="NummerierungStufe2"/>
      </w:pPr>
      <w:r>
        <w:t>L’actuel point 9 devient le point 10 et la virgule remplace le point à la fin.</w:t>
      </w:r>
    </w:p>
    <w:p w:rsidR="003764C3" w:rsidRPr="00CB1818" w:rsidRDefault="0018480A" w:rsidP="00715217">
      <w:pPr>
        <w:pStyle w:val="NummerierungStufe2"/>
        <w:keepNext/>
      </w:pPr>
      <w:r>
        <w:t>Les points 11 à 14 suivants sont ajoutés:</w:t>
      </w:r>
    </w:p>
    <w:p w:rsidR="003764C3" w:rsidRPr="00435424" w:rsidRDefault="003764C3" w:rsidP="00FD1FA8">
      <w:pPr>
        <w:pStyle w:val="RevisionNummerierungStufe1manuell"/>
        <w:tabs>
          <w:tab w:val="clear" w:pos="425"/>
          <w:tab w:val="left" w:pos="1350"/>
        </w:tabs>
        <w:ind w:left="1350" w:hanging="500"/>
        <w:rPr>
          <w:bCs/>
        </w:rPr>
      </w:pPr>
      <w:r>
        <w:t>«11.</w:t>
      </w:r>
      <w:r>
        <w:tab/>
        <w:t>Nombre d’appels reçus au cours de la période de référence conformément à l’article 3b, paragraphe 1, phrase 2, par nombre total et classés selon les appels des plaignants et des utilisateurs pour lesquels le contenu contesté a été enregistré, avec indication du nombre d’appels auxquels il a été remédié,</w:t>
      </w:r>
    </w:p>
    <w:p w:rsidR="008E07D9" w:rsidRPr="00435424" w:rsidRDefault="003764C3" w:rsidP="00715217">
      <w:pPr>
        <w:pStyle w:val="RevisionNummerierungStufe1manuell"/>
        <w:keepNext/>
        <w:tabs>
          <w:tab w:val="clear" w:pos="425"/>
          <w:tab w:val="left" w:pos="1350"/>
        </w:tabs>
        <w:ind w:left="1350"/>
        <w:rPr>
          <w:bCs/>
        </w:rPr>
      </w:pPr>
      <w:r>
        <w:t>12.</w:t>
      </w:r>
      <w:r>
        <w:tab/>
        <w:t>Informations sur l’accès des acteurs de la science et de la recherche aux informations du fournisseur au cours de la période de référence afin de leur permettre d’effectuer une évaluation anonyme, et sur l’ampleur de cet accès, et dans quelle mesure</w:t>
      </w:r>
    </w:p>
    <w:p w:rsidR="008E07D9" w:rsidRPr="00CB1818" w:rsidRDefault="00487BD1" w:rsidP="00382B89">
      <w:pPr>
        <w:pStyle w:val="RevisionNummerierungStufe2"/>
        <w:tabs>
          <w:tab w:val="clear" w:pos="850"/>
          <w:tab w:val="num" w:pos="1775"/>
        </w:tabs>
        <w:ind w:left="1775"/>
      </w:pPr>
      <w:r>
        <w:t xml:space="preserve">des contenus illégaux supprimés ou bloqués tombent sous le coup de l’article 1er de la loi générale sur l’égalité de traitement du 14 août 2006 (Journal officiel de la République fédérale d’Allemagne I, p. 1897), modifiée en dernier lieu par l’article 8 de la loi du 3 avril 2013 (Journal officiel de la République fédérale d’Allemagne I, p. 610), dans sa version en vigueur. </w:t>
      </w:r>
    </w:p>
    <w:p w:rsidR="005B0C0E" w:rsidRPr="00CB1818" w:rsidRDefault="005E0AEC" w:rsidP="00382B89">
      <w:pPr>
        <w:pStyle w:val="RevisionNummerierungStufe2"/>
        <w:tabs>
          <w:tab w:val="clear" w:pos="850"/>
          <w:tab w:val="num" w:pos="1775"/>
        </w:tabs>
        <w:ind w:left="1775"/>
      </w:pPr>
      <w:r>
        <w:t>la diffusion de contenus illégaux suscite des préoccupations spécifiques de certains groupes d’utilisateurs et</w:t>
      </w:r>
    </w:p>
    <w:p w:rsidR="00321605" w:rsidRPr="00CB1818" w:rsidRDefault="005B0C0E" w:rsidP="00382B89">
      <w:pPr>
        <w:pStyle w:val="RevisionNummerierungStufe2"/>
        <w:tabs>
          <w:tab w:val="clear" w:pos="850"/>
          <w:tab w:val="num" w:pos="1775"/>
        </w:tabs>
        <w:ind w:left="1775"/>
      </w:pPr>
      <w:r>
        <w:t>des structures organisées ou des comportements coordonnés sont à la base de la diffusion.</w:t>
      </w:r>
    </w:p>
    <w:p w:rsidR="003764C3" w:rsidRPr="00435424" w:rsidRDefault="00321605" w:rsidP="00FD1FA8">
      <w:pPr>
        <w:pStyle w:val="RevisionNummerierungStufe1manuell"/>
        <w:tabs>
          <w:tab w:val="clear" w:pos="425"/>
          <w:tab w:val="left" w:pos="1350"/>
        </w:tabs>
        <w:ind w:left="1350"/>
        <w:rPr>
          <w:bCs/>
        </w:rPr>
      </w:pPr>
      <w:r>
        <w:t>13. autres mesures prises par le fournisseur pour protéger et soutenir les personnes affectées par des contenus illégaux,</w:t>
      </w:r>
    </w:p>
    <w:p w:rsidR="003764C3" w:rsidRPr="00435424" w:rsidRDefault="003764C3" w:rsidP="00FD1FA8">
      <w:pPr>
        <w:pStyle w:val="RevisionNummerierungStufe1manuell"/>
        <w:tabs>
          <w:tab w:val="clear" w:pos="425"/>
          <w:tab w:val="left" w:pos="1350"/>
        </w:tabs>
        <w:ind w:left="1350"/>
        <w:rPr>
          <w:bCs/>
        </w:rPr>
      </w:pPr>
      <w:r>
        <w:t>14.</w:t>
      </w:r>
      <w:r>
        <w:tab/>
        <w:t>Un résumé avec un tableau récapitulatif montrant le nombre total de plaintes reçues concernant des contenus illégaux, le pourcentage de contenus supprimés ou bloqués en réponse à ces plaintes, le nombre d’appels ainsi que le pourcentage de décisions modifiées suite aux appels, une comparaison des chiffres pour les deux périodes de référence précédentes, avec une explication des principaux écarts et des éventuelles raisons.»</w:t>
      </w:r>
    </w:p>
    <w:p w:rsidR="00BE13DB" w:rsidRPr="00CB1818" w:rsidRDefault="00BE13DB" w:rsidP="00715217">
      <w:pPr>
        <w:pStyle w:val="NummerierungStufe1"/>
        <w:keepNext/>
      </w:pPr>
      <w:r>
        <w:t>L’article 3 est modifié comme suit:</w:t>
      </w:r>
    </w:p>
    <w:p w:rsidR="00BE13DB" w:rsidRPr="00CB1818" w:rsidRDefault="00BE13DB" w:rsidP="00BE13DB">
      <w:pPr>
        <w:pStyle w:val="NummerierungStufe2"/>
      </w:pPr>
      <w:r>
        <w:t xml:space="preserve">Au paragraphe 1, phrase 2, après le mot </w:t>
      </w:r>
      <w:r>
        <w:rPr>
          <w:rStyle w:val="RevisionText"/>
        </w:rPr>
        <w:t>«un»</w:t>
      </w:r>
      <w:r>
        <w:t xml:space="preserve"> les mots </w:t>
      </w:r>
      <w:r>
        <w:rPr>
          <w:rStyle w:val="RevisionText"/>
        </w:rPr>
        <w:t>«en percevant le contenu»</w:t>
      </w:r>
      <w:r>
        <w:t xml:space="preserve"> et après le mot </w:t>
      </w:r>
      <w:r>
        <w:rPr>
          <w:rStyle w:val="RevisionText"/>
        </w:rPr>
        <w:t>«atteignable»</w:t>
      </w:r>
      <w:r>
        <w:t xml:space="preserve">, une virgule et les mots </w:t>
      </w:r>
      <w:r>
        <w:rPr>
          <w:rStyle w:val="RevisionText"/>
        </w:rPr>
        <w:t>«facile à utiliser»</w:t>
      </w:r>
      <w:r>
        <w:t xml:space="preserve"> sont ajoutés.</w:t>
      </w:r>
    </w:p>
    <w:p w:rsidR="00BE13DB" w:rsidRPr="00CB1818" w:rsidRDefault="00BE13DB" w:rsidP="00715217">
      <w:pPr>
        <w:pStyle w:val="NummerierungStufe2"/>
        <w:keepNext/>
      </w:pPr>
      <w:r>
        <w:t>Le paragraphe 2 est modifié comme suit:</w:t>
      </w:r>
    </w:p>
    <w:p w:rsidR="001B5632" w:rsidRPr="00CB1818" w:rsidRDefault="001B5632" w:rsidP="001B5632">
      <w:pPr>
        <w:pStyle w:val="NummerierungStufe3"/>
      </w:pPr>
      <w:r>
        <w:t xml:space="preserve">Au point 3, lettre b, les mots </w:t>
      </w:r>
      <w:r>
        <w:rPr>
          <w:rStyle w:val="RevisionText"/>
        </w:rPr>
        <w:t>«le réseau social»</w:t>
      </w:r>
      <w:r>
        <w:t xml:space="preserve"> est remplacé par les mots </w:t>
      </w:r>
      <w:r>
        <w:rPr>
          <w:rStyle w:val="RevisionText"/>
        </w:rPr>
        <w:t>«le fournisseur du réseau social»</w:t>
      </w:r>
      <w:r>
        <w:t>.</w:t>
      </w:r>
    </w:p>
    <w:p w:rsidR="00AE356F" w:rsidRPr="00CB1818" w:rsidRDefault="00CE245D" w:rsidP="00715217">
      <w:pPr>
        <w:pStyle w:val="NummerierungStufe3"/>
        <w:keepNext/>
      </w:pPr>
      <w:r>
        <w:t>Les points 4 et 5 sont formulés comme suit:</w:t>
      </w:r>
    </w:p>
    <w:p w:rsidR="00CE245D" w:rsidRPr="00435424" w:rsidRDefault="00AE356F" w:rsidP="00FD1FA8">
      <w:pPr>
        <w:pStyle w:val="RevisionNummerierungStufe1manuell"/>
        <w:tabs>
          <w:tab w:val="clear" w:pos="425"/>
          <w:tab w:val="left" w:pos="1776"/>
        </w:tabs>
        <w:ind w:left="1776" w:hanging="500"/>
        <w:rPr>
          <w:bCs/>
        </w:rPr>
      </w:pPr>
      <w:r>
        <w:t>«4.</w:t>
      </w:r>
      <w:r>
        <w:tab/>
        <w:t xml:space="preserve">en cas de suppression, sécurise le contenu à titre de preuve et l’enregistre à cet effet pendant une période de dix semaines dans le cadre de la directive 2000/31/CE du Parlement européen et du Conseil du 8 juin 2000 relative à certains aspects juridiques des services de la société de l’information, notamment le commerce électronique, dans le marché intérieur (directive sur le commerce électronique) (JO L 178 du 17.7.2000, p. 1) et de la directive 2010/13/UE du Parlement européen et du Conseil du 10 mars 2010 sur la coordination de certaines dispositions juridiques et administratives des États membres concernant la fourniture de services de médias audiovisuels (directive sur les services de médias audiovisuels) (JO L 95 du 15.4.2010, p. 1; L 263 du 6.10.2010, p. 15) modifiée par la directive (UE) 2018/1808 (JO L 303 du 28.11.2018, p. 69), </w:t>
      </w:r>
    </w:p>
    <w:p w:rsidR="008331B2" w:rsidRPr="00CB1818" w:rsidRDefault="008A766D" w:rsidP="00715217">
      <w:pPr>
        <w:pStyle w:val="RevisionNummerierungStufe1manuell"/>
        <w:keepNext/>
        <w:tabs>
          <w:tab w:val="clear" w:pos="425"/>
          <w:tab w:val="left" w:pos="1776"/>
        </w:tabs>
        <w:ind w:left="1776"/>
        <w:rPr>
          <w:bCs/>
        </w:rPr>
      </w:pPr>
      <w:r>
        <w:t>5.</w:t>
      </w:r>
      <w:r>
        <w:tab/>
        <w:t>informer immédiatement le plaignant et l’utilisateur, pour qui le contenu contesté a été enregistré, de chaque décision et ce faisant</w:t>
      </w:r>
    </w:p>
    <w:p w:rsidR="008331B2" w:rsidRPr="00CB1818" w:rsidRDefault="008331B2" w:rsidP="00FD1FA8">
      <w:pPr>
        <w:pStyle w:val="RevisionNummerierungStufe2"/>
        <w:numPr>
          <w:ilvl w:val="4"/>
          <w:numId w:val="7"/>
        </w:numPr>
        <w:tabs>
          <w:tab w:val="clear" w:pos="850"/>
          <w:tab w:val="num" w:pos="2201"/>
        </w:tabs>
        <w:ind w:left="2201"/>
      </w:pPr>
      <w:r>
        <w:t>justifier sa décision,</w:t>
      </w:r>
    </w:p>
    <w:p w:rsidR="008A766D" w:rsidRPr="00CB1818" w:rsidRDefault="006465AD" w:rsidP="00FD1FA8">
      <w:pPr>
        <w:pStyle w:val="RevisionNummerierungStufe2"/>
        <w:tabs>
          <w:tab w:val="clear" w:pos="850"/>
          <w:tab w:val="num" w:pos="2201"/>
        </w:tabs>
        <w:ind w:left="2201"/>
      </w:pPr>
      <w:r>
        <w:t>indique la possibilité d’un appel selon l’article 3b, paragraphe 1, phrase 2, la procédure prévue à cet effet selon l’article 3b, paragraphe 1, phrase 3, le délai selon l’article 3b, paragraphe 1, phrase 2, ainsi que le fait que le contenu de l’appel puisse être transmis dans le cadre de la procédure selon l’article 3b, paragraphe 2, point 1, et</w:t>
      </w:r>
    </w:p>
    <w:p w:rsidR="008331B2" w:rsidRPr="00CB1818" w:rsidRDefault="008331B2" w:rsidP="00FD1FA8">
      <w:pPr>
        <w:pStyle w:val="RevisionNummerierungStufe2"/>
        <w:tabs>
          <w:tab w:val="clear" w:pos="850"/>
          <w:tab w:val="num" w:pos="2201"/>
        </w:tabs>
        <w:ind w:left="2201"/>
      </w:pPr>
      <w:r>
        <w:t>informe le plaignant qu’il peut dénoncer l’utilisateur et, si nécessaire, porter plainte contre l’utilisateur pour lequel le contenu contesté a été enregistré, et sur quel site internet il reçoit des informations complémentaires à ce sujet.»</w:t>
      </w:r>
    </w:p>
    <w:p w:rsidR="00D31A36" w:rsidRPr="00CB1818" w:rsidRDefault="00E94ACD" w:rsidP="00715217">
      <w:pPr>
        <w:pStyle w:val="NummerierungStufe3"/>
        <w:keepNext/>
      </w:pPr>
      <w:r>
        <w:t>Les phrases suivantes sont ajoutées:</w:t>
      </w:r>
    </w:p>
    <w:p w:rsidR="00D31A36" w:rsidRPr="00CB1818" w:rsidRDefault="00D31A36" w:rsidP="00FD1FA8">
      <w:pPr>
        <w:pStyle w:val="RevisionJuristischerAbsatzFolgeabsatz"/>
        <w:ind w:left="1276"/>
        <w:rPr>
          <w:rStyle w:val="RevisionText"/>
        </w:rPr>
      </w:pPr>
      <w:r>
        <w:rPr>
          <w:rStyle w:val="RevisionText"/>
        </w:rPr>
        <w:t>«Dans le cas de la phrase 1, point 3, lettre b, le fournisseur du réseau social de l’institution reconnue d’autorégulation réglementée peut divulguer le contenu contesté, des informations sur le moment du partage ou de la mise à disposition du contenu et l’étendue de sa diffusion, ainsi que des contenus qui permettent d’éclaircir le contexte du contenu dans la mesure où cela est nécessaire aux fins de la décision. L’institution d’autorégulation réglementée est autorisée à traiter les données personnelles concernées dans la mesure nécessaire au contrôle. Toute inexactitude dans la décision prise par l’institution reconnue d’autorégulation réglementée dans le cas de la phrase 1, point 3, lettre b ne constitue pas une violation par le fournisseur du réseau social contre le paragraphe 1, phrase 1.»</w:t>
      </w:r>
    </w:p>
    <w:p w:rsidR="008331B2" w:rsidRPr="00CB1818" w:rsidRDefault="008331B2" w:rsidP="00715217">
      <w:pPr>
        <w:pStyle w:val="NummerierungStufe2"/>
        <w:keepNext/>
      </w:pPr>
      <w:r>
        <w:t>Le paragraphe 6 est modifié comme suit:</w:t>
      </w:r>
    </w:p>
    <w:p w:rsidR="009E7D6E" w:rsidRPr="00CB1818" w:rsidRDefault="002F6D0D" w:rsidP="008331B2">
      <w:pPr>
        <w:pStyle w:val="NummerierungStufe3"/>
      </w:pPr>
      <w:r>
        <w:t xml:space="preserve">Au point 3, le mot </w:t>
      </w:r>
      <w:r>
        <w:rPr>
          <w:rStyle w:val="RevisionText"/>
        </w:rPr>
        <w:t>«prévoit»</w:t>
      </w:r>
      <w:r>
        <w:t xml:space="preserve"> est remplacé par les mots </w:t>
      </w:r>
      <w:r>
        <w:rPr>
          <w:rStyle w:val="RevisionText"/>
        </w:rPr>
        <w:t>«prévoit, à la demande du plaignant et à la demande de l’utilisateur pour lequel le contenu contesté a été enregistré, et»</w:t>
      </w:r>
      <w:r>
        <w:t xml:space="preserve">. </w:t>
      </w:r>
    </w:p>
    <w:p w:rsidR="008331B2" w:rsidRPr="00CB1818" w:rsidRDefault="008331B2" w:rsidP="008331B2">
      <w:pPr>
        <w:pStyle w:val="NummerierungStufe3"/>
      </w:pPr>
      <w:r>
        <w:t>Le point 4 est supprimé.</w:t>
      </w:r>
    </w:p>
    <w:p w:rsidR="002F6D0D" w:rsidRPr="00CB1818" w:rsidRDefault="002F6D0D" w:rsidP="008331B2">
      <w:pPr>
        <w:pStyle w:val="NummerierungStufe3"/>
      </w:pPr>
      <w:r>
        <w:t>Le point 5 devient le point 4.</w:t>
      </w:r>
    </w:p>
    <w:p w:rsidR="00654A16" w:rsidRPr="00CB1818" w:rsidRDefault="00654A16" w:rsidP="00715217">
      <w:pPr>
        <w:pStyle w:val="NummerierungStufe2"/>
        <w:keepNext/>
      </w:pPr>
      <w:r>
        <w:t>Les phrases suivantes sont ajoutées au paragraphe 7:</w:t>
      </w:r>
    </w:p>
    <w:p w:rsidR="00654A16" w:rsidRPr="00435424" w:rsidRDefault="00654A16" w:rsidP="00FD1FA8">
      <w:pPr>
        <w:pStyle w:val="RevisionJuristischerAbsatzFolgeabsatz"/>
        <w:ind w:left="850"/>
      </w:pPr>
      <w:r>
        <w:t>«La décision peut être assortie de dispositions accessoires. Un délai ne doit pas être inférieur à cinq ans.»</w:t>
      </w:r>
    </w:p>
    <w:p w:rsidR="00654A16" w:rsidRPr="00CB1818" w:rsidRDefault="00654A16" w:rsidP="00715217">
      <w:pPr>
        <w:pStyle w:val="NummerierungStufe2"/>
        <w:keepNext/>
      </w:pPr>
      <w:r>
        <w:t>Après le paragraphe 7, les paragraphes 8 et 9 suivants sont ajoutés:</w:t>
      </w:r>
    </w:p>
    <w:p w:rsidR="00654A16" w:rsidRPr="00435424" w:rsidRDefault="00654A16" w:rsidP="00FD1FA8">
      <w:pPr>
        <w:pStyle w:val="RevisionJuristischerAbsatzmanuell"/>
        <w:tabs>
          <w:tab w:val="clear" w:pos="850"/>
          <w:tab w:val="left" w:pos="1700"/>
        </w:tabs>
        <w:ind w:left="850" w:firstLine="350"/>
      </w:pPr>
      <w:r>
        <w:t>«(8) L’institution reconnue d’autorégulation réglementée doit immédiatement informer l’autorité administrative mentionnée à l’article 4 de l’évolution des circonstances pertinentes pour la reconnaissance et des autres informations fournies dans la demande de reconnaissance.</w:t>
      </w:r>
    </w:p>
    <w:p w:rsidR="00654A16" w:rsidRPr="00435424" w:rsidRDefault="00654A16" w:rsidP="00FD1FA8">
      <w:pPr>
        <w:pStyle w:val="RevisionJuristischerAbsatzmanuell"/>
        <w:tabs>
          <w:tab w:val="clear" w:pos="850"/>
          <w:tab w:val="left" w:pos="1700"/>
        </w:tabs>
        <w:ind w:left="850"/>
      </w:pPr>
      <w:r>
        <w:t>(9) L’institution reconnue d’autorégulation réglementée doit publier un rapport d’activité de l’année civile précédente sur son site internet au plus tard le 31 juillet de chaque année et le transmettre à l’autorité administrative mentionnée à l’article 4.»</w:t>
      </w:r>
    </w:p>
    <w:p w:rsidR="00E43EFE" w:rsidRPr="00CB1818" w:rsidRDefault="00E43EFE" w:rsidP="00E43EFE">
      <w:pPr>
        <w:pStyle w:val="NummerierungStufe2"/>
      </w:pPr>
      <w:r>
        <w:t>Les actuels paragraphes 8 et 9 deviennent les paragraphes 10 et 11.</w:t>
      </w:r>
    </w:p>
    <w:p w:rsidR="007068D4" w:rsidRPr="00CB1818" w:rsidRDefault="007068D4" w:rsidP="00715217">
      <w:pPr>
        <w:pStyle w:val="NummerierungStufe1"/>
        <w:keepNext/>
      </w:pPr>
      <w:r>
        <w:t>Les articles 3b à 3f suivants sont insérés après l’article 3a:</w:t>
      </w:r>
    </w:p>
    <w:p w:rsidR="007068D4" w:rsidRPr="00CB1818" w:rsidRDefault="007068D4" w:rsidP="00FD1FA8">
      <w:pPr>
        <w:pStyle w:val="RevisionParagraphBezeichnermanuell"/>
        <w:ind w:left="425" w:hanging="75"/>
      </w:pPr>
      <w:r>
        <w:t>«Article 3b</w:t>
      </w:r>
    </w:p>
    <w:p w:rsidR="00222B8C" w:rsidRPr="00CB1818" w:rsidRDefault="00222B8C" w:rsidP="00FD1FA8">
      <w:pPr>
        <w:pStyle w:val="RevisionParagraphberschrift"/>
        <w:ind w:left="425"/>
      </w:pPr>
      <w:r>
        <w:t>Procédure d’appel</w:t>
      </w:r>
    </w:p>
    <w:p w:rsidR="007068D4" w:rsidRPr="00435424" w:rsidRDefault="00222B8C" w:rsidP="00FD1FA8">
      <w:pPr>
        <w:pStyle w:val="RevisionJuristischerAbsatz"/>
        <w:numPr>
          <w:ilvl w:val="2"/>
          <w:numId w:val="1"/>
        </w:numPr>
        <w:tabs>
          <w:tab w:val="clear" w:pos="850"/>
          <w:tab w:val="left" w:pos="1275"/>
        </w:tabs>
        <w:ind w:left="425"/>
      </w:pPr>
      <w:r>
        <w:t>Le fournisseur d’un réseau social doit maintenir une procédure efficace et transparente conformément au paragraphe 2, avec laquelle le plaignant et l’utilisateur, pour lesquels le contenu contesté a été enregistré, peuvent mettre en œuvre une procédure de contrôle d’une décision (décision initiale) prise conformément à l’article 3, paragraphe 2, phrase 1, points 1 à 3, lettre a. Le contrôle n’est requis que si le plaignant ou l’utilisateur pour lequel le contenu contesté a été enregistré présente une demande motivée dans un délai de deux semaines après avoir été informé de la décision initiale (appel). À cette fin, le fournisseur du réseau social doit fournir une procédure facilement reconnaissable qui permette une prise de contact électronique facile et une communication sans intermédiaire. La possibilité d’une prise de contact doit également être ouverte dans le cadre de l’instruction selon l’article 3, paragraphe 2, phrase 1, point 5, lettre b.</w:t>
      </w:r>
    </w:p>
    <w:p w:rsidR="007068D4" w:rsidRPr="00CB1818" w:rsidRDefault="004420C8" w:rsidP="00715217">
      <w:pPr>
        <w:pStyle w:val="RevisionJuristischerAbsatz"/>
        <w:keepNext/>
        <w:numPr>
          <w:ilvl w:val="2"/>
          <w:numId w:val="1"/>
        </w:numPr>
        <w:tabs>
          <w:tab w:val="clear" w:pos="850"/>
          <w:tab w:val="left" w:pos="1275"/>
        </w:tabs>
        <w:ind w:left="425"/>
      </w:pPr>
      <w:r>
        <w:t>La procédure visée au paragraphe 1, phrase 1, doit garantir que le fournisseur de réseau social,</w:t>
      </w:r>
    </w:p>
    <w:p w:rsidR="004420C8" w:rsidRPr="00CB1818" w:rsidRDefault="00B00AD4" w:rsidP="00FD1FA8">
      <w:pPr>
        <w:pStyle w:val="RevisionNummerierungStufe1"/>
        <w:tabs>
          <w:tab w:val="clear" w:pos="425"/>
          <w:tab w:val="num" w:pos="850"/>
        </w:tabs>
        <w:ind w:left="850"/>
      </w:pPr>
      <w:r>
        <w:t>dans le cas où il souhaite remédier à l’appel, informe immédiatement l’utilisateur dans le cas d’un appel du plaignant et le plaignant dans le cas d’un appel de l’utilisateur du contenu de l’appel et donne à l’utilisateur dans le premier cas et au plaignant dans le second cas la possibilité de prendre position dans un délai raisonnable.</w:t>
      </w:r>
    </w:p>
    <w:p w:rsidR="00B00AD4" w:rsidRPr="00CB1818" w:rsidRDefault="00B00AD4" w:rsidP="00FD1FA8">
      <w:pPr>
        <w:pStyle w:val="RevisionNummerierungStufe1"/>
        <w:tabs>
          <w:tab w:val="clear" w:pos="425"/>
          <w:tab w:val="num" w:pos="850"/>
        </w:tabs>
        <w:ind w:left="850"/>
      </w:pPr>
      <w:r>
        <w:t>indique que le contenu de la prise de position d’un utilisateur peut être transmis au plaignant et que le contenu de la prise de position du plaignant peut être transmis à l’utilisateur,</w:t>
      </w:r>
    </w:p>
    <w:p w:rsidR="004420C8" w:rsidRPr="00CB1818" w:rsidRDefault="004420C8" w:rsidP="00FD1FA8">
      <w:pPr>
        <w:pStyle w:val="RevisionNummerierungStufe1"/>
        <w:tabs>
          <w:tab w:val="clear" w:pos="425"/>
          <w:tab w:val="num" w:pos="850"/>
        </w:tabs>
        <w:ind w:left="850"/>
      </w:pPr>
      <w:r>
        <w:t xml:space="preserve">soumette immédiatement sa décision initiale à un contrôle par une personne qui n’est pas concernée par la décision initiale, </w:t>
      </w:r>
    </w:p>
    <w:p w:rsidR="00B00AD4" w:rsidRPr="00CB1818" w:rsidRDefault="00470B42" w:rsidP="00FD1FA8">
      <w:pPr>
        <w:pStyle w:val="RevisionNummerierungStufe1"/>
        <w:tabs>
          <w:tab w:val="clear" w:pos="425"/>
          <w:tab w:val="num" w:pos="850"/>
        </w:tabs>
        <w:ind w:left="850"/>
      </w:pPr>
      <w:r>
        <w:t>transmette sa décision de contrôle au plaignant et à l’utilisateur immédiatement et la justifie au cas par cas et</w:t>
      </w:r>
    </w:p>
    <w:p w:rsidR="004420C8" w:rsidRPr="00CB1818" w:rsidRDefault="00E54B08" w:rsidP="00FD1FA8">
      <w:pPr>
        <w:pStyle w:val="RevisionNummerierungStufe1"/>
        <w:tabs>
          <w:tab w:val="clear" w:pos="425"/>
          <w:tab w:val="num" w:pos="850"/>
        </w:tabs>
        <w:ind w:left="850"/>
      </w:pPr>
      <w:r>
        <w:t>veille à ce que l’identité du plaignant et de l’utilisateur ne soit pas divulguée lors de la procédure.</w:t>
      </w:r>
    </w:p>
    <w:p w:rsidR="004420C8" w:rsidRPr="00CB1818" w:rsidRDefault="004420C8" w:rsidP="00FD1FA8">
      <w:pPr>
        <w:pStyle w:val="RevisionParagraphBezeichnermanuell"/>
        <w:ind w:left="425"/>
        <w:rPr>
          <w:rStyle w:val="Marker"/>
          <w:color w:val="800000"/>
        </w:rPr>
      </w:pPr>
      <w:r>
        <w:rPr>
          <w:rStyle w:val="Marker"/>
          <w:color w:val="800000"/>
        </w:rPr>
        <w:t>Article 3c</w:t>
      </w:r>
    </w:p>
    <w:p w:rsidR="002B001F" w:rsidRPr="00CB1818" w:rsidRDefault="002B001F" w:rsidP="00FD1FA8">
      <w:pPr>
        <w:pStyle w:val="RevisionParagraphberschrift"/>
        <w:ind w:left="425"/>
      </w:pPr>
      <w:r>
        <w:t>Arbitrage</w:t>
      </w:r>
    </w:p>
    <w:p w:rsidR="00C645CA" w:rsidRPr="00CB1818" w:rsidRDefault="001323B8" w:rsidP="00FD1FA8">
      <w:pPr>
        <w:pStyle w:val="RevisionJuristischerAbsatz"/>
        <w:numPr>
          <w:ilvl w:val="2"/>
          <w:numId w:val="5"/>
        </w:numPr>
        <w:tabs>
          <w:tab w:val="clear" w:pos="850"/>
          <w:tab w:val="num" w:pos="1275"/>
        </w:tabs>
        <w:ind w:left="425"/>
      </w:pPr>
      <w:r>
        <w:t xml:space="preserve">L’autorité administrative visée à l’article 4 peut reconnaître les organismes de droit privé comme organismes d’arbitrage pour le règlement extrajudiciaire des litiges entre plaignants ou utilisateurs pour lesquels le contenu contesté a été enregistré, et les fournisseurs de réseaux sociaux pour les décisions prises conformément à l’article 3, paragraphe 2, phrase 1, points 1 à 3. </w:t>
      </w:r>
    </w:p>
    <w:p w:rsidR="00BC1485" w:rsidRPr="00CB1818" w:rsidRDefault="00BC1485" w:rsidP="00715217">
      <w:pPr>
        <w:pStyle w:val="RevisionJuristischerAbsatz"/>
        <w:keepNext/>
        <w:numPr>
          <w:ilvl w:val="2"/>
          <w:numId w:val="5"/>
        </w:numPr>
        <w:tabs>
          <w:tab w:val="clear" w:pos="850"/>
          <w:tab w:val="num" w:pos="1275"/>
        </w:tabs>
        <w:ind w:left="425"/>
      </w:pPr>
      <w:r>
        <w:t>Un organisme de droit privé doit être reconnu comme organisme d’arbitrage conformément au paragraphe 1 si </w:t>
      </w:r>
    </w:p>
    <w:p w:rsidR="00BC1485" w:rsidRPr="00CB1818" w:rsidRDefault="00D268B7" w:rsidP="00FD1FA8">
      <w:pPr>
        <w:pStyle w:val="RevisionNummerierungStufe1"/>
        <w:tabs>
          <w:tab w:val="clear" w:pos="425"/>
          <w:tab w:val="num" w:pos="850"/>
        </w:tabs>
        <w:ind w:left="850"/>
        <w:rPr>
          <w:bCs/>
        </w:rPr>
      </w:pPr>
      <w:r>
        <w:t>il est rattaché à une personne morale domiciliée en Allemagne, de longue durée, et si son financement est assuré,</w:t>
      </w:r>
    </w:p>
    <w:p w:rsidR="00BC1485" w:rsidRPr="00CB1818" w:rsidRDefault="00BC1485" w:rsidP="00FD1FA8">
      <w:pPr>
        <w:pStyle w:val="RevisionNummerierungStufe1"/>
        <w:tabs>
          <w:tab w:val="clear" w:pos="425"/>
          <w:tab w:val="num" w:pos="850"/>
        </w:tabs>
        <w:ind w:left="850"/>
        <w:rPr>
          <w:bCs/>
        </w:rPr>
      </w:pPr>
      <w:r>
        <w:t xml:space="preserve">l’indépendance, l’impartialité et l’expertise de ceux qui doivent être impliqués dans l’arbitrage sont garanties, </w:t>
      </w:r>
    </w:p>
    <w:p w:rsidR="00BC1485" w:rsidRPr="00CB1818" w:rsidRDefault="00971461" w:rsidP="00FD1FA8">
      <w:pPr>
        <w:pStyle w:val="RevisionNummerierungStufe1"/>
        <w:tabs>
          <w:tab w:val="clear" w:pos="425"/>
          <w:tab w:val="num" w:pos="850"/>
        </w:tabs>
        <w:ind w:left="850"/>
        <w:rPr>
          <w:bCs/>
        </w:rPr>
      </w:pPr>
      <w:r>
        <w:t>son bon équipement et le traitement rapide des procédures d’arbitrage sont assurés,</w:t>
      </w:r>
    </w:p>
    <w:p w:rsidR="00D268B7" w:rsidRPr="00CB1818" w:rsidRDefault="00DC4F31" w:rsidP="00FD1FA8">
      <w:pPr>
        <w:pStyle w:val="RevisionNummerierungStufe1"/>
        <w:tabs>
          <w:tab w:val="clear" w:pos="425"/>
          <w:tab w:val="num" w:pos="850"/>
        </w:tabs>
        <w:ind w:left="850"/>
        <w:rPr>
          <w:bCs/>
        </w:rPr>
      </w:pPr>
      <w:r>
        <w:t>il dispose d’un règlement d’arbitrage qui régit les détails de la procédure d’arbitrage et ses responsabilités et qui permet une procédure d’arbitrage simple, peu coûteuse, non contraignante et équitable à laquelle participent le fournisseur du réseau social, les plaignants et l’utilisateur pour lequel le contenu contesté a été enregistré,</w:t>
      </w:r>
    </w:p>
    <w:p w:rsidR="00BC1485" w:rsidRPr="00CB1818" w:rsidRDefault="00D268B7" w:rsidP="00FD1FA8">
      <w:pPr>
        <w:pStyle w:val="RevisionNummerierungStufe1"/>
        <w:tabs>
          <w:tab w:val="clear" w:pos="425"/>
          <w:tab w:val="num" w:pos="850"/>
        </w:tabs>
        <w:ind w:left="850"/>
        <w:rPr>
          <w:bCs/>
        </w:rPr>
      </w:pPr>
      <w:r>
        <w:t>il est assuré que le public est informé en permanence de l’accessibilité et de la responsabilité de l’organisme d’arbitrage et du déroulement de la procédure d’arbitrage, y compris les règles d’arbitrage.</w:t>
      </w:r>
    </w:p>
    <w:p w:rsidR="006432C7" w:rsidRPr="00CB1818" w:rsidRDefault="006432C7" w:rsidP="00FD1FA8">
      <w:pPr>
        <w:pStyle w:val="RevisionJuristischerAbsatzFolgeabsatz"/>
        <w:ind w:left="425"/>
      </w:pPr>
      <w:r>
        <w:t>L’article 3, paragraphe 7, phrases 2 et 3, et les paragraphes 8 à 10 s’appliquent par analogie.</w:t>
      </w:r>
    </w:p>
    <w:p w:rsidR="006432C7" w:rsidRPr="00CB1818" w:rsidRDefault="006432C7" w:rsidP="00FD1FA8">
      <w:pPr>
        <w:pStyle w:val="RevisionJuristischerAbsatz"/>
        <w:numPr>
          <w:ilvl w:val="2"/>
          <w:numId w:val="5"/>
        </w:numPr>
        <w:tabs>
          <w:tab w:val="clear" w:pos="850"/>
          <w:tab w:val="num" w:pos="1275"/>
        </w:tabs>
        <w:ind w:left="425"/>
      </w:pPr>
      <w:r>
        <w:t>Les plaignants et les utilisateurs pour lesquels le contenu contesté a été enregistré peuvent solliciter un organisme d’arbitrage dans le cadre de leurs compétences si une procédure d’appel conformément à l’article 3b a déjà été effectuée ou si la décision au sens de l’article 3, paragraphe 6, point 3 a été examinée et si le fournisseur du réseau social en général ou dans des cas individuels participe à l’arbitrage de l’organisme d’arbitrage. Si le fournisseur participe à l’arbitrage, il peut transmettre à l’organisme d’arbitrage le contenu contesté, des informations sur le moment du partage ou de la mise à disposition du contenu et l’étendue de la diffusion, ainsi que des contenus qui permettent d’éclaircir le contexte du contenu, dans la mesure où cela est nécessaire au processus d’arbitrage; en cas d’appel auprès de l’organisme d’arbitrage par le plaignant, les coordonnées de l’utilisateur pour lequel le contenu contesté a été enregistré et, en cas d’appel auprès de l’organisme d’arbitrage par l’utilisateur pour lequel le contenu contesté a été enregistré, les coordonnées du plaignant peuvent également être transmises. L’organisme d’arbitrage est autorisé à traiter les données personnelles pertinentes dans la mesure où cela est nécessaire pour la procédure d’arbitrage; la divulgation des données personnelles du plaignant et de l’utilisateur pour lequel le contenu contesté a été enregistré est exclue.</w:t>
      </w:r>
    </w:p>
    <w:p w:rsidR="009E7EF3" w:rsidRPr="00CB1818" w:rsidRDefault="00BC1485" w:rsidP="00FD1FA8">
      <w:pPr>
        <w:pStyle w:val="RevisionJuristischerAbsatz"/>
        <w:numPr>
          <w:ilvl w:val="2"/>
          <w:numId w:val="5"/>
        </w:numPr>
        <w:tabs>
          <w:tab w:val="clear" w:pos="850"/>
          <w:tab w:val="num" w:pos="1275"/>
        </w:tabs>
        <w:ind w:left="425"/>
      </w:pPr>
      <w:r>
        <w:t>La participation à la procédure d’arbitrage s’effectue sur une base volontaire. Le droit de faire appel devant les tribunaux n’est pas affecté. La loi sur la résolution des litiges de consommation du 19 février 2016 (Journal officiel de la République fédérale d’Allemagne I, pp. 254 et 1039), modifiée par l’article 1er de la loi du 30 novembre 2019 (Journal officiel de la République fédérale d’Allemagne I, p. 1942), n’est pas applicable.</w:t>
      </w:r>
    </w:p>
    <w:p w:rsidR="000125D5" w:rsidRPr="00CB1818" w:rsidRDefault="000125D5" w:rsidP="00FD1FA8">
      <w:pPr>
        <w:pStyle w:val="RevisionParagraphBezeichnermanuell"/>
        <w:ind w:left="425"/>
      </w:pPr>
      <w:r>
        <w:t>Article 3d</w:t>
      </w:r>
    </w:p>
    <w:p w:rsidR="000125D5" w:rsidRPr="00CB1818" w:rsidRDefault="006D22CC" w:rsidP="00FD1FA8">
      <w:pPr>
        <w:pStyle w:val="RevisionParagraphberschrift"/>
        <w:ind w:left="425"/>
      </w:pPr>
      <w:r>
        <w:t xml:space="preserve">Définitions pour les services de plate-forme de partage de vidéos </w:t>
      </w:r>
    </w:p>
    <w:p w:rsidR="000125D5" w:rsidRPr="00CB1818" w:rsidRDefault="000125D5" w:rsidP="00715217">
      <w:pPr>
        <w:pStyle w:val="RevisionJuristischerAbsatz"/>
        <w:keepNext/>
        <w:numPr>
          <w:ilvl w:val="2"/>
          <w:numId w:val="2"/>
        </w:numPr>
        <w:tabs>
          <w:tab w:val="clear" w:pos="850"/>
          <w:tab w:val="left" w:pos="1275"/>
        </w:tabs>
        <w:ind w:left="425"/>
      </w:pPr>
      <w:r>
        <w:t>Au sens de la présente loi</w:t>
      </w:r>
    </w:p>
    <w:p w:rsidR="009920AA" w:rsidRPr="00CB1818" w:rsidRDefault="000125D5" w:rsidP="00715217">
      <w:pPr>
        <w:pStyle w:val="RevisionNummerierungStufe1"/>
        <w:keepNext/>
        <w:tabs>
          <w:tab w:val="clear" w:pos="425"/>
          <w:tab w:val="num" w:pos="850"/>
        </w:tabs>
        <w:ind w:left="850"/>
      </w:pPr>
      <w:r>
        <w:t xml:space="preserve">sont considérés comme des services de plate-forme de partage de vidéos </w:t>
      </w:r>
    </w:p>
    <w:p w:rsidR="009920AA" w:rsidRPr="00CB1818" w:rsidRDefault="000125D5" w:rsidP="00FD1FA8">
      <w:pPr>
        <w:pStyle w:val="RevisionNummerierungStufe2"/>
        <w:tabs>
          <w:tab w:val="clear" w:pos="850"/>
          <w:tab w:val="num" w:pos="1275"/>
        </w:tabs>
        <w:ind w:left="1275"/>
      </w:pPr>
      <w:r>
        <w:t xml:space="preserve">les télémédias dont le but principal du service ou une fonction essentielle du service est de mettre à disposition du grand public des programmes ou des vidéos générées par les utilisateurs, pour lesquels le fournisseur de services n’a aucune responsabilité éditoriale. Le fournisseur de services détermine néanmoins l’organisation des programmes ou des vidéos générées par les utilisateurs, notamment par des moyens automatiques; </w:t>
      </w:r>
    </w:p>
    <w:p w:rsidR="000125D5" w:rsidRPr="00CB1818" w:rsidRDefault="001323B8" w:rsidP="00FD1FA8">
      <w:pPr>
        <w:pStyle w:val="RevisionNummerierungStufe2"/>
        <w:tabs>
          <w:tab w:val="clear" w:pos="850"/>
          <w:tab w:val="num" w:pos="1275"/>
        </w:tabs>
        <w:ind w:left="1275"/>
      </w:pPr>
      <w:r>
        <w:t>des parties séparables de télémédias, si le but principal de la partie séparable est spécifié dans la lettre a,</w:t>
      </w:r>
    </w:p>
    <w:p w:rsidR="0082769B" w:rsidRPr="00CB1818" w:rsidRDefault="0082769B" w:rsidP="00FD1FA8">
      <w:pPr>
        <w:pStyle w:val="RevisionNummerierungStufe1"/>
        <w:tabs>
          <w:tab w:val="clear" w:pos="425"/>
          <w:tab w:val="num" w:pos="850"/>
        </w:tabs>
        <w:ind w:left="850"/>
      </w:pPr>
      <w:r>
        <w:t>est considérée comme une vidéo générée par un utilisateur une séquence d’images animées avec ou sans son créée par un utilisateur, qui représente un composant individuel quelle que soit sa durée et qui est téléchargée sur un service de partage de vidéos par cet utilisateur ou un autre utilisateur,</w:t>
      </w:r>
    </w:p>
    <w:p w:rsidR="0082769B" w:rsidRPr="00CB1818" w:rsidRDefault="0082769B" w:rsidP="00FD1FA8">
      <w:pPr>
        <w:pStyle w:val="RevisionNummerierungStufe1"/>
        <w:tabs>
          <w:tab w:val="clear" w:pos="425"/>
          <w:tab w:val="num" w:pos="850"/>
        </w:tabs>
        <w:ind w:left="850"/>
      </w:pPr>
      <w:r>
        <w:t>est considéré comme un programme une séquence d’images animées avec ou sans son qui, quelle que soit sa durée, fait partie intégrante d’un plan de transmission ou d’un catalogue établi par un fournisseur de services,</w:t>
      </w:r>
    </w:p>
    <w:p w:rsidR="00532E0F" w:rsidRPr="00CB1818" w:rsidRDefault="00494DCB" w:rsidP="00FD1FA8">
      <w:pPr>
        <w:pStyle w:val="RevisionNummerierungStufe1"/>
        <w:tabs>
          <w:tab w:val="clear" w:pos="425"/>
          <w:tab w:val="num" w:pos="850"/>
        </w:tabs>
        <w:ind w:left="850"/>
      </w:pPr>
      <w:r>
        <w:t>est considéré comme un État membre tout État membre de l’Union européenne et tout autre signataire de l’accord sur l’Espace économique européen auquel s’applique la directive 2010/13/UE,</w:t>
      </w:r>
    </w:p>
    <w:p w:rsidR="00532E0F" w:rsidRPr="00CB1818" w:rsidRDefault="00532E0F" w:rsidP="00FD1FA8">
      <w:pPr>
        <w:pStyle w:val="RevisionNummerierungStufe1"/>
        <w:tabs>
          <w:tab w:val="clear" w:pos="425"/>
          <w:tab w:val="num" w:pos="850"/>
        </w:tabs>
        <w:ind w:left="850"/>
        <w:rPr>
          <w:bCs/>
        </w:rPr>
      </w:pPr>
      <w:r>
        <w:t>est considérée comme une société mère une société qui contrôle une ou plusieurs filiales,</w:t>
      </w:r>
    </w:p>
    <w:p w:rsidR="00532E0F" w:rsidRPr="00CB1818" w:rsidRDefault="00532E0F" w:rsidP="00FD1FA8">
      <w:pPr>
        <w:pStyle w:val="RevisionNummerierungStufe1"/>
        <w:tabs>
          <w:tab w:val="clear" w:pos="425"/>
          <w:tab w:val="num" w:pos="850"/>
        </w:tabs>
        <w:ind w:left="850"/>
        <w:rPr>
          <w:bCs/>
        </w:rPr>
      </w:pPr>
      <w:r>
        <w:t>est considérée comme une filiale une société contrôlée directement ou indirectement par une société mère,</w:t>
      </w:r>
    </w:p>
    <w:p w:rsidR="00494DCB" w:rsidRPr="00CB1818" w:rsidRDefault="00532E0F" w:rsidP="00FD1FA8">
      <w:pPr>
        <w:pStyle w:val="RevisionNummerierungStufe1"/>
        <w:tabs>
          <w:tab w:val="clear" w:pos="425"/>
          <w:tab w:val="num" w:pos="850"/>
        </w:tabs>
        <w:ind w:left="850"/>
        <w:rPr>
          <w:bCs/>
        </w:rPr>
      </w:pPr>
      <w:r>
        <w:t>est considéré comme un groupe l’ensemble des sociétés mères, toutes ses filiales et toutes les autres sociétés liées économiquement et juridiquement à la société mère et à ses filiales.</w:t>
      </w:r>
    </w:p>
    <w:p w:rsidR="00494DCB" w:rsidRPr="00CB1818" w:rsidRDefault="00494DCB" w:rsidP="00715217">
      <w:pPr>
        <w:pStyle w:val="RevisionJuristischerAbsatz"/>
        <w:keepNext/>
        <w:tabs>
          <w:tab w:val="clear" w:pos="850"/>
          <w:tab w:val="num" w:pos="1275"/>
        </w:tabs>
        <w:suppressAutoHyphens/>
        <w:ind w:left="425"/>
      </w:pPr>
      <w:r>
        <w:t>Aux fins de la présente loi est considéré comme le siège d’un fournisseur de services de plate-forme de partage de vidéos l’État membre sur le territoire duquel le fournisseur est établi. Si un fournisseur de services de plate-forme de partage de vidéos n’est pas établi sur le territoire d’un État membre, l’État membre est le pays où</w:t>
      </w:r>
    </w:p>
    <w:p w:rsidR="00494DCB" w:rsidRPr="00CB1818" w:rsidRDefault="00494DCB" w:rsidP="00FD1FA8">
      <w:pPr>
        <w:pStyle w:val="RevisionNummerierungStufe1"/>
        <w:tabs>
          <w:tab w:val="clear" w:pos="425"/>
          <w:tab w:val="num" w:pos="850"/>
        </w:tabs>
        <w:ind w:left="850"/>
      </w:pPr>
      <w:r>
        <w:t>une société mère ou une filiale du fournisseur, ou</w:t>
      </w:r>
    </w:p>
    <w:p w:rsidR="00A76F3C" w:rsidRPr="00CB1818" w:rsidRDefault="00A76F3C" w:rsidP="00FD1FA8">
      <w:pPr>
        <w:pStyle w:val="RevisionNummerierungStufe1"/>
        <w:tabs>
          <w:tab w:val="clear" w:pos="425"/>
          <w:tab w:val="num" w:pos="850"/>
        </w:tabs>
        <w:ind w:left="850"/>
      </w:pPr>
      <w:r>
        <w:t>une autre entreprise d’un groupe dont fait partie le fournisseur</w:t>
      </w:r>
    </w:p>
    <w:p w:rsidR="00494DCB" w:rsidRPr="00CB1818" w:rsidRDefault="00A76F3C" w:rsidP="00FD1FA8">
      <w:pPr>
        <w:pStyle w:val="RevisionJuristischerAbsatzFolgeabsatz"/>
        <w:ind w:left="425"/>
      </w:pPr>
      <w:r>
        <w:t>est établie.</w:t>
      </w:r>
    </w:p>
    <w:p w:rsidR="00532E0F" w:rsidRPr="00CB1818" w:rsidRDefault="000535D0" w:rsidP="00FD1FA8">
      <w:pPr>
        <w:pStyle w:val="RevisionJuristischerAbsatz"/>
        <w:tabs>
          <w:tab w:val="clear" w:pos="850"/>
          <w:tab w:val="num" w:pos="1275"/>
        </w:tabs>
        <w:ind w:left="425"/>
      </w:pPr>
      <w:r>
        <w:t>Si, dans les cas du paragraphe 2, phrase 2, la société mère, la filiale ou les autres sociétés du groupe sont chacune établies dans des États membres différents, le fournisseur est considéré comme établi dans l’État membre dans lequel sa société mère est établie ou, en l’absence d’un tel établissement, dans l’État membre dans lequel sa filiale est établie ou, en l’absence d’un tel établissement, dans l’État membre dans lequel l’autre société du groupe est établie. S’il existe plusieurs filiales et que chacune de ces filiales est établie dans un État membre différent, le fournisseur est considéré comme établi dans l’État membre dans lequel l’une des filiales a commencé ses activités, à condition que la filiale s’inscrive en permanence et effectivement dans l’économie de cet État membre. S’il existe plusieurs autres sociétés faisant partie du groupe, dont chacune est établie dans un État membre différent, le fournisseur est considéré comme établi dans l’État membre dans lequel l’une de ces sociétés a commencé ses activités, à condition que la filiale s’inscrive en permanence et effectivement dans l’économie de cet État membre.</w:t>
      </w:r>
    </w:p>
    <w:p w:rsidR="00F94A8E" w:rsidRPr="00CB1818" w:rsidRDefault="0068712E" w:rsidP="00FD1FA8">
      <w:pPr>
        <w:pStyle w:val="RevisionJuristischerAbsatz"/>
        <w:tabs>
          <w:tab w:val="clear" w:pos="850"/>
          <w:tab w:val="num" w:pos="1275"/>
        </w:tabs>
        <w:ind w:left="425"/>
      </w:pPr>
      <w:r>
        <w:t>En cas de désaccord entre l’autorité administrative mentionnée à l’article 4 et une autorité d’un autre État membre au sujet de quel État membre est ou est considéré comme le siège d’un fournisseur de services de plate-forme de partage de vidéos, l’autorité administrative mentionnée à l’article 4 informera immédiatement la Commission européenne.</w:t>
      </w:r>
    </w:p>
    <w:p w:rsidR="000A5E86" w:rsidRPr="00CB1818" w:rsidRDefault="000A5E86" w:rsidP="00FD1FA8">
      <w:pPr>
        <w:pStyle w:val="RevisionParagraphBezeichnermanuell"/>
        <w:ind w:left="425"/>
      </w:pPr>
      <w:r>
        <w:t>Article 3e</w:t>
      </w:r>
    </w:p>
    <w:p w:rsidR="000A5E86" w:rsidRPr="00CB1818" w:rsidRDefault="00092488" w:rsidP="00FD1FA8">
      <w:pPr>
        <w:pStyle w:val="RevisionParagraphberschrift"/>
        <w:ind w:left="425"/>
      </w:pPr>
      <w:r>
        <w:t>Réglementation applicable aux services de plate-forme de partage de vidéos</w:t>
      </w:r>
    </w:p>
    <w:p w:rsidR="000A5E86" w:rsidRPr="00CB1818" w:rsidRDefault="000A5E86" w:rsidP="00FD1FA8">
      <w:pPr>
        <w:pStyle w:val="RevisionJuristischerAbsatz"/>
        <w:numPr>
          <w:ilvl w:val="2"/>
          <w:numId w:val="3"/>
        </w:numPr>
        <w:tabs>
          <w:tab w:val="clear" w:pos="850"/>
          <w:tab w:val="left" w:pos="1275"/>
        </w:tabs>
        <w:ind w:left="425"/>
      </w:pPr>
      <w:r>
        <w:t>Cette loi s’applique aux fournisseurs de services de plate-forme de partage de vidéos, sauf indication contraire aux paragraphes 2 et 3.</w:t>
      </w:r>
    </w:p>
    <w:p w:rsidR="000A5E86" w:rsidRPr="00CB1818" w:rsidRDefault="000A5E86" w:rsidP="00FD1FA8">
      <w:pPr>
        <w:pStyle w:val="RevisionJuristischerAbsatz"/>
        <w:numPr>
          <w:ilvl w:val="2"/>
          <w:numId w:val="3"/>
        </w:numPr>
        <w:tabs>
          <w:tab w:val="clear" w:pos="850"/>
          <w:tab w:val="left" w:pos="1275"/>
        </w:tabs>
        <w:ind w:left="425"/>
      </w:pPr>
      <w:r>
        <w:t>Pour les fournisseurs de services de plate-forme de partage de vidéos qui comptent moins de deux millions d’utilisateurs répertoriés en Allemagne, cette loi ne s’applique que si la République fédérale d’Allemagne est le siège conformément à l’article 3d, paragraphes 2 et 3, ou est considérée comme le siège. Cette loi ne s’applique à ces fournisseurs qu’en ce qui concerne les vidéos et émissions générées par les utilisateurs conformément à l’article 3d, paragraphe 1, points 2 et 3, dont les contenus tombent sous le coup des articles 111, 130, paragraphe 1 ou 2, des articles 131, 140, 166 ou 184b conjointement avec l’article 184d du Code pénal, et ne sont pas justifiés. En dérogation à l’article 1, paragraphe 2, ces fournisseurs de services de plate-forme de partage de vidéos sont exemptés des obligations prévues aux articles 2 et 3, paragraphe 2, phrase 1, points 3 et 4, au paragraphe 4 et à l’article 3a.</w:t>
      </w:r>
    </w:p>
    <w:p w:rsidR="00983F01" w:rsidRPr="00CB1818" w:rsidRDefault="00983F01" w:rsidP="00FD1FA8">
      <w:pPr>
        <w:pStyle w:val="RevisionJuristischerAbsatz"/>
        <w:numPr>
          <w:ilvl w:val="2"/>
          <w:numId w:val="3"/>
        </w:numPr>
        <w:tabs>
          <w:tab w:val="clear" w:pos="850"/>
          <w:tab w:val="left" w:pos="1275"/>
        </w:tabs>
        <w:ind w:left="425"/>
      </w:pPr>
      <w:r>
        <w:t>Pour les fournisseurs de services de plate-forme de partage de vidéos pour lesquels un État membre autre que la République fédérale d’Allemagne est ou est considéré comme le siège conformément à l’article 3d, paragraphes 2 et 3, les obligations conformément aux articles 2, 3 et 3b s’appliquent aux vidéos et émissions générées par les utilisateurs désignés au paragraphe 2, phrase 2, uniquement sur la base et dans la mesure d’une ordonnance de l’autorité désignée à l’article 4. L’ordonnance ne peut être émise que si les exigences de l’article 3, paragraphe 5 de la loi sur les télémédias du 26 février 2007 (Journal officiel de la République fédérale d’Allemagne I, p. 179), modifiée en dernier lieu par ... [article 5 du projet de loi sur la lutte contre l’extrémisme de droite et les crimes inspirés par la haine, imprimé 87/20 du Conseil fédéral], sont remplies dans la version en vigueur et conformément aux étapes procédurales requises. L’autorité administrative désignée à l’article 4 peut charger un organisme de vérifier si les exigences de l’article 3, paragraphe 5, phrase 1 de la loi sur les télémédias sont remplies.</w:t>
      </w:r>
    </w:p>
    <w:p w:rsidR="007418C8" w:rsidRPr="00CB1818" w:rsidRDefault="003B1D17" w:rsidP="00FD1FA8">
      <w:pPr>
        <w:pStyle w:val="RevisionJuristischerAbsatz"/>
        <w:numPr>
          <w:ilvl w:val="2"/>
          <w:numId w:val="3"/>
        </w:numPr>
        <w:tabs>
          <w:tab w:val="clear" w:pos="850"/>
          <w:tab w:val="left" w:pos="1275"/>
        </w:tabs>
        <w:ind w:left="425"/>
      </w:pPr>
      <w:r>
        <w:t xml:space="preserve">Dans la mesure où ce paragraphe s’applique au fournisseur d’un service de plate-forme de partage de vidéos conformément aux paragraphes 1 à 3 en ce qui concerne les vidéos et émissions générées par les utilisateurs mentionnés au paragraphe 2, phrase 2, celui-ci est obligé de convenir de façon efficace avec ses utilisateurs qu’il leur est interdit de distribuer les vidéos et émissions générées par les utilisateurs désignées paragraphe 2, phrase 2. </w:t>
      </w:r>
    </w:p>
    <w:p w:rsidR="007418C8" w:rsidRPr="00CB1818" w:rsidRDefault="007418C8" w:rsidP="00FD1FA8">
      <w:pPr>
        <w:pStyle w:val="RevisionParagraphBezeichnermanuell"/>
        <w:ind w:left="425"/>
      </w:pPr>
      <w:r>
        <w:t>Article 3f</w:t>
      </w:r>
    </w:p>
    <w:p w:rsidR="007418C8" w:rsidRPr="00CB1818" w:rsidRDefault="007418C8" w:rsidP="00FD1FA8">
      <w:pPr>
        <w:pStyle w:val="RevisionParagraphberschrift"/>
        <w:ind w:left="425"/>
      </w:pPr>
      <w:r>
        <w:t>Arbitrage administratif pour les litiges avec les services de plate-forme de partage de vidéos</w:t>
      </w:r>
    </w:p>
    <w:p w:rsidR="00F828FC" w:rsidRPr="00CB1818" w:rsidRDefault="001323B8" w:rsidP="00FD1FA8">
      <w:pPr>
        <w:pStyle w:val="RevisionJuristischerAbsatz"/>
        <w:numPr>
          <w:ilvl w:val="2"/>
          <w:numId w:val="6"/>
        </w:numPr>
        <w:tabs>
          <w:tab w:val="clear" w:pos="850"/>
          <w:tab w:val="num" w:pos="1275"/>
        </w:tabs>
        <w:ind w:left="425"/>
        <w:rPr>
          <w:bCs/>
        </w:rPr>
      </w:pPr>
      <w:r>
        <w:t>Un organisme d’arbitrage administratif est institué auprès de l’autorité administrative désignée à l’article 4. L’organisme d’arbitrage officiel intervient pour le règlement extrajudiciaire des litiges avec les fournisseurs de services de plate-forme de partage de vidéos concernant les décisions conformément à l’article 3, paragraphe 2, phrase 1, points 1 à 3, relatif à l’existence de vidéos et d’émissions générées par les utilisateurs dont les contenus tombent sous le coup de l’article 3e, paragraphe 2, phrase 2, et ne sont pas justifiés. L’organisme d’arbitrage officiel n’est responsable des litiges avec les fournisseurs de services de plate-forme de partage de vidéos que lorsque la République fédérale d’Allemagne est ou est considérée comme étant le siège conformément à l’article 3d, paragraphe 2, et uniquement si le fournisseur ne participe pas à la procédure d’arbitrage d’un organisme d’arbitrage reconnu conformément à l’article 3c, paragraphe 1 ou si aucun organisme de droit privé n’est reconnu comme organisme d’arbitrage conformément à l’article 3c, paragraphe 1.</w:t>
      </w:r>
    </w:p>
    <w:p w:rsidR="0026329A" w:rsidRPr="00CB1818" w:rsidRDefault="005E4C37" w:rsidP="00FD1FA8">
      <w:pPr>
        <w:pStyle w:val="RevisionJuristischerAbsatz"/>
        <w:numPr>
          <w:ilvl w:val="2"/>
          <w:numId w:val="6"/>
        </w:numPr>
        <w:tabs>
          <w:tab w:val="clear" w:pos="850"/>
          <w:tab w:val="num" w:pos="1275"/>
        </w:tabs>
        <w:ind w:left="425"/>
        <w:rPr>
          <w:bCs/>
        </w:rPr>
      </w:pPr>
      <w:r>
        <w:t>Les exigences de l’article 3c, paragraphe 2, phrase 1, points 2 à 5, ainsi que de l’article 3, paragraphe 9 et de l’article 3c, paragraphes 3 et 4 s’appliquent en conséquence à l’organisme d’arbitrage officiel.</w:t>
      </w:r>
    </w:p>
    <w:p w:rsidR="006B0944" w:rsidRPr="00CB1818" w:rsidRDefault="00F676C2" w:rsidP="00FD1FA8">
      <w:pPr>
        <w:pStyle w:val="RevisionJuristischerAbsatz"/>
        <w:numPr>
          <w:ilvl w:val="2"/>
          <w:numId w:val="6"/>
        </w:numPr>
        <w:tabs>
          <w:tab w:val="clear" w:pos="850"/>
          <w:tab w:val="num" w:pos="1275"/>
        </w:tabs>
        <w:ind w:left="425"/>
        <w:rPr>
          <w:bCs/>
        </w:rPr>
      </w:pPr>
      <w:r>
        <w:t>L’organisme d’arbitrage officiel peut facturer des frais pour l’exécution de la procédure d’arbitrage, lesquels doivent être précisés dans leur règlement d’arbitrage.»</w:t>
      </w:r>
    </w:p>
    <w:p w:rsidR="007068D4" w:rsidRPr="00CB1818" w:rsidRDefault="009545A0" w:rsidP="00715217">
      <w:pPr>
        <w:pStyle w:val="NummerierungStufe1"/>
        <w:keepNext/>
      </w:pPr>
      <w:r>
        <w:t>L’article 4 est modifié comme suit:</w:t>
      </w:r>
    </w:p>
    <w:p w:rsidR="005468C2" w:rsidRPr="00CB1818" w:rsidRDefault="005468C2" w:rsidP="00715217">
      <w:pPr>
        <w:pStyle w:val="NummerierungStufe2"/>
        <w:keepNext/>
      </w:pPr>
      <w:r>
        <w:t>Le paragraphe 1 est modifié comme suit:</w:t>
      </w:r>
    </w:p>
    <w:p w:rsidR="00CA1C39" w:rsidRPr="00CB1818" w:rsidRDefault="00CA1C39" w:rsidP="00CA1C39">
      <w:pPr>
        <w:pStyle w:val="NummerierungStufe3"/>
      </w:pPr>
      <w:r>
        <w:t xml:space="preserve">Au point 2, après la mention </w:t>
      </w:r>
      <w:r>
        <w:rPr>
          <w:rStyle w:val="RevisionText"/>
        </w:rPr>
        <w:t>«phrase 1»</w:t>
      </w:r>
      <w:r>
        <w:t xml:space="preserve"> les mots </w:t>
      </w:r>
      <w:r>
        <w:rPr>
          <w:rStyle w:val="RevisionText"/>
        </w:rPr>
        <w:t>«ou l’article 3b, paragraphe 1, phrase 1»</w:t>
      </w:r>
      <w:r>
        <w:t xml:space="preserve"> et après le mot </w:t>
      </w:r>
      <w:r>
        <w:rPr>
          <w:rStyle w:val="RevisionText"/>
        </w:rPr>
        <w:t>«avoir»</w:t>
      </w:r>
      <w:r>
        <w:t xml:space="preserve"> les mots </w:t>
      </w:r>
      <w:r>
        <w:rPr>
          <w:rStyle w:val="RevisionText"/>
        </w:rPr>
        <w:t>«ou pour une révision d’une décision»</w:t>
      </w:r>
      <w:r>
        <w:t xml:space="preserve"> sont ajoutés.</w:t>
      </w:r>
    </w:p>
    <w:p w:rsidR="00E94ACD" w:rsidRPr="00CB1818" w:rsidRDefault="00E94ACD" w:rsidP="00092488">
      <w:pPr>
        <w:pStyle w:val="NummerierungStufe3"/>
      </w:pPr>
      <w:r>
        <w:t xml:space="preserve">Au point 3, après la mention </w:t>
      </w:r>
      <w:r>
        <w:rPr>
          <w:rStyle w:val="RevisionText"/>
        </w:rPr>
        <w:t>«phrase 2»</w:t>
      </w:r>
      <w:r>
        <w:t xml:space="preserve"> les mots </w:t>
      </w:r>
      <w:r>
        <w:rPr>
          <w:rStyle w:val="RevisionText"/>
        </w:rPr>
        <w:t>«ou l’article 3b, paragraphe 1, phrase 3»</w:t>
      </w:r>
      <w:r>
        <w:t xml:space="preserve"> sont ajoutés.</w:t>
      </w:r>
    </w:p>
    <w:p w:rsidR="005468C2" w:rsidRPr="00CB1818" w:rsidRDefault="005468C2" w:rsidP="00092488">
      <w:pPr>
        <w:pStyle w:val="NummerierungStufe3"/>
      </w:pPr>
      <w:r>
        <w:t>Le point 6a devient le point 7.</w:t>
      </w:r>
    </w:p>
    <w:p w:rsidR="005468C2" w:rsidRPr="00CB1818" w:rsidRDefault="005468C2" w:rsidP="00092488">
      <w:pPr>
        <w:pStyle w:val="NummerierungStufe3"/>
      </w:pPr>
      <w:r>
        <w:t>Les actuels points 7 et 8 deviennent les points 8 et 9.</w:t>
      </w:r>
    </w:p>
    <w:p w:rsidR="000E1AD4" w:rsidRPr="00CB1818" w:rsidRDefault="000E1AD4" w:rsidP="009545A0">
      <w:pPr>
        <w:pStyle w:val="NummerierungStufe2"/>
      </w:pPr>
      <w:r>
        <w:t xml:space="preserve">Au paragraphe 2, phrase 1, les mots </w:t>
      </w:r>
      <w:r>
        <w:rPr>
          <w:rStyle w:val="RevisionText"/>
        </w:rPr>
        <w:t>«points 7 et 8»</w:t>
      </w:r>
      <w:r>
        <w:t xml:space="preserve"> sont remplacés par les mots </w:t>
      </w:r>
      <w:r>
        <w:rPr>
          <w:rStyle w:val="RevisionText"/>
        </w:rPr>
        <w:t>«points 8 et 9»</w:t>
      </w:r>
      <w:r>
        <w:t>.</w:t>
      </w:r>
    </w:p>
    <w:p w:rsidR="00AD2CA4" w:rsidRPr="00CB1818" w:rsidRDefault="00AD2CA4" w:rsidP="00715217">
      <w:pPr>
        <w:pStyle w:val="NummerierungStufe1"/>
        <w:keepNext/>
      </w:pPr>
      <w:r>
        <w:t>L’article 4a suivant est inséré après l’article 4:</w:t>
      </w:r>
    </w:p>
    <w:p w:rsidR="00AD2CA4" w:rsidRPr="00CB1818" w:rsidRDefault="00AD2CA4" w:rsidP="00FD1FA8">
      <w:pPr>
        <w:pStyle w:val="RevisionParagraphBezeichnermanuell"/>
        <w:ind w:left="425" w:hanging="75"/>
      </w:pPr>
      <w:r>
        <w:t>«Article 4a</w:t>
      </w:r>
    </w:p>
    <w:p w:rsidR="00AD2CA4" w:rsidRPr="00CB1818" w:rsidRDefault="00AD2CA4" w:rsidP="00FD1FA8">
      <w:pPr>
        <w:pStyle w:val="RevisionParagraphberschrift"/>
        <w:ind w:left="425"/>
      </w:pPr>
      <w:r>
        <w:t>Surveillance</w:t>
      </w:r>
    </w:p>
    <w:p w:rsidR="00AD2CA4" w:rsidRPr="00CB1818" w:rsidRDefault="00AD2CA4" w:rsidP="00FD1FA8">
      <w:pPr>
        <w:pStyle w:val="RevisionJuristischerAbsatz"/>
        <w:numPr>
          <w:ilvl w:val="2"/>
          <w:numId w:val="4"/>
        </w:numPr>
        <w:tabs>
          <w:tab w:val="clear" w:pos="850"/>
          <w:tab w:val="num" w:pos="1275"/>
        </w:tabs>
        <w:ind w:left="425"/>
        <w:rPr>
          <w:bCs/>
        </w:rPr>
      </w:pPr>
      <w:r>
        <w:t>L’autorité administrative désignée au point 4 supervise le respect des dispositions de la présente loi.</w:t>
      </w:r>
    </w:p>
    <w:p w:rsidR="00AD2CA4" w:rsidRPr="00CB1818" w:rsidRDefault="00AD2CA4" w:rsidP="00FD1FA8">
      <w:pPr>
        <w:pStyle w:val="RevisionJuristischerAbsatz"/>
        <w:tabs>
          <w:tab w:val="clear" w:pos="850"/>
          <w:tab w:val="num" w:pos="1275"/>
        </w:tabs>
        <w:ind w:left="425"/>
      </w:pPr>
      <w:r>
        <w:t>Si l’autorité administrative désignée à l’article 4 détermine qu’un fournisseur de réseau social viole ou a violé les dispositions de la présente loi, elle prendra les mesures nécessaires contre le fournisseur. En particulier, elle peut obliger le fournisseur à remédier à l’infraction. L’article 4, paragraphe 5, s’applique en conséquence.</w:t>
      </w:r>
    </w:p>
    <w:p w:rsidR="00F005F0" w:rsidRPr="00CB1818" w:rsidRDefault="00282234" w:rsidP="00FD1FA8">
      <w:pPr>
        <w:pStyle w:val="RevisionJuristischerAbsatz"/>
        <w:numPr>
          <w:ilvl w:val="2"/>
          <w:numId w:val="4"/>
        </w:numPr>
        <w:tabs>
          <w:tab w:val="clear" w:pos="850"/>
          <w:tab w:val="num" w:pos="1275"/>
        </w:tabs>
        <w:ind w:left="425"/>
        <w:rPr>
          <w:bCs/>
        </w:rPr>
      </w:pPr>
      <w:r>
        <w:t>Dans la procédure administrative visée au paragraphe 2, le fournisseur d’un réseau social fournit à l’autorité administrative visée à l’article 4 des informations sur les mesures prises pour mettre en œuvre cette loi, le nombre d’utilisateurs répertoriés en Allemagne et les plaintes reçues au cours de l’année civile écoulée concernant des contenus illégaux; le représentant du fournisseur et, dans le cas de personnes morales, de sociétés ou d’associations dépourvues de personnalité juridique, les personnes désignées pour les représenter par la loi ou par leurs statuts sont tenues de fournir les informations demandées en leur nom. La demande d’informations doit être proportionnée. Dans la mesure où les personnes physiques sont tenues de coopérer conformément à la phrase 1, elles doivent, si l’obtention d’informations est rendue considérablement plus difficile ou ne peut être attendue d’une autre manière, divulguer également les faits qui sont susceptibles d’entraîner des poursuites pour cause d’infraction pénale ou d’infraction administrative. Toutefois, les informations fournies par une personne physique conformément à la phrase 1 ne peuvent être utilisées dans une procédure pénale ou dans une procédure en vertu de la loi sur les infractions administratives contre cette personne ou l’un des membres visés à l’article 383, paragraphe 1, points 1 à 3 du code de procédure civile qu’avec son consentement. Les informations fournies conformément à la phrase 1 ci-dessus ne peuvent être utilisées dans le cadre d’une procédure visant à infliger une amende au fournisseur en vertu de l’article 30 de la loi sur les infractions administratives qu’avec le consentement du fournisseur ou de la personne qui a fourni les informations en raison de son obligation au titre de la phrase 1 mentionnée ci-dessus.</w:t>
      </w:r>
    </w:p>
    <w:p w:rsidR="00AD2CA4" w:rsidRPr="00CB1818" w:rsidRDefault="00FF2EC1" w:rsidP="00FD1FA8">
      <w:pPr>
        <w:pStyle w:val="RevisionJuristischerAbsatz"/>
        <w:numPr>
          <w:ilvl w:val="2"/>
          <w:numId w:val="4"/>
        </w:numPr>
        <w:tabs>
          <w:tab w:val="clear" w:pos="850"/>
          <w:tab w:val="num" w:pos="1275"/>
        </w:tabs>
        <w:ind w:left="425"/>
      </w:pPr>
      <w:r>
        <w:t>Les témoins sont tenus de témoigner dans la procédure administrative prévue au paragraphe 2. Un témoin peut refuser de répondre à des questions si cela risque de l’exposer lui-même ou un des membres mentionnés à l’article 383, paragraphe 1, points 1 à 3 du code de procédure civile allemand au risque d’une poursuite judiciaire ou d’une procédure prévue par la loi sur les infractions. Du reste, les dispositions du code de procédure civile concernant l’obligation de témoigner s’appliquent en conséquence. L’autorité administrative visée à l’article 4 doit informer le témoin de son droit de refuser de témoigner avant l’audience.»</w:t>
      </w:r>
    </w:p>
    <w:p w:rsidR="00AD2CA4" w:rsidRPr="00CB1818" w:rsidRDefault="00AD2CA4" w:rsidP="00715217">
      <w:pPr>
        <w:pStyle w:val="NummerierungStufe1"/>
        <w:keepNext/>
      </w:pPr>
      <w:r>
        <w:t>L’article 5 est modifié comme suit:</w:t>
      </w:r>
    </w:p>
    <w:p w:rsidR="00AD2CA4" w:rsidRPr="00CB1818" w:rsidRDefault="00AD2CA4" w:rsidP="00715217">
      <w:pPr>
        <w:pStyle w:val="NummerierungStufe2"/>
        <w:keepNext/>
      </w:pPr>
      <w:r>
        <w:t>Le paragraphe 1, phrases 2 et 3 est formulé comme suit:</w:t>
      </w:r>
    </w:p>
    <w:p w:rsidR="00AA3DB5" w:rsidRPr="00CB1818" w:rsidRDefault="00AA3DB5" w:rsidP="00FD1FA8">
      <w:pPr>
        <w:pStyle w:val="RevisionJuristischerAbsatzFolgeabsatz"/>
        <w:ind w:left="850"/>
        <w:rPr>
          <w:bCs/>
        </w:rPr>
      </w:pPr>
      <w:r>
        <w:t>«Il peut être notifié dans les procédures de sanction pécuniaire et dans les procédures relevant du droit de surveillance conformément aux articles 4 et 4a ou dans les procédures judiciaires devant les tribunaux allemands relatives à la diffusion ou à la présomption non fondée de diffusion de contenus illégaux, en particulier dans les cas où la restauration de contenus supprimés ou bloqués est demandée. Cela s’applique également à la remise des documents qui engagent une telle procédure, à la délivrance des décisions judiciaires définitives et aux notifications dans le cadre des procédures d’exécution.»</w:t>
      </w:r>
    </w:p>
    <w:p w:rsidR="00AA3DB5" w:rsidRPr="00CB1818" w:rsidRDefault="00AA3DB5" w:rsidP="00715217">
      <w:pPr>
        <w:pStyle w:val="NummerierungStufe2"/>
        <w:keepNext/>
      </w:pPr>
      <w:r>
        <w:t>Le paragraphe 2 est modifié comme suit:</w:t>
      </w:r>
    </w:p>
    <w:p w:rsidR="00AA3DB5" w:rsidRPr="00CB1818" w:rsidRDefault="00AA3DB5" w:rsidP="00AA3DB5">
      <w:pPr>
        <w:pStyle w:val="NummerierungStufe3"/>
      </w:pPr>
      <w:r>
        <w:t xml:space="preserve">Dans la phrase 1, après le mot </w:t>
      </w:r>
      <w:r>
        <w:rPr>
          <w:rStyle w:val="RevisionText"/>
        </w:rPr>
        <w:t>«national»</w:t>
      </w:r>
      <w:r>
        <w:t xml:space="preserve"> les mots </w:t>
      </w:r>
      <w:r>
        <w:rPr>
          <w:rStyle w:val="RevisionText"/>
        </w:rPr>
        <w:t>«envers l’autorité administrative visée à l’article 4»</w:t>
      </w:r>
      <w:r>
        <w:t xml:space="preserve"> sont ajoutés.</w:t>
      </w:r>
    </w:p>
    <w:p w:rsidR="00AA3DB5" w:rsidRPr="00CB1818" w:rsidRDefault="00CE291E" w:rsidP="00AA3DB5">
      <w:pPr>
        <w:pStyle w:val="NummerierungStufe3"/>
      </w:pPr>
      <w:r>
        <w:t>Les phrases suivantes sont ajoutées:</w:t>
      </w:r>
    </w:p>
    <w:p w:rsidR="00F86A78" w:rsidRPr="00CB1818" w:rsidRDefault="00AA3DB5" w:rsidP="00FD1FA8">
      <w:pPr>
        <w:pStyle w:val="RevisionJuristischerAbsatzFolgeabsatz"/>
        <w:ind w:left="1276"/>
        <w:rPr>
          <w:bCs/>
        </w:rPr>
      </w:pPr>
      <w:r>
        <w:t>«L’autorité administrative visée à l’article 4 tient une liste des destinataires autorisés. Elle fournit des informations aux services répressifs nationaux sur demande.»</w:t>
      </w:r>
    </w:p>
    <w:p w:rsidR="00AA3DB5" w:rsidRPr="00CB1818" w:rsidRDefault="00AA3DB5" w:rsidP="00715217">
      <w:pPr>
        <w:pStyle w:val="NummerierungStufe1"/>
        <w:keepNext/>
      </w:pPr>
      <w:r>
        <w:t>Les paragraphes 3 à 5 suivants sont ajoutés à l’article 6:</w:t>
      </w:r>
    </w:p>
    <w:p w:rsidR="00AA3DB5" w:rsidRPr="00CB1818" w:rsidRDefault="00AA3DB5" w:rsidP="00FD1FA8">
      <w:pPr>
        <w:pStyle w:val="RevisionJuristischerAbsatzmanuell"/>
        <w:tabs>
          <w:tab w:val="clear" w:pos="850"/>
          <w:tab w:val="left" w:pos="1275"/>
        </w:tabs>
        <w:ind w:left="425" w:firstLine="350"/>
      </w:pPr>
      <w:r>
        <w:t>«(3) Pour les rapports couvrant des périodes allant jusqu’à ... [insérer: date du 30 juin ou du 31 décembre suivant l’entrée en vigueur conformément à l’article 3 de la présente loi], l’article 2 tel que modifié par la loi du 1</w:t>
      </w:r>
      <w:r>
        <w:rPr>
          <w:vertAlign w:val="superscript"/>
        </w:rPr>
        <w:t>er</w:t>
      </w:r>
      <w:r>
        <w:t xml:space="preserve"> septembre 2017 (Journal officiel de la République fédérale d’Allemagne I, p. 3352) s’applique.</w:t>
      </w:r>
    </w:p>
    <w:p w:rsidR="006240BC" w:rsidRPr="00CB1818" w:rsidRDefault="00455A86" w:rsidP="00FD1FA8">
      <w:pPr>
        <w:pStyle w:val="RevisionJuristischerAbsatzmanuell"/>
        <w:tabs>
          <w:tab w:val="clear" w:pos="850"/>
          <w:tab w:val="left" w:pos="1275"/>
        </w:tabs>
        <w:ind w:left="425"/>
        <w:rPr>
          <w:bCs/>
        </w:rPr>
      </w:pPr>
      <w:r>
        <w:t>(4) Le rapport conformément à l’article 3, paragraphe 9, doit être soumis pour la première fois au plus tard le 31 juillet 2022.</w:t>
      </w:r>
    </w:p>
    <w:p w:rsidR="00486A0E" w:rsidRPr="00CB1818" w:rsidRDefault="006240BC" w:rsidP="00FD1FA8">
      <w:pPr>
        <w:pStyle w:val="RevisionJuristischerAbsatzmanuell"/>
        <w:tabs>
          <w:tab w:val="clear" w:pos="850"/>
          <w:tab w:val="left" w:pos="1275"/>
        </w:tabs>
        <w:ind w:left="425"/>
        <w:rPr>
          <w:bCs/>
        </w:rPr>
      </w:pPr>
      <w:r>
        <w:t>(5) Pour les institutions d’autorégulation réglementée qui étaient déjà reconnues le ... [insérer: date d’entrée en vigueur de la présente loi conformément à l’article 3], l’article 3, paragraphe 6, point 3, s’applique jusqu’à la fin de l’année ... [insérer: date d’entrée en vigueur de la présente loi conformément à l’article 3 de la présente loi], telle que modifié par la loi du 1</w:t>
      </w:r>
      <w:r>
        <w:rPr>
          <w:vertAlign w:val="superscript"/>
        </w:rPr>
        <w:t xml:space="preserve">er </w:t>
      </w:r>
      <w:r>
        <w:t>septembre 2017 (Journal officiel de la République fédérale d’Allemagne I, p. 3352).</w:t>
      </w:r>
    </w:p>
    <w:p w:rsidR="00455A86" w:rsidRPr="00CB1818" w:rsidRDefault="00CF3579" w:rsidP="00CF3579">
      <w:pPr>
        <w:pStyle w:val="ArtikelBezeichner"/>
        <w:numPr>
          <w:ilvl w:val="0"/>
          <w:numId w:val="0"/>
        </w:numPr>
      </w:pPr>
      <w:r>
        <w:t>Article 2</w:t>
      </w:r>
    </w:p>
    <w:p w:rsidR="00455A86" w:rsidRPr="00CB1818" w:rsidRDefault="00455A86" w:rsidP="00455A86">
      <w:pPr>
        <w:pStyle w:val="Artikelberschrift"/>
      </w:pPr>
      <w:r>
        <w:t>Modification de la loi sur les télémédias</w:t>
      </w:r>
    </w:p>
    <w:p w:rsidR="00455A86" w:rsidRPr="00CB1818" w:rsidRDefault="00AC2CB9" w:rsidP="00715217">
      <w:pPr>
        <w:pStyle w:val="JuristischerAbsatznichtnummeriert"/>
        <w:keepNext/>
      </w:pPr>
      <w:r>
        <w:t>L’article 14 de la loi sur les télémédias du 26 février 2007 (Journal officiel de la République fédérale d’Allemagne I p. 179), modifié en dernier lieu par ... [article 5 du projet de loi sur la lutte contre l’extrémisme de droite et les crimes inspirés par la haine, imprimé 87/20 du Conseil fédéral] est modifié comme suit:</w:t>
      </w:r>
    </w:p>
    <w:p w:rsidR="00FF2EC1" w:rsidRPr="00CB1818" w:rsidRDefault="00FF2EC1" w:rsidP="00715217">
      <w:pPr>
        <w:pStyle w:val="NummerierungStufe1"/>
        <w:keepNext/>
      </w:pPr>
      <w:r>
        <w:t>La phrase suivante est ajoutée au paragraphe 3:</w:t>
      </w:r>
    </w:p>
    <w:p w:rsidR="00FF2EC1" w:rsidRPr="00CB1818" w:rsidRDefault="00FF2EC1" w:rsidP="00FD1FA8">
      <w:pPr>
        <w:pStyle w:val="RevisionJuristischerAbsatzFolgeabsatz"/>
        <w:ind w:left="425"/>
      </w:pPr>
      <w:r>
        <w:t>«Dans cette mesure, il est tenu de fournir des informations à la partie lésée.»</w:t>
      </w:r>
    </w:p>
    <w:p w:rsidR="00FF2EC1" w:rsidRPr="00CB1818" w:rsidRDefault="00FF2EC1" w:rsidP="00715217">
      <w:pPr>
        <w:pStyle w:val="NummerierungStufe1"/>
        <w:keepNext/>
      </w:pPr>
      <w:r>
        <w:t>La phrase suivante est insérée après le paragraphe 4, phrase 1:</w:t>
      </w:r>
    </w:p>
    <w:p w:rsidR="00AC2CB9" w:rsidRPr="00CB1818" w:rsidRDefault="00AC2CB9" w:rsidP="00FD1FA8">
      <w:pPr>
        <w:pStyle w:val="RevisionJuristischerAbsatzFolgeabsatz"/>
        <w:ind w:left="425"/>
      </w:pPr>
      <w:r>
        <w:t>«Le tribunal statue en même temps sur l’obligation d’information, à moins que la demande ne se limite expressément à ordonner la recevabilité du renseignement.»</w:t>
      </w:r>
    </w:p>
    <w:p w:rsidR="00E83886" w:rsidRPr="00CB1818" w:rsidRDefault="00CF3579" w:rsidP="00CF3579">
      <w:pPr>
        <w:pStyle w:val="ArtikelBezeichner"/>
        <w:numPr>
          <w:ilvl w:val="0"/>
          <w:numId w:val="0"/>
        </w:numPr>
      </w:pPr>
      <w:r>
        <w:t>Article 3</w:t>
      </w:r>
    </w:p>
    <w:p w:rsidR="00AC2CB9" w:rsidRPr="00CB1818" w:rsidRDefault="00AC2CB9" w:rsidP="00AC2CB9">
      <w:pPr>
        <w:pStyle w:val="Artikelberschrift"/>
      </w:pPr>
      <w:r>
        <w:t>Entrée en vigueur</w:t>
      </w:r>
    </w:p>
    <w:p w:rsidR="00AC2CB9" w:rsidRPr="00CB1818" w:rsidRDefault="00AC2CB9" w:rsidP="00AC2CB9">
      <w:pPr>
        <w:pStyle w:val="JuristischerAbsatznichtnummeriert"/>
      </w:pPr>
      <w:r>
        <w:t>La présente loi entre en vigueur le … [insérer: date du lundi de la troisième semaine calendaire suivant la promulgation, le plus tôt le 20 septembre 2020].</w:t>
      </w:r>
    </w:p>
    <w:p w:rsidR="00E83886" w:rsidRPr="00CB1818" w:rsidRDefault="00E83886" w:rsidP="00E83886">
      <w:pPr>
        <w:sectPr w:rsidR="00E83886" w:rsidRPr="00CB1818" w:rsidSect="00D9408F">
          <w:pgSz w:w="11907" w:h="16839"/>
          <w:pgMar w:top="1134" w:right="1417" w:bottom="1134" w:left="1701" w:header="709" w:footer="709" w:gutter="0"/>
          <w:cols w:space="708"/>
          <w:docGrid w:linePitch="360"/>
        </w:sectPr>
      </w:pPr>
    </w:p>
    <w:p w:rsidR="00E83886" w:rsidRPr="00CB1818" w:rsidRDefault="00E83886">
      <w:pPr>
        <w:pStyle w:val="BegrndungTitel"/>
      </w:pPr>
      <w:r>
        <w:t>Exposé des motifs</w:t>
      </w:r>
    </w:p>
    <w:p w:rsidR="00E83886" w:rsidRPr="00CB1818" w:rsidRDefault="00886C17" w:rsidP="00E3743C">
      <w:pPr>
        <w:pStyle w:val="BegrndungAllgemeinerTeil"/>
        <w:jc w:val="center"/>
      </w:pPr>
      <w:r>
        <w:t>A. Partie générale</w:t>
      </w:r>
    </w:p>
    <w:p w:rsidR="00E83886" w:rsidRPr="00CB1818" w:rsidRDefault="00E83886" w:rsidP="00886C17">
      <w:pPr>
        <w:pStyle w:val="berschriftrmischBegrndung"/>
      </w:pPr>
      <w:r>
        <w:t>Objectif et nécessité des réglementations</w:t>
      </w:r>
    </w:p>
    <w:p w:rsidR="00BB4BD2" w:rsidRPr="00CB1818" w:rsidRDefault="00BB4BD2" w:rsidP="00BB4BD2">
      <w:pPr>
        <w:pStyle w:val="Text"/>
      </w:pPr>
      <w:r>
        <w:t>La nécessité de lutter contre les discours de haine criminels en ligne reste d'actualité. Les citoyens sont en droit de s’attendre à ce que les attaques punissables telles que les incitations à la violence ou les menaces ne soient pas tolérées. Cela vaut également pour internet. De plus, les discours de haine criminels peuvent devenir un terreau fertile pour les atteintes à la vie et à l’intégrité des citoyens. Le meurtre du président du gouvernement de Kassel, Walter Lübcke, ou les attentats à proximité de la synagogue de Halle (Saale) sont des signes inquiétants. Cela vaut également pour l’attaque extrémiste à Hanau en février 2020 par un auteur qui avait précédemment publié et diffusé des contenus racistes sur les réseaux sociaux.</w:t>
      </w:r>
    </w:p>
    <w:p w:rsidR="00BB4BD2" w:rsidRPr="00CB1818" w:rsidRDefault="00BB4BD2" w:rsidP="00BB4BD2">
      <w:pPr>
        <w:pStyle w:val="Text"/>
      </w:pPr>
      <w:r>
        <w:t xml:space="preserve">Les discours de haine criminels peuvent également provoquer de graves intimidations. Cela peut conduire à l’abandon de l’engagement social ou politique ou au retrait des citoyens du discours en ligne ou à leur absence totale de participation. Les effets d’intimidation des discours de haine criminels mettent en danger non seulement la liberté d’expression et d’action de l’individu, mais aussi le dialogue démocratique en tant que tel et donc les fondements de notre démocratie dans son ensemble. Les conséquences des discours de haine sont rapportées de diverses manières (également dans le cadre d’enquêtes empiriques, par exemple l’étude commandée par Campact eV «#Hass im Netz Der schleichende Angriff auf unsere Demokratie», </w:t>
      </w:r>
      <w:hyperlink r:id="rId10" w:history="1">
        <w:r>
          <w:rPr>
            <w:rStyle w:val="Hyperlink"/>
          </w:rPr>
          <w:t>https://www.idz-jena.de/fileadmin/user_upload/_Hass_im_Netz_-_Der_schleichende_Angriff.pdf</w:t>
        </w:r>
      </w:hyperlink>
      <w:r>
        <w:t xml:space="preserve"> et l’étude lancée par Amnesty International «Unsocial Media:</w:t>
      </w:r>
      <w:r w:rsidR="00C3547E">
        <w:t xml:space="preserve"> </w:t>
      </w:r>
      <w:r>
        <w:t xml:space="preserve">The Real Toll of Online Abuse against Women», </w:t>
      </w:r>
      <w:hyperlink r:id="rId11" w:history="1">
        <w:r>
          <w:rPr>
            <w:rStyle w:val="Hyperlink"/>
          </w:rPr>
          <w:t>https://medium.com/amnesty-insights/unsocial-media-the-real-toll-of-online-abuse-against-women-37134ddab3f4</w:t>
        </w:r>
      </w:hyperlink>
      <w:r>
        <w:t>, consulté pour la dernière fois le 10 mars 2020).</w:t>
      </w:r>
    </w:p>
    <w:p w:rsidR="00F84B41" w:rsidRPr="00CB1818" w:rsidRDefault="00F84B41" w:rsidP="00BB4BD2">
      <w:pPr>
        <w:pStyle w:val="Text"/>
      </w:pPr>
      <w:r>
        <w:t>De plus, il ne faut pas oublier non plus que les discours de haine sont souvent dirigés contre les femmes ou les minorités, ce qui met particulièrement en danger la coexistence pacifique dans une société libre, ouverte et démocratique.</w:t>
      </w:r>
    </w:p>
    <w:p w:rsidR="00BB4BD2" w:rsidRPr="00CB1818" w:rsidRDefault="00BB4BD2" w:rsidP="00BB4BD2">
      <w:pPr>
        <w:pStyle w:val="Text"/>
      </w:pPr>
      <w:r>
        <w:t>L’approche de la loi d’application du droit aux réseaux sociaux (NetzDG), entrée en vigueur le 1</w:t>
      </w:r>
      <w:r>
        <w:rPr>
          <w:vertAlign w:val="superscript"/>
        </w:rPr>
        <w:t>er</w:t>
      </w:r>
      <w:r>
        <w:t xml:space="preserve"> octobre 2017, consistant à justifier la responsabilité actuelle des fournisseurs de réseaux sociaux dans le traitement des plaintes concernant des contenus illégaux portés à leur attention, a généralement fait ses preuves. Les fournisseurs de réseaux sociaux ont fait des efforts pour mettre en œuvre les exigences de traitement des plaintes. Les procédures de dépôt de plaintes pour contenus illégaux ont été révisées et le droit pénal allemand a été adopté comme référence. Selon les rapports de transparence requis par la loi, les fournisseurs réussissent également la plupart du temps à examiner rapidement les plaintes soumises. Finalement, les principaux fournisseurs ont désigné des personnes habilitées à recevoir des actes judiciaires et des destinataires ayant droit en guise d’interlocuteurs nationaux.</w:t>
      </w:r>
    </w:p>
    <w:p w:rsidR="006501CC" w:rsidRPr="00CB1818" w:rsidRDefault="007437B5" w:rsidP="00BB4BD2">
      <w:pPr>
        <w:pStyle w:val="Text"/>
      </w:pPr>
      <w:r>
        <w:t>Cependant, l’expérience de la loi d’application du droit aux réseaux sociaux NetzDG montre que certaines réglementations doivent être développées davantage. Il est également important de mettre en œuvre les nouvelles directives européennes. Des ajustements s’imposent en raison de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(directive «Services de médias audiovisuels»), compte tenu de l’évolution des réalités du marché (JO L 303 du 28.11.2018, p. 69). La directive a mis à jour les exigences de la directive 2010/13/UE du Parlement européen et du Conseil du 10 mars 2010 relative à la coordination de certaines dispositions juridiques et administratives des États membres relatives à la fourniture de services de médias audiovisuels (directive sur les services de médias audiovisuels) (JO L 95 du 15.4 .2010, p. 1, L 263, p. 15), ci-après la directive SMAV, et introduit une nouvelle réglementation des services de plate-forme de partage de vidéos à mettre en œuvre d’ici le 19 septembre 2020. Si les exigences présentent des points communs avec les réglementations actuelles de la NetzDG, elles doivent être transposées dans la NetzDG.</w:t>
      </w:r>
    </w:p>
    <w:p w:rsidR="00021688" w:rsidRPr="00435424" w:rsidRDefault="003F6172" w:rsidP="00EE0641">
      <w:pPr>
        <w:pStyle w:val="Text"/>
        <w:rPr>
          <w:rStyle w:val="Marker"/>
          <w:color w:val="auto"/>
        </w:rPr>
      </w:pPr>
      <w:r>
        <w:rPr>
          <w:rStyle w:val="Marker"/>
          <w:color w:val="auto"/>
        </w:rPr>
        <w:t>Compte tenu de leur grande importance pour la formation de l’opinion publique et du discours social, et du fait que de nombreux citoyens dépendent de facto des grands réseaux sociaux pour la communication et la participation au discours public, leurs fournisseurs ont une responsabilité particulière. Cela vaut en particulier pour le traitement des plaintes concernant les contenus illégaux, plus généralement les restrictions sur la distribution des contenus et la manière dont les fournisseurs assurent la transparence pour le grand public. Les précédents rapports de transparence des réseaux sociaux conformément à l’article 2 de la NetzDG ont déjà fourni des informations importantes sur la manière dont ils traitent les plaintes relatives aux contenus illégaux. Les réactions aux rapports ont également montré que le contenu informatif et la comparabilité des rapports de transparence devaient être améliorés. Jusqu’à présent, des questions importantes et d’intérêt public dans ce contexte ont été omises des rapports. Par conséquent, à l’avenir, le rapport comprendra également des informations sur la manière de traiter les appels (par exemple, le nombre de «rejets») ainsi que les principes de base du fonctionnement des procédés automatiques utilisés par les fournisseurs de réseaux sociaux pour l’affichage des contenus. Les fournisseurs doivent également indiquer si et dans quelle mesure les acteurs de la science et de la recherche ont accès à des modalités de collecte d’informations à des fins d’analyses anonymes, dans quelle mesure la diffusion de contenus illégaux affecte en particulier certains groupes d’utilisateurs, par exemple les femmes, si des structures organisées ou des comportements coordonnés sont à la base de la diffusion, et dans quelle mesure les contenus supprimés tombent sous le coup de l’article 1 de la loi générale sur l’égalité de traitement (Allgemeinen Gleichbehandlungsgesetz - AGG). En outre, les rapports ont révélé parfois des changements importants d’une période de référence à l’autre, sans fournir d’informations approfondies sur les raisons possibles de ces changements. Afin de permettre au public de comparer plus facilement les rapports des différents fournisseurs malgré des modèles commerciaux différents et un groupe d’utilisateurs différent, les rapports devront donc à l’avenir comprendre un résumé des informations essentielles. Cela permet de clarifier encore plus l’application de la NetzDG par les réseaux sociaux.</w:t>
      </w:r>
    </w:p>
    <w:p w:rsidR="00021688" w:rsidRPr="00CB1818" w:rsidRDefault="00021688" w:rsidP="00021688">
      <w:pPr>
        <w:pStyle w:val="Text"/>
      </w:pPr>
      <w:r>
        <w:t>La réglementation de l’article 3, paragraphe 1, phrase 2 de la NetzDG, selon laquelle les fournisseurs de réseaux sociaux doivent fournir des canaux de signalement conviviaux, est une exigence centrale de la NetzDG. Les utilisateurs doivent être en mesure de signaler facilement les contenus illégaux afin que le fournisseur puisse le vérifier. Cependant, l’application de la loi montre à ce jour que les fournisseurs conçoivent différemment leurs canaux de signalement en vue de la mise en œuvre de la NetzDG. Certains canaux de signalement sont trop cachés et leur fonctionnement trop difficile. Il semble que la conception différente des canaux de signalement soit une des raisons pour lesquelles les principaux fournisseurs signalent à des degrés divers des plaintes dans le sens de la NetzDG. Il est donc important de clarifier les exigences de convivialité dans la NetzDG.</w:t>
      </w:r>
    </w:p>
    <w:p w:rsidR="00021688" w:rsidRPr="00CB1818" w:rsidRDefault="00021688" w:rsidP="00021688">
      <w:pPr>
        <w:pStyle w:val="Text"/>
      </w:pPr>
      <w:r>
        <w:t>Jusqu’à présent, rien n’indique que la NetzDG ait favorisé l’overblocking. Il est vrai que des cas sont connus où les réseaux sociaux ont supprimé des contenus ou bloqué des comptes utilisateur au motif de la diffusion de contenus illégaux, et où la légalité des mesures correspondantes a fait l’objet d’un litige entre les utilisateurs et les fournisseurs concernés. Des décisions de justice ont également été rendues sur la recevabilité de ces mesures. Toutefois, le contexte des mesures contestées était dans chaque cas - pour autant que l’on sache - des plaintes dites de signalement ou d’autres plaintes ou initiatives propres des fournisseurs, mais pas des plaintes concernant des contenus illégaux au sens de la NetzDG. Cependant, la crainte de l’overblocking devrait également être prise au sérieux à l’avenir. Pour protéger les droits des utilisateurs, la NetzDG doit donc être complétée par divers instruments. Ainsi, l’obligation pour les fournisseurs de disposer d’un mécanisme de contrôle de leurs décisions (procédure d’appel) est introduite. En outre, l’incertitude juridique concernant la portée de la réglementation relative aux personnes habilitées à recevoir des actes judiciaires doit être éliminée. Il est précisé que le règlement s’applique également aux plaintes pour restauration, c’est-à-dire si un utilisateur porte plainte contre le fournisseur d’un réseau social pour suppression ou blocage illégal. Cela crée également la base de la création d’organismes d’arbitrage impartiaux.</w:t>
      </w:r>
    </w:p>
    <w:p w:rsidR="00021688" w:rsidRPr="00CB1818" w:rsidRDefault="00021688" w:rsidP="00021688">
      <w:pPr>
        <w:pStyle w:val="Text"/>
      </w:pPr>
      <w:r>
        <w:t>Enfin, l’Office fédéral de la justice, qui jusqu’à présent n’a qu’une fonction purement répressive en tant qu’autorité de sanction au titre de la NetzDG, doit également se voir attribuer la fonction d’autorité de contrôle qui peut émettre des ordres prospectifs pour remédier aux déficits. A l’avenir, cela permettra d’approcher les fournisseurs de réseaux sociaux sans engager une procédure de sanction pécuniaire et de prescrire des mesures spécifiques pour remédier à d’éventuelles violations.</w:t>
      </w:r>
    </w:p>
    <w:p w:rsidR="00021688" w:rsidRPr="00CB1818" w:rsidRDefault="00021688" w:rsidP="006501CC">
      <w:pPr>
        <w:pStyle w:val="Text"/>
      </w:pPr>
      <w:r>
        <w:t>La possibilité prévue par la NetzDG de reconnaître une institution d’autorégulation réglementée permet aux fournisseurs de réseaux sociaux de transférer à ces institutions les décisions relatives à l’illégalité des contenus notifiés. La marge de manœuvre de l’autorité chargée de la reconnaissance (Office fédéral de la justice) pour exercer une surveillance efficace sur les institutions d’autorégulation réglementées qui doivent faire l’objet de cette reconnaissance et, si nécessaire, pour prendre des mesures correctives devrait être améliorée. Cela comprend une éventuelle limitation des décisions de reconnaissance, l’association à d’autres dispositions accessoires et l’introduction de rapports d’activité par les institutions d’autorégulation réglementée. Finalement, l’extension des instruments de l’autorité de reconnaissance et des obligations d’information pour les institutions d’autorégulation réglementée devrait accélérer le processus de reconnaissance.</w:t>
      </w:r>
    </w:p>
    <w:p w:rsidR="006501CC" w:rsidRPr="00CB1818" w:rsidRDefault="00021688" w:rsidP="006501CC">
      <w:pPr>
        <w:pStyle w:val="Text"/>
      </w:pPr>
      <w:r>
        <w:t>La directive SMAV amendée contient dans les articles 28a et 28b des exigences relatives aux services de plate-forme de partage de vidéos afin d’assurer la protection contre les contenus illégaux sur ces plates-formes. Il se peut que ces services soient déjà couverts par la NetzDG. En raison de ces recoupements, la transposition dans la NetzDG devrait avoir lieu dans la mesure où les catégories de contenus déjà incluses dans la NetzDG (section 1, paragraphe 3 de la NetzDG) sont affectées. Il convient ici de noter que le groupe de services de plate-forme de partage de vidéos couverts par la directive SMAV ne correspond pas exactement aux réseaux sociaux couverts par la NetzDG (article 1, paragraphe 1, phrase 1 de la NetzDG). La définition des services de plate-forme de partage de vidéos de la directive couvre également les services qui accueillent uniquement des contenus spécifiques, par exemple un contenu thématiquement restreint (par exemple, des vidéos de jeux). Le champ d’application de la NetzDG doit être complété en conséquence afin de transposer la directive SMAV en ce qui concerne les services de plate-forme de partage de vidéos (par exemple, les plates-formes de distribution de vidéos de jeux). En conséquence, d’autres fournisseurs tomberont dans le champ d’application de la loi. Selon la classification de la NetzDG, les obligations de conformité de la NetzDG ne s’appliqueront ici qu’aux grands fournisseurs (au moins deux millions d’utilisateurs nationaux répertoriés) - article 3e, paragraphe 1, article 1, paragraphe 2 de la NetzDG. Les exigences de conformité de la directive SMAV s’appliquent également aux petits services de plate-forme de partage de vidéos avec moins de deux millions d’utilisateurs enregistrés en Allemagne, de sorte que des ajouts sont également nécessaires. Pour ces petits fournisseurs de services de plate-forme de partage de vidéos, cependant, la directive devrait être transposée de près, sans y étendre l’ensemble des exigences de conformité en partie plus étendues de la NetzDG. En outre, les exigences de conformité pour ces petits fournisseurs ne devraient être imposées que s’ils ont leur siège en Allemagne ou sont considérés comme y ayant leur siège. Finalement, pour tous les services de plates-formes de partage de vidéos couverts par la loi eu égard aux vidéos générées par des utilisateurs, des modifications sont requises en vertu de la directive SMAV, car dans le domaine, harmonisé au minimum, des services de plates-formes de partage de vidéos, la responsabilité principale du pays d’établissement (article 28a, paragraphe 1, de la directive SMAV) doit être observée et l’autorité compétente en vertu de la NetzDG ne peut agir qu’à un niveau subordonné si les mesures prises par les autorités du pays d’établissement sont insuffisantes.</w:t>
      </w:r>
    </w:p>
    <w:p w:rsidR="00E83886" w:rsidRPr="00CB1818" w:rsidRDefault="00E83886" w:rsidP="00886C17">
      <w:pPr>
        <w:pStyle w:val="berschriftrmischBegrndung"/>
      </w:pPr>
      <w:r>
        <w:t>Contenu essentiel du projet</w:t>
      </w:r>
    </w:p>
    <w:p w:rsidR="00644AD2" w:rsidRPr="00CB1818" w:rsidRDefault="00B27DC2" w:rsidP="00B27DC2">
      <w:pPr>
        <w:pStyle w:val="Text"/>
      </w:pPr>
      <w:r>
        <w:t>Compte tenu de l’expérience des rapports de transparence, en particulier de Twitter, Facebook et YouTube pour le premier et le deuxième semestre 2018 et 2019, le contenu informatif et la comparabilité des rapports de transparence conformément à l’article 2 de la NetzDG devraient être améliorés. Par exemple, les modifications des rapports de transparence par rapport aux périodes précédentes et les éventuelles raisons de cette situation devront être signalées à l’avenir, notamment en raison des ajouts à l’article 2, paragraphe 2 de la NetzDG. Afin de permettre au public de comparer plus facilement les rapports de différents fournisseurs, les rapports devront contenir un résumé des informations essentielles. En outre, des rapports devront être rédigés à l’avenir sur les modalités de traitement des appels (par exemple le nombre de «put-backs») et sur les principes de fonctionnement des procédures automatisées de recherche des contenus à supprimer, dans la mesure où les fournisseurs les utilisent déjà. Les fournisseurs devront également indiquer si et dans quelle mesure les acteurs de la science et de la recherche ont accès à des modalités de collecte d’informations à des fins d’analyses anonymes, dans quelle mesure la diffusion de contenus illégaux affecte en particulier certains groupes d’utilisateurs, si des structures organisées ou des comportements coordonnés sont à la base de la diffusion, et dans quelle mesure les contenus supprimés tombent sous le coup de l’article 1 de la loi générale sur l’égalité de traitement (Allgemeinen Gleichbehandlungsgesetz - AGG).</w:t>
      </w:r>
    </w:p>
    <w:p w:rsidR="003B0B10" w:rsidRPr="00CB1818" w:rsidRDefault="003B0B10" w:rsidP="003B0B10">
      <w:pPr>
        <w:pStyle w:val="Text"/>
      </w:pPr>
      <w:r>
        <w:t>L’article 3, paragraphe 1, phrase 2 de la NetzDG, est complété pour préciser que les canaux de signalement, par l’intermédiaire desquels les plaintes pour contenu illicite peuvent être transmises, doivent être faciles à utiliser et, entre autres, doivent être facilement reconnaissables et immédiatement accessibles à partir du contenu. Cela confirme une fois de plus qu’une «modalité de signalement» difficile à trouver, longue ou compliquée entre le contenu à signaler et la possibilité de déposer une plainte n’est pas compatible avec la loi.</w:t>
      </w:r>
    </w:p>
    <w:p w:rsidR="0077002C" w:rsidRPr="00CB1818" w:rsidRDefault="0077002C" w:rsidP="003B0B10">
      <w:pPr>
        <w:pStyle w:val="Text"/>
      </w:pPr>
      <w:r>
        <w:t>A l’article 3, paragraphes 7 à 9, les dispositions relatives à la reconnaissance d’une institution d’autorégulation réglementée sont complétées de manière à ce que l’Office fédéral de la justice, en tant qu’autorité compétente, puisse à l’avenir assortir la décision de reconnaissance de dispositions accessoires; de plus, des obligations de rapport sont introduites pour les institutions reconnues.</w:t>
      </w:r>
    </w:p>
    <w:p w:rsidR="00BC1485" w:rsidRPr="00CB1818" w:rsidRDefault="008D7B40" w:rsidP="003B0B10">
      <w:pPr>
        <w:pStyle w:val="Text"/>
      </w:pPr>
      <w:r>
        <w:t>Le nouvel article 3b de la NetzDG introduit une procédure dite d’appel. Cela garantit que les plaignants, d’une part, et les rédacteurs de contenu, d’autre part, peuvent facilement demander à un fournisseur de réseau social de réviser une décision relative à un contenu.</w:t>
      </w:r>
    </w:p>
    <w:p w:rsidR="00BC1485" w:rsidRPr="00CB1818" w:rsidRDefault="00BC1485" w:rsidP="003B0B10">
      <w:pPr>
        <w:pStyle w:val="Text"/>
      </w:pPr>
      <w:r>
        <w:t>L’article 3c de la NetzDG introduit une possibilité de reconnaissance pour les organismes d’arbitrage de droit privé. Un tel arbitrage peut permettre de trouver une solution extrajudiciaire aux différends entre les plaignants ou les utilisateurs et le fournisseur.</w:t>
      </w:r>
    </w:p>
    <w:p w:rsidR="00FD5209" w:rsidRPr="00CB1818" w:rsidRDefault="00FD5209" w:rsidP="003B0B10">
      <w:pPr>
        <w:pStyle w:val="Text"/>
      </w:pPr>
      <w:r>
        <w:t>Les articles 3d et 3e de la NetzDG introduisent une réglementation spéciale pour la saisie des services de plate-forme de partage de vidéos dans le respect des exigences de transposition des articles 28a et 28b de la directive SMAV. À cet égard, l’article 3d de la NetzDG contient les définitions et réglementations nécessaires pour déterminer l’État membre concerné conformément à l’article 28a, paragraphe 1, de la directive SMAV, dans lequel un fournisseur est ou est réputé établi. L’article 3e, paragraphe 1 de la NetzDG stipule que les exigences de la NetzDG s’appliquent en principe aux services de plate-forme de partage de vidéos ainsi répertoriés, mais en tenant compte des dispositions spéciales de l’article 3e, paragraphes 2 à 4 de la NetzDG, en particulier pour les petits fournisseurs et les fournisseurs étrangers. Ces réglementations spéciales s’appliquent aux vidéos et émissions générées par les utilisateurs couverts par la directive SMAV, tandis que les contenus textuels, par exemple, restent inchangés. La NetzDG continue donc de s’appliquer dans son intégralité.</w:t>
      </w:r>
    </w:p>
    <w:p w:rsidR="00FD5209" w:rsidRPr="00CB1818" w:rsidRDefault="00FD5209" w:rsidP="00FD5209">
      <w:pPr>
        <w:pStyle w:val="Text"/>
      </w:pPr>
      <w:r>
        <w:t>L’article 3f de la NetzDG établit une commission d’arbitrage officielle pour les cas qui y sont réglementés.</w:t>
      </w:r>
    </w:p>
    <w:p w:rsidR="00FD5209" w:rsidRPr="00CB1818" w:rsidRDefault="00FD5209" w:rsidP="003B0B10">
      <w:pPr>
        <w:pStyle w:val="Text"/>
      </w:pPr>
      <w:r>
        <w:t>L’article 4a de la NetzDG introduit des pouvoirs de contrôle et d’instruction de l’Office fédéral de la justice.</w:t>
      </w:r>
    </w:p>
    <w:p w:rsidR="008D7B40" w:rsidRPr="00CB1818" w:rsidRDefault="00C22ED5" w:rsidP="003B0B10">
      <w:pPr>
        <w:pStyle w:val="Text"/>
      </w:pPr>
      <w:r>
        <w:t>L’article 5, paragraphe 1 de la NetzDG précise que des plaintes d’illégitimité de présomption de contenus illégaux peuvent être notifiées aux personnes habilitées à recevoir des actes judiciaires. Cet article couvre en particulier les poursuites visant à restaurer des contenus supprimés par un réseau avec un motif correspondant ou concernant l’irrecevabilité d’un blocage de compte sur la base de ce même motif.</w:t>
      </w:r>
    </w:p>
    <w:p w:rsidR="002B4B76" w:rsidRPr="00CB1818" w:rsidRDefault="002B4B76" w:rsidP="002B4B76">
      <w:pPr>
        <w:pStyle w:val="Text"/>
      </w:pPr>
      <w:r>
        <w:t>La réglementation relative à la reconnaissance d’une institution d’autorégulation réglementée sera complétée de manière à ce que l’Office fédéral de la justice en tant qu’autorité compétente puisse à l’avenir assortir la décision de reconnaissance de dispositions accessoires. De plus, des obligations de rapport des institutions reconnues sont introduites.</w:t>
      </w:r>
    </w:p>
    <w:p w:rsidR="00060FCE" w:rsidRPr="00CB1818" w:rsidRDefault="00AD64FF" w:rsidP="002B4B76">
      <w:pPr>
        <w:pStyle w:val="Text"/>
      </w:pPr>
      <w:r>
        <w:t>L’article 5, paragraphe 2 de la NetzDG est complété. Selon cette disposition, les destinataires autorisés disponibles comme interlocuteurs nationaux des services répressifs nationaux devraient à l’avenir être nommés directement auprès de l’Office fédéral de la justice, qui peut à son tour fournir des informations aux services répressifs nationaux.</w:t>
      </w:r>
    </w:p>
    <w:p w:rsidR="00CF4789" w:rsidRPr="00CB1818" w:rsidRDefault="00CF4789" w:rsidP="002B4B76">
      <w:pPr>
        <w:pStyle w:val="Text"/>
      </w:pPr>
      <w:r>
        <w:t>L’article 14, paragraphes 3 et 4, de la loi allemande sur les télémédias (TMG) sera complété de sorte qu’à l’avenir, le tribunal chargé de la décision sur la recevabilité d’une divulgation de données devrait également être en mesure d’ordonner l’obligation de divulguer les données.</w:t>
      </w:r>
    </w:p>
    <w:p w:rsidR="00E83886" w:rsidRPr="00CB1818" w:rsidRDefault="00E83886">
      <w:pPr>
        <w:pStyle w:val="berschriftrmischBegrndung"/>
      </w:pPr>
      <w:r>
        <w:t>Alternatives</w:t>
      </w:r>
    </w:p>
    <w:p w:rsidR="00E83886" w:rsidRPr="00CB1818" w:rsidRDefault="00644AD2">
      <w:pPr>
        <w:pStyle w:val="Text"/>
      </w:pPr>
      <w:r>
        <w:t>L’objectif du projet de loi est d’une part de transposer la directive SMAV relative aux obligations de conformité dans le domaine des services de plate-forme de partage de vidéos. Une transposition aurait certes pu être possible dans d’autres lois. Cependant, la transposition dans la NetzDG est préférable en raison de nombreux recoupements avec les exigences de la NetzDG. Un autre objectif du projet de loi est de développer davantage la réglementation de la NetzDG en tenant compte de l’expérience pratique. Compte tenu du besoin parfois considérable de clarifications (par exemple sur la convivialité des canaux de signalement et le domaine de la personne habilitée à recevoir des actes judiciaires), attendre une future procédure de sanction pécuniaire de l’Office fédéral de la justice à ce sujet ou ne pas toucher à la NetzDG ne semble pas être une alternative appropriée.</w:t>
      </w:r>
    </w:p>
    <w:p w:rsidR="00DC63DB" w:rsidRPr="00CB1818" w:rsidRDefault="00E83886" w:rsidP="008B6249">
      <w:pPr>
        <w:pStyle w:val="berschriftrmischBegrndung"/>
        <w:rPr>
          <w:rStyle w:val="Marker"/>
          <w:color w:val="auto"/>
        </w:rPr>
      </w:pPr>
      <w:r>
        <w:t>Compétence législative</w:t>
      </w:r>
    </w:p>
    <w:p w:rsidR="000F7EE0" w:rsidRPr="00CB1818" w:rsidRDefault="00DC63DB" w:rsidP="00C7339D">
      <w:pPr>
        <w:pStyle w:val="Text"/>
        <w:rPr>
          <w:rStyle w:val="Marker"/>
          <w:color w:val="auto"/>
        </w:rPr>
      </w:pPr>
      <w:r>
        <w:rPr>
          <w:rStyle w:val="Marker"/>
          <w:color w:val="auto"/>
        </w:rPr>
        <w:t>La compétence législative du gouvernement fédéral découle d’une part de l’article 74, paragraphe 1, point 11, de la Constitution (droit économique). Le droit économique comprend des dispositions qui se rapportent, sous une forme ou une autre, à la production, à la fabrication et à la distribution de biens de nécessité économique (BVerfGE, 135, 155 point 106). La poursuite d’autres objectifs n’est pas préjudiciable, pour autant que l’objet et le contenu de la réglementation de référence soient, dans leur contexte général, axés sur le droit commercial (Pieroth, dans: Jarass / Pieroth, article 74 GG Rn. 21). Il y a tout particulièrement absence de préjudice si les réglementations liées aux entreprises permettent également de parer aux risques: Lorsqu’il s’agit des risques d’un secteur économique spécifique, les exigences connexes pour ces entreprises relèvent du droit économique.</w:t>
      </w:r>
    </w:p>
    <w:p w:rsidR="008B6249" w:rsidRPr="00435424" w:rsidRDefault="000F7EE0" w:rsidP="000F7EE0">
      <w:pPr>
        <w:pStyle w:val="Text"/>
        <w:rPr>
          <w:rStyle w:val="Marker"/>
          <w:color w:val="auto"/>
        </w:rPr>
      </w:pPr>
      <w:r>
        <w:rPr>
          <w:rStyle w:val="Marker"/>
          <w:color w:val="auto"/>
        </w:rPr>
        <w:t>La compétence législative du gouvernement fédéral découle également de l’article 74, paragraphe 1, point 7 de la Constitution (bien-être public), dans la mesure où cela concerne les questions relatives à la protection des mineurs. L’article 74, paragraphe 1, point 7 de la Constitution est applicable, étant donné que l’objectif de protection du projet de loi, qui s’oppose à la brutalité de la culture du débat sur les réseaux sociaux, touche également au but de protection des mineurs dans les médias, à savoir le développement de l’autonomie et de la sociabilité des enfants et des mineurs. Le règlement relatif à l’organisme d’arbitrage (article 1er, paragraphe 4, du projet) se fonde sur l’article 74, paragraphe 1, point 1 (droit civil) et le point 11 (droit économique) de la Loi fondamentale, et les règles en matière d’amendes (article 1er, paragraphe 4, du projet) sur l’article 74, paragraphe 1, point 1 de la Constitution (droit pénal).</w:t>
      </w:r>
    </w:p>
    <w:p w:rsidR="00DC63DB" w:rsidRPr="00CB1818" w:rsidRDefault="00DC63DB" w:rsidP="000F7EE0">
      <w:pPr>
        <w:pStyle w:val="Text"/>
      </w:pPr>
      <w:r>
        <w:t>La compétence législative de l’État fédéral dans le domaine de l’amélioration de l’application de la législation sur les réseaux sociaux est donnée, étant donné que la réalisation de conditions de vie équivalentes sur le territoire fédéral et la sauvegarde de l’unité juridique ou économique dans l’intérêt national sont requises avec une réglementation légale fédérale (article 72, paragraphe 2, de la Loi fondamentale). Une législation fédérale unifiée dans le domaine de l’application de la législation sur les réseaux sociaux permet d’éviter qu’en République fédérale d’Allemagne, les conditions de vie n’évoluent différemment, les crimes inspirés par la haine et d’autres contenus illégaux n’étant pas, le cas échéant, combattus et poursuivis efficacement dans chaque Land et la coexistence pacifique d’une société libre, ouverte et démocratique étant, de ce fait, mise en danger. Les réglementations ne peuvent donc être effectuées que par le législateur fédéral, faute de quoi il existerait un risque de fragmentation juridique qui n’est pas acceptable à la fois dans l’intérêt de l’État fédéral comme dans celui des Lands. Une organisation nationale de l’application des lois dans les réseaux sociaux garantit l’application de normes uniformes quel que soit l’emplacement des fournisseurs de réseaux sociaux.</w:t>
      </w:r>
    </w:p>
    <w:p w:rsidR="00E83886" w:rsidRPr="00CB1818" w:rsidRDefault="00E83886">
      <w:pPr>
        <w:pStyle w:val="berschriftrmischBegrndung"/>
      </w:pPr>
      <w:r>
        <w:t>Compatibilité avec la législation de l’Union européenne et les traités internationaux</w:t>
      </w:r>
    </w:p>
    <w:p w:rsidR="00305DBD" w:rsidRPr="00CB1818" w:rsidRDefault="00305DBD" w:rsidP="00C7339D">
      <w:pPr>
        <w:pStyle w:val="Text"/>
      </w:pPr>
      <w:r>
        <w:t>Les ajouts aux exigences de conformité prévus dans le projet sont compatibles avec le droit européen. Cela vaut notamment pour la directive 2000/31/CE (directive sur le commerce électronique) ainsi que pour la directive SMAV modifiée.</w:t>
      </w:r>
    </w:p>
    <w:p w:rsidR="00E83886" w:rsidRPr="00CB1818" w:rsidRDefault="00E2639A" w:rsidP="00715217">
      <w:pPr>
        <w:pStyle w:val="Text"/>
        <w:keepNext/>
      </w:pPr>
      <w:r>
        <w:t>1. Directive 2000/31/CE (directive sur le commerce électronique)</w:t>
      </w:r>
    </w:p>
    <w:p w:rsidR="00E2639A" w:rsidRPr="00CB1818" w:rsidRDefault="00E2639A" w:rsidP="00E2639A">
      <w:pPr>
        <w:pStyle w:val="Text"/>
      </w:pPr>
      <w:r>
        <w:t>La directive sur le commerce électronique prévoit déjà un certain nombre d’instruments qui peuvent être utilisés pour réglementer les fournisseurs de réseaux sociaux et qui constituent, par exemple, la base de la réglementation sur le traitement des plaintes dans la NetzDG. Par exemple, l’article 14, paragraphe 1, de la directive sur le commerce électronique permet aux États membres de tenir un fournisseur de services responsable des informations enregistrées pour le compte de l’utilisateur s’il ne prend pas de mesures alors qu’il en a connaissance. Selon l’article 14, paragraphe 3, deuxième partie de la phrase de la directive sur le commerce électronique, rien ne change au fait que «les États membres instaurent des procédures régissant la suppression de ces informations ou des actions pour en rendre l’accès impossible». Il faut également tenir compte du considérant 46 selon lequel «la présente directive n’affecte pas la possibilité qu’ont les États membres de définir des exigences spécifiques auxquelles il doit être satisfait promptement avant de supprimer des informations ou d’en rendre l’accès impossible». En conséquence, le considérant 48 ouvre la possibilité pour les États membres d’exiger des fournisseurs de services «qu’ils agissent avec les précautions que l’on peut raisonnablement attendre d’eux et qui sont définies dans la législation nationale, et ce afin de détecter et d’empêcher certains types d’activités illicites».</w:t>
      </w:r>
    </w:p>
    <w:p w:rsidR="00E2639A" w:rsidRPr="00CB1818" w:rsidRDefault="00DD523C" w:rsidP="00E2639A">
      <w:pPr>
        <w:pStyle w:val="Text"/>
      </w:pPr>
      <w:r>
        <w:t>Les ajouts au présent projet concrétisent le système de traitement des plaintes déjà introduit avec la NetzDG (par exemple, la procédure d’appel et les exigences pour les institutions d’autorégulation réglementée) et s’inscrivent ainsi dans les procédures régies par l’article 14, paragraphe 3, deuxième partie de la phrase de la directive sur le commerce électronique. Le présent projet ne renforce pas les exigences de contrôle et, le cas échéant, de suppression ou de blocage rapide du contenu. Les règles d’arbitrage n’entraînent aucune obligation pour les fournisseurs de restreindre la prestation de services, d’autant plus que l’article 17 de la directive sur le commerce électronique ne vise pas à restreindre les mécanismes nationaux de règlement extrajudiciaire des litiges.</w:t>
      </w:r>
    </w:p>
    <w:p w:rsidR="00E2639A" w:rsidRPr="00CB1818" w:rsidRDefault="00E2639A" w:rsidP="00E2639A">
      <w:pPr>
        <w:pStyle w:val="Text"/>
      </w:pPr>
      <w:r>
        <w:t>À titre subsidiaire, il existe également une marge de manœuvre pour les réglementations nationales en dehors des instruments présentés par la directive sur le commerce électronique. Certes, l’article 3, paragraphe 2, de la directive sur le commerce électronique comporte une interdiction générale pour les États membres de restreindre, pour des raisons relevant dudit domaine coordonné, la libre circulation des services de la société de l’information en provenance d’un autre État membre. Il s’agit entre autres, selon l’article 2, paragraphe h, point i, 2</w:t>
      </w:r>
      <w:r>
        <w:rPr>
          <w:vertAlign w:val="superscript"/>
        </w:rPr>
        <w:t>e</w:t>
      </w:r>
      <w:r>
        <w:t xml:space="preserve"> tiret de la directive sur le commerce électronique, des exigences qu’un fournisseur de services doit satisfaire et qui concernent l’exercice de l’activité d’un service de la société de l’information, telles que les exigences portant sur le comportement du fournisseur de services, la qualité ou le contenu du service, ou sur la responsabilité du fournisseur de services. Toutefois, l’article 3, paragraphe 4, de la directive sur le commerce électronique autorise une exception à cette règle pour les obligations de conformité introduites avec la NetzDG, car ces obligations de conformité sont nécessaires de toute urgence pour lutter contre les crimes inspirés par la haine et autres contenus criminels, entre autres pour protéger les utilisateurs individuels, mais aussi la coexistence pacifique de la société libre, ouverte et démocratique en Allemagne. Les obligations de conformité correspondantes ne sont développées qu’avec le présent projet. Les exigences de vérification des plaintes et, si nécessaire, de suppression ou de blocage rapide du contenu ne sont pas renforcées. En partie, il ne s’agit que de clarifications (par exemple, concernant le contenu des canaux de signalement facilement reconnaissables et la validité de la personne habilitée à recevoir des actes judiciaires pour les actions de restauration). Certains de ces règlements sont déjà inadaptés pour restreindre la libre circulation des services de la société de l’information (par exemple, la possibilité de participer volontairement à l’arbitrage).</w:t>
      </w:r>
    </w:p>
    <w:p w:rsidR="00E2639A" w:rsidRPr="00CB1818" w:rsidRDefault="00FB4780" w:rsidP="00715217">
      <w:pPr>
        <w:pStyle w:val="Text"/>
        <w:keepNext/>
      </w:pPr>
      <w:r>
        <w:t>2. Directive 2010/13/UE (directive SMAV)</w:t>
      </w:r>
    </w:p>
    <w:p w:rsidR="00406568" w:rsidRPr="00CB1818" w:rsidRDefault="00406568" w:rsidP="00C7339D">
      <w:pPr>
        <w:pStyle w:val="Text"/>
      </w:pPr>
      <w:r>
        <w:t>Le complément à la NetzDG pour la saisie des services de plate-forme de partage de vidéos est compatible avec la directive SMAV modifiée. Conformément à l’article 28a, paragraphe 5, la directive SMAV n’affecte pas les réglementations, y compris les articles 3 et 14 de la directive sur le commerce électronique, avec lesquelles les exigences de traitement des plaintes introduites par la NetzDG, qui s’appliquent en principe également aux services de plate-forme de partage de vidéos conformément à l’article 3e, paragraphe 1, sont par contre compatibles.</w:t>
      </w:r>
    </w:p>
    <w:p w:rsidR="00FB4780" w:rsidRPr="00CB1818" w:rsidRDefault="00406568" w:rsidP="00C7339D">
      <w:pPr>
        <w:pStyle w:val="Text"/>
      </w:pPr>
      <w:r>
        <w:t>Même si l’article 28b de la directive SMAV fournit également des lignes directrices positives pour la protection contre les contenus préjudiciables inadmissibles par le biais de mesures des services de plate-forme de partage de vidéos, le présent projet reste dans le cadre de ces lignes directrices. Par exemple, l’article 28b, paragraphe 3, point a, de la directive SMAV exige l’alignement des conditions générales, l’article 28b, paragraphe 3, point d, de la directive SMAV fixe des exigences pour les canaux de signalement, l’article 28b, paragraphe 3, point i, exige que des mesures pour les appels soient prises chez le fournisseur et l’article 28b, paragraphe 7, exige que certaines procédures de recours extrajudiciaires soient disponibles. L’application des sanctions pécuniaires et la surveillance introduite des exigences de conformité sont conformes à l’article 28b, paragraphe 5, de la directive SMAV. L’autorégulation ouverte dans la NetzDG est expressément soutenue par l’article 28b, paragraphe 4, de la directive SMAV. Dans l’ensemble, il convient de noter que la directive SMAV réglementant les services de plate-forme de partage de vidéos conformément à l’article 28b, paragraphe 6, ne fixe que des exigences minimales et permet des réglementations nationales plus strictes.</w:t>
      </w:r>
    </w:p>
    <w:p w:rsidR="00FB4780" w:rsidRPr="00CB1818" w:rsidRDefault="005E5F89" w:rsidP="00C7339D">
      <w:pPr>
        <w:pStyle w:val="Text"/>
      </w:pPr>
      <w:r>
        <w:t xml:space="preserve">Le projet tient compte du fait que l’harmonisation minimale des obligations de conformité établie à l’article 28b de la directive SMAV pour ce qui est des règles de compétence conformément à l’article 28a, paragraphes 1 à 4, doit être mise en œuvre en principe par l’État membre dans lequel le fournisseur respectif de services de plate-forme de partage de vidéos a son siège ou est réputé avoir son siège selon la directive. L’article 3e, paragraphe 3 de la NetzDG stipule donc que les dispositions de la NetzDG ne s’appliquent plus directement si le fournisseur est ou est réputé établi dans un autre État membre et s’il y a des recoupements entre les obligations de conformité au titre de la NetzDG et l’article 28b de la directive SMAV (en ce qui concerne les contenus audiovisuels visés). La directive suppose que </w:t>
      </w:r>
      <w:r>
        <w:rPr>
          <w:rStyle w:val="Marker"/>
          <w:color w:val="auto"/>
        </w:rPr>
        <w:t>l’article 28b garantit le niveau minimal de protection harmonisé en vertu du droit européen par le pays de domicile respectif. Il est compatible avec la directive SMAV que l’article 3e, paragraphe 3 de la NetzDG prévoit la responsabilité individuelle de l’Office fédéral de la justice si ce niveau de protection n’est pas atteint. À l’article 28a, paragraphe 5, la directive SMAV renvoie expressément à l’article 3 de la directive sur le commerce électronique, c’est-à-dire aux mesures que l’État membre du marché est autorisé à prendre dans certains cas après exécution d’un processus de consultation déterminé. L’article 3e, paragraphe 3 de la NetzDG renvoie à la réglementation nationale correspondante à l’article 3, paragraphe 5, de la loi sur les télémédias (TMG).</w:t>
      </w:r>
    </w:p>
    <w:p w:rsidR="00E2639A" w:rsidRPr="00CB1818" w:rsidRDefault="00AD0A3F" w:rsidP="00715217">
      <w:pPr>
        <w:pStyle w:val="Text"/>
        <w:keepNext/>
      </w:pPr>
      <w:r>
        <w:t>3. Libre prestation des services</w:t>
      </w:r>
    </w:p>
    <w:p w:rsidR="00672680" w:rsidRPr="00CB1818" w:rsidRDefault="00E2639A" w:rsidP="00672680">
      <w:pPr>
        <w:pStyle w:val="Text"/>
      </w:pPr>
      <w:r>
        <w:t>Sous réserve de dispositions de droit dérivé spécifiques, une réglementation nationale visant à améliorer l'application de la législation sur les réseaux sociaux doit être mesurée aux libertés fondamentales du droit de l'Union, dès lors qu'il existe une incidence transfrontalière. Il conviendrait de partir de ce principe. En effet, la réglementation ne s’adresse pas uniquement aux opérateurs nationaux et ne comprend pas seulement leur prestation de services sur le territoire national, mais concerne aussi les opérateurs d’autres États membres ou les prestations de services d’opérateurs nationaux rendue à des utilisateurs vivant dans d’autres États membres.</w:t>
      </w:r>
    </w:p>
    <w:p w:rsidR="00E2639A" w:rsidRPr="00CB1818" w:rsidRDefault="00E2639A" w:rsidP="00E2639A">
      <w:pPr>
        <w:pStyle w:val="Text"/>
      </w:pPr>
      <w:r>
        <w:t>Est ici affectée la liberté fondamentale de la libre prestation des services (article 56 du traité sur le fonctionnement de l’Union européenne). Une restriction n’est ici justifiée que s’il s’avère qu’elle répond à des raisons impératives d’intérêt général, qu’elle est de nature à atteindre l’objectif qu’elle poursuit et qu’elle ne va pas au-delà de ce qui est nécessaire à la réalisation de cet objectif.</w:t>
      </w:r>
    </w:p>
    <w:p w:rsidR="00E2639A" w:rsidRPr="00CB1818" w:rsidRDefault="00E2639A" w:rsidP="00DD4259">
      <w:pPr>
        <w:pStyle w:val="Text"/>
      </w:pPr>
      <w:r>
        <w:t>La prévention et la lutte contre les crimes inspirés par la haine et autres contenus punissables sur les plateformes de réseaux sociaux promus par le NetzDG doivent être considérées comme un intérêt public impératif, qui est développé par le présent projet pour les raisons nécessaires et appropriées indiquées dans l’exposé des motifs.</w:t>
      </w:r>
    </w:p>
    <w:p w:rsidR="00E2639A" w:rsidRPr="00CB1818" w:rsidRDefault="00DD4259" w:rsidP="00715217">
      <w:pPr>
        <w:pStyle w:val="Text"/>
        <w:keepNext/>
      </w:pPr>
      <w:r>
        <w:t>4. Obligation de notification en vertu de la directive (UE) 2015/1535</w:t>
      </w:r>
    </w:p>
    <w:p w:rsidR="00E2639A" w:rsidRPr="00CB1818" w:rsidRDefault="00E2639A" w:rsidP="00E2639A">
      <w:pPr>
        <w:pStyle w:val="Text"/>
      </w:pPr>
      <w:r>
        <w:t>La réglementation planifiée est soumise à l'obligation de notification en vertu de la directive (UE) 2015/1535 du 9 septembre 2015 prévoyant une procédure d'information dans le domaine des réglementations techniques et des règles relatives aux services de la société de l'information.</w:t>
      </w:r>
    </w:p>
    <w:p w:rsidR="00E83886" w:rsidRPr="00CB1818" w:rsidRDefault="00E83886">
      <w:pPr>
        <w:pStyle w:val="berschriftrmischBegrndung"/>
      </w:pPr>
      <w:r>
        <w:t>Impact de la loi</w:t>
      </w:r>
    </w:p>
    <w:p w:rsidR="00E83886" w:rsidRPr="00CB1818" w:rsidRDefault="00E83886">
      <w:pPr>
        <w:pStyle w:val="berschriftarabischBegrndung"/>
      </w:pPr>
      <w:r>
        <w:t>Simplification législative et administrative</w:t>
      </w:r>
    </w:p>
    <w:p w:rsidR="00E83886" w:rsidRPr="00CB1818" w:rsidRDefault="004F1EF9">
      <w:pPr>
        <w:pStyle w:val="Text"/>
      </w:pPr>
      <w:r>
        <w:t>Le projet ne sert pas à la simplification législative et administrative.</w:t>
      </w:r>
    </w:p>
    <w:p w:rsidR="00E83886" w:rsidRPr="00CB1818" w:rsidRDefault="00E83886">
      <w:pPr>
        <w:pStyle w:val="berschriftarabischBegrndung"/>
      </w:pPr>
      <w:r>
        <w:t>Aspects relatifs à la durabilité</w:t>
      </w:r>
    </w:p>
    <w:p w:rsidR="004F1EF9" w:rsidRPr="00CB1818" w:rsidRDefault="004F1EF9">
      <w:pPr>
        <w:pStyle w:val="Text"/>
      </w:pPr>
      <w:r>
        <w:t>L’objectif fondamental de la NetzDG et le but du développement proposé ici consiste à contrer les crimes inspirés par la haine et d’autres contenus illégaux qui réunissent les éléments de l’infraction à l’article 1er, paragraphe 3 de la NetzDG, sur les réseaux sociaux, afin de favoriser la coexistence pacifique dans une société libre, ouverte et démocratique (cf. schon BT-Drs. 18/12356, p. 15).</w:t>
      </w:r>
    </w:p>
    <w:p w:rsidR="00E83886" w:rsidRPr="00CB1818" w:rsidRDefault="00E83886">
      <w:pPr>
        <w:pStyle w:val="berschriftarabischBegrndung"/>
      </w:pPr>
      <w:r>
        <w:t>Dépenses budgétaires sans charge d’exécution</w:t>
      </w:r>
    </w:p>
    <w:p w:rsidR="00BE43F7" w:rsidRPr="00CB1818" w:rsidRDefault="00450990" w:rsidP="00ED24C8">
      <w:pPr>
        <w:pStyle w:val="Text"/>
      </w:pPr>
      <w:r>
        <w:t>Les charges d’exécution supplémentaires de 1 064 987 EUR pour l’administration (voir explications sur les charges d’exécution) entraînent des charges budgétaires correspondantes. Cela s’explique par le besoin de postes au ministère fédéral de la Justice et de la Protection des Consommateurs et à l’Office fédéral de la justice, avec un total (arrondi) de 6,5 postes de haut fonctionnaire, 4 postes de cadre dirigeant et 1,5 poste de cadre.</w:t>
      </w:r>
    </w:p>
    <w:p w:rsidR="00BE43F7" w:rsidRPr="00CB1818" w:rsidRDefault="00BE43F7" w:rsidP="00ED24C8">
      <w:pPr>
        <w:pStyle w:val="Text"/>
      </w:pPr>
      <w:r>
        <w:t>Les besoins supplémentaires en ressources matérielles et humaines doivent être compensés financièrement et par poste dans le cadre du plan individuel 07. Les détails de la couverture des besoins supplémentaires devront être décidés dans le cadre de la procédure de composition du budget à venir.</w:t>
      </w:r>
    </w:p>
    <w:p w:rsidR="004F1EF9" w:rsidRPr="00CB1818" w:rsidRDefault="00E83886" w:rsidP="001463D2">
      <w:pPr>
        <w:pStyle w:val="berschriftarabischBegrndung"/>
      </w:pPr>
      <w:r>
        <w:t>Charges d’exécution</w:t>
      </w:r>
    </w:p>
    <w:p w:rsidR="004F1EF9" w:rsidRPr="00CB1818" w:rsidRDefault="004F1EF9" w:rsidP="00715217">
      <w:pPr>
        <w:pStyle w:val="Text"/>
        <w:keepNext/>
      </w:pPr>
      <w:r>
        <w:t>a) Charges d'exécution pour les citoyens</w:t>
      </w:r>
    </w:p>
    <w:p w:rsidR="00DD04F8" w:rsidRPr="00CB1818" w:rsidRDefault="00266765">
      <w:pPr>
        <w:pStyle w:val="Text"/>
      </w:pPr>
      <w:r>
        <w:t xml:space="preserve">Aucune. </w:t>
      </w:r>
    </w:p>
    <w:p w:rsidR="005109A2" w:rsidRPr="00CB1818" w:rsidRDefault="004F1EF9" w:rsidP="00715217">
      <w:pPr>
        <w:pStyle w:val="Text"/>
        <w:keepNext/>
      </w:pPr>
      <w:r>
        <w:t>b) Charges d'exécution pour le secteur économique</w:t>
      </w:r>
    </w:p>
    <w:p w:rsidR="00B65155" w:rsidRPr="00CB1818" w:rsidRDefault="00B65155" w:rsidP="00ED24C8">
      <w:pPr>
        <w:pStyle w:val="Text"/>
      </w:pPr>
      <w:r>
        <w:t>Au total, les fournisseurs concernés par la réglementation encourent une charge d’exécution unique de 284 000 EUR (en plus des coûts de transposition de l’actuelle NetzDG) et de 2 279 000 EUR par an.</w:t>
      </w:r>
    </w:p>
    <w:p w:rsidR="00B65155" w:rsidRPr="00CB1818" w:rsidRDefault="00B65155" w:rsidP="00ED24C8">
      <w:pPr>
        <w:pStyle w:val="Text"/>
      </w:pPr>
      <w:r>
        <w:t>La mise en œuvre dans son intégralité de l’article 28b de la directive SMAV représente 45 400 EUR de la charge d’exécution unique et 89 400 EUR de la charge d’exécution annuelle.</w:t>
      </w:r>
    </w:p>
    <w:p w:rsidR="00B65155" w:rsidRPr="00CB1818" w:rsidRDefault="00B65155" w:rsidP="00715217">
      <w:pPr>
        <w:pStyle w:val="Text"/>
        <w:keepNext/>
      </w:pPr>
      <w:r>
        <w:t xml:space="preserve">Aperçu de la composition de la charge d’exécution (en EUR): </w:t>
      </w:r>
    </w:p>
    <w:tbl>
      <w:tblPr>
        <w:tblW w:w="8779" w:type="dxa"/>
        <w:tblLayout w:type="fixed"/>
        <w:tblCellMar>
          <w:left w:w="0" w:type="dxa"/>
          <w:right w:w="0" w:type="dxa"/>
        </w:tblCellMar>
        <w:tblLook w:val="04A0" w:firstRow="1" w:lastRow="0" w:firstColumn="1" w:lastColumn="0" w:noHBand="0" w:noVBand="1"/>
      </w:tblPr>
      <w:tblGrid>
        <w:gridCol w:w="3392"/>
        <w:gridCol w:w="993"/>
        <w:gridCol w:w="992"/>
        <w:gridCol w:w="850"/>
        <w:gridCol w:w="851"/>
        <w:gridCol w:w="850"/>
        <w:gridCol w:w="851"/>
      </w:tblGrid>
      <w:tr w:rsidR="00B65155" w:rsidRPr="00CB1818" w:rsidTr="00D32D29">
        <w:tc>
          <w:tcPr>
            <w:tcW w:w="3392" w:type="dxa"/>
            <w:vMerge w:val="restart"/>
            <w:tcBorders>
              <w:top w:val="single" w:sz="8" w:space="0" w:color="auto"/>
              <w:left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p>
        </w:tc>
        <w:tc>
          <w:tcPr>
            <w:tcW w:w="1985" w:type="dxa"/>
            <w:gridSpan w:val="2"/>
            <w:tcBorders>
              <w:top w:val="single" w:sz="8" w:space="0" w:color="auto"/>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Charges d’exécution</w:t>
            </w:r>
          </w:p>
        </w:tc>
        <w:tc>
          <w:tcPr>
            <w:tcW w:w="1701" w:type="dxa"/>
            <w:gridSpan w:val="2"/>
            <w:tcBorders>
              <w:top w:val="single" w:sz="8" w:space="0" w:color="auto"/>
              <w:left w:val="nil"/>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Part des obligations d’information dans la charge d’exécution</w:t>
            </w:r>
          </w:p>
        </w:tc>
        <w:tc>
          <w:tcPr>
            <w:tcW w:w="1701" w:type="dxa"/>
            <w:gridSpan w:val="2"/>
            <w:tcBorders>
              <w:top w:val="single" w:sz="8" w:space="0" w:color="auto"/>
              <w:left w:val="nil"/>
              <w:bottom w:val="single" w:sz="4" w:space="0" w:color="auto"/>
              <w:right w:val="single" w:sz="8" w:space="0" w:color="000000"/>
            </w:tcBorders>
            <w:shd w:val="clear" w:color="auto" w:fill="auto"/>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Part de la transposition intégrale dans la charge d’exécution</w:t>
            </w:r>
          </w:p>
        </w:tc>
      </w:tr>
      <w:tr w:rsidR="00A57EE4" w:rsidRPr="00CB1818" w:rsidTr="00D32D29">
        <w:tc>
          <w:tcPr>
            <w:tcW w:w="3392" w:type="dxa"/>
            <w:vMerge/>
            <w:tcBorders>
              <w:left w:val="single" w:sz="8" w:space="0" w:color="auto"/>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unique</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tous les ans</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unique</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tous les ans</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unique</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rsidP="00715217">
            <w:pPr>
              <w:pStyle w:val="TabelleText"/>
              <w:keepNext/>
              <w:rPr>
                <w:sz w:val="16"/>
                <w:szCs w:val="16"/>
              </w:rPr>
            </w:pPr>
            <w:r>
              <w:rPr>
                <w:sz w:val="16"/>
                <w:szCs w:val="16"/>
              </w:rPr>
              <w:t>tous les ans</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Obligations de rapport supplémentaires (article 2 de la NetzDG) pour les fournisseurs de réseaux sociaux déjà répertoriés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45 000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47 000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45 000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47 000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Première obligation d'information (article 2 de la NetzDG) pour les services de plate-forme de partage de vidéos de grande taille nouvellement répertoriés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42 000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25 000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42 000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25 000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Obligations supplémentaires concernant le traitement des plaintes (article 3 de la NetzDG) pour les réseaux sociaux qui ont déjà été répertoriés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40 000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40 000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left w:w="108" w:type="dxa"/>
              <w:right w:w="108" w:type="dxa"/>
            </w:tcMar>
            <w:hideMark/>
          </w:tcPr>
          <w:p w:rsidR="00B65155" w:rsidRPr="00CB1818" w:rsidRDefault="00B65155" w:rsidP="009E7D5E">
            <w:pPr>
              <w:pStyle w:val="TabelleText"/>
              <w:rPr>
                <w:sz w:val="16"/>
                <w:szCs w:val="16"/>
              </w:rPr>
            </w:pPr>
            <w:r>
              <w:rPr>
                <w:sz w:val="16"/>
                <w:szCs w:val="16"/>
              </w:rPr>
              <w:t>Première mise en œuvre du traitement des plaintes (article 3 de la NetzDG) pour les services de plate-forme de partage de vidéos de grande taille nouvellement répertoriés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57 000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32 000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5 700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3 200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Première mise en œuvre du traitement des plaintes (article 3 de la NetzDG) pour les services de plate-forme de partage de vidéos nationaux de petite taille nouvellement répertoriés</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30 000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11 000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3 000</w:t>
            </w: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1 100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30 000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11 000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Examen des plaintes supplémentaires relatives aux contenus illégaux</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r>
              <w:rPr>
                <w:color w:val="000000"/>
                <w:sz w:val="16"/>
                <w:szCs w:val="16"/>
              </w:rPr>
              <w:t>630 000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r>
              <w:rPr>
                <w:color w:val="000000"/>
                <w:sz w:val="16"/>
                <w:szCs w:val="16"/>
              </w:rPr>
              <w:t>63 000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Mise en place de procédures d’appel (article 3b de la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51 000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4 000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Examen des appels (article 3b de la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1 440 000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14 400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Implémentation des accords contractuels par les services de plate-forme de partage de vidéos (article 3e, paragraphe 4 de la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19 000</w:t>
            </w: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11 400</w:t>
            </w: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Demande d’informations par l’autorité de contrôle (article 4a, paragraphe 3 de la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pPr>
              <w:pStyle w:val="TabelleText"/>
              <w:rPr>
                <w:sz w:val="16"/>
                <w:szCs w:val="16"/>
              </w:rPr>
            </w:pPr>
            <w:r>
              <w:rPr>
                <w:color w:val="000000"/>
                <w:sz w:val="16"/>
                <w:szCs w:val="16"/>
              </w:rPr>
              <w:t>1 000</w:t>
            </w: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tcMar>
              <w:top w:w="15" w:type="dxa"/>
              <w:left w:w="108" w:type="dxa"/>
              <w:bottom w:w="0" w:type="dxa"/>
              <w:right w:w="108" w:type="dxa"/>
            </w:tcMar>
          </w:tcPr>
          <w:p w:rsidR="00B65155" w:rsidRPr="00CB1818" w:rsidRDefault="00B65155" w:rsidP="009E7D5E">
            <w:pPr>
              <w:pStyle w:val="TabelleText"/>
              <w:rPr>
                <w:sz w:val="16"/>
                <w:szCs w:val="16"/>
              </w:rPr>
            </w:pPr>
            <w:r>
              <w:rPr>
                <w:sz w:val="16"/>
                <w:szCs w:val="16"/>
              </w:rPr>
              <w:t>Autres personnes habilitées à recevoir des actes judiciaires et destinataires autorisés (article 5 de la NetzDG)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48 000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24 000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Augmentation des informations sur la base de l’article 14, paragraphe 3 de la loi sur les télémédias (TMG)</w:t>
            </w:r>
          </w:p>
        </w:tc>
        <w:tc>
          <w:tcPr>
            <w:tcW w:w="993"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992"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color w:val="000000"/>
                <w:sz w:val="16"/>
                <w:szCs w:val="16"/>
              </w:rPr>
              <w:t>12 000</w:t>
            </w: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p>
        </w:tc>
        <w:tc>
          <w:tcPr>
            <w:tcW w:w="850" w:type="dxa"/>
            <w:tcBorders>
              <w:top w:val="nil"/>
              <w:left w:val="nil"/>
              <w:bottom w:val="single" w:sz="4" w:space="0" w:color="auto"/>
              <w:right w:val="single" w:sz="4" w:space="0" w:color="auto"/>
            </w:tcBorders>
            <w:shd w:val="clear" w:color="auto" w:fill="auto"/>
            <w:noWrap/>
            <w:tcMar>
              <w:top w:w="15" w:type="dxa"/>
              <w:left w:w="108" w:type="dxa"/>
              <w:bottom w:w="0" w:type="dxa"/>
              <w:right w:w="108" w:type="dxa"/>
            </w:tcMar>
          </w:tcPr>
          <w:p w:rsidR="00B65155" w:rsidRPr="00CB1818" w:rsidRDefault="00B65155" w:rsidP="009E7D5E">
            <w:pPr>
              <w:pStyle w:val="TabelleText"/>
              <w:rPr>
                <w:sz w:val="16"/>
                <w:szCs w:val="16"/>
              </w:rPr>
            </w:pPr>
          </w:p>
        </w:tc>
        <w:tc>
          <w:tcPr>
            <w:tcW w:w="851" w:type="dxa"/>
            <w:tcBorders>
              <w:top w:val="nil"/>
              <w:left w:val="nil"/>
              <w:bottom w:val="single" w:sz="4" w:space="0" w:color="auto"/>
              <w:right w:val="single" w:sz="8" w:space="0" w:color="auto"/>
            </w:tcBorders>
            <w:shd w:val="clear" w:color="auto" w:fill="auto"/>
            <w:noWrap/>
            <w:tcMar>
              <w:top w:w="15" w:type="dxa"/>
              <w:left w:w="108" w:type="dxa"/>
              <w:bottom w:w="0" w:type="dxa"/>
              <w:right w:w="108" w:type="dxa"/>
            </w:tcMar>
          </w:tcPr>
          <w:p w:rsidR="00B65155" w:rsidRPr="00CB1818" w:rsidRDefault="00B65155">
            <w:pPr>
              <w:pStyle w:val="TabelleText"/>
              <w:rPr>
                <w:sz w:val="16"/>
                <w:szCs w:val="16"/>
              </w:rPr>
            </w:pPr>
          </w:p>
        </w:tc>
      </w:tr>
      <w:tr w:rsidR="00A57EE4" w:rsidRPr="00CB1818" w:rsidTr="00D32D29">
        <w:tc>
          <w:tcPr>
            <w:tcW w:w="3392" w:type="dxa"/>
            <w:tcBorders>
              <w:top w:val="nil"/>
              <w:left w:val="single" w:sz="8" w:space="0" w:color="auto"/>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sz w:val="16"/>
                <w:szCs w:val="16"/>
              </w:rPr>
              <w:t>Somme</w:t>
            </w:r>
          </w:p>
        </w:tc>
        <w:tc>
          <w:tcPr>
            <w:tcW w:w="993"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284 000</w:t>
            </w:r>
          </w:p>
        </w:tc>
        <w:tc>
          <w:tcPr>
            <w:tcW w:w="992"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2 279 000</w:t>
            </w:r>
          </w:p>
        </w:tc>
        <w:tc>
          <w:tcPr>
            <w:tcW w:w="850"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135 700</w:t>
            </w:r>
          </w:p>
        </w:tc>
        <w:tc>
          <w:tcPr>
            <w:tcW w:w="851"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134 300</w:t>
            </w:r>
          </w:p>
        </w:tc>
        <w:tc>
          <w:tcPr>
            <w:tcW w:w="850" w:type="dxa"/>
            <w:tcBorders>
              <w:top w:val="nil"/>
              <w:left w:val="nil"/>
              <w:bottom w:val="single" w:sz="8" w:space="0" w:color="auto"/>
              <w:right w:val="single" w:sz="4"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45 400</w:t>
            </w:r>
          </w:p>
        </w:tc>
        <w:tc>
          <w:tcPr>
            <w:tcW w:w="851" w:type="dxa"/>
            <w:tcBorders>
              <w:top w:val="nil"/>
              <w:left w:val="nil"/>
              <w:bottom w:val="single" w:sz="8" w:space="0" w:color="auto"/>
              <w:right w:val="single" w:sz="8" w:space="0" w:color="auto"/>
            </w:tcBorders>
            <w:shd w:val="clear" w:color="auto" w:fill="auto"/>
            <w:noWrap/>
            <w:tcMar>
              <w:top w:w="15" w:type="dxa"/>
              <w:left w:w="108" w:type="dxa"/>
              <w:bottom w:w="0" w:type="dxa"/>
              <w:right w:w="108" w:type="dxa"/>
            </w:tcMar>
            <w:hideMark/>
          </w:tcPr>
          <w:p w:rsidR="00B65155" w:rsidRPr="00CB1818" w:rsidRDefault="00B65155" w:rsidP="009E7D5E">
            <w:pPr>
              <w:pStyle w:val="TabelleText"/>
              <w:rPr>
                <w:sz w:val="16"/>
                <w:szCs w:val="16"/>
              </w:rPr>
            </w:pPr>
            <w:r>
              <w:rPr>
                <w:bCs/>
                <w:color w:val="000000"/>
                <w:sz w:val="16"/>
                <w:szCs w:val="16"/>
              </w:rPr>
              <w:t>89 400</w:t>
            </w:r>
          </w:p>
        </w:tc>
      </w:tr>
    </w:tbl>
    <w:p w:rsidR="00B65155" w:rsidRPr="00CB1818" w:rsidRDefault="00B65155" w:rsidP="00715217">
      <w:pPr>
        <w:pStyle w:val="Text"/>
        <w:keepNext/>
      </w:pPr>
      <w:r>
        <w:t>Plus précisément:</w:t>
      </w:r>
    </w:p>
    <w:p w:rsidR="00B65155" w:rsidRPr="00CB1818" w:rsidRDefault="00B65155" w:rsidP="00ED24C8">
      <w:pPr>
        <w:pStyle w:val="Text"/>
      </w:pPr>
      <w:r>
        <w:t>Le projet introduit en partie de nouvelles obligations à remplir par les fournisseurs de réseaux sociaux ainsi que par certains services de plate-forme de partage de vidéos; les obligations existantes pour les fournisseurs de réseaux sociaux sont en partie complétées.</w:t>
      </w:r>
    </w:p>
    <w:p w:rsidR="00B65155" w:rsidRPr="00CB1818" w:rsidRDefault="00B65155" w:rsidP="00ED24C8">
      <w:pPr>
        <w:pStyle w:val="Text"/>
      </w:pPr>
      <w:r>
        <w:t>Les estimations suivantes de la charge supplémentaire pour les fournisseurs concernés sont basées sur l’hypothèse qu’en raison de l’article 3e de la NetzDG, à moyen terme, un total de quatre fournisseurs de services de plate-forme de partage de vidéos tombent pour la première fois dans le champ d’application de la loi. On estime qu’il existe environ trois petits fournisseurs nationaux couverts par l’article 3e, paragraphes 1 et 2 de la NetzDG. Ces estimations sont également basées sur l’hypothèse qu’il existe un fournisseur plus important parmi les quatre fournisseurs nouvellement répertoriés (au moins deux millions d’utilisateurs répertoriés en Allemagne).</w:t>
      </w:r>
    </w:p>
    <w:p w:rsidR="00B65155" w:rsidRPr="00CB1818" w:rsidRDefault="00B65155" w:rsidP="00ED24C8">
      <w:pPr>
        <w:pStyle w:val="Text"/>
      </w:pPr>
      <w:r>
        <w:t>En outre, on suppose qu’un total de cinq grands fournisseurs de réseaux sociaux sont déjà soumis à la NetzDG sans être exemptés des obligations en vertu de l’article 1, paragraphe 2 de la NetzDG. On suppose que parmi ces fournisseurs de grands réseaux sociaux, qui sont déjà soumis aux exigences de conformité de la NetzDG, un fournisseur sera à l’avenir également classé comme un service de plate-forme de partage de vidéos.</w:t>
      </w:r>
    </w:p>
    <w:p w:rsidR="00B65155" w:rsidRPr="00CB1818" w:rsidRDefault="00B65155" w:rsidP="00ED24C8">
      <w:pPr>
        <w:pStyle w:val="Text"/>
      </w:pPr>
      <w:r>
        <w:t>Par conséquent, l’estimation est basée sur six (auparavant cinq) fournisseurs répertoriés (cinq fournisseurs de réseaux sociaux déjà répertoriés, dont l’un sera également répertorié à l’avenir comme service de plate-forme de partage de vidéos, ainsi qu’un autre plus grand fournisseur de service de plate-forme de partage de vidéos), qui ne sont pas exemptés des principales obligations légales selon l’article 1, paragraphe 2 de la NetzDG. De plus, l’estimation se fonde sur trois petits fournisseurs nouvellement répertoriés, pour lesquels seules des obligations de conformité très limitées s’appliquent conformément à l’article 3e, paragraphe 2.</w:t>
      </w:r>
    </w:p>
    <w:p w:rsidR="00B65155" w:rsidRPr="00CB1818" w:rsidRDefault="00B65155" w:rsidP="00ED24C8">
      <w:pPr>
        <w:pStyle w:val="Text"/>
      </w:pPr>
      <w:r>
        <w:t>On estime également que les grands sites de réseaux sociaux et les nouveaux services de plate-forme de partage de vidéos qui ont été répertoriés jusqu’à présent et les services de plate-forme de partage de vidéos qui sont nouvellement répertoriés sont susceptibles de générer chaque année un total de 2,3 millions de plaintes concernant des contenus illégaux. Cette estimation est basée sur le fait que, selon les rapports de transparence publiés à ce jour pour le second semestre 2019, les cinq principaux fournisseurs YouTube, Facebook, Twitter, Instagram et TikTok ont enregistré un total d’environ 1,1 million de plaintes. Sans que la publication ne repose sur la soumission des fournisseurs respectifs à la NetzDG ou sur un bon enregistrement des plaintes, on estime à 2,2 millions le nombre de plaintes par an. Il en résulte une estimation approximative d’environ 400 000 plaintes annuelles par grand fournisseur. Cependant, cette valeur ne peut être transposée aux services de plate-forme de partage de vidéos nouvellement répertoriés que dans une mesure limitée. Les nouveaux fournisseurs nationaux de services de plate-forme de partage de vidéos nouvellement répertoriés sont considérablement plus petits que les grands fournisseurs mentionnés. De plus, on peut supposer que les plaintes dans le domaine des vidéos et des émissions générées par les utilisateurs qui relèvent directement de la NetzDG sont limitées au contenu conformément à l’article 3e, paragraphe 2, phrase 2 de la NetzDG. Dans le même temps, il convient de tenir compte du fait qu’en raison de l’article 3e, paragraphe 3, phrase 1 de la NetzDG, les plaintes concernant certaines vidéos et émissions générées par les utilisateurs de fournisseurs de services de plate-forme de partage de vidéos qui étaient auparavant répertoriés par la NetzDG en tant que fournisseurs de réseaux sociaux ne seront à l’avenir plus soumises à la procédure de signalement et de recours. Sur cette base, on peut estimer que, malgré les incertitudes, 100 000 plaintes supplémentaires au sens de la NetzDG seront déposées chaque année en raison des nouveaux fournisseurs répertoriés.</w:t>
      </w:r>
    </w:p>
    <w:p w:rsidR="00B65155" w:rsidRPr="00CB1818" w:rsidRDefault="00B65155" w:rsidP="00ED24C8">
      <w:pPr>
        <w:pStyle w:val="Text"/>
      </w:pPr>
      <w:r>
        <w:t>Les préoccupations des petites et moyennes entreprises (PME) sont prises en compte. Les exigences de conformité de la NetzDG s’appliquent uniquement aux grands fournisseurs en raison de l’article 1, paragraphe 2 de la NetzDG. Dans la mesure où l’article 3e, paragraphe 2 de la NetzDG couvre désormais également les petits fournisseurs de services de plate-forme de partage de vidéos en raison des exigences de la législation européenne, selon l’article 3e, paragraphe 2, phrase 3 de la NetzDG, ils restent délibérément largement exemptés d’obligations plus strictes en utilisant la marge d’application de la directive à transposer.</w:t>
      </w:r>
    </w:p>
    <w:p w:rsidR="00B65155" w:rsidRPr="00CB1818" w:rsidRDefault="00B65155" w:rsidP="00ED24C8">
      <w:pPr>
        <w:pStyle w:val="Text"/>
      </w:pPr>
      <w:r>
        <w:t>Les taux horaires ci-dessous sont basés sur l’annexe VI Tableau des salaires Economie du Guide de calcul et de présentation de la charge d’exécution dans les projets réglementaires du gouvernement fédéral. Sauf indication contraire, les valeurs de la ligne M («Prestation de services professionnels, scientifiques et techniques») sont utilisées.</w:t>
      </w:r>
    </w:p>
    <w:p w:rsidR="00B65155" w:rsidRPr="00CB1818" w:rsidRDefault="00B65155" w:rsidP="005B260B">
      <w:pPr>
        <w:keepNext/>
        <w:spacing w:before="0" w:after="0" w:line="276" w:lineRule="auto"/>
        <w:rPr>
          <w:rFonts w:eastAsia="Arial"/>
        </w:rPr>
      </w:pPr>
      <w:r>
        <w:t>aa) Obligations de rapport supplémentaires (article 2 de la NetzDG) pour les fournisseurs de réseaux sociaux déjà répertoriés</w:t>
      </w:r>
    </w:p>
    <w:p w:rsidR="00B65155" w:rsidRPr="00CB1818" w:rsidRDefault="00B65155" w:rsidP="00E86F0A">
      <w:pPr>
        <w:pStyle w:val="Text"/>
      </w:pPr>
      <w:r>
        <w:t>Les ajouts à l’obligation d'information à l’article 2 de la NetzDG entraîneront des coûts de conformité plus élevés pour les fournisseurs de réseaux sociaux qui sont déjà soumis à l’obligation d'information. Les ajouts à l’article 2, paragraphe 2, points 2, 3, 12 à 15 de la NetzDG nécessitent principalement la divulgation des connaissances existantes, de sorte qu’on peut supposer que la charge imposée reste modérée. L’article 2, paragraphe 2, point 9 de la NetzDG exige seulement qu’une certaine forme de présentation soit prise en compte pour les délais de traitement des plaintes à répertorier, de sorte qu’on peut supposer que la charge supplémentaire imposée ici est très faible. Seules les modifications en raison de l’article 2, paragraphe 2, point 8 et 11 de la NetzDG nécessitent de répertorier également des cas individuels (quelle étape du contrôle a conduit à la suppression ou au blocage et comment les appels sont traités). Cependant, on peut également supposer ici que les coûts supplémentaires resteront modérés en utilisant des mécanismes de saisie automatiques.</w:t>
      </w:r>
    </w:p>
    <w:p w:rsidR="00F87D01" w:rsidRPr="00CB1818" w:rsidRDefault="00B65155" w:rsidP="005B260B">
      <w:pPr>
        <w:pStyle w:val="Text"/>
        <w:keepNext/>
      </w:pPr>
      <w:r>
        <w:t>On suppose que l’adaptation technique lors de la saisie des bases des rapports (par exemple, la gestion des appels) n’entraînera qu’une dépense supplémentaire de 9 000 EUR par fournisseur. On suppose que les dépenses de programmation seront non négligeables pour la conversion des systèmes informatiques pour répertorier les obligations d’information sur la base de l’article 2, paragraphe 2, point 8 de la NetzDG (étape de contrôle) et de l’article 2, paragraphe 2, point 11 de la NetzDG (appels). En supposant que la saisie supplémentaire dans les systèmes existants puisse être mis en œuvre avec un effort de programmation d’environ 160 heures de travail, l’estimation est basée sur des coûts salariaux de 58,80 EUR/heure (niveau de qualification élevé): 160 heures x 1 x 58,80 EUR/heure = 9 408 EUR (arrondis: 9 000 EUR). Les coûts totaux sont arrondis:</w:t>
      </w:r>
    </w:p>
    <w:p w:rsidR="00B65155" w:rsidRPr="00CB1818" w:rsidRDefault="00B65155" w:rsidP="00382B89">
      <w:pPr>
        <w:pStyle w:val="AufzhlungStufe1"/>
      </w:pPr>
      <w:r>
        <w:t>5 (fournisseurs précédemment répertoriés) x 9 000,00 EUR = 45 000 EUR uniques.</w:t>
      </w:r>
    </w:p>
    <w:p w:rsidR="00B65155" w:rsidRPr="00CB1818" w:rsidRDefault="00B65155" w:rsidP="005B260B">
      <w:pPr>
        <w:pStyle w:val="Text"/>
        <w:keepNext/>
      </w:pPr>
      <w:r>
        <w:t>Il en résultera également de nouveaux frais courants. On estime que le travail supplémentaire requis (soutien continu de l’infrastructure technique, préparation des rapports) nécessite l’utilisation de 160 heures de travail par du personnel technique de haut niveau (58,80 EUR/heure). À cet égard, cela entraîne des coûts annuels pour les près de cinq fournisseurs qui ont jusqu’à présent été tenus d’établir des rapports en raison de l’élargissement des obligations de rapport:</w:t>
      </w:r>
    </w:p>
    <w:p w:rsidR="00B65155" w:rsidRPr="00CB1818" w:rsidRDefault="00B65155" w:rsidP="00382B89">
      <w:pPr>
        <w:pStyle w:val="AufzhlungStufe1"/>
        <w:rPr>
          <w:rFonts w:eastAsia="Arial"/>
        </w:rPr>
      </w:pPr>
      <w:r>
        <w:t>5 (fournisseurs précédemment répertoriés) x 58,80 EUR x 160 = (arrondis) 47 000 EUR par an.</w:t>
      </w:r>
    </w:p>
    <w:p w:rsidR="00B65155" w:rsidRPr="00CB1818" w:rsidRDefault="00B65155" w:rsidP="005B260B">
      <w:pPr>
        <w:pStyle w:val="Text"/>
        <w:keepNext/>
      </w:pPr>
      <w:r>
        <w:t>bb) Première obligation d'information (article 2 de la NetzDG) pour les grands services de plate-forme de partage de vidéos nouvellement répertoriés</w:t>
      </w:r>
    </w:p>
    <w:p w:rsidR="00B65155" w:rsidRPr="00CB1818" w:rsidRDefault="00B65155" w:rsidP="005B260B">
      <w:pPr>
        <w:pStyle w:val="Text"/>
        <w:keepNext/>
      </w:pPr>
      <w:r>
        <w:t>Compte tenu de l’estimation selon laquelle un grand fournisseur de services de plate-forme de partage de vidéos sera répertorié pour la première fois en vertu de l’article 3e, paragraphes 1, 3 et 4 de la NetzDG, c’est-à-dire que l’obligation d'information en tant que telle s’imposera pour la première fois, des coûts uniques seront encourus pour l’installation de systèmes techniques permettant de collecter les données pertinentes. Le coût de cette opération est estimé à 50 000 EUR. L’estimation est basée sur l’hypothèse selon laquelle l’infrastructure technique doit être créée pour enregistrer les plaintes concernant le contenu illégal, ainsi que les appels et leur traitement respectif. On estime que les coûts d’acquisition de matériel informatique s’élèveront à 10 000 EUR et que l’effort de programmation sera de quatre mois-personne (un mois-personne correspond à 134 heures selon les directives de calcul et de présentation des charges d’exécution dans les projets réglementaires du gouvernement fédéral) (134 x 4 x 58,80 EUR = 31 516, 80 EUR). Dans l’ensemble, la dépense estimée (arrondie) est de:</w:t>
      </w:r>
    </w:p>
    <w:p w:rsidR="00B65155" w:rsidRPr="00CB1818" w:rsidRDefault="00B65155" w:rsidP="00382B89">
      <w:pPr>
        <w:pStyle w:val="AufzhlungStufe1"/>
      </w:pPr>
      <w:r>
        <w:t>42 000 EUR uniques.</w:t>
      </w:r>
    </w:p>
    <w:p w:rsidR="00B65155" w:rsidRPr="00CB1818" w:rsidRDefault="00B65155" w:rsidP="005B260B">
      <w:pPr>
        <w:pStyle w:val="Text"/>
        <w:keepNext/>
      </w:pPr>
      <w:r>
        <w:t>De plus, le grand fournisseur nouvellement répertorié encourt des coûts permanents pour la préparation des rapports semestriels (maintenance de l’infrastructure technique pour la collecte continue des données à inclure dans les rapports ultérieurs et la préparation du rapport lui-même). On estime qu’un total de 3 mois-personnes (niveau de qualification élevé) sera nécessaire. À cela s’ajoutent les frais de publication au Journal officiel fédéral, estimés en moyenne à 500 EUR par rapport publié. Au total, compte tenu des rapports à établir deux fois par an, les frais de fonctionnement s’élèvent à:</w:t>
      </w:r>
    </w:p>
    <w:p w:rsidR="00B65155" w:rsidRPr="00CB1818" w:rsidRDefault="00B65155" w:rsidP="00382B89">
      <w:pPr>
        <w:pStyle w:val="AufzhlungStufe1"/>
        <w:rPr>
          <w:rFonts w:eastAsia="Arial"/>
        </w:rPr>
      </w:pPr>
      <w:r>
        <w:t>58,80 EUR x 134 x 500 EUR x 2 = (arrondis) 25 000 EUR annuels.</w:t>
      </w:r>
    </w:p>
    <w:p w:rsidR="00B65155" w:rsidRPr="00CB1818" w:rsidRDefault="00B65155" w:rsidP="005B260B">
      <w:pPr>
        <w:pStyle w:val="Text"/>
        <w:keepNext/>
      </w:pPr>
      <w:r>
        <w:t>Au total, en raison de la modification des obligations de rapport et de l’obligation d'information des fournisseurs nouvellement répertoriés, les coûts s’élèvent à:</w:t>
      </w:r>
    </w:p>
    <w:p w:rsidR="00B65155" w:rsidRPr="00CB1818" w:rsidRDefault="00B65155" w:rsidP="00382B89">
      <w:pPr>
        <w:pStyle w:val="AufzhlungStufe1"/>
      </w:pPr>
      <w:r>
        <w:t>Charge unique: 87 000 EUR (dont obligations d’information: 87 000 EUR),</w:t>
      </w:r>
    </w:p>
    <w:p w:rsidR="00B65155" w:rsidRPr="00CB1818" w:rsidRDefault="00B65155" w:rsidP="00382B89">
      <w:pPr>
        <w:pStyle w:val="AufzhlungStufe1"/>
        <w:rPr>
          <w:rFonts w:eastAsia="Arial"/>
        </w:rPr>
      </w:pPr>
      <w:r>
        <w:t>Charge annuelle: 72 000 EUR (dont obligations d’information: 72 000 euros).</w:t>
      </w:r>
    </w:p>
    <w:p w:rsidR="00B65155" w:rsidRPr="00CB1818" w:rsidRDefault="00B65155" w:rsidP="005B260B">
      <w:pPr>
        <w:pStyle w:val="Text"/>
        <w:keepNext/>
      </w:pPr>
      <w:r>
        <w:t>cc) Obligations supplémentaires concernant le traitement des plaintes (article 3 de la NetzDG) pour les fournisseurs de réseaux sociaux qui sont déjà répertoriés</w:t>
      </w:r>
    </w:p>
    <w:p w:rsidR="00B65155" w:rsidRPr="00CB1818" w:rsidRDefault="00B65155" w:rsidP="005B260B">
      <w:pPr>
        <w:pStyle w:val="Text"/>
        <w:keepNext/>
      </w:pPr>
      <w:r>
        <w:t>Les ajouts aux exigences relatives au traitement des plaintes (article 3, paragraphe 1, phrase 1 de la NetzDG) entraînent des augmentations de coûts modérées pour les grands fournisseurs de réseaux sociaux déjà soumis à l’article 3 de la NetzDG (base: cinq). Les ajouts sont cependant tous des exigences formelles qui peuvent être mises en œuvre automatiquement avec une charge unique (référence aux procédures d’appel, aux possibilités de dénonciation et, si nécessaire, de dépôt de plainte). On suppose qu’il y aura une dépense unique pour la conversion des systèmes techniques de 8000 EUR par système. L’estimation est basée sur l’hypothèse d’un effort de programmation de deux mois-personnes (134 x 1 x 58,80 EUR = (arrondis) 8 000 EUR). De plus, l’effort de soutien continu des systèmes et procédures correspondants augmente, ce qui est estimé à un demi-mois de personnel par an (niveau de qualification élevé). La charge totale est la suivante:</w:t>
      </w:r>
    </w:p>
    <w:p w:rsidR="00B65155" w:rsidRPr="00CB1818" w:rsidRDefault="00B65155" w:rsidP="00382B89">
      <w:pPr>
        <w:pStyle w:val="AufzhlungStufe1"/>
      </w:pPr>
      <w:r>
        <w:t>5 (fournisseur) x 8 000 EUR = 40 000 EUR uniques (dont obligations d’information: 40 000 EUR),</w:t>
      </w:r>
    </w:p>
    <w:p w:rsidR="00B65155" w:rsidRPr="00CB1818" w:rsidRDefault="00B65155" w:rsidP="00382B89">
      <w:pPr>
        <w:pStyle w:val="AufzhlungStufe1"/>
        <w:rPr>
          <w:rFonts w:eastAsia="Arial"/>
        </w:rPr>
      </w:pPr>
      <w:r>
        <w:t>5 (fournisseur) x 58,80 EUR x 0,5 x 134 = (arrondis) 20 000 EUR par an (dont obligations d’information: 20 000 euros).</w:t>
      </w:r>
    </w:p>
    <w:p w:rsidR="00B65155" w:rsidRPr="00CB1818" w:rsidRDefault="00B65155" w:rsidP="000877B3">
      <w:pPr>
        <w:pStyle w:val="Text"/>
      </w:pPr>
      <w:r>
        <w:t>Les ajouts de l’article 3, paragraphe 1, phrase 2 de la NetzDG sont des clarifications qui n’impliquent aucune charge supplémentaire pour les grands fournisseurs déjà répertoriés.</w:t>
      </w:r>
    </w:p>
    <w:p w:rsidR="00B65155" w:rsidRPr="00CB1818" w:rsidRDefault="00B65155" w:rsidP="005B260B">
      <w:pPr>
        <w:pStyle w:val="Text"/>
        <w:keepNext/>
      </w:pPr>
      <w:r>
        <w:t>dd) Première mise en œuvre du traitement des plaintes (article 3 de la NetzDG) pour les services de plate-forme de partage de vidéos de grande taille nouvellement répertoriés</w:t>
      </w:r>
    </w:p>
    <w:p w:rsidR="00B65155" w:rsidRPr="00CB1818" w:rsidRDefault="000877B3" w:rsidP="000877B3">
      <w:pPr>
        <w:pStyle w:val="Text"/>
      </w:pPr>
      <w:r>
        <w:t>On suppose qu’un (grand) fournisseur de services de plate-forme de partage de vidéos sera pour la première fois répertorié en vertu de l’article 3e, paragraphes 1 et 3 de la NetzDG, conformément aux exigences de l’article 3 de la NetzDG. De plus, on estime que trois petits fournisseurs de services de plate-forme de partage de vidéos devront mettre en œuvre au moins une partie des exigences de l’article 3 de la NetzDG (article 3e, paragraphe 2, phrase 2 de la NetzDG). La mise en place de l’infrastructure technique appropriée entraînera une charge unique. Cette estimation est liée à des incertitudes. Il ne faut pas oublier qu’il existe déjà des procédures de signalement et de recours correspondantes. Celles-ci ne doivent être développées que sur la base des spécifications de la NetzDG.</w:t>
      </w:r>
    </w:p>
    <w:p w:rsidR="00B65155" w:rsidRPr="00CB1818" w:rsidRDefault="00B65155" w:rsidP="005B260B">
      <w:pPr>
        <w:pStyle w:val="Text"/>
        <w:keepNext/>
      </w:pPr>
      <w:r>
        <w:t>Les canaux de transmission existants (dit de «signalement») doivent être développés conformément à l’article 3, paragraphe 1, phrase 2 de la NetzDG. En conséquence, l’infrastructure technique de traitement des réclamations (section 3, paragraphe 2 de la NetzDG) doit être maintenue disponible. Pour les grands fournisseurs, qui optimisent leur offre pour différentes plates-formes et formes de présentation et fournissent des interfaces utilisateur plus complexes, cela générera plus de dépenses que pour les petits fournisseurs. On suppose que le grand fournisseur nouvellement répertorié devra acheter du matériel informatique pour un coût de 10 000 EUR et qu’il encourra des frais de programmation uniques de six mois-personne. De plus, on estime qu’il encourra également une charge annuelle d’assistance technique et de maintenance de quatre mois-personnes. Il en résulte (la part des obligations d’information est estimé à 10 %):</w:t>
      </w:r>
    </w:p>
    <w:p w:rsidR="00B65155" w:rsidRPr="00CB1818" w:rsidRDefault="00B65155" w:rsidP="00382B89">
      <w:pPr>
        <w:pStyle w:val="AufzhlungStufe1"/>
      </w:pPr>
      <w:r>
        <w:t>10 000 EUR + 134 x 12 x 58,80 EUR = (arrondi) 57 000 EUR uniques (dont obligations d’information: 5 700 euros).</w:t>
      </w:r>
    </w:p>
    <w:p w:rsidR="00B65155" w:rsidRPr="00CB1818" w:rsidRDefault="00B65155" w:rsidP="00382B89">
      <w:pPr>
        <w:pStyle w:val="AufzhlungStufe1"/>
        <w:rPr>
          <w:rFonts w:eastAsia="Arial"/>
        </w:rPr>
      </w:pPr>
      <w:r>
        <w:t>134 x 4 x 58,80 EUR = (arrondis) 32 000 EUR annuels (dont obligations d’information: 3 200 EUR).</w:t>
      </w:r>
    </w:p>
    <w:p w:rsidR="00B65155" w:rsidRPr="00CB1818" w:rsidRDefault="00B65155" w:rsidP="005B260B">
      <w:pPr>
        <w:pStyle w:val="Text"/>
        <w:keepNext/>
      </w:pPr>
      <w:r>
        <w:t>ee) Première mise en œuvre du traitement des plaintes (article 3 de la NetzDG) pour les services de plate-forme nationale de partage de vidéos nouvellement répertoriés</w:t>
      </w:r>
    </w:p>
    <w:p w:rsidR="00B65155" w:rsidRPr="00CB1818" w:rsidRDefault="00B65155" w:rsidP="005B260B">
      <w:pPr>
        <w:pStyle w:val="Text"/>
        <w:keepNext/>
        <w:rPr>
          <w:rFonts w:eastAsia="Arial"/>
        </w:rPr>
      </w:pPr>
      <w:r>
        <w:t>Les petits fournisseurs nouvellement répertoriés en vertu de l’article 3e, paragraphe 2 de la NetzDG ne doivent implémenter l’article 3 de la NetzDG que dans une mesure très limitée (canal de signalement, examen des plaintes, suppression ou blocage de contenus manifestement illégaux, communication de la décision, documentation du processus). On estime que les coûts d’achat unique de matériel informatique s’élèvent à 2 000 EUR. On suppose également que des dépenses de programmation uniques d’un mois-personne sont nécessaires. De plus, on estime qu’ils encourront également une charge annuelle d’assistance technique et de maintenance d’un demi-mois-personne. L’estimation est alors la suivante (la part des obligations d’information incluses est estimée à 10 %):</w:t>
      </w:r>
    </w:p>
    <w:p w:rsidR="00B65155" w:rsidRPr="00CB1818" w:rsidRDefault="00B65155" w:rsidP="00382B89">
      <w:pPr>
        <w:pStyle w:val="AufzhlungStufe1"/>
      </w:pPr>
      <w:r>
        <w:t>3 (fournisseurs) x 2 000 EUR + 3 (fournisseurs) x 134 x 1 x 58,80 EUR = 30 000 EUR (arrondis) uniques (dont obligations d’information: 3 000 EUR),</w:t>
      </w:r>
    </w:p>
    <w:p w:rsidR="00B65155" w:rsidRPr="00CB1818" w:rsidRDefault="00B65155" w:rsidP="00382B89">
      <w:pPr>
        <w:pStyle w:val="AufzhlungStufe1"/>
      </w:pPr>
      <w:r>
        <w:t>3 (fournisseurs) x 134 x 0,5 x 58,80 EUR = 11 000 EUR (arrondis) par an (dont obligations d’information: 1 100 EUR).</w:t>
      </w:r>
    </w:p>
    <w:p w:rsidR="00B65155" w:rsidRPr="00CB1818" w:rsidRDefault="00B65155" w:rsidP="00B538B4">
      <w:pPr>
        <w:pStyle w:val="Text"/>
        <w:rPr>
          <w:rFonts w:eastAsia="Arial"/>
        </w:rPr>
      </w:pPr>
      <w:r>
        <w:t>Les dépenses pour les fournisseurs nouvellement répertoriés en vertu de l’article 3e, paragraphe 2 de la NetzDG servent à la mise en œuvre obligatoire de l’article 28b de la directive SMAV, de sorte que les coûts résultent d’une mise en œuvre intégrale de la directive.</w:t>
      </w:r>
    </w:p>
    <w:p w:rsidR="00B65155" w:rsidRPr="00CB1818" w:rsidRDefault="00B65155" w:rsidP="005B260B">
      <w:pPr>
        <w:pStyle w:val="Text"/>
        <w:keepNext/>
        <w:rPr>
          <w:rFonts w:eastAsia="Arial"/>
        </w:rPr>
      </w:pPr>
      <w:r>
        <w:t>ff) Examen des plaintes supplémentaires concernant les contenus illégaux</w:t>
      </w:r>
    </w:p>
    <w:p w:rsidR="00B65155" w:rsidRPr="00CB1818" w:rsidRDefault="00B65155" w:rsidP="00B538B4">
      <w:pPr>
        <w:pStyle w:val="Text"/>
        <w:rPr>
          <w:rFonts w:eastAsia="Arial"/>
        </w:rPr>
      </w:pPr>
      <w:r>
        <w:t>De plus, des frais sont encourus pour vérifier et traiter les plaintes concernant les contenus illégaux. Comme indiqué, on estime qu’un volume supplémentaire de plaintes des fournisseurs nouvellement répertoriés conformément à l’article 3e de la NetzDG s’élèvera à 100 000 plaintes annuelles pour cause de contenus illégaux.</w:t>
      </w:r>
    </w:p>
    <w:p w:rsidR="00B65155" w:rsidRPr="00CB1818" w:rsidRDefault="00B65155" w:rsidP="00B538B4">
      <w:pPr>
        <w:pStyle w:val="Text"/>
        <w:rPr>
          <w:rFonts w:eastAsia="Arial"/>
        </w:rPr>
      </w:pPr>
      <w:r>
        <w:t>Pour les estimations ultérieures, il faut tenir compte du fait que selon les rapports de transparence publiés jusqu’à présent conformément à l’article 2 de la NetzDG, les plaintes sont traitées rapidement dans la majorité des cas. Les nouvelles demandes (du plaignant ou de l’utilisateur dont le contenu est enregistré) ou le recours à une aide externe par l’intermédiaire d’un avocat sont rares. De plus, on constate que les contrôles sont largement différenciés. Lors d’un premier contrôle, les plaintes manifestement infondées sont triées. Si aucune autre violation des directives du fournisseur (normes communautaires) n’est évidente et si le contenu ne peut donc pas être supprimé du point de vue du fournisseur (dans le monde entier), des employés davantage formés prenne en charge la suite du traitement.</w:t>
      </w:r>
    </w:p>
    <w:p w:rsidR="00B65155" w:rsidRPr="00CB1818" w:rsidRDefault="00B65155" w:rsidP="00B538B4">
      <w:pPr>
        <w:pStyle w:val="Text"/>
        <w:rPr>
          <w:rFonts w:eastAsia="Arial"/>
        </w:rPr>
      </w:pPr>
      <w:r>
        <w:t>Sur cette base, l’estimation de la charge d’exécution peut se baser sur une procédure par étape. Comme les fournisseurs contrôlent déjà les plaintes relatives aux contenus illégaux (compatibilité avec les normes communautaires, «1ère étape» du contrôle), un contrôle supplémentaire s’impose, à condition que le contrôle révèle que la plainte n’est pas manifestement infondée et qu’il n’y a pas infraction aux normes communautaires. On estime généreusement que c’est le cas dans 50 % des cas.</w:t>
      </w:r>
    </w:p>
    <w:p w:rsidR="00B65155" w:rsidRPr="00CB1818" w:rsidRDefault="00B65155" w:rsidP="00B538B4">
      <w:pPr>
        <w:pStyle w:val="Text"/>
        <w:rPr>
          <w:rFonts w:eastAsia="Arial"/>
        </w:rPr>
      </w:pPr>
      <w:r>
        <w:t>Pour les 50% restants des cas (50 000 plaintes), des charges supplémentaires telles que mentionnées précédemment sont encourues. À cet égard, sur la base de la répartition effectuée (dans l’ensemble, des délais de traitement rapides sont possibles), on peut supposer que les plaintes restantes entraînent principalement des dépenses de contrôle raisonnables («2</w:t>
      </w:r>
      <w:r>
        <w:rPr>
          <w:vertAlign w:val="superscript"/>
        </w:rPr>
        <w:t>ème</w:t>
      </w:r>
      <w:r>
        <w:t xml:space="preserve"> étape de contrôle: 20 minutes en moyenne) et que dans seulement 10% des cas un examen approfondi (« 3</w:t>
      </w:r>
      <w:r>
        <w:rPr>
          <w:vertAlign w:val="superscript"/>
        </w:rPr>
        <w:t>ème</w:t>
      </w:r>
      <w:r>
        <w:t xml:space="preserve"> étape de contrôle »: 60 minutes en moyenne, niveau de qualification élevé) est requis.</w:t>
      </w:r>
    </w:p>
    <w:p w:rsidR="00B65155" w:rsidRPr="00CB1818" w:rsidRDefault="00B65155" w:rsidP="005B260B">
      <w:pPr>
        <w:pStyle w:val="Text"/>
        <w:keepNext/>
      </w:pPr>
      <w:r>
        <w:t>Il en résulte alors l’estimation suivante:</w:t>
      </w:r>
    </w:p>
    <w:tbl>
      <w:tblPr>
        <w:tblStyle w:val="Tabellenraster1"/>
        <w:tblW w:w="0" w:type="auto"/>
        <w:tblLook w:val="04A0" w:firstRow="1" w:lastRow="0" w:firstColumn="1" w:lastColumn="0" w:noHBand="0" w:noVBand="1"/>
      </w:tblPr>
      <w:tblGrid>
        <w:gridCol w:w="3004"/>
        <w:gridCol w:w="3001"/>
        <w:gridCol w:w="3000"/>
      </w:tblGrid>
      <w:tr w:rsidR="00B65155" w:rsidRPr="00CB1818" w:rsidTr="009E7D5E">
        <w:tc>
          <w:tcPr>
            <w:tcW w:w="3020" w:type="dxa"/>
          </w:tcPr>
          <w:p w:rsidR="00B65155" w:rsidRPr="00CB1818" w:rsidRDefault="00B65155" w:rsidP="005B260B">
            <w:pPr>
              <w:pStyle w:val="TabelleText"/>
              <w:keepNext/>
            </w:pPr>
            <w:r>
              <w:t>Etape de contrôle</w:t>
            </w:r>
          </w:p>
        </w:tc>
        <w:tc>
          <w:tcPr>
            <w:tcW w:w="3020" w:type="dxa"/>
          </w:tcPr>
          <w:p w:rsidR="00B65155" w:rsidRPr="00CB1818" w:rsidRDefault="00B65155" w:rsidP="005B260B">
            <w:pPr>
              <w:pStyle w:val="TabelleText"/>
              <w:keepNext/>
            </w:pPr>
            <w:r>
              <w:t>2. niveau</w:t>
            </w:r>
          </w:p>
        </w:tc>
        <w:tc>
          <w:tcPr>
            <w:tcW w:w="3020" w:type="dxa"/>
          </w:tcPr>
          <w:p w:rsidR="00B65155" w:rsidRPr="00CB1818" w:rsidRDefault="00B65155" w:rsidP="005B260B">
            <w:pPr>
              <w:pStyle w:val="TabelleText"/>
              <w:keepNext/>
            </w:pPr>
            <w:r>
              <w:t>3. niveau</w:t>
            </w:r>
          </w:p>
        </w:tc>
      </w:tr>
      <w:tr w:rsidR="00B65155" w:rsidRPr="00CB1818" w:rsidTr="009E7D5E">
        <w:tc>
          <w:tcPr>
            <w:tcW w:w="3020" w:type="dxa"/>
          </w:tcPr>
          <w:p w:rsidR="00B65155" w:rsidRPr="00CB1818" w:rsidRDefault="00B65155" w:rsidP="009E7D5E">
            <w:pPr>
              <w:pStyle w:val="TabelleText"/>
            </w:pPr>
            <w:r>
              <w:t>Niveau de qualification des contrôleurs</w:t>
            </w:r>
          </w:p>
        </w:tc>
        <w:tc>
          <w:tcPr>
            <w:tcW w:w="3020" w:type="dxa"/>
          </w:tcPr>
          <w:p w:rsidR="00B65155" w:rsidRPr="00CB1818" w:rsidRDefault="00B65155" w:rsidP="009E7D5E">
            <w:pPr>
              <w:pStyle w:val="TabelleText"/>
            </w:pPr>
            <w:r>
              <w:t>moyen</w:t>
            </w:r>
          </w:p>
        </w:tc>
        <w:tc>
          <w:tcPr>
            <w:tcW w:w="3020" w:type="dxa"/>
          </w:tcPr>
          <w:p w:rsidR="00B65155" w:rsidRPr="00CB1818" w:rsidRDefault="00B65155" w:rsidP="009E7D5E">
            <w:pPr>
              <w:pStyle w:val="TabelleText"/>
            </w:pPr>
            <w:r>
              <w:t>élevé</w:t>
            </w:r>
          </w:p>
        </w:tc>
      </w:tr>
      <w:tr w:rsidR="00B65155" w:rsidRPr="00CB1818" w:rsidTr="009E7D5E">
        <w:tc>
          <w:tcPr>
            <w:tcW w:w="3020" w:type="dxa"/>
          </w:tcPr>
          <w:p w:rsidR="00B65155" w:rsidRPr="00CB1818" w:rsidRDefault="00B65155" w:rsidP="009E7D5E">
            <w:pPr>
              <w:pStyle w:val="TabelleText"/>
            </w:pPr>
            <w:r>
              <w:t>Nombre absolu de plaintes</w:t>
            </w:r>
          </w:p>
        </w:tc>
        <w:tc>
          <w:tcPr>
            <w:tcW w:w="3020" w:type="dxa"/>
          </w:tcPr>
          <w:p w:rsidR="00B65155" w:rsidRPr="00CB1818" w:rsidRDefault="00B65155" w:rsidP="009E7D5E">
            <w:pPr>
              <w:pStyle w:val="TabelleText"/>
            </w:pPr>
            <w:r>
              <w:t>50 000</w:t>
            </w:r>
          </w:p>
        </w:tc>
        <w:tc>
          <w:tcPr>
            <w:tcW w:w="3020" w:type="dxa"/>
          </w:tcPr>
          <w:p w:rsidR="00B65155" w:rsidRPr="00CB1818" w:rsidRDefault="00B65155" w:rsidP="009E7D5E">
            <w:pPr>
              <w:pStyle w:val="TabelleText"/>
            </w:pPr>
            <w:r>
              <w:t>5 000</w:t>
            </w:r>
          </w:p>
        </w:tc>
      </w:tr>
      <w:tr w:rsidR="00B65155" w:rsidRPr="00CB1818" w:rsidTr="009E7D5E">
        <w:tc>
          <w:tcPr>
            <w:tcW w:w="3020" w:type="dxa"/>
          </w:tcPr>
          <w:p w:rsidR="00B65155" w:rsidRPr="00CB1818" w:rsidRDefault="00B65155" w:rsidP="009E7D5E">
            <w:pPr>
              <w:pStyle w:val="TabelleText"/>
            </w:pPr>
            <w:r>
              <w:t>Durée du contrôle et du traitement par plainte (en minutes)</w:t>
            </w:r>
          </w:p>
        </w:tc>
        <w:tc>
          <w:tcPr>
            <w:tcW w:w="3020" w:type="dxa"/>
          </w:tcPr>
          <w:p w:rsidR="00B65155" w:rsidRPr="00CB1818" w:rsidRDefault="00B65155" w:rsidP="009E7D5E">
            <w:pPr>
              <w:pStyle w:val="TabelleText"/>
            </w:pPr>
            <w:r>
              <w:t>20</w:t>
            </w:r>
          </w:p>
        </w:tc>
        <w:tc>
          <w:tcPr>
            <w:tcW w:w="3020" w:type="dxa"/>
          </w:tcPr>
          <w:p w:rsidR="00B65155" w:rsidRPr="00CB1818" w:rsidRDefault="00B65155" w:rsidP="009E7D5E">
            <w:pPr>
              <w:pStyle w:val="TabelleText"/>
            </w:pPr>
            <w:r>
              <w:t>60</w:t>
            </w:r>
          </w:p>
        </w:tc>
      </w:tr>
      <w:tr w:rsidR="00B65155" w:rsidRPr="00CB1818" w:rsidTr="009E7D5E">
        <w:tc>
          <w:tcPr>
            <w:tcW w:w="3020" w:type="dxa"/>
          </w:tcPr>
          <w:p w:rsidR="00B65155" w:rsidRPr="00CB1818" w:rsidRDefault="00B65155" w:rsidP="009E7D5E">
            <w:pPr>
              <w:pStyle w:val="TabelleText"/>
            </w:pPr>
            <w:r>
              <w:t>Total (en minutes)</w:t>
            </w:r>
          </w:p>
        </w:tc>
        <w:tc>
          <w:tcPr>
            <w:tcW w:w="3020" w:type="dxa"/>
          </w:tcPr>
          <w:p w:rsidR="00B65155" w:rsidRPr="00CB1818" w:rsidRDefault="00B65155" w:rsidP="009E7D5E">
            <w:pPr>
              <w:pStyle w:val="TabelleText"/>
            </w:pPr>
            <w:r>
              <w:t>1 000 000</w:t>
            </w:r>
          </w:p>
        </w:tc>
        <w:tc>
          <w:tcPr>
            <w:tcW w:w="3020" w:type="dxa"/>
          </w:tcPr>
          <w:p w:rsidR="00B65155" w:rsidRPr="00CB1818" w:rsidRDefault="00B65155" w:rsidP="009E7D5E">
            <w:pPr>
              <w:pStyle w:val="TabelleText"/>
            </w:pPr>
            <w:r>
              <w:t>300 000</w:t>
            </w:r>
          </w:p>
        </w:tc>
      </w:tr>
      <w:tr w:rsidR="00B65155" w:rsidRPr="00CB1818" w:rsidTr="009E7D5E">
        <w:tc>
          <w:tcPr>
            <w:tcW w:w="3020" w:type="dxa"/>
          </w:tcPr>
          <w:p w:rsidR="00B65155" w:rsidRPr="00CB1818" w:rsidRDefault="00B65155" w:rsidP="009E7D5E">
            <w:pPr>
              <w:pStyle w:val="TabelleText"/>
            </w:pPr>
            <w:r>
              <w:t>Heures</w:t>
            </w:r>
          </w:p>
        </w:tc>
        <w:tc>
          <w:tcPr>
            <w:tcW w:w="3020" w:type="dxa"/>
          </w:tcPr>
          <w:p w:rsidR="00B65155" w:rsidRPr="00CB1818" w:rsidRDefault="00B65155" w:rsidP="009E7D5E">
            <w:pPr>
              <w:pStyle w:val="TabelleText"/>
            </w:pPr>
            <w:r>
              <w:t>16 667</w:t>
            </w:r>
          </w:p>
        </w:tc>
        <w:tc>
          <w:tcPr>
            <w:tcW w:w="3020" w:type="dxa"/>
          </w:tcPr>
          <w:p w:rsidR="00B65155" w:rsidRPr="00CB1818" w:rsidRDefault="00B65155" w:rsidP="009E7D5E">
            <w:pPr>
              <w:pStyle w:val="TabelleText"/>
            </w:pPr>
            <w:r>
              <w:t>5 000</w:t>
            </w:r>
          </w:p>
        </w:tc>
      </w:tr>
      <w:tr w:rsidR="00B65155" w:rsidRPr="00CB1818" w:rsidTr="009E7D5E">
        <w:tc>
          <w:tcPr>
            <w:tcW w:w="3020" w:type="dxa"/>
          </w:tcPr>
          <w:p w:rsidR="00B65155" w:rsidRPr="00CB1818" w:rsidRDefault="00B65155" w:rsidP="009E7D5E">
            <w:pPr>
              <w:pStyle w:val="TabelleText"/>
            </w:pPr>
            <w:r>
              <w:t xml:space="preserve">Taux horaire selon l’article économique «Prestation d’autres services économiques» </w:t>
            </w:r>
          </w:p>
        </w:tc>
        <w:tc>
          <w:tcPr>
            <w:tcW w:w="3020" w:type="dxa"/>
          </w:tcPr>
          <w:p w:rsidR="00B65155" w:rsidRPr="00CB1818" w:rsidRDefault="00B65155" w:rsidP="009E7D5E">
            <w:pPr>
              <w:pStyle w:val="TabelleText"/>
            </w:pPr>
            <w:r>
              <w:t>23,20</w:t>
            </w:r>
          </w:p>
        </w:tc>
        <w:tc>
          <w:tcPr>
            <w:tcW w:w="3020" w:type="dxa"/>
          </w:tcPr>
          <w:p w:rsidR="00B65155" w:rsidRPr="00CB1818" w:rsidRDefault="00B65155" w:rsidP="009E7D5E">
            <w:pPr>
              <w:pStyle w:val="TabelleText"/>
            </w:pPr>
            <w:r>
              <w:t>48,20</w:t>
            </w:r>
          </w:p>
        </w:tc>
      </w:tr>
      <w:tr w:rsidR="00B65155" w:rsidRPr="00CB1818" w:rsidTr="009E7D5E">
        <w:tc>
          <w:tcPr>
            <w:tcW w:w="3020" w:type="dxa"/>
          </w:tcPr>
          <w:p w:rsidR="00B65155" w:rsidRPr="00CB1818" w:rsidRDefault="00B65155" w:rsidP="009E7D5E">
            <w:pPr>
              <w:pStyle w:val="TabelleText"/>
            </w:pPr>
            <w:r>
              <w:t>Coûts en EUR</w:t>
            </w:r>
          </w:p>
        </w:tc>
        <w:tc>
          <w:tcPr>
            <w:tcW w:w="3020" w:type="dxa"/>
          </w:tcPr>
          <w:p w:rsidR="00B65155" w:rsidRPr="00CB1818" w:rsidRDefault="00B65155" w:rsidP="009E7D5E">
            <w:pPr>
              <w:pStyle w:val="TabelleText"/>
            </w:pPr>
            <w:r>
              <w:t>386 667</w:t>
            </w:r>
          </w:p>
        </w:tc>
        <w:tc>
          <w:tcPr>
            <w:tcW w:w="3020" w:type="dxa"/>
          </w:tcPr>
          <w:p w:rsidR="00B65155" w:rsidRPr="00CB1818" w:rsidRDefault="00B65155" w:rsidP="009E7D5E">
            <w:pPr>
              <w:pStyle w:val="TabelleText"/>
            </w:pPr>
            <w:r>
              <w:t>241 000</w:t>
            </w:r>
          </w:p>
        </w:tc>
      </w:tr>
      <w:tr w:rsidR="00B65155" w:rsidRPr="00CB1818" w:rsidTr="009E7D5E">
        <w:tc>
          <w:tcPr>
            <w:tcW w:w="3020" w:type="dxa"/>
          </w:tcPr>
          <w:p w:rsidR="00B65155" w:rsidRPr="00CB1818" w:rsidRDefault="00B65155" w:rsidP="009E7D5E">
            <w:pPr>
              <w:pStyle w:val="TabelleText"/>
            </w:pPr>
            <w:r>
              <w:t>Total en EUR:</w:t>
            </w:r>
          </w:p>
        </w:tc>
        <w:tc>
          <w:tcPr>
            <w:tcW w:w="6040" w:type="dxa"/>
            <w:gridSpan w:val="2"/>
          </w:tcPr>
          <w:p w:rsidR="00B65155" w:rsidRPr="00CB1818" w:rsidRDefault="00B65155" w:rsidP="009E7D5E">
            <w:pPr>
              <w:pStyle w:val="TabelleText"/>
            </w:pPr>
            <w:r>
              <w:t>627 667</w:t>
            </w:r>
          </w:p>
        </w:tc>
      </w:tr>
    </w:tbl>
    <w:p w:rsidR="00B65155" w:rsidRPr="00CB1818" w:rsidRDefault="00B65155" w:rsidP="005B260B">
      <w:pPr>
        <w:pStyle w:val="Text"/>
        <w:keepNext/>
        <w:rPr>
          <w:rFonts w:eastAsia="Arial"/>
        </w:rPr>
      </w:pPr>
      <w:r>
        <w:t>Les frais courants (arrondis) s’élèvent à environ</w:t>
      </w:r>
    </w:p>
    <w:p w:rsidR="00B65155" w:rsidRPr="00CB1818" w:rsidRDefault="00B65155" w:rsidP="00382B89">
      <w:pPr>
        <w:pStyle w:val="AufzhlungStufe1"/>
      </w:pPr>
      <w:r>
        <w:t>630 000 EUR par an.</w:t>
      </w:r>
    </w:p>
    <w:p w:rsidR="00B65155" w:rsidRPr="00CB1818" w:rsidRDefault="00B65155" w:rsidP="00B538B4">
      <w:pPr>
        <w:pStyle w:val="Text"/>
      </w:pPr>
      <w:r>
        <w:t>On estime que dix pour cent des plaintes considérées sont imputables aux fournisseurs répertoriés conformément à l’article 3e, paragraphe 2, aux fins de la mise en œuvre dans son intégralité de l’article 28b de la directive SMAV, de sorte que du montant susmentionné, 63 000 EUR doivent être imputés à une mise en œuvre intégrale de la directive.</w:t>
      </w:r>
    </w:p>
    <w:p w:rsidR="00B65155" w:rsidRPr="00CB1818" w:rsidRDefault="00B65155" w:rsidP="005B260B">
      <w:pPr>
        <w:pStyle w:val="Text"/>
        <w:keepNext/>
        <w:rPr>
          <w:rFonts w:eastAsia="Arial"/>
        </w:rPr>
      </w:pPr>
      <w:r>
        <w:t>gg) Mise en place de procédures d’appel (article 3b de la NetzDG)</w:t>
      </w:r>
    </w:p>
    <w:p w:rsidR="00B65155" w:rsidRPr="00CB1818" w:rsidRDefault="00B65155" w:rsidP="00B538B4">
      <w:pPr>
        <w:pStyle w:val="Text"/>
      </w:pPr>
      <w:r>
        <w:t>La nouvelle exigence de la NetzDG pour la procédure d’appel doit être mise en œuvre par les grands réseaux sociaux et les services de plate-forme de partage de vidéos répertoriés (article 1er, paragraphe 2, article 3e, paragraphe 2, phrase 2 de la NetzDG), à savoir en tenant compte des estimations ci-dessus de six grands et trois petits fournisseurs.</w:t>
      </w:r>
    </w:p>
    <w:p w:rsidR="00B65155" w:rsidRPr="00CB1818" w:rsidRDefault="00B65155" w:rsidP="00B538B4">
      <w:pPr>
        <w:pStyle w:val="Text"/>
      </w:pPr>
      <w:r>
        <w:t>Lors de l’estimation de la charge d’exécution, il faut tenir compte du fait que de nombreux fournisseurs utilisent déjà certains mécanismes «d’appel» plus ou moins formalisés et qu’ils procéderont à un examen d’une décision de suppression en cas d’objection sur la base de la relation contractuelle avec leurs utilisateurs. Les procédures existantes correspondantes doivent être développées sur la base des exigences de la NetzDG.</w:t>
      </w:r>
    </w:p>
    <w:p w:rsidR="00B65155" w:rsidRPr="00CB1818" w:rsidRDefault="00B65155" w:rsidP="005B260B">
      <w:pPr>
        <w:pStyle w:val="Text"/>
        <w:keepNext/>
      </w:pPr>
      <w:r>
        <w:t>Tout d’abord, les fournisseurs doivent mettre en place une procédure facilement reconnaissable qui permette un contact électronique facile à des fins d’appel. On estime que les possibilités de contact correspondantes peuvent être développées relativement facilement en conséquence (par exemple, les possibilités de contact dans le contexte d’informations sur la suppression d’un contenu). On considère que les dépenses de programmation s’élèvent à un mois-personne pour les grands fournisseurs et à un demi-mois-personne pour les petits services de plate-forme de partage de vidéos. L’estimation est donc la suivante (la charge pour les petits fournisseurs au sens de l’article 3e, paragraphe 2 de la NetzDG pour une mise en œuvre dans son intégralité de la directive SMAV):</w:t>
      </w:r>
    </w:p>
    <w:p w:rsidR="00B65155" w:rsidRPr="00CB1818" w:rsidRDefault="00B65155" w:rsidP="00382B89">
      <w:pPr>
        <w:pStyle w:val="AufzhlungStufe1"/>
        <w:rPr>
          <w:rFonts w:eastAsia="Arial"/>
        </w:rPr>
      </w:pPr>
      <w:r>
        <w:t>6 (grands fournisseurs) x 134 x 1 x 58,80 EUR + 3 (petits fournisseurs) x 134 x 0,5 x 58,80 EUR = (arrondis) 51 000 EUR uniques, avec 4 000 EUR imputables à une mise en œuvre dans son intégralité de la directive SMAV.</w:t>
      </w:r>
    </w:p>
    <w:p w:rsidR="00B65155" w:rsidRPr="00CB1818" w:rsidRDefault="00B65155" w:rsidP="005B260B">
      <w:pPr>
        <w:pStyle w:val="Text"/>
        <w:keepNext/>
      </w:pPr>
      <w:r>
        <w:t>hh) Vérification des appels (article 3b de la NetzDG)</w:t>
      </w:r>
    </w:p>
    <w:p w:rsidR="00B65155" w:rsidRPr="00CB1818" w:rsidRDefault="00B65155" w:rsidP="006B53DD">
      <w:pPr>
        <w:pStyle w:val="Text"/>
      </w:pPr>
      <w:r>
        <w:t>Des charges d’exécution supplémentaires surviennent parce que les fournisseurs doivent vérifier et traiter les appels conformément à l’article 3b, paragraphe 2 de la NetzDG. L’estimation du nombre d’appels est liée à des incertitudes. Cependant, on suppose qu’il y aura beaucoup moins d’appels que de plaintes concernant du contenu illégal. Les estimations suivantes supposent qu’un appel aura lieu dans dix pour cent des cas de suppression ou de blocages. Ces hypothèses sont basées sur les mécanismes «d’appel» déjà en vigueur. Dans le cadre du Community Standards Enforcement Report (rapport sur l’application des normes communautaires), Facebook rend compte des contradictions dans le monde entier («appels») des décisions concernant la compatibilité du contenu avec l’interdiction du «discours de haine» conformément aux normes communautaires (https://transparency.facebook.com/community -standard-application, consulté le 1er mars 2020). Ce rapport fait état de sept millions de contenus pour lesquels des mesures ont été prises pour la période de juillet à septembre 2020. Il y a eu appel dans environ 1,4 million de cas. En ce qui concerne les «contenus violents et graphiques», des mesures ont été prises concernant environ 25 millions de contenus, mais seulement environ 600 000 appels.</w:t>
      </w:r>
    </w:p>
    <w:p w:rsidR="00B65155" w:rsidRPr="00CB1818" w:rsidRDefault="00B65155" w:rsidP="006B53DD">
      <w:pPr>
        <w:pStyle w:val="Text"/>
      </w:pPr>
      <w:r>
        <w:t>Compte tenu des estimations susmentionnées (2 200 000 plaintes par an à ce jour, croissance estimée à 100 000), on peut supposer que le nombre d’appels s’est élevé à maximum 230 000. Compte tenu du fait que des mécanismes d’appel appropriés existent déjà et que des appels spam peuvent également exister dans certains cas (qui doivent déjà être traitées et rejetées), on peut supposer qu’il y a une charge supplémentaire dans seulement la moitié des cas (115 000 appels).</w:t>
      </w:r>
    </w:p>
    <w:p w:rsidR="00B65155" w:rsidRPr="00CB1818" w:rsidRDefault="00B65155" w:rsidP="005B260B">
      <w:pPr>
        <w:pStyle w:val="Text"/>
        <w:keepNext/>
      </w:pPr>
      <w:r>
        <w:t>Comme chacun de ces tests est basé sur une décision initiale motivée du fournisseur, la portée du contrôle sera limitée. On suppose également ici que, dans la majorité des cas, le contrôle peut être effectué avec des tâches de contrôle et de traitement relativement modérées. On estime que dix pour cent des cas restants nécessiteront une évaluation plus importante pour garantir un contrôle conforme aux normes de la NetzDG. L’estimation est donc la suivante:</w:t>
      </w:r>
    </w:p>
    <w:tbl>
      <w:tblPr>
        <w:tblStyle w:val="Tabellenraster1"/>
        <w:tblW w:w="0" w:type="auto"/>
        <w:tblLook w:val="04A0" w:firstRow="1" w:lastRow="0" w:firstColumn="1" w:lastColumn="0" w:noHBand="0" w:noVBand="1"/>
      </w:tblPr>
      <w:tblGrid>
        <w:gridCol w:w="3004"/>
        <w:gridCol w:w="3001"/>
        <w:gridCol w:w="3000"/>
      </w:tblGrid>
      <w:tr w:rsidR="00B65155" w:rsidRPr="00CB1818" w:rsidTr="009E7D5E">
        <w:tc>
          <w:tcPr>
            <w:tcW w:w="3020" w:type="dxa"/>
          </w:tcPr>
          <w:p w:rsidR="00B65155" w:rsidRPr="00CB1818" w:rsidRDefault="00B65155" w:rsidP="005B260B">
            <w:pPr>
              <w:pStyle w:val="TabelleText"/>
              <w:keepNext/>
            </w:pPr>
            <w:r>
              <w:t xml:space="preserve">Etape de contrôle </w:t>
            </w:r>
          </w:p>
        </w:tc>
        <w:tc>
          <w:tcPr>
            <w:tcW w:w="3020" w:type="dxa"/>
          </w:tcPr>
          <w:p w:rsidR="00B65155" w:rsidRPr="00CB1818" w:rsidRDefault="00B65155" w:rsidP="005B260B">
            <w:pPr>
              <w:pStyle w:val="TabelleText"/>
              <w:keepNext/>
            </w:pPr>
            <w:r>
              <w:t>1. niveau</w:t>
            </w:r>
          </w:p>
        </w:tc>
        <w:tc>
          <w:tcPr>
            <w:tcW w:w="3020" w:type="dxa"/>
          </w:tcPr>
          <w:p w:rsidR="00B65155" w:rsidRPr="00CB1818" w:rsidRDefault="00B65155" w:rsidP="005B260B">
            <w:pPr>
              <w:pStyle w:val="TabelleText"/>
              <w:keepNext/>
            </w:pPr>
            <w:r>
              <w:t>2. niveau</w:t>
            </w:r>
          </w:p>
        </w:tc>
      </w:tr>
      <w:tr w:rsidR="00B65155" w:rsidRPr="00CB1818" w:rsidTr="009E7D5E">
        <w:tc>
          <w:tcPr>
            <w:tcW w:w="3020" w:type="dxa"/>
          </w:tcPr>
          <w:p w:rsidR="00B65155" w:rsidRPr="00CB1818" w:rsidRDefault="00B65155" w:rsidP="009E7D5E">
            <w:pPr>
              <w:pStyle w:val="TabelleText"/>
            </w:pPr>
            <w:r>
              <w:t>Niveau de qualification des contrôleurs</w:t>
            </w:r>
          </w:p>
        </w:tc>
        <w:tc>
          <w:tcPr>
            <w:tcW w:w="3020" w:type="dxa"/>
          </w:tcPr>
          <w:p w:rsidR="00B65155" w:rsidRPr="00CB1818" w:rsidRDefault="00B65155" w:rsidP="009E7D5E">
            <w:pPr>
              <w:pStyle w:val="TabelleText"/>
            </w:pPr>
            <w:r>
              <w:t>moyen</w:t>
            </w:r>
          </w:p>
        </w:tc>
        <w:tc>
          <w:tcPr>
            <w:tcW w:w="3020" w:type="dxa"/>
          </w:tcPr>
          <w:p w:rsidR="00B65155" w:rsidRPr="00CB1818" w:rsidRDefault="00B65155" w:rsidP="009E7D5E">
            <w:pPr>
              <w:pStyle w:val="TabelleText"/>
            </w:pPr>
            <w:r>
              <w:t>élevé</w:t>
            </w:r>
          </w:p>
        </w:tc>
      </w:tr>
      <w:tr w:rsidR="00B65155" w:rsidRPr="00CB1818" w:rsidTr="009E7D5E">
        <w:tc>
          <w:tcPr>
            <w:tcW w:w="3020" w:type="dxa"/>
          </w:tcPr>
          <w:p w:rsidR="00B65155" w:rsidRPr="00CB1818" w:rsidRDefault="00B65155" w:rsidP="009E7D5E">
            <w:pPr>
              <w:pStyle w:val="TabelleText"/>
            </w:pPr>
            <w:r>
              <w:t>Nombre absolu de plaintes</w:t>
            </w:r>
          </w:p>
        </w:tc>
        <w:tc>
          <w:tcPr>
            <w:tcW w:w="3020" w:type="dxa"/>
          </w:tcPr>
          <w:p w:rsidR="00B65155" w:rsidRPr="00CB1818" w:rsidRDefault="00B65155" w:rsidP="009E7D5E">
            <w:pPr>
              <w:pStyle w:val="TabelleText"/>
            </w:pPr>
            <w:r>
              <w:t>115 000</w:t>
            </w:r>
          </w:p>
        </w:tc>
        <w:tc>
          <w:tcPr>
            <w:tcW w:w="3020" w:type="dxa"/>
          </w:tcPr>
          <w:p w:rsidR="00B65155" w:rsidRPr="00CB1818" w:rsidRDefault="00B65155" w:rsidP="009E7D5E">
            <w:pPr>
              <w:pStyle w:val="TabelleText"/>
            </w:pPr>
            <w:r>
              <w:t>11 500</w:t>
            </w:r>
          </w:p>
        </w:tc>
      </w:tr>
      <w:tr w:rsidR="00B65155" w:rsidRPr="00CB1818" w:rsidTr="009E7D5E">
        <w:tc>
          <w:tcPr>
            <w:tcW w:w="3020" w:type="dxa"/>
          </w:tcPr>
          <w:p w:rsidR="00B65155" w:rsidRPr="00CB1818" w:rsidRDefault="00B65155" w:rsidP="009E7D5E">
            <w:pPr>
              <w:pStyle w:val="TabelleText"/>
            </w:pPr>
            <w:r>
              <w:t>Durée du contrôle et du traitement par plainte (en minutes)</w:t>
            </w:r>
          </w:p>
        </w:tc>
        <w:tc>
          <w:tcPr>
            <w:tcW w:w="3020" w:type="dxa"/>
          </w:tcPr>
          <w:p w:rsidR="00B65155" w:rsidRPr="00CB1818" w:rsidRDefault="00B65155" w:rsidP="009E7D5E">
            <w:pPr>
              <w:pStyle w:val="TabelleText"/>
            </w:pPr>
            <w:r>
              <w:t>20</w:t>
            </w:r>
          </w:p>
        </w:tc>
        <w:tc>
          <w:tcPr>
            <w:tcW w:w="3020" w:type="dxa"/>
          </w:tcPr>
          <w:p w:rsidR="00B65155" w:rsidRPr="00CB1818" w:rsidRDefault="00B65155" w:rsidP="009E7D5E">
            <w:pPr>
              <w:pStyle w:val="TabelleText"/>
            </w:pPr>
            <w:r>
              <w:t>60</w:t>
            </w:r>
          </w:p>
        </w:tc>
      </w:tr>
      <w:tr w:rsidR="00B65155" w:rsidRPr="00CB1818" w:rsidTr="009E7D5E">
        <w:tc>
          <w:tcPr>
            <w:tcW w:w="3020" w:type="dxa"/>
          </w:tcPr>
          <w:p w:rsidR="00B65155" w:rsidRPr="00CB1818" w:rsidRDefault="0003628B" w:rsidP="009E7D5E">
            <w:pPr>
              <w:pStyle w:val="TabelleText"/>
            </w:pPr>
            <w:r>
              <w:t>Total en minutes</w:t>
            </w:r>
          </w:p>
        </w:tc>
        <w:tc>
          <w:tcPr>
            <w:tcW w:w="3020" w:type="dxa"/>
          </w:tcPr>
          <w:p w:rsidR="00B65155" w:rsidRPr="00CB1818" w:rsidRDefault="00B65155" w:rsidP="009E7D5E">
            <w:pPr>
              <w:pStyle w:val="TabelleText"/>
            </w:pPr>
            <w:r>
              <w:t>2 300 000</w:t>
            </w:r>
          </w:p>
        </w:tc>
        <w:tc>
          <w:tcPr>
            <w:tcW w:w="3020" w:type="dxa"/>
          </w:tcPr>
          <w:p w:rsidR="00B65155" w:rsidRPr="00CB1818" w:rsidRDefault="00B65155" w:rsidP="009E7D5E">
            <w:pPr>
              <w:pStyle w:val="TabelleText"/>
            </w:pPr>
            <w:r>
              <w:t>690 000</w:t>
            </w:r>
          </w:p>
        </w:tc>
      </w:tr>
      <w:tr w:rsidR="00B65155" w:rsidRPr="00CB1818" w:rsidTr="009E7D5E">
        <w:tc>
          <w:tcPr>
            <w:tcW w:w="3020" w:type="dxa"/>
          </w:tcPr>
          <w:p w:rsidR="00B65155" w:rsidRPr="00CB1818" w:rsidRDefault="0003628B" w:rsidP="009E7D5E">
            <w:pPr>
              <w:pStyle w:val="TabelleText"/>
            </w:pPr>
            <w:r>
              <w:t>Total en heures</w:t>
            </w:r>
          </w:p>
        </w:tc>
        <w:tc>
          <w:tcPr>
            <w:tcW w:w="3020" w:type="dxa"/>
          </w:tcPr>
          <w:p w:rsidR="00B65155" w:rsidRPr="00CB1818" w:rsidRDefault="00B65155" w:rsidP="009E7D5E">
            <w:pPr>
              <w:pStyle w:val="TabelleText"/>
            </w:pPr>
            <w:r>
              <w:t>38 333</w:t>
            </w:r>
          </w:p>
        </w:tc>
        <w:tc>
          <w:tcPr>
            <w:tcW w:w="3020" w:type="dxa"/>
          </w:tcPr>
          <w:p w:rsidR="00B65155" w:rsidRPr="00CB1818" w:rsidRDefault="00B65155" w:rsidP="009E7D5E">
            <w:pPr>
              <w:pStyle w:val="TabelleText"/>
            </w:pPr>
            <w:r>
              <w:t>11 500</w:t>
            </w:r>
          </w:p>
        </w:tc>
      </w:tr>
      <w:tr w:rsidR="00B65155" w:rsidRPr="00CB1818" w:rsidTr="009E7D5E">
        <w:tc>
          <w:tcPr>
            <w:tcW w:w="3020" w:type="dxa"/>
          </w:tcPr>
          <w:p w:rsidR="00B65155" w:rsidRPr="00CB1818" w:rsidRDefault="00B65155" w:rsidP="009E7D5E">
            <w:pPr>
              <w:pStyle w:val="TabelleText"/>
            </w:pPr>
            <w:r>
              <w:t>Taux horaire selon l’article économique «Prestation d’autres services économiques» en EUR</w:t>
            </w:r>
          </w:p>
        </w:tc>
        <w:tc>
          <w:tcPr>
            <w:tcW w:w="3020" w:type="dxa"/>
          </w:tcPr>
          <w:p w:rsidR="00B65155" w:rsidRPr="00CB1818" w:rsidRDefault="00B65155" w:rsidP="009E7D5E">
            <w:pPr>
              <w:pStyle w:val="TabelleText"/>
            </w:pPr>
            <w:r>
              <w:t>23,20</w:t>
            </w:r>
          </w:p>
        </w:tc>
        <w:tc>
          <w:tcPr>
            <w:tcW w:w="3020" w:type="dxa"/>
          </w:tcPr>
          <w:p w:rsidR="00B65155" w:rsidRPr="00CB1818" w:rsidRDefault="00B65155" w:rsidP="009E7D5E">
            <w:pPr>
              <w:pStyle w:val="TabelleText"/>
            </w:pPr>
            <w:r>
              <w:t>48,20</w:t>
            </w:r>
          </w:p>
        </w:tc>
      </w:tr>
      <w:tr w:rsidR="00B65155" w:rsidRPr="00CB1818" w:rsidTr="009E7D5E">
        <w:tc>
          <w:tcPr>
            <w:tcW w:w="3020" w:type="dxa"/>
          </w:tcPr>
          <w:p w:rsidR="00B65155" w:rsidRPr="00CB1818" w:rsidRDefault="00B65155" w:rsidP="009E7D5E">
            <w:pPr>
              <w:pStyle w:val="TabelleText"/>
            </w:pPr>
            <w:r>
              <w:t>Coûts en EUR</w:t>
            </w:r>
          </w:p>
        </w:tc>
        <w:tc>
          <w:tcPr>
            <w:tcW w:w="3020" w:type="dxa"/>
          </w:tcPr>
          <w:p w:rsidR="00B65155" w:rsidRPr="00CB1818" w:rsidRDefault="00B65155" w:rsidP="009E7D5E">
            <w:pPr>
              <w:pStyle w:val="TabelleText"/>
            </w:pPr>
            <w:r>
              <w:t>889 333</w:t>
            </w:r>
          </w:p>
        </w:tc>
        <w:tc>
          <w:tcPr>
            <w:tcW w:w="3020" w:type="dxa"/>
          </w:tcPr>
          <w:p w:rsidR="00B65155" w:rsidRPr="00CB1818" w:rsidRDefault="00B65155" w:rsidP="009E7D5E">
            <w:pPr>
              <w:pStyle w:val="TabelleText"/>
            </w:pPr>
            <w:r>
              <w:t>554 300</w:t>
            </w:r>
          </w:p>
        </w:tc>
      </w:tr>
      <w:tr w:rsidR="00B65155" w:rsidRPr="00CB1818" w:rsidTr="009E7D5E">
        <w:tc>
          <w:tcPr>
            <w:tcW w:w="3020" w:type="dxa"/>
          </w:tcPr>
          <w:p w:rsidR="00B65155" w:rsidRPr="00CB1818" w:rsidRDefault="00B65155" w:rsidP="009E7D5E">
            <w:pPr>
              <w:pStyle w:val="TabelleText"/>
            </w:pPr>
            <w:r>
              <w:t>Total en EUR</w:t>
            </w:r>
          </w:p>
        </w:tc>
        <w:tc>
          <w:tcPr>
            <w:tcW w:w="6040" w:type="dxa"/>
            <w:gridSpan w:val="2"/>
          </w:tcPr>
          <w:p w:rsidR="00B65155" w:rsidRPr="00CB1818" w:rsidRDefault="00B65155" w:rsidP="009E7D5E">
            <w:pPr>
              <w:pStyle w:val="TabelleText"/>
            </w:pPr>
            <w:r>
              <w:t>1 443 633</w:t>
            </w:r>
          </w:p>
        </w:tc>
      </w:tr>
    </w:tbl>
    <w:p w:rsidR="00B65155" w:rsidRPr="00CB1818" w:rsidRDefault="00B65155" w:rsidP="005B260B">
      <w:pPr>
        <w:pStyle w:val="Text"/>
        <w:keepNext/>
      </w:pPr>
      <w:r>
        <w:t>Les frais courant (arrondis) s’élèvent à environ</w:t>
      </w:r>
    </w:p>
    <w:p w:rsidR="00B65155" w:rsidRPr="00CB1818" w:rsidRDefault="00B65155" w:rsidP="00382B89">
      <w:pPr>
        <w:pStyle w:val="AufzhlungStufe1"/>
      </w:pPr>
      <w:r>
        <w:t>1 440 000 EUR par an.</w:t>
      </w:r>
    </w:p>
    <w:p w:rsidR="00B65155" w:rsidRPr="00CB1818" w:rsidRDefault="00B65155" w:rsidP="00742A0F">
      <w:pPr>
        <w:pStyle w:val="Text"/>
      </w:pPr>
      <w:r>
        <w:t>On estime qu’un pour cent des appels considérés sont imputables aux fournisseurs répertoriés conformément à l’article 3e, paragraphe 2, aux fins de la mise en œuvre dans son intégralité de l’article 28b de la directive SMAV, de sorte que du montant susmentionné, 14 400 EUR sont imputables à une mise en œuvre dans son intégralité de la directive.</w:t>
      </w:r>
    </w:p>
    <w:p w:rsidR="00B65155" w:rsidRPr="00CB1818" w:rsidRDefault="00B65155" w:rsidP="00742A0F">
      <w:pPr>
        <w:pStyle w:val="Text"/>
      </w:pPr>
      <w:r>
        <w:t>ii) Implémentation des accords contractuels par les services de plate-forme de partage de vidéos (article 3e, paragraphe 4 de la NetzDG)</w:t>
      </w:r>
    </w:p>
    <w:p w:rsidR="00B65155" w:rsidRPr="00CB1818" w:rsidRDefault="00B65155" w:rsidP="005B260B">
      <w:pPr>
        <w:pStyle w:val="Text"/>
        <w:keepNext/>
      </w:pPr>
      <w:r>
        <w:t>La mise à jour des termes du contrat nécessaire en raison de l’article 3e, paragraphe 4 de la NetzDG nécessite un faible effort unique, estimé à 80 heures de travail (niveau de qualification élevé, taux horaire selon la section commerciale «Prestation d’autres services économiques»). Pour cinq fournisseurs concernés (un fournisseur d’un réseau social, qui sera également répertorié à l’avenir comme service de plate-forme de partage de vidéos, quatre services de plate-forme de partage de vidéos nouvellement répertoriés), la charge d’exécution est de:</w:t>
      </w:r>
    </w:p>
    <w:p w:rsidR="00B65155" w:rsidRPr="00CB1818" w:rsidRDefault="00B65155" w:rsidP="00382B89">
      <w:pPr>
        <w:pStyle w:val="AufzhlungStufe1"/>
      </w:pPr>
      <w:r>
        <w:t>48,20 EUR x 80 x 5 = (arrondi) 19 000 EUR uniques.</w:t>
      </w:r>
    </w:p>
    <w:p w:rsidR="00B65155" w:rsidRPr="00CB1818" w:rsidRDefault="00B65155" w:rsidP="00742A0F">
      <w:pPr>
        <w:pStyle w:val="Text"/>
        <w:rPr>
          <w:highlight w:val="green"/>
        </w:rPr>
      </w:pPr>
      <w:r>
        <w:t>Sur les cinq fournisseurs considérés, trois environ relèvent de l’article 3e, paragraphe 2 de la NetzDG, dont la charge est imputable à la mise en œuvre dans son intégralité de l’article 28b de la directive SMAV (3/5 x 19 000 = 11 400 EUR).</w:t>
      </w:r>
    </w:p>
    <w:p w:rsidR="00B65155" w:rsidRPr="00CB1818" w:rsidRDefault="00B65155" w:rsidP="005B260B">
      <w:pPr>
        <w:pStyle w:val="Text"/>
        <w:keepNext/>
      </w:pPr>
      <w:r>
        <w:t>jj) Demande d’informations par l’autorité de contrôle (article 4a, paragraphe 3 de la NetzDG)</w:t>
      </w:r>
    </w:p>
    <w:p w:rsidR="00B65155" w:rsidRPr="00CB1818" w:rsidRDefault="00B65155" w:rsidP="005B260B">
      <w:pPr>
        <w:pStyle w:val="Text"/>
        <w:keepNext/>
      </w:pPr>
      <w:r>
        <w:t>Sur la base de l’article 4a, paragraphe 3 de la NetzDG, des demandes d’informations, lesquelles devront être satisfaites par les fournisseurs, seront faites à l’avenir par l’autorité compétente en vertu de l’article 4 de la NetzDG. On suppose qu’en moyenne 15 procédures similaires sont effectuées chaque année. On estime que la réponse aux demandes d’informations coûtera en moyenne 20 heures de travail (niveau de qualification élevé, taux horaire selon l’article économique «Prestation d’autres services économiques»). La charge s’élève à:</w:t>
      </w:r>
    </w:p>
    <w:p w:rsidR="00F87D01" w:rsidRPr="00CB1818" w:rsidRDefault="00B65155" w:rsidP="00382B89">
      <w:pPr>
        <w:pStyle w:val="AufzhlungStufe1"/>
      </w:pPr>
      <w:r>
        <w:t>48,20 EUR x 15 x 20 = (arrondi) 14 000 EUR par an (dont obligations d’information: 14 000 euros par an).</w:t>
      </w:r>
    </w:p>
    <w:p w:rsidR="00B65155" w:rsidRPr="00CB1818" w:rsidRDefault="00B65155" w:rsidP="00742A0F">
      <w:pPr>
        <w:pStyle w:val="Text"/>
      </w:pPr>
      <w:r>
        <w:t>On estime qu’une demande d’informations affectera un fournisseur relevant de l’article 3e, paragraphe 2 de la NetzDG, de sorte qu’une charge arrondie de 1 000 EUR est imputable à la mise en œuvre dans son intégralité de l’article 28b de la directive SMAV.</w:t>
      </w:r>
    </w:p>
    <w:p w:rsidR="00B65155" w:rsidRPr="00CB1818" w:rsidRDefault="00B65155" w:rsidP="005B260B">
      <w:pPr>
        <w:pStyle w:val="Text"/>
        <w:keepNext/>
      </w:pPr>
      <w:r>
        <w:t>kk) Autres personnes habilitées à recevoir des actes judiciaires et destinataires autorisés (article 5 de la NetzDG)</w:t>
      </w:r>
    </w:p>
    <w:p w:rsidR="00B65155" w:rsidRPr="00CB1818" w:rsidRDefault="00B65155" w:rsidP="00742A0F">
      <w:pPr>
        <w:pStyle w:val="Text"/>
      </w:pPr>
      <w:r>
        <w:t>Les ajouts au libellé de l’article 5 de la NetzDG n’entraînent qu’une charge supplémentaire négligeable pour les fournisseurs de réseaux sociaux déjà répertoriés dans la NetzDG. L’ajout à l’article 5, paragraphe 1 de la NetzDG est une clarification de la situation juridique antérieure. La désignation unique et centralisée des destinataires autorisés à l’Office fédéral de la justice (déjà désignés) ne nécessite qu’une charge d’exécution négligeable.</w:t>
      </w:r>
    </w:p>
    <w:p w:rsidR="00B65155" w:rsidRPr="00CB1818" w:rsidRDefault="00B65155" w:rsidP="005B260B">
      <w:pPr>
        <w:pStyle w:val="Text"/>
        <w:keepNext/>
      </w:pPr>
      <w:r>
        <w:t>Une charge supplémentaire apparaît parce que les fournisseurs étrangers de services de plate-forme de partage de vidéos doivent désigner pour la première fois l’interlocuteur national conformément à l’article 5 de la NetzDG. Avec un total estimé à 100 notifications et demandes d’informations supplémentaires chaque année et une charge (supplémentaire) résultant d’une moyenne de 20 heures de travail chacune (niveau de qualification élevé, taux horaire selon l’article économique «Prestation d’autres services économiques»), la charge s’élève à (s’il est estimé que la charge sera répartie à moitié entre les demandes d’information des autorités à considérer selon l’article 5, paragraphe 2 de la NetzDG):</w:t>
      </w:r>
    </w:p>
    <w:p w:rsidR="00B65155" w:rsidRPr="00CB1818" w:rsidRDefault="00B65155" w:rsidP="00382B89">
      <w:pPr>
        <w:pStyle w:val="AufzhlungStufe1"/>
        <w:rPr>
          <w:rFonts w:eastAsia="Arial"/>
        </w:rPr>
      </w:pPr>
      <w:r>
        <w:t>48,20 EUR x 100 x 10 = (arrondis) 48 000 EUR par an (dont pour les obligations d’information: 24 000 euros).</w:t>
      </w:r>
    </w:p>
    <w:p w:rsidR="00B65155" w:rsidRPr="00CB1818" w:rsidRDefault="00B65155" w:rsidP="005B260B">
      <w:pPr>
        <w:pStyle w:val="Text"/>
        <w:keepNext/>
      </w:pPr>
      <w:r>
        <w:t>ll) Augmentation des informations sur la base de l’article 14, paragraphe 3 de la loi sur les télémédias (TMG)</w:t>
      </w:r>
    </w:p>
    <w:p w:rsidR="00B65155" w:rsidRPr="00CB1818" w:rsidRDefault="00B65155" w:rsidP="005B260B">
      <w:pPr>
        <w:pStyle w:val="Text"/>
        <w:keepNext/>
      </w:pPr>
      <w:r>
        <w:t>L’ajout de l’article 14, paragraphe 3 de la TMG entraîne une charge supplémentaire, car on peut supposer que les fournisseurs de services de télémédia répertoriés devront fournir des informations aux personnes concernées plus souvent qu’auparavant. Cependant, étant donné que les coûts de la procédure judiciaire ne sont pas à la charge du fournisseur (article 14, paragraphe 4, phrase 6 de la TMG), la charge est minime. Il convient de tenir compte du fait que la charge supplémentaire des fournisseurs se limite alors à fournir des informations conformément à une décision de justice dans des cas individuels, ce qui signifie que plus aucune décision de contrôle ne doit être prise. Il est attendu que 500 informations supplémentaires seront fournies chaque année. Le nombre estimé est lié à des incertitudes, car le nombre exact de procédures précédemment effectuées sur la base de l’article 14, paragraphe 3 de la TMG n’est pas connu. Il ressort toutefois des décisions judiciaires publiées à l’article 14, paragraphe 3 de la TMG que le règlement est utilisé dans une mesure non négligeable. On suppose également que les informations supplémentaires nécessitent en moyenne une heure de personnel (niveau moyen de qualification, taux horaire selon l’article économique «Prestation d’autres services économiques»). La charge supplémentaire s’élève à:</w:t>
      </w:r>
    </w:p>
    <w:p w:rsidR="00B65155" w:rsidRPr="00CB1818" w:rsidRDefault="00B65155" w:rsidP="00382B89">
      <w:pPr>
        <w:pStyle w:val="AufzhlungStufe1"/>
        <w:rPr>
          <w:rFonts w:eastAsia="Arial"/>
          <w:b/>
        </w:rPr>
      </w:pPr>
      <w:r>
        <w:t>23,20 EUR x 500 x 1 = (arrondis) 12 000 EUR par an.</w:t>
      </w:r>
    </w:p>
    <w:p w:rsidR="00B65155" w:rsidRPr="00CB1818" w:rsidRDefault="00B65155" w:rsidP="005B260B">
      <w:pPr>
        <w:pStyle w:val="Text"/>
        <w:keepNext/>
        <w:rPr>
          <w:b/>
        </w:rPr>
      </w:pPr>
      <w:r>
        <w:rPr>
          <w:b/>
        </w:rPr>
        <w:t>Dont les frais administratifs découlant des obligations d’information:</w:t>
      </w:r>
    </w:p>
    <w:p w:rsidR="00B65155" w:rsidRPr="00CB1818" w:rsidRDefault="00B65155" w:rsidP="005B260B">
      <w:pPr>
        <w:pStyle w:val="Text"/>
        <w:keepNext/>
      </w:pPr>
      <w:r>
        <w:t>La charge d’exécution requise pour remplir les obligations d’information est estimée à:</w:t>
      </w:r>
    </w:p>
    <w:p w:rsidR="00B65155" w:rsidRPr="00CB1818" w:rsidRDefault="00B65155" w:rsidP="00382B89">
      <w:pPr>
        <w:pStyle w:val="AufzhlungStufe1"/>
      </w:pPr>
      <w:r>
        <w:t>135 700 EUR une fois,</w:t>
      </w:r>
    </w:p>
    <w:p w:rsidR="0003628B" w:rsidRPr="00CB1818" w:rsidRDefault="00B65155" w:rsidP="00382B89">
      <w:pPr>
        <w:pStyle w:val="AufzhlungStufe1"/>
      </w:pPr>
      <w:r>
        <w:t>134 300 euros par an.</w:t>
      </w:r>
    </w:p>
    <w:p w:rsidR="00F87D01" w:rsidRPr="00CB1818" w:rsidRDefault="004F1EF9" w:rsidP="005B260B">
      <w:pPr>
        <w:pStyle w:val="Text"/>
        <w:keepNext/>
      </w:pPr>
      <w:r>
        <w:t>c) Charge d’exécution pour l’administration</w:t>
      </w:r>
    </w:p>
    <w:p w:rsidR="000C6C89" w:rsidRPr="00CB1818" w:rsidRDefault="000C6C89" w:rsidP="005B260B">
      <w:pPr>
        <w:pStyle w:val="Text"/>
        <w:keepNext/>
      </w:pPr>
      <w:r>
        <w:t>Le projet entraîne une charge d’exécution pour le gouvernement fédéral pour l’accomplissement des nouvelles tâches associées. Cependant, la charge supplémentaire occasionnée par le projet est compensée par des effets d’économies dans l’exécution précédente des tâches de l’Office fédéral de la justice dans le domaine de la NetzDG:</w:t>
      </w:r>
    </w:p>
    <w:tbl>
      <w:tblPr>
        <w:tblStyle w:val="Tabellenraster2"/>
        <w:tblW w:w="0" w:type="auto"/>
        <w:tblInd w:w="5" w:type="dxa"/>
        <w:tblLook w:val="04A0" w:firstRow="1" w:lastRow="0" w:firstColumn="1" w:lastColumn="0" w:noHBand="0" w:noVBand="1"/>
      </w:tblPr>
      <w:tblGrid>
        <w:gridCol w:w="2639"/>
        <w:gridCol w:w="2171"/>
        <w:gridCol w:w="1872"/>
        <w:gridCol w:w="2092"/>
      </w:tblGrid>
      <w:tr w:rsidR="000C6C89" w:rsidRPr="00CB1818" w:rsidTr="00D32D29">
        <w:tc>
          <w:tcPr>
            <w:tcW w:w="2639" w:type="dxa"/>
            <w:hideMark/>
          </w:tcPr>
          <w:p w:rsidR="000C6C89" w:rsidRPr="00CB1818" w:rsidRDefault="000C6C89" w:rsidP="005B260B">
            <w:pPr>
              <w:pStyle w:val="TabelleText"/>
              <w:keepNext/>
            </w:pPr>
            <w:r>
              <w:t>Fonction et service</w:t>
            </w:r>
          </w:p>
        </w:tc>
        <w:tc>
          <w:tcPr>
            <w:tcW w:w="2171" w:type="dxa"/>
            <w:hideMark/>
          </w:tcPr>
          <w:p w:rsidR="000C6C89" w:rsidRPr="00CB1818" w:rsidRDefault="000C6C89" w:rsidP="005B260B">
            <w:pPr>
              <w:pStyle w:val="TabelleText"/>
              <w:keepNext/>
            </w:pPr>
            <w:r>
              <w:t>Temps de traitement total (heures)</w:t>
            </w:r>
          </w:p>
        </w:tc>
        <w:tc>
          <w:tcPr>
            <w:tcW w:w="1872" w:type="dxa"/>
            <w:hideMark/>
          </w:tcPr>
          <w:p w:rsidR="000C6C89" w:rsidRPr="00CB1818" w:rsidRDefault="000C6C89" w:rsidP="005B260B">
            <w:pPr>
              <w:pStyle w:val="TabelleText"/>
              <w:keepNext/>
            </w:pPr>
            <w:r>
              <w:t>Coûts salariaux par heure (euro)</w:t>
            </w:r>
          </w:p>
        </w:tc>
        <w:tc>
          <w:tcPr>
            <w:tcW w:w="2092" w:type="dxa"/>
            <w:hideMark/>
          </w:tcPr>
          <w:p w:rsidR="000C6C89" w:rsidRPr="00CB1818" w:rsidRDefault="000C6C89" w:rsidP="005B260B">
            <w:pPr>
              <w:pStyle w:val="TabelleText"/>
              <w:keepNext/>
            </w:pPr>
            <w:r>
              <w:t>Charge d’exécution (euro)</w:t>
            </w:r>
          </w:p>
        </w:tc>
      </w:tr>
      <w:tr w:rsidR="000C6C89" w:rsidRPr="00CB1818" w:rsidTr="00D32D29">
        <w:tc>
          <w:tcPr>
            <w:tcW w:w="2639" w:type="dxa"/>
            <w:noWrap/>
          </w:tcPr>
          <w:p w:rsidR="000C6C89" w:rsidRPr="00CB1818" w:rsidRDefault="000C6C89" w:rsidP="005B260B">
            <w:pPr>
              <w:pStyle w:val="TabelleText"/>
              <w:keepNext/>
            </w:pPr>
            <w:r>
              <w:rPr>
                <w:u w:val="single"/>
              </w:rPr>
              <w:t>Charge supplémentaire du BfJ:</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hideMark/>
          </w:tcPr>
          <w:p w:rsidR="000C6C89" w:rsidRPr="00CB1818" w:rsidRDefault="000C6C89" w:rsidP="009E7D5E">
            <w:pPr>
              <w:pStyle w:val="TabelleText"/>
            </w:pPr>
            <w:r>
              <w:t>Cadre moyen</w:t>
            </w:r>
          </w:p>
        </w:tc>
        <w:tc>
          <w:tcPr>
            <w:tcW w:w="2171" w:type="dxa"/>
            <w:noWrap/>
            <w:hideMark/>
          </w:tcPr>
          <w:p w:rsidR="000C6C89" w:rsidRPr="00CB1818" w:rsidRDefault="000C6C89" w:rsidP="009E7D5E">
            <w:pPr>
              <w:pStyle w:val="TabelleText"/>
            </w:pPr>
            <w:r>
              <w:t xml:space="preserve">11 304,86 </w:t>
            </w:r>
          </w:p>
        </w:tc>
        <w:tc>
          <w:tcPr>
            <w:tcW w:w="1872" w:type="dxa"/>
            <w:noWrap/>
            <w:hideMark/>
          </w:tcPr>
          <w:p w:rsidR="000C6C89" w:rsidRPr="00CB1818" w:rsidRDefault="000C6C89" w:rsidP="009E7D5E">
            <w:pPr>
              <w:pStyle w:val="TabelleText"/>
            </w:pPr>
            <w:r>
              <w:t>65,4</w:t>
            </w:r>
          </w:p>
        </w:tc>
        <w:tc>
          <w:tcPr>
            <w:tcW w:w="2092" w:type="dxa"/>
            <w:noWrap/>
            <w:hideMark/>
          </w:tcPr>
          <w:p w:rsidR="000C6C89" w:rsidRPr="00CB1818" w:rsidRDefault="000C6C89" w:rsidP="009E7D5E">
            <w:pPr>
              <w:pStyle w:val="TabelleText"/>
            </w:pPr>
            <w:r>
              <w:t>739 337,58</w:t>
            </w:r>
          </w:p>
        </w:tc>
      </w:tr>
      <w:tr w:rsidR="000C6C89" w:rsidRPr="00CB1818" w:rsidTr="00D32D29">
        <w:tc>
          <w:tcPr>
            <w:tcW w:w="2639" w:type="dxa"/>
            <w:noWrap/>
            <w:hideMark/>
          </w:tcPr>
          <w:p w:rsidR="000C6C89" w:rsidRPr="00CB1818" w:rsidRDefault="000C6C89" w:rsidP="009E7D5E">
            <w:pPr>
              <w:pStyle w:val="TabelleText"/>
            </w:pPr>
            <w:r>
              <w:t>Cadre supérieur</w:t>
            </w:r>
          </w:p>
        </w:tc>
        <w:tc>
          <w:tcPr>
            <w:tcW w:w="2171" w:type="dxa"/>
            <w:noWrap/>
            <w:hideMark/>
          </w:tcPr>
          <w:p w:rsidR="000C6C89" w:rsidRPr="00CB1818" w:rsidRDefault="000C6C89" w:rsidP="009E7D5E">
            <w:pPr>
              <w:pStyle w:val="TabelleText"/>
            </w:pPr>
            <w:r>
              <w:t>9 642,48</w:t>
            </w:r>
          </w:p>
        </w:tc>
        <w:tc>
          <w:tcPr>
            <w:tcW w:w="1872" w:type="dxa"/>
            <w:noWrap/>
            <w:hideMark/>
          </w:tcPr>
          <w:p w:rsidR="000C6C89" w:rsidRPr="00CB1818" w:rsidRDefault="000C6C89" w:rsidP="009E7D5E">
            <w:pPr>
              <w:pStyle w:val="TabelleText"/>
            </w:pPr>
            <w:r>
              <w:t>43,4</w:t>
            </w:r>
          </w:p>
        </w:tc>
        <w:tc>
          <w:tcPr>
            <w:tcW w:w="2092" w:type="dxa"/>
            <w:noWrap/>
            <w:hideMark/>
          </w:tcPr>
          <w:p w:rsidR="000C6C89" w:rsidRPr="00CB1818" w:rsidRDefault="000C6C89" w:rsidP="009E7D5E">
            <w:pPr>
              <w:pStyle w:val="TabelleText"/>
            </w:pPr>
            <w:r>
              <w:t xml:space="preserve">418 483,78 </w:t>
            </w:r>
          </w:p>
        </w:tc>
      </w:tr>
      <w:tr w:rsidR="000C6C89" w:rsidRPr="00CB1818" w:rsidTr="00D32D29">
        <w:tc>
          <w:tcPr>
            <w:tcW w:w="2639" w:type="dxa"/>
            <w:noWrap/>
            <w:hideMark/>
          </w:tcPr>
          <w:p w:rsidR="000C6C89" w:rsidRPr="00CB1818" w:rsidRDefault="000C6C89" w:rsidP="009E7D5E">
            <w:pPr>
              <w:pStyle w:val="TabelleText"/>
            </w:pPr>
            <w:r>
              <w:t>Service moyen</w:t>
            </w:r>
          </w:p>
        </w:tc>
        <w:tc>
          <w:tcPr>
            <w:tcW w:w="2171" w:type="dxa"/>
            <w:noWrap/>
            <w:hideMark/>
          </w:tcPr>
          <w:p w:rsidR="000C6C89" w:rsidRPr="00CB1818" w:rsidRDefault="000C6C89" w:rsidP="009E7D5E">
            <w:pPr>
              <w:pStyle w:val="TabelleText"/>
            </w:pPr>
            <w:r>
              <w:t>2 564,40</w:t>
            </w:r>
          </w:p>
        </w:tc>
        <w:tc>
          <w:tcPr>
            <w:tcW w:w="1872" w:type="dxa"/>
            <w:noWrap/>
            <w:hideMark/>
          </w:tcPr>
          <w:p w:rsidR="000C6C89" w:rsidRPr="00CB1818" w:rsidRDefault="000C6C89" w:rsidP="009E7D5E">
            <w:pPr>
              <w:pStyle w:val="TabelleText"/>
            </w:pPr>
            <w:r>
              <w:t>31,7</w:t>
            </w:r>
          </w:p>
        </w:tc>
        <w:tc>
          <w:tcPr>
            <w:tcW w:w="2092" w:type="dxa"/>
            <w:noWrap/>
            <w:hideMark/>
          </w:tcPr>
          <w:p w:rsidR="000C6C89" w:rsidRPr="00CB1818" w:rsidRDefault="000C6C89" w:rsidP="009E7D5E">
            <w:pPr>
              <w:pStyle w:val="TabelleText"/>
            </w:pPr>
            <w:r>
              <w:t>81 291,48</w:t>
            </w:r>
          </w:p>
        </w:tc>
      </w:tr>
      <w:tr w:rsidR="000C6C89" w:rsidRPr="00CB1818" w:rsidTr="00D32D29">
        <w:tc>
          <w:tcPr>
            <w:tcW w:w="2639" w:type="dxa"/>
            <w:noWrap/>
          </w:tcPr>
          <w:p w:rsidR="000C6C89" w:rsidRPr="00CB1818" w:rsidRDefault="000C6C89" w:rsidP="005B260B">
            <w:pPr>
              <w:pStyle w:val="TabelleText"/>
              <w:keepNext/>
              <w:rPr>
                <w:u w:val="single"/>
              </w:rPr>
            </w:pPr>
            <w:r>
              <w:rPr>
                <w:u w:val="single"/>
              </w:rPr>
              <w:t>Total:</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u w:val="single"/>
              </w:rPr>
            </w:pPr>
            <w:r>
              <w:rPr>
                <w:u w:val="single"/>
              </w:rPr>
              <w:t>1 239 112,84</w:t>
            </w:r>
          </w:p>
        </w:tc>
      </w:tr>
      <w:tr w:rsidR="000C6C89" w:rsidRPr="00CB1818" w:rsidTr="00D32D29">
        <w:tc>
          <w:tcPr>
            <w:tcW w:w="2639" w:type="dxa"/>
            <w:noWrap/>
          </w:tcPr>
          <w:p w:rsidR="000C6C89" w:rsidRPr="00CB1818" w:rsidRDefault="000C6C89" w:rsidP="009E7D5E">
            <w:pPr>
              <w:pStyle w:val="TabelleText"/>
              <w:rPr>
                <w:u w:val="single"/>
              </w:rPr>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tcPr>
          <w:p w:rsidR="000C6C89" w:rsidRPr="00CB1818" w:rsidRDefault="000C6C89" w:rsidP="005B260B">
            <w:pPr>
              <w:pStyle w:val="TabelleText"/>
              <w:keepNext/>
            </w:pPr>
            <w:r>
              <w:rPr>
                <w:u w:val="single"/>
              </w:rPr>
              <w:t>Charge BMJV:</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pPr>
          </w:p>
        </w:tc>
      </w:tr>
      <w:tr w:rsidR="000C6C89" w:rsidRPr="00CB1818" w:rsidTr="00D32D29">
        <w:tc>
          <w:tcPr>
            <w:tcW w:w="2639" w:type="dxa"/>
            <w:noWrap/>
          </w:tcPr>
          <w:p w:rsidR="000C6C89" w:rsidRPr="00CB1818" w:rsidRDefault="000C6C89" w:rsidP="009E7D5E">
            <w:pPr>
              <w:pStyle w:val="TabelleText"/>
            </w:pPr>
            <w:r>
              <w:t>Cadre moyen</w:t>
            </w:r>
          </w:p>
        </w:tc>
        <w:tc>
          <w:tcPr>
            <w:tcW w:w="2171" w:type="dxa"/>
            <w:noWrap/>
          </w:tcPr>
          <w:p w:rsidR="000C6C89" w:rsidRPr="00CB1818" w:rsidRDefault="000C6C89" w:rsidP="009E7D5E">
            <w:pPr>
              <w:pStyle w:val="TabelleText"/>
            </w:pPr>
            <w:r>
              <w:t>1 678,60</w:t>
            </w:r>
          </w:p>
        </w:tc>
        <w:tc>
          <w:tcPr>
            <w:tcW w:w="1872" w:type="dxa"/>
            <w:noWrap/>
          </w:tcPr>
          <w:p w:rsidR="000C6C89" w:rsidRPr="00CB1818" w:rsidRDefault="000C6C89" w:rsidP="009E7D5E">
            <w:pPr>
              <w:pStyle w:val="TabelleText"/>
            </w:pPr>
            <w:r>
              <w:t>65,4</w:t>
            </w:r>
          </w:p>
        </w:tc>
        <w:tc>
          <w:tcPr>
            <w:tcW w:w="2092" w:type="dxa"/>
            <w:noWrap/>
          </w:tcPr>
          <w:p w:rsidR="000C6C89" w:rsidRPr="00CB1818" w:rsidRDefault="000C6C89" w:rsidP="009E7D5E">
            <w:pPr>
              <w:pStyle w:val="TabelleText"/>
              <w:rPr>
                <w:u w:val="single"/>
              </w:rPr>
            </w:pPr>
            <w:r>
              <w:rPr>
                <w:u w:val="single"/>
              </w:rPr>
              <w:t>109 780,44</w:t>
            </w:r>
          </w:p>
        </w:tc>
      </w:tr>
      <w:tr w:rsidR="000C6C89" w:rsidRPr="00CB1818" w:rsidTr="00D32D29">
        <w:tc>
          <w:tcPr>
            <w:tcW w:w="2639" w:type="dxa"/>
            <w:noWrap/>
          </w:tcPr>
          <w:p w:rsidR="000C6C89" w:rsidRPr="00CB1818" w:rsidRDefault="000C6C89" w:rsidP="009E7D5E">
            <w:pPr>
              <w:pStyle w:val="TabelleText"/>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hideMark/>
          </w:tcPr>
          <w:p w:rsidR="000C6C89" w:rsidRPr="00CB1818" w:rsidRDefault="000C6C89" w:rsidP="005B260B">
            <w:pPr>
              <w:pStyle w:val="TabelleText"/>
              <w:keepNext/>
              <w:rPr>
                <w:u w:val="single"/>
              </w:rPr>
            </w:pPr>
            <w:r>
              <w:rPr>
                <w:u w:val="single"/>
              </w:rPr>
              <w:t>Charge supplémentaire totale:</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hideMark/>
          </w:tcPr>
          <w:p w:rsidR="000C6C89" w:rsidRPr="00CB1818" w:rsidRDefault="000C6C89" w:rsidP="009E7D5E">
            <w:pPr>
              <w:pStyle w:val="TabelleText"/>
              <w:rPr>
                <w:bCs/>
                <w:u w:val="single"/>
              </w:rPr>
            </w:pPr>
            <w:r>
              <w:rPr>
                <w:bCs/>
                <w:u w:val="single"/>
              </w:rPr>
              <w:t>1 348 893,28</w:t>
            </w:r>
          </w:p>
        </w:tc>
      </w:tr>
      <w:tr w:rsidR="000C6C89" w:rsidRPr="00CB1818" w:rsidTr="00D32D29">
        <w:tc>
          <w:tcPr>
            <w:tcW w:w="2639" w:type="dxa"/>
            <w:noWrap/>
          </w:tcPr>
          <w:p w:rsidR="000C6C89" w:rsidRPr="00CB1818" w:rsidRDefault="000C6C89" w:rsidP="009E7D5E">
            <w:pPr>
              <w:pStyle w:val="TabelleText"/>
            </w:pP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tcPr>
          <w:p w:rsidR="000C6C89" w:rsidRPr="00CB1818" w:rsidRDefault="000C6C89" w:rsidP="005B260B">
            <w:pPr>
              <w:pStyle w:val="TabelleText"/>
              <w:keepNext/>
              <w:rPr>
                <w:u w:val="single"/>
              </w:rPr>
            </w:pPr>
            <w:r>
              <w:rPr>
                <w:u w:val="single"/>
              </w:rPr>
              <w:t>Économies BfJ:</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rPr>
            </w:pPr>
          </w:p>
        </w:tc>
      </w:tr>
      <w:tr w:rsidR="000C6C89" w:rsidRPr="00CB1818" w:rsidTr="00D32D29">
        <w:tc>
          <w:tcPr>
            <w:tcW w:w="2639" w:type="dxa"/>
            <w:noWrap/>
          </w:tcPr>
          <w:p w:rsidR="000C6C89" w:rsidRPr="00CB1818" w:rsidRDefault="000C6C89" w:rsidP="009E7D5E">
            <w:pPr>
              <w:pStyle w:val="TabelleText"/>
            </w:pPr>
            <w:r>
              <w:t>Cadre moyen</w:t>
            </w:r>
          </w:p>
        </w:tc>
        <w:tc>
          <w:tcPr>
            <w:tcW w:w="2171" w:type="dxa"/>
            <w:noWrap/>
          </w:tcPr>
          <w:p w:rsidR="000C6C89" w:rsidRPr="00CB1818" w:rsidRDefault="000C6C89" w:rsidP="009E7D5E">
            <w:pPr>
              <w:pStyle w:val="TabelleText"/>
            </w:pPr>
            <w:r>
              <w:t>- 2 039</w:t>
            </w:r>
          </w:p>
        </w:tc>
        <w:tc>
          <w:tcPr>
            <w:tcW w:w="1872" w:type="dxa"/>
            <w:noWrap/>
          </w:tcPr>
          <w:p w:rsidR="000C6C89" w:rsidRPr="00CB1818" w:rsidRDefault="000C6C89" w:rsidP="009E7D5E">
            <w:pPr>
              <w:pStyle w:val="TabelleText"/>
            </w:pPr>
            <w:r>
              <w:t>65,4</w:t>
            </w:r>
          </w:p>
        </w:tc>
        <w:tc>
          <w:tcPr>
            <w:tcW w:w="2092" w:type="dxa"/>
            <w:noWrap/>
          </w:tcPr>
          <w:p w:rsidR="000C6C89" w:rsidRPr="00CB1818" w:rsidRDefault="000C6C89" w:rsidP="009E7D5E">
            <w:pPr>
              <w:pStyle w:val="TabelleText"/>
              <w:rPr>
                <w:b/>
                <w:bCs/>
              </w:rPr>
            </w:pPr>
            <w:r>
              <w:t>- 133 379,94</w:t>
            </w:r>
          </w:p>
        </w:tc>
      </w:tr>
      <w:tr w:rsidR="000C6C89" w:rsidRPr="00CB1818" w:rsidTr="00D32D29">
        <w:tc>
          <w:tcPr>
            <w:tcW w:w="2639" w:type="dxa"/>
            <w:noWrap/>
          </w:tcPr>
          <w:p w:rsidR="000C6C89" w:rsidRPr="00CB1818" w:rsidRDefault="000C6C89" w:rsidP="009E7D5E">
            <w:pPr>
              <w:pStyle w:val="TabelleText"/>
            </w:pPr>
            <w:r>
              <w:t>Service élevé</w:t>
            </w:r>
          </w:p>
        </w:tc>
        <w:tc>
          <w:tcPr>
            <w:tcW w:w="2171" w:type="dxa"/>
            <w:noWrap/>
          </w:tcPr>
          <w:p w:rsidR="000C6C89" w:rsidRPr="00CB1818" w:rsidRDefault="000C6C89" w:rsidP="009E7D5E">
            <w:pPr>
              <w:pStyle w:val="TabelleText"/>
            </w:pPr>
            <w:r>
              <w:t>- 3 240</w:t>
            </w:r>
          </w:p>
        </w:tc>
        <w:tc>
          <w:tcPr>
            <w:tcW w:w="1872" w:type="dxa"/>
            <w:noWrap/>
          </w:tcPr>
          <w:p w:rsidR="000C6C89" w:rsidRPr="00CB1818" w:rsidRDefault="000C6C89" w:rsidP="009E7D5E">
            <w:pPr>
              <w:pStyle w:val="TabelleText"/>
            </w:pPr>
            <w:r>
              <w:t>43,4</w:t>
            </w:r>
          </w:p>
        </w:tc>
        <w:tc>
          <w:tcPr>
            <w:tcW w:w="2092" w:type="dxa"/>
            <w:noWrap/>
          </w:tcPr>
          <w:p w:rsidR="000C6C89" w:rsidRPr="00CB1818" w:rsidRDefault="000C6C89" w:rsidP="009E7D5E">
            <w:pPr>
              <w:pStyle w:val="TabelleText"/>
              <w:rPr>
                <w:b/>
                <w:bCs/>
              </w:rPr>
            </w:pPr>
            <w:r>
              <w:t xml:space="preserve">- 140 619,99 </w:t>
            </w:r>
          </w:p>
        </w:tc>
      </w:tr>
      <w:tr w:rsidR="000C6C89" w:rsidRPr="00CB1818" w:rsidTr="00D32D29">
        <w:tc>
          <w:tcPr>
            <w:tcW w:w="2639" w:type="dxa"/>
            <w:noWrap/>
          </w:tcPr>
          <w:p w:rsidR="000C6C89" w:rsidRPr="00CB1818" w:rsidRDefault="000C6C89" w:rsidP="009E7D5E">
            <w:pPr>
              <w:pStyle w:val="TabelleText"/>
            </w:pPr>
            <w:r>
              <w:t>Service moyen</w:t>
            </w:r>
          </w:p>
        </w:tc>
        <w:tc>
          <w:tcPr>
            <w:tcW w:w="2171" w:type="dxa"/>
            <w:noWrap/>
          </w:tcPr>
          <w:p w:rsidR="000C6C89" w:rsidRPr="00CB1818" w:rsidRDefault="000C6C89" w:rsidP="009E7D5E">
            <w:pPr>
              <w:pStyle w:val="TabelleText"/>
            </w:pPr>
            <w:r>
              <w:t>- 312</w:t>
            </w:r>
          </w:p>
        </w:tc>
        <w:tc>
          <w:tcPr>
            <w:tcW w:w="1872" w:type="dxa"/>
            <w:noWrap/>
          </w:tcPr>
          <w:p w:rsidR="000C6C89" w:rsidRPr="00CB1818" w:rsidRDefault="000C6C89" w:rsidP="009E7D5E">
            <w:pPr>
              <w:pStyle w:val="TabelleText"/>
            </w:pPr>
            <w:r>
              <w:t>31,7</w:t>
            </w:r>
          </w:p>
        </w:tc>
        <w:tc>
          <w:tcPr>
            <w:tcW w:w="2092" w:type="dxa"/>
            <w:noWrap/>
          </w:tcPr>
          <w:p w:rsidR="000C6C89" w:rsidRPr="00CB1818" w:rsidRDefault="000C6C89" w:rsidP="009E7D5E">
            <w:pPr>
              <w:pStyle w:val="TabelleText"/>
              <w:rPr>
                <w:b/>
                <w:bCs/>
              </w:rPr>
            </w:pPr>
            <w:r>
              <w:t>- 9 906,13</w:t>
            </w:r>
          </w:p>
        </w:tc>
      </w:tr>
      <w:tr w:rsidR="000C6C89" w:rsidRPr="00CB1818" w:rsidTr="00D32D29">
        <w:tc>
          <w:tcPr>
            <w:tcW w:w="2639" w:type="dxa"/>
            <w:noWrap/>
          </w:tcPr>
          <w:p w:rsidR="000C6C89" w:rsidRPr="00CB1818" w:rsidRDefault="000C6C89" w:rsidP="009E7D5E">
            <w:pPr>
              <w:pStyle w:val="TabelleText"/>
            </w:pPr>
            <w:r>
              <w:t>Économies totales</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
                <w:bCs/>
                <w:u w:val="single"/>
              </w:rPr>
            </w:pPr>
            <w:r>
              <w:rPr>
                <w:u w:val="single"/>
              </w:rPr>
              <w:t xml:space="preserve">- 283 906,06 </w:t>
            </w:r>
          </w:p>
        </w:tc>
      </w:tr>
      <w:tr w:rsidR="000C6C89" w:rsidRPr="00CB1818" w:rsidTr="00D32D29">
        <w:tc>
          <w:tcPr>
            <w:tcW w:w="2639" w:type="dxa"/>
            <w:noWrap/>
          </w:tcPr>
          <w:p w:rsidR="000C6C89" w:rsidRPr="00CB1818" w:rsidRDefault="000C6C89" w:rsidP="009E7D5E">
            <w:pPr>
              <w:pStyle w:val="TabelleText"/>
            </w:pPr>
            <w:r>
              <w:t>Solde de charge supplémentaire (en tenant compte des économies)</w:t>
            </w:r>
          </w:p>
        </w:tc>
        <w:tc>
          <w:tcPr>
            <w:tcW w:w="2171" w:type="dxa"/>
            <w:noWrap/>
          </w:tcPr>
          <w:p w:rsidR="000C6C89" w:rsidRPr="00CB1818" w:rsidRDefault="000C6C89" w:rsidP="009E7D5E">
            <w:pPr>
              <w:pStyle w:val="TabelleText"/>
            </w:pPr>
          </w:p>
        </w:tc>
        <w:tc>
          <w:tcPr>
            <w:tcW w:w="1872" w:type="dxa"/>
            <w:noWrap/>
          </w:tcPr>
          <w:p w:rsidR="000C6C89" w:rsidRPr="00CB1818" w:rsidRDefault="000C6C89" w:rsidP="009E7D5E">
            <w:pPr>
              <w:pStyle w:val="TabelleText"/>
            </w:pPr>
          </w:p>
        </w:tc>
        <w:tc>
          <w:tcPr>
            <w:tcW w:w="2092" w:type="dxa"/>
            <w:noWrap/>
          </w:tcPr>
          <w:p w:rsidR="000C6C89" w:rsidRPr="00CB1818" w:rsidRDefault="000C6C89" w:rsidP="009E7D5E">
            <w:pPr>
              <w:pStyle w:val="TabelleText"/>
              <w:rPr>
                <w:bCs/>
                <w:u w:val="single"/>
              </w:rPr>
            </w:pPr>
            <w:r>
              <w:rPr>
                <w:bCs/>
                <w:u w:val="single"/>
              </w:rPr>
              <w:t>1 064 987,22</w:t>
            </w:r>
          </w:p>
        </w:tc>
      </w:tr>
    </w:tbl>
    <w:p w:rsidR="000C6C89" w:rsidRPr="00CB1818" w:rsidRDefault="000C6C89" w:rsidP="005B260B">
      <w:pPr>
        <w:pStyle w:val="Text"/>
        <w:keepNext/>
      </w:pPr>
      <w:r>
        <w:t>La charge supplémentaire (arrondie) correspond à la main d’œuvre nécessaire comme suit:</w:t>
      </w:r>
    </w:p>
    <w:tbl>
      <w:tblPr>
        <w:tblStyle w:val="Tabellenraster2"/>
        <w:tblW w:w="0" w:type="auto"/>
        <w:tblLook w:val="04A0" w:firstRow="1" w:lastRow="0" w:firstColumn="1" w:lastColumn="0" w:noHBand="0" w:noVBand="1"/>
      </w:tblPr>
      <w:tblGrid>
        <w:gridCol w:w="988"/>
        <w:gridCol w:w="1407"/>
        <w:gridCol w:w="6610"/>
      </w:tblGrid>
      <w:tr w:rsidR="000C6C89" w:rsidRPr="00CB1818" w:rsidTr="009E7D5E">
        <w:tc>
          <w:tcPr>
            <w:tcW w:w="991" w:type="dxa"/>
          </w:tcPr>
          <w:p w:rsidR="000C6C89" w:rsidRPr="00CB1818" w:rsidRDefault="000C6C89" w:rsidP="005B260B">
            <w:pPr>
              <w:pStyle w:val="TabelleText"/>
              <w:keepNext/>
            </w:pPr>
          </w:p>
        </w:tc>
        <w:tc>
          <w:tcPr>
            <w:tcW w:w="7788" w:type="dxa"/>
            <w:gridSpan w:val="2"/>
          </w:tcPr>
          <w:p w:rsidR="000C6C89" w:rsidRPr="00CB1818" w:rsidRDefault="000C6C89" w:rsidP="005B260B">
            <w:pPr>
              <w:pStyle w:val="TabelleText"/>
              <w:keepNext/>
            </w:pPr>
            <w:r>
              <w:t>Nouveaux postes requis (arrondis)</w:t>
            </w:r>
          </w:p>
        </w:tc>
      </w:tr>
      <w:tr w:rsidR="000C6C89" w:rsidRPr="00CB1818" w:rsidTr="009E7D5E">
        <w:tc>
          <w:tcPr>
            <w:tcW w:w="991" w:type="dxa"/>
          </w:tcPr>
          <w:p w:rsidR="000C6C89" w:rsidRPr="00CB1818" w:rsidRDefault="000C6C89" w:rsidP="009E7D5E">
            <w:pPr>
              <w:pStyle w:val="TabelleText"/>
            </w:pPr>
            <w:r>
              <w:t>BMJV:</w:t>
            </w:r>
          </w:p>
        </w:tc>
        <w:tc>
          <w:tcPr>
            <w:tcW w:w="1101" w:type="dxa"/>
          </w:tcPr>
          <w:p w:rsidR="000C6C89" w:rsidRPr="00CB1818" w:rsidRDefault="000C6C89" w:rsidP="009E7D5E">
            <w:pPr>
              <w:pStyle w:val="TabelleText"/>
            </w:pPr>
            <w:r>
              <w:t>1 cadre moyen</w:t>
            </w:r>
          </w:p>
        </w:tc>
        <w:tc>
          <w:tcPr>
            <w:tcW w:w="6687" w:type="dxa"/>
          </w:tcPr>
          <w:p w:rsidR="000C6C89" w:rsidRPr="00CB1818" w:rsidRDefault="000C6C89" w:rsidP="009E7D5E">
            <w:pPr>
              <w:pStyle w:val="TabelleText"/>
            </w:pPr>
            <w:r>
              <w:t>Référence</w:t>
            </w:r>
          </w:p>
        </w:tc>
      </w:tr>
      <w:tr w:rsidR="000C6C89" w:rsidRPr="00CB1818" w:rsidTr="009E7D5E">
        <w:tc>
          <w:tcPr>
            <w:tcW w:w="991" w:type="dxa"/>
          </w:tcPr>
          <w:p w:rsidR="000C6C89" w:rsidRPr="00CB1818" w:rsidRDefault="000C6C89" w:rsidP="009E7D5E">
            <w:pPr>
              <w:pStyle w:val="TabelleText"/>
            </w:pPr>
            <w:r>
              <w:t>BfJ:</w:t>
            </w:r>
          </w:p>
        </w:tc>
        <w:tc>
          <w:tcPr>
            <w:tcW w:w="1101" w:type="dxa"/>
          </w:tcPr>
          <w:p w:rsidR="000C6C89" w:rsidRPr="00CB1818" w:rsidRDefault="000C6C89" w:rsidP="009E7D5E">
            <w:pPr>
              <w:pStyle w:val="TabelleText"/>
            </w:pPr>
            <w:r>
              <w:t>1 cadre moyen</w:t>
            </w:r>
          </w:p>
        </w:tc>
        <w:tc>
          <w:tcPr>
            <w:tcW w:w="6687" w:type="dxa"/>
          </w:tcPr>
          <w:p w:rsidR="000C6C89" w:rsidRPr="00CB1818" w:rsidRDefault="000C6C89" w:rsidP="009E7D5E">
            <w:pPr>
              <w:pStyle w:val="TabelleText"/>
            </w:pPr>
            <w:r>
              <w:t>Chef d’unité</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4,5 cadres moyens</w:t>
            </w:r>
          </w:p>
        </w:tc>
        <w:tc>
          <w:tcPr>
            <w:tcW w:w="6687" w:type="dxa"/>
          </w:tcPr>
          <w:p w:rsidR="000C6C89" w:rsidRPr="00CB1818" w:rsidRDefault="000C6C89" w:rsidP="009E7D5E">
            <w:pPr>
              <w:pStyle w:val="TabelleText"/>
            </w:pPr>
            <w:r>
              <w:t>Référence</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4 cadres supérieurs</w:t>
            </w:r>
          </w:p>
        </w:tc>
        <w:tc>
          <w:tcPr>
            <w:tcW w:w="6687" w:type="dxa"/>
          </w:tcPr>
          <w:p w:rsidR="000C6C89" w:rsidRPr="00CB1818" w:rsidRDefault="000C6C89" w:rsidP="009E7D5E">
            <w:pPr>
              <w:pStyle w:val="TabelleText"/>
            </w:pPr>
            <w:r>
              <w:t>Personne chargée du dossier</w:t>
            </w:r>
          </w:p>
        </w:tc>
      </w:tr>
      <w:tr w:rsidR="000C6C89" w:rsidRPr="00CB1818" w:rsidTr="009E7D5E">
        <w:tc>
          <w:tcPr>
            <w:tcW w:w="991" w:type="dxa"/>
          </w:tcPr>
          <w:p w:rsidR="000C6C89" w:rsidRPr="00CB1818" w:rsidRDefault="000C6C89" w:rsidP="009E7D5E">
            <w:pPr>
              <w:pStyle w:val="TabelleText"/>
            </w:pPr>
          </w:p>
        </w:tc>
        <w:tc>
          <w:tcPr>
            <w:tcW w:w="1101" w:type="dxa"/>
          </w:tcPr>
          <w:p w:rsidR="000C6C89" w:rsidRPr="00CB1818" w:rsidRDefault="000C6C89" w:rsidP="009E7D5E">
            <w:pPr>
              <w:pStyle w:val="TabelleText"/>
            </w:pPr>
            <w:r>
              <w:t xml:space="preserve">1,5 cadre d’encadrement </w:t>
            </w:r>
          </w:p>
        </w:tc>
        <w:tc>
          <w:tcPr>
            <w:tcW w:w="6687" w:type="dxa"/>
          </w:tcPr>
          <w:p w:rsidR="000C6C89" w:rsidRPr="00CB1818" w:rsidRDefault="000C6C89" w:rsidP="009E7D5E">
            <w:pPr>
              <w:pStyle w:val="TabelleText"/>
            </w:pPr>
            <w:r>
              <w:t>Bureau, employé de bureau</w:t>
            </w:r>
          </w:p>
        </w:tc>
      </w:tr>
    </w:tbl>
    <w:p w:rsidR="00DF0C7F" w:rsidRPr="00CB1818" w:rsidRDefault="00DF0C7F" w:rsidP="005B260B">
      <w:pPr>
        <w:pStyle w:val="Text"/>
        <w:keepNext/>
      </w:pPr>
      <w:r>
        <w:t>aa) Charge supplémentaire pour le ministère fédéral de la Justice et de la Protection des Consommateurs:</w:t>
      </w:r>
    </w:p>
    <w:p w:rsidR="00DF0C7F" w:rsidRPr="00CB1818" w:rsidRDefault="00DF0C7F" w:rsidP="003F1107">
      <w:pPr>
        <w:pStyle w:val="Text"/>
      </w:pPr>
      <w:r>
        <w:t>Le ministère fédéral de la Justice et de la Protection des Consommateurs exerce un contrôle technique et juridique sur l’Office fédéral de la justice dans la mesure où il agit en tant qu’autorité compétente en vertu de la NetzDG. On estime que les tâches supplémentaires de l’Office fédéral élargissent également le champ de la surveillance spécialisée et juridique.</w:t>
      </w:r>
    </w:p>
    <w:p w:rsidR="00DF0C7F" w:rsidRPr="00CB1818" w:rsidRDefault="00DF0C7F" w:rsidP="005B260B">
      <w:pPr>
        <w:pStyle w:val="Text"/>
        <w:keepNext/>
      </w:pPr>
      <w:r>
        <w:t>Compte tenu des nouveaux fournisseurs répertoriés, des nouvelles exigences de la NetzDG et de la nouvelle procédure de décret, on suppose qu’une charge supplémentaire sera engagée. On estime que dans un grand nombre de cas, cela n’entraînera qu’une charge limitée. Dans dix autres cas, cela entraînera une charge moyenne (exemple: coordination des demandes d’informations) et dans dix autres cas, une charge considérable sera nécessaire (exemple: procédure de décret pour le traitement des plaintes). La charge suivante est donc estimée:</w:t>
      </w:r>
    </w:p>
    <w:tbl>
      <w:tblPr>
        <w:tblStyle w:val="Tabellenraster3"/>
        <w:tblW w:w="8784" w:type="dxa"/>
        <w:tblLook w:val="04A0" w:firstRow="1" w:lastRow="0" w:firstColumn="1" w:lastColumn="0" w:noHBand="0" w:noVBand="1"/>
      </w:tblPr>
      <w:tblGrid>
        <w:gridCol w:w="1427"/>
        <w:gridCol w:w="978"/>
        <w:gridCol w:w="1418"/>
        <w:gridCol w:w="1701"/>
        <w:gridCol w:w="1559"/>
        <w:gridCol w:w="1701"/>
      </w:tblGrid>
      <w:tr w:rsidR="00DF0C7F" w:rsidRPr="00CB1818" w:rsidTr="00D32D29">
        <w:tc>
          <w:tcPr>
            <w:tcW w:w="1427" w:type="dxa"/>
            <w:noWrap/>
            <w:hideMark/>
          </w:tcPr>
          <w:p w:rsidR="00DF0C7F" w:rsidRPr="00CB1818" w:rsidRDefault="00DF0C7F" w:rsidP="005B260B">
            <w:pPr>
              <w:pStyle w:val="TabelleText"/>
              <w:keepNext/>
            </w:pPr>
          </w:p>
        </w:tc>
        <w:tc>
          <w:tcPr>
            <w:tcW w:w="978" w:type="dxa"/>
            <w:noWrap/>
            <w:hideMark/>
          </w:tcPr>
          <w:p w:rsidR="00DF0C7F" w:rsidRPr="00CB1818" w:rsidRDefault="00DF0C7F" w:rsidP="005B260B">
            <w:pPr>
              <w:pStyle w:val="TabelleText"/>
              <w:keepNext/>
            </w:pPr>
            <w:r>
              <w:t>Nombre de cas</w:t>
            </w:r>
          </w:p>
        </w:tc>
        <w:tc>
          <w:tcPr>
            <w:tcW w:w="1418" w:type="dxa"/>
            <w:hideMark/>
          </w:tcPr>
          <w:p w:rsidR="00DF0C7F" w:rsidRPr="00CB1818" w:rsidRDefault="00DF0C7F" w:rsidP="005B260B">
            <w:pPr>
              <w:pStyle w:val="TabelleText"/>
              <w:keepNext/>
            </w:pPr>
            <w:r>
              <w:t>Durée de traitement par cas (h)</w:t>
            </w:r>
          </w:p>
        </w:tc>
        <w:tc>
          <w:tcPr>
            <w:tcW w:w="1701" w:type="dxa"/>
            <w:hideMark/>
          </w:tcPr>
          <w:p w:rsidR="00DF0C7F" w:rsidRPr="00CB1818" w:rsidRDefault="00DF0C7F" w:rsidP="005B260B">
            <w:pPr>
              <w:pStyle w:val="TabelleText"/>
              <w:keepNext/>
            </w:pPr>
            <w:r>
              <w:t>Durée de traitement total (h)</w:t>
            </w:r>
          </w:p>
        </w:tc>
        <w:tc>
          <w:tcPr>
            <w:tcW w:w="1559" w:type="dxa"/>
            <w:hideMark/>
          </w:tcPr>
          <w:p w:rsidR="00DF0C7F" w:rsidRPr="00CB1818" w:rsidRDefault="00DF0C7F" w:rsidP="005B260B">
            <w:pPr>
              <w:pStyle w:val="TabelleText"/>
              <w:keepNext/>
            </w:pPr>
            <w:r>
              <w:t>Coûts salariaux par heure</w:t>
            </w:r>
          </w:p>
        </w:tc>
        <w:tc>
          <w:tcPr>
            <w:tcW w:w="1701" w:type="dxa"/>
            <w:hideMark/>
          </w:tcPr>
          <w:p w:rsidR="00DF0C7F" w:rsidRPr="00CB1818" w:rsidRDefault="00DF0C7F" w:rsidP="005B260B">
            <w:pPr>
              <w:pStyle w:val="TabelleText"/>
              <w:keepNext/>
            </w:pPr>
            <w:r>
              <w:t>Charges d’exécution (en euro)</w:t>
            </w:r>
          </w:p>
        </w:tc>
      </w:tr>
      <w:tr w:rsidR="00DF0C7F" w:rsidRPr="00CB1818" w:rsidTr="00D32D29">
        <w:tc>
          <w:tcPr>
            <w:tcW w:w="1427" w:type="dxa"/>
            <w:hideMark/>
          </w:tcPr>
          <w:p w:rsidR="00DF0C7F" w:rsidRPr="00CB1818" w:rsidRDefault="00DF0C7F" w:rsidP="009E7D5E">
            <w:pPr>
              <w:pStyle w:val="TabelleText"/>
            </w:pPr>
            <w:r>
              <w:rPr>
                <w:color w:val="000000"/>
              </w:rPr>
              <w:t>Cas faciles</w:t>
            </w:r>
          </w:p>
        </w:tc>
        <w:tc>
          <w:tcPr>
            <w:tcW w:w="978" w:type="dxa"/>
            <w:noWrap/>
            <w:hideMark/>
          </w:tcPr>
          <w:p w:rsidR="00DF0C7F" w:rsidRPr="00CB1818" w:rsidRDefault="00DF0C7F" w:rsidP="009E7D5E">
            <w:pPr>
              <w:pStyle w:val="TabelleText"/>
            </w:pPr>
            <w:r>
              <w:rPr>
                <w:color w:val="000000"/>
              </w:rPr>
              <w:t>80</w:t>
            </w:r>
          </w:p>
        </w:tc>
        <w:tc>
          <w:tcPr>
            <w:tcW w:w="1418" w:type="dxa"/>
            <w:noWrap/>
            <w:hideMark/>
          </w:tcPr>
          <w:p w:rsidR="00DF0C7F" w:rsidRPr="00CB1818" w:rsidRDefault="00DF0C7F" w:rsidP="009E7D5E">
            <w:pPr>
              <w:pStyle w:val="TabelleText"/>
            </w:pPr>
            <w:r>
              <w:rPr>
                <w:color w:val="000000"/>
              </w:rPr>
              <w:t>3</w:t>
            </w:r>
          </w:p>
        </w:tc>
        <w:tc>
          <w:tcPr>
            <w:tcW w:w="1701" w:type="dxa"/>
            <w:noWrap/>
            <w:hideMark/>
          </w:tcPr>
          <w:p w:rsidR="00DF0C7F" w:rsidRPr="00CB1818" w:rsidRDefault="00DF0C7F" w:rsidP="009E7D5E">
            <w:pPr>
              <w:pStyle w:val="TabelleText"/>
            </w:pPr>
            <w:r>
              <w:rPr>
                <w:color w:val="000000"/>
              </w:rPr>
              <w:t>240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15 696</w:t>
            </w:r>
          </w:p>
        </w:tc>
      </w:tr>
      <w:tr w:rsidR="00DF0C7F" w:rsidRPr="00CB1818" w:rsidTr="00D32D29">
        <w:tc>
          <w:tcPr>
            <w:tcW w:w="1427" w:type="dxa"/>
            <w:hideMark/>
          </w:tcPr>
          <w:p w:rsidR="00DF0C7F" w:rsidRPr="00CB1818" w:rsidRDefault="00DF0C7F" w:rsidP="009E7D5E">
            <w:pPr>
              <w:pStyle w:val="TabelleText"/>
            </w:pPr>
            <w:r>
              <w:rPr>
                <w:color w:val="000000"/>
              </w:rPr>
              <w:t>Cas intermédiaires</w:t>
            </w:r>
          </w:p>
        </w:tc>
        <w:tc>
          <w:tcPr>
            <w:tcW w:w="978" w:type="dxa"/>
            <w:noWrap/>
            <w:hideMark/>
          </w:tcPr>
          <w:p w:rsidR="00DF0C7F" w:rsidRPr="00CB1818" w:rsidRDefault="00DF0C7F" w:rsidP="009E7D5E">
            <w:pPr>
              <w:pStyle w:val="TabelleText"/>
            </w:pPr>
            <w:r>
              <w:rPr>
                <w:color w:val="000000"/>
              </w:rPr>
              <w:t>10</w:t>
            </w:r>
          </w:p>
        </w:tc>
        <w:tc>
          <w:tcPr>
            <w:tcW w:w="1418" w:type="dxa"/>
            <w:noWrap/>
            <w:hideMark/>
          </w:tcPr>
          <w:p w:rsidR="00DF0C7F" w:rsidRPr="00CB1818" w:rsidRDefault="00DF0C7F" w:rsidP="009E7D5E">
            <w:pPr>
              <w:pStyle w:val="TabelleText"/>
            </w:pPr>
            <w:r>
              <w:rPr>
                <w:color w:val="000000"/>
              </w:rPr>
              <w:t>30</w:t>
            </w:r>
          </w:p>
        </w:tc>
        <w:tc>
          <w:tcPr>
            <w:tcW w:w="1701" w:type="dxa"/>
            <w:noWrap/>
            <w:hideMark/>
          </w:tcPr>
          <w:p w:rsidR="00DF0C7F" w:rsidRPr="00CB1818" w:rsidRDefault="00DF0C7F" w:rsidP="009E7D5E">
            <w:pPr>
              <w:pStyle w:val="TabelleText"/>
            </w:pPr>
            <w:r>
              <w:rPr>
                <w:color w:val="000000"/>
              </w:rPr>
              <w:t>300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19 620</w:t>
            </w:r>
          </w:p>
        </w:tc>
      </w:tr>
      <w:tr w:rsidR="00DF0C7F" w:rsidRPr="00CB1818" w:rsidTr="00D32D29">
        <w:tc>
          <w:tcPr>
            <w:tcW w:w="1427" w:type="dxa"/>
            <w:hideMark/>
          </w:tcPr>
          <w:p w:rsidR="00DF0C7F" w:rsidRPr="00CB1818" w:rsidRDefault="00D00747" w:rsidP="009E7D5E">
            <w:pPr>
              <w:pStyle w:val="TabelleText"/>
            </w:pPr>
            <w:r>
              <w:rPr>
                <w:color w:val="000000"/>
              </w:rPr>
              <w:t>Cas importants</w:t>
            </w:r>
          </w:p>
        </w:tc>
        <w:tc>
          <w:tcPr>
            <w:tcW w:w="978" w:type="dxa"/>
            <w:noWrap/>
            <w:hideMark/>
          </w:tcPr>
          <w:p w:rsidR="00DF0C7F" w:rsidRPr="00CB1818" w:rsidRDefault="00DF0C7F" w:rsidP="009E7D5E">
            <w:pPr>
              <w:pStyle w:val="TabelleText"/>
            </w:pPr>
            <w:r>
              <w:rPr>
                <w:color w:val="000000"/>
              </w:rPr>
              <w:t>10</w:t>
            </w:r>
          </w:p>
        </w:tc>
        <w:tc>
          <w:tcPr>
            <w:tcW w:w="1418" w:type="dxa"/>
            <w:noWrap/>
            <w:hideMark/>
          </w:tcPr>
          <w:p w:rsidR="00DF0C7F" w:rsidRPr="00CB1818" w:rsidRDefault="00DF0C7F" w:rsidP="009E7D5E">
            <w:pPr>
              <w:pStyle w:val="TabelleText"/>
            </w:pPr>
            <w:r>
              <w:rPr>
                <w:color w:val="000000"/>
              </w:rPr>
              <w:t>100</w:t>
            </w:r>
          </w:p>
        </w:tc>
        <w:tc>
          <w:tcPr>
            <w:tcW w:w="1701" w:type="dxa"/>
            <w:noWrap/>
            <w:hideMark/>
          </w:tcPr>
          <w:p w:rsidR="00DF0C7F" w:rsidRPr="00CB1818" w:rsidRDefault="00DF0C7F" w:rsidP="009E7D5E">
            <w:pPr>
              <w:pStyle w:val="TabelleText"/>
            </w:pPr>
            <w:r>
              <w:rPr>
                <w:color w:val="000000"/>
              </w:rPr>
              <w:t>1 000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65 400</w:t>
            </w:r>
          </w:p>
        </w:tc>
      </w:tr>
      <w:tr w:rsidR="00DF0C7F" w:rsidRPr="00CB1818" w:rsidTr="00D32D29">
        <w:tc>
          <w:tcPr>
            <w:tcW w:w="1427" w:type="dxa"/>
            <w:noWrap/>
            <w:hideMark/>
          </w:tcPr>
          <w:p w:rsidR="00DF0C7F" w:rsidRPr="00CB1818" w:rsidRDefault="00DF0C7F" w:rsidP="009E7D5E">
            <w:pPr>
              <w:pStyle w:val="TabelleText"/>
            </w:pPr>
            <w:r>
              <w:rPr>
                <w:color w:val="000000"/>
              </w:rPr>
              <w:t xml:space="preserve">Somme </w:t>
            </w:r>
          </w:p>
        </w:tc>
        <w:tc>
          <w:tcPr>
            <w:tcW w:w="978" w:type="dxa"/>
            <w:noWrap/>
            <w:hideMark/>
          </w:tcPr>
          <w:p w:rsidR="00DF0C7F" w:rsidRPr="00CB1818" w:rsidRDefault="00DF0C7F" w:rsidP="009E7D5E">
            <w:pPr>
              <w:pStyle w:val="TabelleText"/>
            </w:pPr>
            <w:r>
              <w:rPr>
                <w:color w:val="000000"/>
              </w:rPr>
              <w:t>100</w:t>
            </w:r>
          </w:p>
        </w:tc>
        <w:tc>
          <w:tcPr>
            <w:tcW w:w="1418" w:type="dxa"/>
            <w:noWrap/>
            <w:hideMark/>
          </w:tcPr>
          <w:p w:rsidR="00DF0C7F" w:rsidRPr="00CB1818" w:rsidRDefault="00DF0C7F" w:rsidP="009E7D5E">
            <w:pPr>
              <w:pStyle w:val="TabelleText"/>
            </w:pPr>
          </w:p>
        </w:tc>
        <w:tc>
          <w:tcPr>
            <w:tcW w:w="1701" w:type="dxa"/>
            <w:noWrap/>
            <w:hideMark/>
          </w:tcPr>
          <w:p w:rsidR="00DF0C7F" w:rsidRPr="00CB1818" w:rsidRDefault="00DF0C7F" w:rsidP="009E7D5E">
            <w:pPr>
              <w:pStyle w:val="TabelleText"/>
            </w:pPr>
            <w:r>
              <w:rPr>
                <w:color w:val="000000"/>
              </w:rPr>
              <w:t>1 540</w:t>
            </w:r>
          </w:p>
        </w:tc>
        <w:tc>
          <w:tcPr>
            <w:tcW w:w="1559" w:type="dxa"/>
            <w:noWrap/>
            <w:hideMark/>
          </w:tcPr>
          <w:p w:rsidR="00DF0C7F" w:rsidRPr="00CB1818" w:rsidRDefault="00DF0C7F" w:rsidP="009E7D5E">
            <w:pPr>
              <w:pStyle w:val="TabelleText"/>
            </w:pPr>
            <w:r>
              <w:rPr>
                <w:color w:val="000000"/>
              </w:rPr>
              <w:t>65,4</w:t>
            </w:r>
          </w:p>
        </w:tc>
        <w:tc>
          <w:tcPr>
            <w:tcW w:w="1701" w:type="dxa"/>
            <w:noWrap/>
            <w:hideMark/>
          </w:tcPr>
          <w:p w:rsidR="00DF0C7F" w:rsidRPr="00CB1818" w:rsidRDefault="00DF0C7F" w:rsidP="009E7D5E">
            <w:pPr>
              <w:pStyle w:val="TabelleText"/>
            </w:pPr>
            <w:r>
              <w:rPr>
                <w:color w:val="000000"/>
              </w:rPr>
              <w:t>109 780,44</w:t>
            </w:r>
          </w:p>
        </w:tc>
      </w:tr>
    </w:tbl>
    <w:p w:rsidR="00DF0C7F" w:rsidRPr="00CB1818" w:rsidRDefault="00DF0C7F" w:rsidP="005B260B">
      <w:pPr>
        <w:pStyle w:val="Text"/>
        <w:keepNext/>
      </w:pPr>
      <w:r>
        <w:t>bb) Charge supplémentaire pour l’Office fédéral de la justice:</w:t>
      </w:r>
    </w:p>
    <w:p w:rsidR="00DF0C7F" w:rsidRPr="00CB1818" w:rsidRDefault="00DF0C7F" w:rsidP="003F1107">
      <w:pPr>
        <w:pStyle w:val="Text"/>
      </w:pPr>
      <w:r>
        <w:t>En outre, une main d’œuvre supplémentaire est nécessaire pour l’administration fédérale en raison de tâches supplémentaires à l’Office fédéral de la justice.</w:t>
      </w:r>
    </w:p>
    <w:p w:rsidR="00DF0C7F" w:rsidRPr="00CB1818" w:rsidRDefault="00DF0C7F" w:rsidP="003F1107">
      <w:pPr>
        <w:pStyle w:val="Text"/>
      </w:pPr>
      <w:r>
        <w:t>L’estimation de la charge d’exécution concrète sur la base des hypothèses présentées est basée sur une estimation de l’Office fédéral de la justice, qui se fonde sur l’avant-projet de loi.</w:t>
      </w:r>
    </w:p>
    <w:p w:rsidR="00DF0C7F" w:rsidRPr="00CB1818" w:rsidRDefault="00DF0C7F" w:rsidP="003F1107">
      <w:pPr>
        <w:pStyle w:val="Text"/>
      </w:pPr>
      <w:r>
        <w:t>Celui-ci repose d’une part sur les hypothèses présentées au point A. VI. 4. b). De plus, on suppose que l’Office fédéral de la justice aura à l’avenir au moins un soupçon initial de dépassement du nombre d’utilisateurs conformément à l’article 1er, paragraphe 2 de la NetzDG pour environ sept fournisseurs de réseaux sociaux et un fournisseur de services de plate-forme de partage de vidéos, de sorte qu’une procédure de surveillance et de sanction pécuniaire complexe correspondante (par exemple concernant les obligations conformément aux articles 2 et 3 de la NetzDG) devra être engagée. Par mesure de précaution, le nombre estimé dépasse l’estimation actuelle du nombre de grands fournisseurs qui tombent sous le coup de la NetzDG. Cette estimation se base sur l’hypothèse qu’on peut être amené à surestimer le nombre de cas où un fournisseur tombe sous le coup de la NetzDG (sans être exempté des exigences de conformité de l’article 1, paragraphe 2 de la NetzDG), étant donné que cela a été le cas finalement, mais que la vérification de ce soupçon initial entraîne des frais administratifs.</w:t>
      </w:r>
    </w:p>
    <w:p w:rsidR="00B32668" w:rsidRPr="00CB1818" w:rsidRDefault="00B32668" w:rsidP="003F1107">
      <w:pPr>
        <w:pStyle w:val="Text"/>
      </w:pPr>
      <w:r>
        <w:t>En outre, cette estimation se base également sur l’hypothèse qu’en raison des futures procédures de contrôle (article 4a de la NetzDG), il y aura à l’avenir moins de procédures de sanction pécuniaire qu’auparavant. On suppose ici que les déficits dans la mise en œuvre de la loi seront résolus plus souvent et plus rapidement du fait des futures procédures de contrôle.</w:t>
      </w:r>
    </w:p>
    <w:p w:rsidR="00DF0C7F" w:rsidRPr="00CB1818" w:rsidRDefault="00DF0C7F" w:rsidP="005B260B">
      <w:pPr>
        <w:pStyle w:val="Text"/>
        <w:keepNext/>
      </w:pPr>
      <w:r>
        <w:t>(1) Procédure d’information (article 4a, paragraphe 3 de la NetzDG)</w:t>
      </w:r>
    </w:p>
    <w:p w:rsidR="00F87D01" w:rsidRPr="00CB1818" w:rsidRDefault="00DF0C7F" w:rsidP="003F1107">
      <w:pPr>
        <w:pStyle w:val="Text"/>
      </w:pPr>
      <w:r>
        <w:t>À l’avenir, l’Office fédéral de la justice pourra demander des informations aux fournisseurs conformément à l’article 4a, paragraphe 3 de la NetzDG, y compris le nombre d’utilisateurs répertoriés en Allemagne et les plaintes reçues concernant des contenus illégaux au cours de la dernière année civile. On estime qu’en moyenne 15 demandes de renseignements seront faites chaque année.</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857"/>
        <w:gridCol w:w="1843"/>
        <w:gridCol w:w="1417"/>
        <w:gridCol w:w="2586"/>
        <w:gridCol w:w="2087"/>
      </w:tblGrid>
      <w:tr w:rsidR="00DF0C7F" w:rsidRPr="00CB1818" w:rsidTr="000135E3">
        <w:tc>
          <w:tcPr>
            <w:tcW w:w="846" w:type="dxa"/>
          </w:tcPr>
          <w:p w:rsidR="00DF0C7F" w:rsidRPr="00CB1818" w:rsidRDefault="00DF0C7F" w:rsidP="005B260B">
            <w:pPr>
              <w:pStyle w:val="TabelleText"/>
              <w:keepNext/>
            </w:pPr>
            <w:r>
              <w:t>Nombre de cas</w:t>
            </w:r>
          </w:p>
        </w:tc>
        <w:tc>
          <w:tcPr>
            <w:tcW w:w="1843" w:type="dxa"/>
          </w:tcPr>
          <w:p w:rsidR="00DF0C7F" w:rsidRPr="00CB1818" w:rsidRDefault="00DF0C7F" w:rsidP="005B260B">
            <w:pPr>
              <w:pStyle w:val="TabelleText"/>
              <w:keepNext/>
            </w:pPr>
            <w:r>
              <w:t>Fonction et service</w:t>
            </w:r>
          </w:p>
        </w:tc>
        <w:tc>
          <w:tcPr>
            <w:tcW w:w="1417" w:type="dxa"/>
          </w:tcPr>
          <w:p w:rsidR="00DF0C7F" w:rsidRPr="00CB1818" w:rsidRDefault="00DF0C7F" w:rsidP="005B260B">
            <w:pPr>
              <w:pStyle w:val="TabelleText"/>
              <w:keepNext/>
            </w:pPr>
            <w:r>
              <w:t>Main-d'œuvre</w:t>
            </w:r>
          </w:p>
        </w:tc>
        <w:tc>
          <w:tcPr>
            <w:tcW w:w="2586" w:type="dxa"/>
          </w:tcPr>
          <w:p w:rsidR="00DF0C7F" w:rsidRPr="00CB1818" w:rsidRDefault="00DF0C7F" w:rsidP="005B260B">
            <w:pPr>
              <w:pStyle w:val="TabelleText"/>
              <w:keepNext/>
            </w:pPr>
            <w:r>
              <w:t>Charge de travail moyenne en minutes par cas</w:t>
            </w:r>
          </w:p>
        </w:tc>
        <w:tc>
          <w:tcPr>
            <w:tcW w:w="2087" w:type="dxa"/>
          </w:tcPr>
          <w:p w:rsidR="00DF0C7F" w:rsidRPr="00CB1818" w:rsidRDefault="00DF0C7F" w:rsidP="005B260B">
            <w:pPr>
              <w:pStyle w:val="TabelleText"/>
              <w:keepNext/>
            </w:pPr>
            <w:r>
              <w:t>Charge de travail totale en minutes</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Rapporteur, cadre moyen</w:t>
            </w:r>
          </w:p>
        </w:tc>
        <w:tc>
          <w:tcPr>
            <w:tcW w:w="1417" w:type="dxa"/>
          </w:tcPr>
          <w:p w:rsidR="00DF0C7F" w:rsidRPr="00CB1818" w:rsidRDefault="00DF0C7F" w:rsidP="009E7D5E">
            <w:pPr>
              <w:pStyle w:val="TabelleText"/>
            </w:pPr>
            <w:r>
              <w:t>0,0775</w:t>
            </w:r>
          </w:p>
        </w:tc>
        <w:tc>
          <w:tcPr>
            <w:tcW w:w="2586" w:type="dxa"/>
          </w:tcPr>
          <w:p w:rsidR="00DF0C7F" w:rsidRPr="00CB1818" w:rsidRDefault="00DF0C7F" w:rsidP="009E7D5E">
            <w:pPr>
              <w:pStyle w:val="TabelleText"/>
            </w:pPr>
            <w:r>
              <w:t>510</w:t>
            </w:r>
          </w:p>
        </w:tc>
        <w:tc>
          <w:tcPr>
            <w:tcW w:w="2087" w:type="dxa"/>
          </w:tcPr>
          <w:p w:rsidR="00DF0C7F" w:rsidRPr="00CB1818" w:rsidRDefault="00DF0C7F" w:rsidP="009E7D5E">
            <w:pPr>
              <w:pStyle w:val="TabelleText"/>
            </w:pPr>
            <w:r>
              <w:t>7 650</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Personne chargée du dossier, cadre supérieur</w:t>
            </w:r>
          </w:p>
        </w:tc>
        <w:tc>
          <w:tcPr>
            <w:tcW w:w="1417" w:type="dxa"/>
          </w:tcPr>
          <w:p w:rsidR="00DF0C7F" w:rsidRPr="00CB1818" w:rsidRDefault="00DF0C7F" w:rsidP="009E7D5E">
            <w:pPr>
              <w:pStyle w:val="TabelleText"/>
            </w:pPr>
            <w:r>
              <w:t>0,0319</w:t>
            </w:r>
          </w:p>
        </w:tc>
        <w:tc>
          <w:tcPr>
            <w:tcW w:w="2586" w:type="dxa"/>
          </w:tcPr>
          <w:p w:rsidR="00DF0C7F" w:rsidRPr="00CB1818" w:rsidRDefault="00DF0C7F" w:rsidP="009E7D5E">
            <w:pPr>
              <w:pStyle w:val="TabelleText"/>
            </w:pPr>
            <w:r>
              <w:t>210</w:t>
            </w:r>
          </w:p>
        </w:tc>
        <w:tc>
          <w:tcPr>
            <w:tcW w:w="2087" w:type="dxa"/>
          </w:tcPr>
          <w:p w:rsidR="00DF0C7F" w:rsidRPr="00CB1818" w:rsidRDefault="00DF0C7F" w:rsidP="009E7D5E">
            <w:pPr>
              <w:pStyle w:val="TabelleText"/>
            </w:pPr>
            <w:r>
              <w:t>3 150</w:t>
            </w:r>
          </w:p>
        </w:tc>
      </w:tr>
      <w:tr w:rsidR="00DF0C7F" w:rsidRPr="00CB1818" w:rsidTr="000135E3">
        <w:tc>
          <w:tcPr>
            <w:tcW w:w="846" w:type="dxa"/>
          </w:tcPr>
          <w:p w:rsidR="00DF0C7F" w:rsidRPr="00CB1818" w:rsidRDefault="00DF0C7F" w:rsidP="009E7D5E">
            <w:pPr>
              <w:pStyle w:val="TabelleText"/>
            </w:pPr>
            <w:r>
              <w:t>15</w:t>
            </w:r>
          </w:p>
        </w:tc>
        <w:tc>
          <w:tcPr>
            <w:tcW w:w="1843" w:type="dxa"/>
          </w:tcPr>
          <w:p w:rsidR="00DF0C7F" w:rsidRPr="00CB1818" w:rsidRDefault="00DF0C7F" w:rsidP="009E7D5E">
            <w:pPr>
              <w:pStyle w:val="TabelleText"/>
            </w:pPr>
            <w:r>
              <w:t>Bureau, cadre d’encadrement</w:t>
            </w:r>
          </w:p>
        </w:tc>
        <w:tc>
          <w:tcPr>
            <w:tcW w:w="1417" w:type="dxa"/>
          </w:tcPr>
          <w:p w:rsidR="00DF0C7F" w:rsidRPr="00CB1818" w:rsidRDefault="00DF0C7F" w:rsidP="009E7D5E">
            <w:pPr>
              <w:pStyle w:val="TabelleText"/>
            </w:pPr>
            <w:r>
              <w:t>0,0137</w:t>
            </w:r>
          </w:p>
        </w:tc>
        <w:tc>
          <w:tcPr>
            <w:tcW w:w="2586" w:type="dxa"/>
          </w:tcPr>
          <w:p w:rsidR="00DF0C7F" w:rsidRPr="00CB1818" w:rsidRDefault="00DF0C7F" w:rsidP="009E7D5E">
            <w:pPr>
              <w:pStyle w:val="TabelleText"/>
            </w:pPr>
            <w:r>
              <w:t>90</w:t>
            </w:r>
          </w:p>
        </w:tc>
        <w:tc>
          <w:tcPr>
            <w:tcW w:w="2087" w:type="dxa"/>
          </w:tcPr>
          <w:p w:rsidR="00DF0C7F" w:rsidRPr="00CB1818" w:rsidRDefault="00DF0C7F" w:rsidP="009E7D5E">
            <w:pPr>
              <w:pStyle w:val="TabelleText"/>
            </w:pPr>
            <w:r>
              <w:t>1 350</w:t>
            </w:r>
          </w:p>
        </w:tc>
      </w:tr>
    </w:tbl>
    <w:p w:rsidR="00DF0C7F" w:rsidRPr="00CB1818" w:rsidRDefault="00DF0C7F" w:rsidP="005B260B">
      <w:pPr>
        <w:pStyle w:val="Text"/>
        <w:keepNext/>
      </w:pPr>
      <w:r>
        <w:t>(2) Obligations d’information (article 2 de la NetzDG): Contrôles plus importants dans les procédures de sanction pécuniaire qui doivent être engagées dans la situation juridique actuelle</w:t>
      </w:r>
    </w:p>
    <w:p w:rsidR="00DF0C7F" w:rsidRPr="00CB1818" w:rsidRDefault="00DF0C7F" w:rsidP="00392332">
      <w:pPr>
        <w:pStyle w:val="Text"/>
      </w:pPr>
      <w:r>
        <w:t>L’élargissement des obligations de transparence dans l’article 2, paragraphe 2, de la NetzDG augmente l’étendue des contrôles de l’Office fédéral de la justice étant donné que dans le cadre des procédures de sanction pécuniaire déjà requises dans la situation juridique actuelle (article 4, paragraphe 1, point 1 de la NetzDG), le respect d’autres exigences doit être contrôlé pour ce qui est des sept réseaux potentiellement soumis à l’obligation d'information selon l’article 2 de la NetzDG.</w:t>
      </w:r>
    </w:p>
    <w:p w:rsidR="00DF0C7F" w:rsidRPr="00CB1818" w:rsidRDefault="00DF0C7F" w:rsidP="00392332">
      <w:pPr>
        <w:pStyle w:val="Text"/>
      </w:pPr>
      <w:r>
        <w:t>Si on tient compte de l’hypothèse d’une validation de la procédure de sanction pécuniaire nécessaire, on suppose que des dépenses supplémentaires seront engagées chaque année dans sept procédures de sanction pécuniaire où des dépenses de contrôle accrues s’imposent.</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 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t>0,0667</w:t>
            </w:r>
          </w:p>
        </w:tc>
        <w:tc>
          <w:tcPr>
            <w:tcW w:w="2835" w:type="dxa"/>
          </w:tcPr>
          <w:p w:rsidR="00DF0C7F" w:rsidRPr="00CB1818" w:rsidRDefault="00DF0C7F" w:rsidP="009E7D5E">
            <w:pPr>
              <w:pStyle w:val="TabelleText"/>
            </w:pPr>
            <w:r>
              <w:t>940</w:t>
            </w:r>
          </w:p>
        </w:tc>
        <w:tc>
          <w:tcPr>
            <w:tcW w:w="2127" w:type="dxa"/>
          </w:tcPr>
          <w:p w:rsidR="00DF0C7F" w:rsidRPr="00CB1818" w:rsidRDefault="00DF0C7F" w:rsidP="009E7D5E">
            <w:pPr>
              <w:pStyle w:val="TabelleText"/>
            </w:pPr>
            <w:r>
              <w:t>6 580</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t>0,0511</w:t>
            </w:r>
          </w:p>
        </w:tc>
        <w:tc>
          <w:tcPr>
            <w:tcW w:w="2835" w:type="dxa"/>
          </w:tcPr>
          <w:p w:rsidR="00DF0C7F" w:rsidRPr="00CB1818" w:rsidRDefault="00DF0C7F" w:rsidP="009E7D5E">
            <w:pPr>
              <w:pStyle w:val="TabelleText"/>
            </w:pPr>
            <w:r>
              <w:t>720</w:t>
            </w:r>
          </w:p>
        </w:tc>
        <w:tc>
          <w:tcPr>
            <w:tcW w:w="2127" w:type="dxa"/>
          </w:tcPr>
          <w:p w:rsidR="00DF0C7F" w:rsidRPr="00CB1818" w:rsidRDefault="00DF0C7F" w:rsidP="009E7D5E">
            <w:pPr>
              <w:pStyle w:val="TabelleText"/>
            </w:pPr>
            <w:r>
              <w:t>5 040</w:t>
            </w:r>
          </w:p>
        </w:tc>
      </w:tr>
      <w:tr w:rsidR="00DF0C7F" w:rsidRPr="00CB1818" w:rsidTr="009E7D5E">
        <w:tc>
          <w:tcPr>
            <w:tcW w:w="988" w:type="dxa"/>
          </w:tcPr>
          <w:p w:rsidR="00DF0C7F" w:rsidRPr="00CB1818" w:rsidRDefault="00DF0C7F" w:rsidP="009E7D5E">
            <w:pPr>
              <w:pStyle w:val="TabelleText"/>
            </w:pPr>
            <w:r>
              <w:t>7</w:t>
            </w:r>
          </w:p>
        </w:tc>
        <w:tc>
          <w:tcPr>
            <w:tcW w:w="1643" w:type="dxa"/>
          </w:tcPr>
          <w:p w:rsidR="00DF0C7F" w:rsidRPr="00CB1818" w:rsidRDefault="00DF0C7F" w:rsidP="009E7D5E">
            <w:pPr>
              <w:pStyle w:val="TabelleText"/>
            </w:pPr>
            <w:r>
              <w:t>Bureau, cadre d’encadrement</w:t>
            </w:r>
          </w:p>
        </w:tc>
        <w:tc>
          <w:tcPr>
            <w:tcW w:w="1333" w:type="dxa"/>
          </w:tcPr>
          <w:p w:rsidR="00DF0C7F" w:rsidRPr="00CB1818" w:rsidRDefault="00DF0C7F" w:rsidP="009E7D5E">
            <w:pPr>
              <w:pStyle w:val="TabelleText"/>
            </w:pPr>
            <w:r>
              <w:t>0,0043</w:t>
            </w:r>
          </w:p>
        </w:tc>
        <w:tc>
          <w:tcPr>
            <w:tcW w:w="2835" w:type="dxa"/>
          </w:tcPr>
          <w:p w:rsidR="00DF0C7F" w:rsidRPr="00CB1818" w:rsidRDefault="00DF0C7F" w:rsidP="009E7D5E">
            <w:pPr>
              <w:pStyle w:val="TabelleText"/>
            </w:pPr>
            <w:r>
              <w:t>60</w:t>
            </w:r>
          </w:p>
        </w:tc>
        <w:tc>
          <w:tcPr>
            <w:tcW w:w="2127" w:type="dxa"/>
          </w:tcPr>
          <w:p w:rsidR="00DF0C7F" w:rsidRPr="00CB1818" w:rsidRDefault="00DF0C7F" w:rsidP="009E7D5E">
            <w:pPr>
              <w:pStyle w:val="TabelleText"/>
            </w:pPr>
            <w:r>
              <w:t>420</w:t>
            </w:r>
          </w:p>
        </w:tc>
      </w:tr>
    </w:tbl>
    <w:p w:rsidR="00DF0C7F" w:rsidRPr="00CB1818" w:rsidRDefault="00DF0C7F" w:rsidP="005B260B">
      <w:pPr>
        <w:pStyle w:val="Text"/>
        <w:keepNext/>
      </w:pPr>
      <w:r>
        <w:t>(3) Obligations d'information (article 2 de la NetzDG): Procédures de sanction pécuniaire supplémentaires à cause de nouveaux fournisseurs</w:t>
      </w:r>
    </w:p>
    <w:p w:rsidR="00DF0C7F" w:rsidRPr="00CB1818" w:rsidRDefault="00DF0C7F" w:rsidP="00392332">
      <w:pPr>
        <w:pStyle w:val="Text"/>
      </w:pPr>
      <w:r>
        <w:t>En outre, on suppose que, en raison de l’article 3e, paragraphe 1 de la NetzDG, un nouveau fournisseur de service de plate-forme de partage de vidéos est soumis aux obligations d'information en vertu de l’article 2 de la NetzDG, de sorte qu’on peut partir d’une base de deux nouveaux rapports de transparence à vérifier chaque année. Par mesure de précaution, on suppose également qu’en moyenne, une procédure de sanction pécuniaire devra être effectuée une fois par an.</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0,0654</w:t>
            </w:r>
          </w:p>
        </w:tc>
        <w:tc>
          <w:tcPr>
            <w:tcW w:w="2835" w:type="dxa"/>
          </w:tcPr>
          <w:p w:rsidR="00DF0C7F" w:rsidRPr="00CB1818" w:rsidRDefault="00DF0C7F" w:rsidP="009E7D5E">
            <w:pPr>
              <w:pStyle w:val="TabelleText"/>
            </w:pPr>
            <w:r>
              <w:rPr>
                <w:color w:val="000000"/>
              </w:rPr>
              <w:t>6457,5</w:t>
            </w:r>
          </w:p>
        </w:tc>
        <w:tc>
          <w:tcPr>
            <w:tcW w:w="2127" w:type="dxa"/>
          </w:tcPr>
          <w:p w:rsidR="00DF0C7F" w:rsidRPr="00CB1818" w:rsidRDefault="00DF0C7F" w:rsidP="009E7D5E">
            <w:pPr>
              <w:pStyle w:val="TabelleText"/>
            </w:pPr>
            <w:r>
              <w:rPr>
                <w:color w:val="000000"/>
              </w:rPr>
              <w:t>6457,5</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0,0430</w:t>
            </w:r>
          </w:p>
        </w:tc>
        <w:tc>
          <w:tcPr>
            <w:tcW w:w="2835" w:type="dxa"/>
          </w:tcPr>
          <w:p w:rsidR="00DF0C7F" w:rsidRPr="00CB1818" w:rsidRDefault="00DF0C7F" w:rsidP="009E7D5E">
            <w:pPr>
              <w:pStyle w:val="TabelleText"/>
            </w:pPr>
            <w:r>
              <w:rPr>
                <w:color w:val="000000"/>
              </w:rPr>
              <w:t>4 242</w:t>
            </w:r>
          </w:p>
        </w:tc>
        <w:tc>
          <w:tcPr>
            <w:tcW w:w="2127" w:type="dxa"/>
          </w:tcPr>
          <w:p w:rsidR="00DF0C7F" w:rsidRPr="00CB1818" w:rsidRDefault="00DF0C7F" w:rsidP="009E7D5E">
            <w:pPr>
              <w:pStyle w:val="TabelleText"/>
            </w:pPr>
            <w:r>
              <w:rPr>
                <w:color w:val="000000"/>
              </w:rPr>
              <w:t>4 242</w:t>
            </w:r>
          </w:p>
        </w:tc>
      </w:tr>
    </w:tbl>
    <w:p w:rsidR="00DF0C7F" w:rsidRPr="00CB1818" w:rsidRDefault="00DF0C7F" w:rsidP="005B260B">
      <w:pPr>
        <w:pStyle w:val="Text"/>
        <w:keepNext/>
      </w:pPr>
      <w:r>
        <w:t>(4) Obligations d'information (article 2 de la NetzDG): Procédure de contrôle (contenu des rapports de transparence)</w:t>
      </w:r>
    </w:p>
    <w:p w:rsidR="00B32668" w:rsidRPr="00CB1818" w:rsidRDefault="00DF0C7F" w:rsidP="00392332">
      <w:pPr>
        <w:pStyle w:val="Text"/>
      </w:pPr>
      <w:r>
        <w:t>À l’avenir, l’Office fédéral de la justice pourra prendre les mesures nécessaires dans le cadre de la fonction d’autorité de contrôle conformément à l’article 4a, paragraphe 2 de la NetzDG, notamment contraindre les fournisseurs à remédier aux violations. Les procédures appropriées ne sont pas possibles avec l’actuelle NetzDG. Par conséquent, pour la première fois, elles seront prises en considération pour les sept fournisseurs potentiels (en raison d’un soupçon initial), ainsi que pour le grand fournisseur d’un service de plate-forme de partage de vidéos nouvellement répertorié. On suppose donc qu’il y aura un soupçon initial d’obligation d'information pour huit fournisseurs en vertu de l’article 2 de la NetzDG, avec huit procédures de contrôle correspondantes par an.</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0,3624</w:t>
            </w:r>
          </w:p>
        </w:tc>
        <w:tc>
          <w:tcPr>
            <w:tcW w:w="2835" w:type="dxa"/>
          </w:tcPr>
          <w:p w:rsidR="00DF0C7F" w:rsidRPr="00CB1818" w:rsidRDefault="00DF0C7F" w:rsidP="009E7D5E">
            <w:pPr>
              <w:pStyle w:val="TabelleText"/>
            </w:pPr>
            <w:r>
              <w:rPr>
                <w:color w:val="000000"/>
              </w:rPr>
              <w:t>4 470</w:t>
            </w:r>
          </w:p>
        </w:tc>
        <w:tc>
          <w:tcPr>
            <w:tcW w:w="2127" w:type="dxa"/>
          </w:tcPr>
          <w:p w:rsidR="00DF0C7F" w:rsidRPr="00CB1818" w:rsidRDefault="00DF0C7F" w:rsidP="009E7D5E">
            <w:pPr>
              <w:pStyle w:val="TabelleText"/>
            </w:pPr>
            <w:r>
              <w:rPr>
                <w:color w:val="000000"/>
              </w:rPr>
              <w:t>35 760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0,3405</w:t>
            </w:r>
          </w:p>
        </w:tc>
        <w:tc>
          <w:tcPr>
            <w:tcW w:w="2835" w:type="dxa"/>
          </w:tcPr>
          <w:p w:rsidR="00DF0C7F" w:rsidRPr="00CB1818" w:rsidRDefault="00DF0C7F" w:rsidP="009E7D5E">
            <w:pPr>
              <w:pStyle w:val="TabelleText"/>
            </w:pPr>
            <w:r>
              <w:rPr>
                <w:color w:val="000000"/>
              </w:rPr>
              <w:t>4 200</w:t>
            </w:r>
          </w:p>
        </w:tc>
        <w:tc>
          <w:tcPr>
            <w:tcW w:w="2127" w:type="dxa"/>
          </w:tcPr>
          <w:p w:rsidR="00DF0C7F" w:rsidRPr="00CB1818" w:rsidRDefault="00DF0C7F" w:rsidP="009E7D5E">
            <w:pPr>
              <w:pStyle w:val="TabelleText"/>
            </w:pPr>
            <w:r>
              <w:rPr>
                <w:color w:val="000000"/>
              </w:rPr>
              <w:t>33 600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0,1897</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18 720</w:t>
            </w:r>
          </w:p>
        </w:tc>
      </w:tr>
    </w:tbl>
    <w:p w:rsidR="00DF0C7F" w:rsidRPr="00CB1818" w:rsidRDefault="00DF0C7F" w:rsidP="005B260B">
      <w:pPr>
        <w:pStyle w:val="Text"/>
        <w:keepNext/>
      </w:pPr>
      <w:r>
        <w:t>(5) Obligations d'information (article 2 de la NetzDG): Procédure de contrôle (modalités de publication)</w:t>
      </w:r>
    </w:p>
    <w:p w:rsidR="00DF0C7F" w:rsidRPr="00CB1818" w:rsidRDefault="00DF0C7F" w:rsidP="00CB0BB5">
      <w:pPr>
        <w:pStyle w:val="Text"/>
      </w:pPr>
      <w:r>
        <w:t>Enfin, il faut tenir compte du fait que l’Office fédéral de la justice devra vérifier à l’avenir, dans le cadre de la surveillance conformément à l’article 4a, paragraphe 2 de la NetzDG, si les rapports de transparence conformément à l’article 2, paragraphe 1, phrase 2 de la NetzDG ont été suffisamment publiés sur leur propre page d’accueil.</w:t>
      </w:r>
    </w:p>
    <w:p w:rsidR="00DF0C7F" w:rsidRPr="00CB1818" w:rsidRDefault="00DF0C7F" w:rsidP="005B260B">
      <w:pPr>
        <w:pStyle w:val="Text"/>
        <w:keepNext/>
      </w:pPr>
      <w:r>
        <w:t>On part d’une moyenne de hui procédures par an (selon le nombre de cas estimé au chiffre A. VI. 4. c) bb) (4)). 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0,0973</w:t>
            </w:r>
          </w:p>
        </w:tc>
        <w:tc>
          <w:tcPr>
            <w:tcW w:w="2835" w:type="dxa"/>
          </w:tcPr>
          <w:p w:rsidR="00DF0C7F" w:rsidRPr="00CB1818" w:rsidRDefault="00DF0C7F" w:rsidP="009E7D5E">
            <w:pPr>
              <w:pStyle w:val="TabelleText"/>
            </w:pPr>
            <w:r>
              <w:rPr>
                <w:color w:val="000000"/>
              </w:rPr>
              <w:t>1 200</w:t>
            </w:r>
          </w:p>
        </w:tc>
        <w:tc>
          <w:tcPr>
            <w:tcW w:w="2127" w:type="dxa"/>
          </w:tcPr>
          <w:p w:rsidR="00DF0C7F" w:rsidRPr="00CB1818" w:rsidRDefault="00DF0C7F" w:rsidP="009E7D5E">
            <w:pPr>
              <w:pStyle w:val="TabelleText"/>
            </w:pPr>
            <w:r>
              <w:rPr>
                <w:color w:val="000000"/>
              </w:rPr>
              <w:t>9 600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0,0803</w:t>
            </w:r>
          </w:p>
        </w:tc>
        <w:tc>
          <w:tcPr>
            <w:tcW w:w="2835" w:type="dxa"/>
          </w:tcPr>
          <w:p w:rsidR="00DF0C7F" w:rsidRPr="00CB1818" w:rsidRDefault="00DF0C7F" w:rsidP="009E7D5E">
            <w:pPr>
              <w:pStyle w:val="TabelleText"/>
            </w:pPr>
            <w:r>
              <w:rPr>
                <w:color w:val="000000"/>
              </w:rPr>
              <w:t>990</w:t>
            </w:r>
          </w:p>
        </w:tc>
        <w:tc>
          <w:tcPr>
            <w:tcW w:w="2127" w:type="dxa"/>
          </w:tcPr>
          <w:p w:rsidR="00DF0C7F" w:rsidRPr="00CB1818" w:rsidRDefault="00DF0C7F" w:rsidP="009E7D5E">
            <w:pPr>
              <w:pStyle w:val="TabelleText"/>
            </w:pPr>
            <w:r>
              <w:rPr>
                <w:color w:val="000000"/>
              </w:rPr>
              <w:t>7 920</w:t>
            </w:r>
          </w:p>
        </w:tc>
      </w:tr>
      <w:tr w:rsidR="00DF0C7F" w:rsidRPr="00CB1818" w:rsidTr="009E7D5E">
        <w:tc>
          <w:tcPr>
            <w:tcW w:w="988" w:type="dxa"/>
          </w:tcPr>
          <w:p w:rsidR="00DF0C7F" w:rsidRPr="00CB1818" w:rsidRDefault="00DF0C7F" w:rsidP="009E7D5E">
            <w:pPr>
              <w:pStyle w:val="TabelleText"/>
            </w:pPr>
            <w:r>
              <w:t>8</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0,0486</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4 800</w:t>
            </w:r>
          </w:p>
        </w:tc>
      </w:tr>
    </w:tbl>
    <w:p w:rsidR="00DF0C7F" w:rsidRPr="00CB1818" w:rsidRDefault="00DF0C7F" w:rsidP="005B260B">
      <w:pPr>
        <w:pStyle w:val="Text"/>
        <w:keepNext/>
      </w:pPr>
      <w:r>
        <w:t>(6) Procédure de transmission des plaintes pour contenu illégal (article 3, paragraphe 1, phrase 2 de la NetzDG): Procédures de sanction pécuniaire supplémentaires à cause de fournisseurs nouvellement répertoriés</w:t>
      </w:r>
    </w:p>
    <w:p w:rsidR="00DF0C7F" w:rsidRPr="00CB1818" w:rsidRDefault="00DF0C7F" w:rsidP="00CB0BB5">
      <w:pPr>
        <w:pStyle w:val="Text"/>
      </w:pPr>
      <w:r>
        <w:t>On estime qu’avec l’article 3e de la NetzDG, un grand service de plate-forme de partage de vidéos, qui n’est pas exempté des obligations en vertu de l’article 3, paragraphe 1, phrase 2 de la NetzDG conformément à l’article 1, paragraphe 2 de la NetzDG, est nouvellement répertorié. De plus, on estime que trois (petits) fournisseurs allemands, qui, même avec moins de deux millions d’utilisateurs enregistrés en Allemagne, doivent satisfaire aux exigences de l’article 3, paragraphe 1, phrase 2 de la NetzDG, sont répertoriés pour la première fois.</w:t>
      </w:r>
    </w:p>
    <w:p w:rsidR="00DF0C7F" w:rsidRPr="00CB1818" w:rsidRDefault="00DF0C7F" w:rsidP="00CB0BB5">
      <w:pPr>
        <w:pStyle w:val="Text"/>
      </w:pPr>
      <w:r>
        <w:t>Le non-respect des exigences applicables peut entraîner une procédure de sanction pécuniaire conformément à l’article 4, paragraphe 1, point 3 de la NetzDG. Compte tenu des explications ci-dessus sur le nombre prévu de procédures de sanction pécuniaire selon la NetzDG, on suppose qu’il y aura en moyenne deux procédures supplémentaires par an.</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0,0906</w:t>
            </w:r>
          </w:p>
        </w:tc>
        <w:tc>
          <w:tcPr>
            <w:tcW w:w="2835" w:type="dxa"/>
          </w:tcPr>
          <w:p w:rsidR="00DF0C7F" w:rsidRPr="00CB1818" w:rsidRDefault="00DF0C7F" w:rsidP="009E7D5E">
            <w:pPr>
              <w:pStyle w:val="TabelleText"/>
            </w:pPr>
            <w:r>
              <w:rPr>
                <w:color w:val="000000"/>
              </w:rPr>
              <w:t>4 470</w:t>
            </w:r>
          </w:p>
        </w:tc>
        <w:tc>
          <w:tcPr>
            <w:tcW w:w="2127" w:type="dxa"/>
          </w:tcPr>
          <w:p w:rsidR="00DF0C7F" w:rsidRPr="00CB1818" w:rsidRDefault="00DF0C7F" w:rsidP="009E7D5E">
            <w:pPr>
              <w:pStyle w:val="TabelleText"/>
            </w:pPr>
            <w:r>
              <w:rPr>
                <w:color w:val="000000"/>
              </w:rPr>
              <w:t>8 940</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0,0851</w:t>
            </w:r>
          </w:p>
        </w:tc>
        <w:tc>
          <w:tcPr>
            <w:tcW w:w="2835" w:type="dxa"/>
          </w:tcPr>
          <w:p w:rsidR="00DF0C7F" w:rsidRPr="00CB1818" w:rsidRDefault="00DF0C7F" w:rsidP="009E7D5E">
            <w:pPr>
              <w:pStyle w:val="TabelleText"/>
            </w:pPr>
            <w:r>
              <w:rPr>
                <w:color w:val="000000"/>
              </w:rPr>
              <w:t>4 200</w:t>
            </w:r>
          </w:p>
        </w:tc>
        <w:tc>
          <w:tcPr>
            <w:tcW w:w="2127" w:type="dxa"/>
          </w:tcPr>
          <w:p w:rsidR="00DF0C7F" w:rsidRPr="00CB1818" w:rsidRDefault="00DF0C7F" w:rsidP="009E7D5E">
            <w:pPr>
              <w:pStyle w:val="TabelleText"/>
            </w:pPr>
            <w:r>
              <w:rPr>
                <w:color w:val="000000"/>
              </w:rPr>
              <w:t>8 400</w:t>
            </w:r>
          </w:p>
        </w:tc>
      </w:tr>
      <w:tr w:rsidR="00DF0C7F" w:rsidRPr="00CB1818" w:rsidTr="009E7D5E">
        <w:tc>
          <w:tcPr>
            <w:tcW w:w="988" w:type="dxa"/>
          </w:tcPr>
          <w:p w:rsidR="00DF0C7F" w:rsidRPr="00CB1818" w:rsidRDefault="00DF0C7F" w:rsidP="009E7D5E">
            <w:pPr>
              <w:pStyle w:val="TabelleText"/>
            </w:pPr>
            <w:r>
              <w:t>2</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0,0474</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4 680</w:t>
            </w:r>
          </w:p>
        </w:tc>
      </w:tr>
    </w:tbl>
    <w:p w:rsidR="00DF0C7F" w:rsidRPr="00CB1818" w:rsidRDefault="00DF0C7F" w:rsidP="005B260B">
      <w:pPr>
        <w:pStyle w:val="Text"/>
        <w:keepNext/>
      </w:pPr>
      <w:r>
        <w:t>(7) Procédure de transmission des plaintes pour contenu illégal (article 3, paragraphe 1, phrase 2 de la NetzDG): Procédure de contrôle</w:t>
      </w:r>
    </w:p>
    <w:p w:rsidR="00DF0C7F" w:rsidRPr="00CB1818" w:rsidRDefault="00DF0C7F" w:rsidP="00CB0BB5">
      <w:pPr>
        <w:pStyle w:val="Text"/>
      </w:pPr>
      <w:r>
        <w:t>De plus, l’Office fédéral de la justice pourra prendre à l’avenir les mesures nécessaires dans le cadre de sa fonction d’autorité de contrôle conformément à l’article 4a, paragraphe 2 de la NetzDG, notamment contraindre les fournisseurs à remédier aux violations de l’article 3, paragraphe 1, phrase 2 de la NetzDG.</w:t>
      </w:r>
    </w:p>
    <w:p w:rsidR="00CB0BB5" w:rsidRPr="00CB1818" w:rsidRDefault="00CB0BB5" w:rsidP="00CB0BB5">
      <w:pPr>
        <w:pStyle w:val="Text"/>
      </w:pPr>
      <w:r>
        <w:t>On suppose qu’à l’avenir, l’exigence de onze fournisseurs devra potentiellement être remplie ou que l’Office fédéral de la justice verra un soupçon initial suffisant dans un nombre proportionnellement élevé de cas (potentiellement sept fournisseurs précédemment répertoriés, un grand fournisseur nouvellement répertorié et trois petits fournisseurs nouvellement répertoriés de services de plate-forme de partage de vidéos).</w:t>
      </w:r>
    </w:p>
    <w:p w:rsidR="00DF0C7F" w:rsidRPr="00CB1818" w:rsidRDefault="00DF0C7F" w:rsidP="005B260B">
      <w:pPr>
        <w:pStyle w:val="Text"/>
        <w:keepNext/>
      </w:pPr>
      <w:r>
        <w:t>Selon une estimation de l’Office fédéral de la justice, cela se traduit par les charges supplémentaires ci-dessous: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0,9631</w:t>
            </w:r>
          </w:p>
        </w:tc>
        <w:tc>
          <w:tcPr>
            <w:tcW w:w="2835" w:type="dxa"/>
          </w:tcPr>
          <w:p w:rsidR="00DF0C7F" w:rsidRPr="00CB1818" w:rsidRDefault="00DF0C7F" w:rsidP="009E7D5E">
            <w:pPr>
              <w:pStyle w:val="TabelleText"/>
            </w:pPr>
            <w:r>
              <w:rPr>
                <w:color w:val="000000"/>
              </w:rPr>
              <w:t>8 640</w:t>
            </w:r>
          </w:p>
        </w:tc>
        <w:tc>
          <w:tcPr>
            <w:tcW w:w="2127" w:type="dxa"/>
          </w:tcPr>
          <w:p w:rsidR="00DF0C7F" w:rsidRPr="00CB1818" w:rsidRDefault="00DF0C7F" w:rsidP="009E7D5E">
            <w:pPr>
              <w:pStyle w:val="TabelleText"/>
            </w:pPr>
            <w:r>
              <w:rPr>
                <w:color w:val="000000"/>
              </w:rPr>
              <w:t>95 040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0,4648</w:t>
            </w:r>
          </w:p>
        </w:tc>
        <w:tc>
          <w:tcPr>
            <w:tcW w:w="2835" w:type="dxa"/>
          </w:tcPr>
          <w:p w:rsidR="00DF0C7F" w:rsidRPr="00CB1818" w:rsidRDefault="00DF0C7F" w:rsidP="009E7D5E">
            <w:pPr>
              <w:pStyle w:val="TabelleText"/>
            </w:pPr>
            <w:r>
              <w:rPr>
                <w:color w:val="000000"/>
              </w:rPr>
              <w:t>4 170</w:t>
            </w:r>
          </w:p>
        </w:tc>
        <w:tc>
          <w:tcPr>
            <w:tcW w:w="2127" w:type="dxa"/>
          </w:tcPr>
          <w:p w:rsidR="00DF0C7F" w:rsidRPr="00CB1818" w:rsidRDefault="00DF0C7F" w:rsidP="009E7D5E">
            <w:pPr>
              <w:pStyle w:val="TabelleText"/>
            </w:pPr>
            <w:r>
              <w:rPr>
                <w:color w:val="000000"/>
              </w:rPr>
              <w:t>45 870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rPr>
                <w:color w:val="000000"/>
              </w:rPr>
              <w:t>2 340</w:t>
            </w:r>
          </w:p>
        </w:tc>
        <w:tc>
          <w:tcPr>
            <w:tcW w:w="2127" w:type="dxa"/>
          </w:tcPr>
          <w:p w:rsidR="00DF0C7F" w:rsidRPr="00CB1818" w:rsidRDefault="00DF0C7F" w:rsidP="009E7D5E">
            <w:pPr>
              <w:pStyle w:val="TabelleText"/>
            </w:pPr>
            <w:r>
              <w:rPr>
                <w:color w:val="000000"/>
              </w:rPr>
              <w:t>25 740</w:t>
            </w:r>
          </w:p>
        </w:tc>
      </w:tr>
    </w:tbl>
    <w:p w:rsidR="00DF0C7F" w:rsidRPr="00CB1818" w:rsidRDefault="00DF0C7F" w:rsidP="005B260B">
      <w:pPr>
        <w:pStyle w:val="Text"/>
        <w:keepNext/>
      </w:pPr>
      <w:r>
        <w:t>(8) Traitement des plaintes concernant des contenus illégaux (article 3, paragraphe 1, phrase 1 de la NetzDG): Signalements individuels supplémentaires (supprimer / bloquer)</w:t>
      </w:r>
    </w:p>
    <w:p w:rsidR="00DF0C7F" w:rsidRPr="00CB1818" w:rsidRDefault="00DF0C7F" w:rsidP="00CB0BB5">
      <w:pPr>
        <w:pStyle w:val="Text"/>
      </w:pPr>
      <w:r>
        <w:t xml:space="preserve">On suppose qu’à l’avenir un autre grand fournisseur d’un service de plate-forme de partage de vidéos ainsi que trois petits fournisseurs nationaux conformément à l’article 3e, paragraphe 1 et 2 ou 3 en liaison avec l’article 3, paragraphe 1, phrase 1 de la NetzDG mettront en place une procédure efficace et transparente pour traiter les plaintes concernant des contenus illégaux. </w:t>
      </w:r>
    </w:p>
    <w:p w:rsidR="00DF0C7F" w:rsidRPr="00CB1818" w:rsidRDefault="00DF0C7F" w:rsidP="00CB0BB5">
      <w:pPr>
        <w:pStyle w:val="Text"/>
      </w:pPr>
      <w:r>
        <w:t>Par conséquent, on peut s’attendre à une augmentation du nombre de signalements à l’Office fédéral de la justice pour cause d’omission de suppression des contenus jugée fautive par les plaignants. On estime qu’il y aura une augmentation modérée de 10% par rapport aux signalements individuels reçus jusqu’à présent (en 2018: 684; en 2019: 518) à 60 cas.</w:t>
      </w:r>
    </w:p>
    <w:p w:rsidR="00DF0C7F" w:rsidRPr="00CB1818" w:rsidRDefault="00DF0C7F" w:rsidP="005B260B">
      <w:pPr>
        <w:pStyle w:val="Text"/>
        <w:keepNext/>
      </w:pPr>
      <w:r>
        <w:t>Selon une estimation de l’Office fédéral de la justice, cela se traduit par la charge supplémentaire ci-dessous en raison de la nécessité d’examiner ces cas individuels: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60</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0,3283</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32 400</w:t>
            </w:r>
          </w:p>
        </w:tc>
      </w:tr>
      <w:tr w:rsidR="00DF0C7F" w:rsidRPr="00CB1818" w:rsidTr="009E7D5E">
        <w:tc>
          <w:tcPr>
            <w:tcW w:w="988" w:type="dxa"/>
          </w:tcPr>
          <w:p w:rsidR="00DF0C7F" w:rsidRPr="00CB1818" w:rsidRDefault="00DF0C7F" w:rsidP="009E7D5E">
            <w:pPr>
              <w:pStyle w:val="TabelleText"/>
            </w:pPr>
            <w:r>
              <w:rPr>
                <w:color w:val="000000"/>
              </w:rPr>
              <w:t>60</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0,3648</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36 000</w:t>
            </w:r>
          </w:p>
        </w:tc>
      </w:tr>
      <w:tr w:rsidR="00DF0C7F" w:rsidRPr="00CB1818" w:rsidTr="009E7D5E">
        <w:tc>
          <w:tcPr>
            <w:tcW w:w="988" w:type="dxa"/>
          </w:tcPr>
          <w:p w:rsidR="00DF0C7F" w:rsidRPr="00CB1818" w:rsidRDefault="00DF0C7F" w:rsidP="009E7D5E">
            <w:pPr>
              <w:pStyle w:val="TabelleText"/>
            </w:pPr>
            <w:r>
              <w:rPr>
                <w:color w:val="000000"/>
              </w:rPr>
              <w:t>60</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0,1094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10 800</w:t>
            </w:r>
          </w:p>
        </w:tc>
      </w:tr>
    </w:tbl>
    <w:p w:rsidR="00DF0C7F" w:rsidRPr="00CB1818" w:rsidRDefault="00DF0C7F" w:rsidP="005B260B">
      <w:pPr>
        <w:pStyle w:val="Text"/>
        <w:keepNext/>
      </w:pPr>
      <w:r>
        <w:t>(9) Traitement des plaintes concernant des contenus illégaux (article 3, paragraphe 1, phrase 1 de la NetzDG): Contrôles supplémentaires des défaillances systématiques (suppression / blocage)</w:t>
      </w:r>
    </w:p>
    <w:p w:rsidR="00DF0C7F" w:rsidRPr="00CB1818" w:rsidRDefault="00DF0C7F" w:rsidP="00FC02C7">
      <w:pPr>
        <w:pStyle w:val="Text"/>
      </w:pPr>
      <w:r>
        <w:t>L’Office fédéral de la justice vérifie déjà si des signalements individuels concernant des contenus qui n’ont pas été supprimés ou qui n’ont pas été bloqués représentent un échec systématique du traitement des plaintes pour cause de contenus illégaux, de sorte qu’il y aurait violation de l’obligation d’organisation en vertu de l’article 3, paragraphe 1, phrase 1 de la NetzDG.</w:t>
      </w:r>
    </w:p>
    <w:p w:rsidR="00DF0C7F" w:rsidRPr="00CB1818" w:rsidRDefault="00DF0C7F" w:rsidP="00FC02C7">
      <w:pPr>
        <w:pStyle w:val="Text"/>
      </w:pPr>
      <w:r>
        <w:t>Sur la base de 60 signalements individuels supplémentaires pour cause de contenus non supprimés ou bloqués, on estime que tous les deux ans, certains éléments laisseront penser qu’il y a échec systématique au niveau de la décision de supprimer ou de bloquer des contenus, et qu’un contrôle devra être effectué.</w:t>
      </w:r>
    </w:p>
    <w:p w:rsidR="00DF0C7F" w:rsidRPr="00CB1818" w:rsidRDefault="00DF0C7F" w:rsidP="005B260B">
      <w:pPr>
        <w:pStyle w:val="Text"/>
        <w:keepNext/>
      </w:pPr>
      <w:r>
        <w:t>Selon une estimation de l’Office fédéral de la justice, cela se traduit par la charge supplémentaire annuelle indiquée ci-dessous en raison de la nécessité de contrôler les cas individuels: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rPr>
                <w:color w:val="000000"/>
              </w:rPr>
            </w:pPr>
            <w:r>
              <w:rPr>
                <w:color w:val="000000"/>
              </w:rPr>
              <w:t>0,5</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0,0142</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pPr>
            <w:r>
              <w:rPr>
                <w:color w:val="000000"/>
              </w:rPr>
              <w:t>1 400</w:t>
            </w:r>
          </w:p>
        </w:tc>
      </w:tr>
      <w:tr w:rsidR="00DF0C7F" w:rsidRPr="00CB1818" w:rsidTr="009E7D5E">
        <w:tc>
          <w:tcPr>
            <w:tcW w:w="988" w:type="dxa"/>
          </w:tcPr>
          <w:p w:rsidR="00DF0C7F" w:rsidRPr="00CB1818" w:rsidRDefault="00DF0C7F" w:rsidP="009E7D5E">
            <w:pPr>
              <w:pStyle w:val="TabelleText"/>
              <w:rPr>
                <w:color w:val="000000"/>
              </w:rPr>
            </w:pPr>
            <w:r>
              <w:rPr>
                <w:color w:val="000000"/>
              </w:rPr>
              <w:t>0,5</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0,0027</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270</w:t>
            </w:r>
          </w:p>
        </w:tc>
      </w:tr>
      <w:tr w:rsidR="00DF0C7F" w:rsidRPr="00CB1818" w:rsidTr="009E7D5E">
        <w:tc>
          <w:tcPr>
            <w:tcW w:w="988" w:type="dxa"/>
          </w:tcPr>
          <w:p w:rsidR="00DF0C7F" w:rsidRPr="00CB1818" w:rsidRDefault="00DF0C7F" w:rsidP="009E7D5E">
            <w:pPr>
              <w:pStyle w:val="TabelleText"/>
            </w:pPr>
            <w:r>
              <w:rPr>
                <w:color w:val="000000"/>
              </w:rPr>
              <w:t>0,5</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0,0023</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225</w:t>
            </w:r>
          </w:p>
        </w:tc>
      </w:tr>
    </w:tbl>
    <w:p w:rsidR="00DF0C7F" w:rsidRPr="00CB1818" w:rsidRDefault="00DF0C7F" w:rsidP="005B260B">
      <w:pPr>
        <w:pStyle w:val="Text"/>
        <w:keepNext/>
      </w:pPr>
      <w:r>
        <w:t>(10) Traitement des plaintes concernant des contenus illégaux (article 3, paragraphe 1, phrase 1 de la NetzDG): Signalements individuels supplémentaires (nouvelles exigences de notification)</w:t>
      </w:r>
    </w:p>
    <w:p w:rsidR="00DF0C7F" w:rsidRPr="00CB1818" w:rsidRDefault="00DF0C7F" w:rsidP="00FC02C7">
      <w:pPr>
        <w:pStyle w:val="Text"/>
      </w:pPr>
      <w:r>
        <w:t>Les ajouts à l’article 3, phrase 2, point 5, lettre b de la NetzDG (obligation d’indiquer la possibilité d’un appel) et à l’article 3, paragraphe 2, phrase 2, point 5, lettre c de la NetzDG (indication de la possibilité d’un dépôt de plainte) permettront à l’Office fédéral de la justice de recevoir des signalements individuels supplémentaires concernant la violation de ces exigences par le fournisseur. Puisqu’il s’agit plutôt d’obligations supplémentaires, on estime que le nombre de signalements individuels (50 par an) sera assez faible.</w:t>
      </w:r>
    </w:p>
    <w:p w:rsidR="00DF0C7F" w:rsidRPr="00CB1818" w:rsidRDefault="00DF0C7F" w:rsidP="005B260B">
      <w:pPr>
        <w:pStyle w:val="Text"/>
        <w:keepNext/>
      </w:pPr>
      <w:r>
        <w:t>Selon une estimation de l’Office fédéral de la justice, cela se traduit par la charge supplémentaire annuelle suivante en raison de la nécessité de contrôler les cas individuels: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0,4864</w:t>
            </w:r>
          </w:p>
        </w:tc>
        <w:tc>
          <w:tcPr>
            <w:tcW w:w="2835" w:type="dxa"/>
          </w:tcPr>
          <w:p w:rsidR="00DF0C7F" w:rsidRPr="00CB1818" w:rsidRDefault="00DF0C7F" w:rsidP="009E7D5E">
            <w:pPr>
              <w:pStyle w:val="TabelleText"/>
            </w:pPr>
            <w:r>
              <w:rPr>
                <w:color w:val="000000"/>
              </w:rPr>
              <w:t>480</w:t>
            </w:r>
          </w:p>
        </w:tc>
        <w:tc>
          <w:tcPr>
            <w:tcW w:w="2127" w:type="dxa"/>
          </w:tcPr>
          <w:p w:rsidR="00DF0C7F" w:rsidRPr="00CB1818" w:rsidRDefault="00DF0C7F" w:rsidP="009E7D5E">
            <w:pPr>
              <w:pStyle w:val="TabelleText"/>
            </w:pPr>
            <w:r>
              <w:rPr>
                <w:color w:val="000000"/>
              </w:rPr>
              <w:t>48 000</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0,5472</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54 000</w:t>
            </w:r>
          </w:p>
        </w:tc>
      </w:tr>
      <w:tr w:rsidR="00DF0C7F" w:rsidRPr="00CB1818" w:rsidTr="009E7D5E">
        <w:tc>
          <w:tcPr>
            <w:tcW w:w="988" w:type="dxa"/>
          </w:tcPr>
          <w:p w:rsidR="00DF0C7F" w:rsidRPr="00CB1818" w:rsidRDefault="00DF0C7F" w:rsidP="009E7D5E">
            <w:pPr>
              <w:pStyle w:val="TabelleText"/>
            </w:pPr>
            <w:r>
              <w:rPr>
                <w:color w:val="000000"/>
              </w:rPr>
              <w:t>100</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0,1824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18 000</w:t>
            </w:r>
          </w:p>
        </w:tc>
      </w:tr>
    </w:tbl>
    <w:p w:rsidR="00A57EE4" w:rsidRPr="00CB1818" w:rsidRDefault="00DF0C7F" w:rsidP="005B260B">
      <w:pPr>
        <w:pStyle w:val="Text"/>
        <w:keepNext/>
      </w:pPr>
      <w:r>
        <w:t>(11) Traitement des plaintes concernant des contenus illégaux (article 3, paragraphe 1, phrase 1 de la NetzDG): Contrôles supplémentaires de défaillance systématique (nouvelles exigences de déclaration)</w:t>
      </w:r>
    </w:p>
    <w:p w:rsidR="00A57EE4" w:rsidRPr="00CB1818" w:rsidRDefault="00DF0C7F" w:rsidP="005B260B">
      <w:pPr>
        <w:keepNext/>
        <w:rPr>
          <w:rFonts w:eastAsia="Arial"/>
        </w:rPr>
      </w:pPr>
      <w:r>
        <w:t>En outre, certains éléments suggèrent que les nouvelles exigences en matière d’informations conformément à l’article 3, paragraphe 2, phrase 2, point 5, lettres b et c de la NetzDG ont été violées de manière systématique, de sorte qu’il peut y avoir violation de l’article 3, paragraphe 1, phrase 1 de la NetzDG et que des mesures peuvent être prises par l’Office fédéral de la justice sur la base de l’article 4a, paragraphe 2 de la NetzDG (contrôle) ou sur la base de l’article 4, paragraphe 1, point 2 de la NetzDG (infraction administrative). Conformément à la prévision de seulement quelques signalements individuels (voir ci-dessus), c’est-à-dire peu d’indices de défaillance systématique à examiner, on suppose que pour chaque nouvelle exigence de notification, une défaillance systématique devra être contrôlée tous les deux ans, ce qui se traduit par une moyenne d’un cas par an, avec la charge supplémentaire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0,0284</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rPr>
                <w:highlight w:val="yellow"/>
              </w:rPr>
            </w:pPr>
            <w:r>
              <w:rPr>
                <w:color w:val="000000"/>
              </w:rPr>
              <w:t>2 800</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0,0055</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rPr>
                <w:highlight w:val="yellow"/>
              </w:rPr>
            </w:pPr>
            <w:r>
              <w:rPr>
                <w:color w:val="000000"/>
              </w:rPr>
              <w:t>540</w:t>
            </w:r>
          </w:p>
        </w:tc>
      </w:tr>
      <w:tr w:rsidR="00DF0C7F" w:rsidRPr="00CB1818" w:rsidTr="009E7D5E">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0,0046</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rPr>
                <w:highlight w:val="yellow"/>
              </w:rPr>
            </w:pPr>
            <w:r>
              <w:rPr>
                <w:color w:val="000000"/>
              </w:rPr>
              <w:t>450</w:t>
            </w:r>
          </w:p>
        </w:tc>
      </w:tr>
    </w:tbl>
    <w:p w:rsidR="00DF0C7F" w:rsidRPr="00CB1818" w:rsidRDefault="00DF0C7F" w:rsidP="005B260B">
      <w:pPr>
        <w:pStyle w:val="Text"/>
        <w:keepNext/>
      </w:pPr>
      <w:r>
        <w:t>(12) Traitement des plaintes concernant des contenus illégaux (article 3, paragraphe 1, phrase 1 de la NetzDG): Procédure de contrôle</w:t>
      </w:r>
    </w:p>
    <w:p w:rsidR="00DF0C7F" w:rsidRPr="00CB1818" w:rsidRDefault="00DF0C7F" w:rsidP="00565385">
      <w:pPr>
        <w:pStyle w:val="Text"/>
      </w:pPr>
      <w:r>
        <w:t>On estime qu’en moyenne, dans onze cas, les procédures de contrôle (article 4a, paragraphe 2 de la NetzDG) nécessitent chaque année une procédure efficace et transparente pour le traitement des plaintes relatives aux contenus illégaux (paragraphe 1 et 2 ou 3 en liaison avec l’article 3, paragraphe 1, phrase 1 de la NetzDG). Cette hypothèse est basée sur l’estimation qu’avec huit grands fournisseurs (sept fournisseurs potentiellement importants précédemment répertoriés, un grand fournisseur nouvellement répertorié), on puisse supposer qu’ils offrent un réseau social et/ou un service de plate-forme de partage de vidéos, sans être exempts de l’article 3 de la NetzDG conformément à l’article 1, paragraphe 2 de la NetzDG. À cela s’ajoute l’estimation selon laquelle trois petits fournisseurs doivent mettre en œuvre l’article 3 de la NetzDG en partie sur la base de l’article 3e, paragraphe 2 de la NetzDG.</w:t>
      </w:r>
    </w:p>
    <w:p w:rsidR="00DF0C7F" w:rsidRPr="00CB1818" w:rsidRDefault="00DF0C7F" w:rsidP="005B260B">
      <w:pPr>
        <w:pStyle w:val="Text"/>
        <w:keepNext/>
      </w:pPr>
      <w:r>
        <w:t>Les procédures correspondantes sont complexes car elles nécessitent un contrôle de la mise en œuvre organisationnelle des prescriptions relatives à la procédure de plainte. Selon une estimation de l’Office fédéral de la justice, cela entraîne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0,9631</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rPr>
                <w:color w:val="000000"/>
              </w:rPr>
              <w:t>95 040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0,4648</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rPr>
                <w:color w:val="000000"/>
              </w:rPr>
              <w:t>45 870</w:t>
            </w:r>
          </w:p>
        </w:tc>
      </w:tr>
      <w:tr w:rsidR="00DF0C7F" w:rsidRPr="00CB1818" w:rsidTr="009E7D5E">
        <w:tc>
          <w:tcPr>
            <w:tcW w:w="988" w:type="dxa"/>
          </w:tcPr>
          <w:p w:rsidR="00DF0C7F" w:rsidRPr="00CB1818" w:rsidRDefault="00DF0C7F" w:rsidP="009E7D5E">
            <w:pPr>
              <w:pStyle w:val="TabelleText"/>
            </w:pPr>
            <w:r>
              <w:rPr>
                <w:color w:val="000000"/>
              </w:rPr>
              <w:t>11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t>2 340</w:t>
            </w:r>
          </w:p>
        </w:tc>
        <w:tc>
          <w:tcPr>
            <w:tcW w:w="2127" w:type="dxa"/>
          </w:tcPr>
          <w:p w:rsidR="00DF0C7F" w:rsidRPr="00CB1818" w:rsidRDefault="00DF0C7F" w:rsidP="009E7D5E">
            <w:pPr>
              <w:pStyle w:val="TabelleText"/>
            </w:pPr>
            <w:r>
              <w:rPr>
                <w:color w:val="000000"/>
              </w:rPr>
              <w:t>25 740</w:t>
            </w:r>
          </w:p>
        </w:tc>
      </w:tr>
    </w:tbl>
    <w:p w:rsidR="00DF0C7F" w:rsidRPr="00CB1818" w:rsidRDefault="00DF0C7F" w:rsidP="005B260B">
      <w:pPr>
        <w:pStyle w:val="Text"/>
        <w:keepNext/>
      </w:pPr>
      <w:r>
        <w:t>(13) Procédure d’appel (article 3b de la NetzDG): Procédure de contrôle et procédure de sanction pécuniaire pour spécifier la possibilité de contact</w:t>
      </w:r>
    </w:p>
    <w:p w:rsidR="00DF0C7F" w:rsidRPr="00CB1818" w:rsidRDefault="00DF0C7F" w:rsidP="002007B2">
      <w:pPr>
        <w:pStyle w:val="Text"/>
      </w:pPr>
      <w:r>
        <w:t>En raison des exigences de la procédure d’appel (article 3b de la NetzDG), les fournisseurs de réseaux sociaux devront fournir à l’avenir une procédure facilement reconnaissable qui permettra un contact électronique facile et une communication directe (pour faire appel) - article 3b, paragraphe 1, phrase 3 de la NetzDG.</w:t>
      </w:r>
    </w:p>
    <w:p w:rsidR="00DF0C7F" w:rsidRPr="00CB1818" w:rsidRDefault="00DF0C7F" w:rsidP="002007B2">
      <w:pPr>
        <w:pStyle w:val="Text"/>
      </w:pPr>
      <w:r>
        <w:t>L’Office fédéral de la justice devra le vérifier dans le cadre de ses pouvoirs de contrôle. Comme il s’agit d’une exigence relativement facile à mettre en œuvre, on estime que seulement trois procédures seront nécessaires chaque année.</w:t>
      </w:r>
    </w:p>
    <w:p w:rsidR="00DF0C7F" w:rsidRPr="00CB1818" w:rsidRDefault="00DF0C7F" w:rsidP="005B260B">
      <w:pPr>
        <w:pStyle w:val="Text"/>
        <w:keepNext/>
      </w:pPr>
      <w:r>
        <w:t>Selon une estimation de l’Office fédéral de la justice, cela entraîne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0,2627</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rPr>
                <w:color w:val="000000"/>
              </w:rPr>
              <w:t>25 920</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0,1268</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rPr>
                <w:color w:val="000000"/>
              </w:rPr>
              <w:t>12 510</w:t>
            </w:r>
          </w:p>
        </w:tc>
      </w:tr>
      <w:tr w:rsidR="00DF0C7F" w:rsidRPr="00CB1818" w:rsidTr="009E7D5E">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0,0711</w:t>
            </w:r>
          </w:p>
        </w:tc>
        <w:tc>
          <w:tcPr>
            <w:tcW w:w="2835" w:type="dxa"/>
          </w:tcPr>
          <w:p w:rsidR="00DF0C7F" w:rsidRPr="00CB1818" w:rsidRDefault="00DF0C7F" w:rsidP="009E7D5E">
            <w:pPr>
              <w:pStyle w:val="TabelleText"/>
            </w:pPr>
            <w:r>
              <w:t>2 340</w:t>
            </w:r>
          </w:p>
        </w:tc>
        <w:tc>
          <w:tcPr>
            <w:tcW w:w="2127" w:type="dxa"/>
          </w:tcPr>
          <w:p w:rsidR="00DF0C7F" w:rsidRPr="00CB1818" w:rsidRDefault="00DF0C7F" w:rsidP="009E7D5E">
            <w:pPr>
              <w:pStyle w:val="TabelleText"/>
            </w:pPr>
            <w:r>
              <w:rPr>
                <w:color w:val="000000"/>
              </w:rPr>
              <w:t>7 020</w:t>
            </w:r>
          </w:p>
        </w:tc>
      </w:tr>
    </w:tbl>
    <w:p w:rsidR="00DF0C7F" w:rsidRPr="00CB1818" w:rsidRDefault="00DF0C7F" w:rsidP="002007B2">
      <w:pPr>
        <w:pStyle w:val="Text"/>
      </w:pPr>
      <w:r>
        <w:t>Il faut également tenir compte du fait que l’Office fédéral de la justice poursuive les violations de l’article 3b, paragraphe 1, phrase 3 de la NetzDG dans le cadre d’une procédure de sanction pécuniaire conformément à l’article 4, paragraphe 1, point 3 de la NetzDG. On estime que seulement le nombre de procédures de sanction pécuniaire nécessaires ne sera que la moitié de celui des procédures de contrôle. Les dépenses pour chaque procédure seront modérées, car les étapes essentielles de l’enquête auront déjà lieu dans la procédure de contrôle.</w:t>
      </w:r>
    </w:p>
    <w:p w:rsidR="00DF0C7F" w:rsidRPr="00CB1818" w:rsidRDefault="00DF0C7F" w:rsidP="005B260B">
      <w:pPr>
        <w:pStyle w:val="Text"/>
        <w:keepNext/>
      </w:pPr>
      <w:r>
        <w:t>Selon une estimation de l’Office fédéral de la justice, cela entraîne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0,0474</w:t>
            </w:r>
          </w:p>
        </w:tc>
        <w:tc>
          <w:tcPr>
            <w:tcW w:w="2835" w:type="dxa"/>
          </w:tcPr>
          <w:p w:rsidR="00DF0C7F" w:rsidRPr="00CB1818" w:rsidRDefault="00DF0C7F" w:rsidP="009E7D5E">
            <w:pPr>
              <w:pStyle w:val="TabelleText"/>
            </w:pPr>
            <w:r>
              <w:rPr>
                <w:color w:val="000000"/>
              </w:rPr>
              <w:t>3 120</w:t>
            </w:r>
          </w:p>
        </w:tc>
        <w:tc>
          <w:tcPr>
            <w:tcW w:w="2127" w:type="dxa"/>
          </w:tcPr>
          <w:p w:rsidR="00DF0C7F" w:rsidRPr="00CB1818" w:rsidRDefault="00DF0C7F" w:rsidP="009E7D5E">
            <w:pPr>
              <w:pStyle w:val="TabelleText"/>
            </w:pPr>
            <w:r>
              <w:rPr>
                <w:color w:val="000000"/>
              </w:rPr>
              <w:t>4 680</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0,0447</w:t>
            </w:r>
          </w:p>
        </w:tc>
        <w:tc>
          <w:tcPr>
            <w:tcW w:w="2835" w:type="dxa"/>
          </w:tcPr>
          <w:p w:rsidR="00DF0C7F" w:rsidRPr="00CB1818" w:rsidRDefault="00DF0C7F" w:rsidP="009E7D5E">
            <w:pPr>
              <w:pStyle w:val="TabelleText"/>
            </w:pPr>
            <w:r>
              <w:rPr>
                <w:color w:val="000000"/>
              </w:rPr>
              <w:t>2 940</w:t>
            </w:r>
          </w:p>
        </w:tc>
        <w:tc>
          <w:tcPr>
            <w:tcW w:w="2127" w:type="dxa"/>
          </w:tcPr>
          <w:p w:rsidR="00DF0C7F" w:rsidRPr="00CB1818" w:rsidRDefault="00DF0C7F" w:rsidP="009E7D5E">
            <w:pPr>
              <w:pStyle w:val="TabelleText"/>
            </w:pPr>
            <w:r>
              <w:rPr>
                <w:color w:val="000000"/>
              </w:rPr>
              <w:t>4 410</w:t>
            </w:r>
          </w:p>
        </w:tc>
      </w:tr>
      <w:tr w:rsidR="00DF0C7F" w:rsidRPr="00CB1818" w:rsidTr="009E7D5E">
        <w:tc>
          <w:tcPr>
            <w:tcW w:w="988" w:type="dxa"/>
          </w:tcPr>
          <w:p w:rsidR="00DF0C7F" w:rsidRPr="00CB1818" w:rsidRDefault="00DF0C7F" w:rsidP="009E7D5E">
            <w:pPr>
              <w:pStyle w:val="TabelleText"/>
            </w:pPr>
            <w:r>
              <w:rPr>
                <w:color w:val="000000"/>
              </w:rPr>
              <w:t>1,5</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0,0251</w:t>
            </w:r>
          </w:p>
        </w:tc>
        <w:tc>
          <w:tcPr>
            <w:tcW w:w="2835" w:type="dxa"/>
          </w:tcPr>
          <w:p w:rsidR="00DF0C7F" w:rsidRPr="00CB1818" w:rsidRDefault="00DF0C7F" w:rsidP="009E7D5E">
            <w:pPr>
              <w:pStyle w:val="TabelleText"/>
            </w:pPr>
            <w:r>
              <w:rPr>
                <w:color w:val="000000"/>
              </w:rPr>
              <w:t>1 650</w:t>
            </w:r>
          </w:p>
        </w:tc>
        <w:tc>
          <w:tcPr>
            <w:tcW w:w="2127" w:type="dxa"/>
          </w:tcPr>
          <w:p w:rsidR="00DF0C7F" w:rsidRPr="00CB1818" w:rsidRDefault="00DF0C7F" w:rsidP="009E7D5E">
            <w:pPr>
              <w:pStyle w:val="TabelleText"/>
            </w:pPr>
            <w:r>
              <w:rPr>
                <w:color w:val="000000"/>
              </w:rPr>
              <w:t>2 475</w:t>
            </w:r>
          </w:p>
        </w:tc>
      </w:tr>
    </w:tbl>
    <w:p w:rsidR="00DF0C7F" w:rsidRPr="00CB1818" w:rsidRDefault="00DF0C7F" w:rsidP="005B260B">
      <w:pPr>
        <w:pStyle w:val="Text"/>
        <w:keepNext/>
      </w:pPr>
      <w:r>
        <w:t>(14) Procédure d’appel (article 3b de la NetzDG): Contrôle des signalements individuels de traitement incorrect par le fournisseur</w:t>
      </w:r>
    </w:p>
    <w:p w:rsidR="00B32668" w:rsidRPr="00CB1818" w:rsidRDefault="00DF0C7F" w:rsidP="002007B2">
      <w:pPr>
        <w:pStyle w:val="Text"/>
      </w:pPr>
      <w:r>
        <w:t>Sur la base des exigences de la procédure d’appel (article 3b de la NetzDG), les fournisseurs de réseaux sociaux devront informer à l’avenir la partie adverse (utilisateur ou plaignant) du contenu de l’appel, si toutefois ils souhaitent y donner suite. En outre, la décision de contrôle devra être justifiée au cas par cas. Les utilisateurs ou les plaignants peuvent signaler tout manquement à l’Office fédéral de la justice. Compte tenu des chiffres précédents relatifs aux signalements individuels pour cause de non-suppression, on estime qu’un nombre limité de signalements seront effectués (50 par spécification, soit un total de 100). Ceux-ci doivent être contrôlés par l’Office fédéral de la justice.</w:t>
      </w:r>
    </w:p>
    <w:p w:rsidR="00DF0C7F" w:rsidRPr="00CB1818" w:rsidRDefault="00DF0C7F" w:rsidP="005B260B">
      <w:pPr>
        <w:pStyle w:val="Text"/>
        <w:keepNext/>
      </w:pPr>
      <w:r>
        <w:t>Selon une estimation de l’Office fédéral de la justice, cela se traduit par la charge supplémentaire annuelle suivante en raison de la nécessité de contrôler les cas individuels:</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100</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0,5168</w:t>
            </w:r>
          </w:p>
        </w:tc>
        <w:tc>
          <w:tcPr>
            <w:tcW w:w="2835" w:type="dxa"/>
          </w:tcPr>
          <w:p w:rsidR="00DF0C7F" w:rsidRPr="00CB1818" w:rsidRDefault="00DF0C7F" w:rsidP="009E7D5E">
            <w:pPr>
              <w:pStyle w:val="TabelleText"/>
            </w:pPr>
            <w:r>
              <w:rPr>
                <w:color w:val="000000"/>
              </w:rPr>
              <w:t>510</w:t>
            </w:r>
          </w:p>
        </w:tc>
        <w:tc>
          <w:tcPr>
            <w:tcW w:w="2127" w:type="dxa"/>
          </w:tcPr>
          <w:p w:rsidR="00DF0C7F" w:rsidRPr="00CB1818" w:rsidRDefault="00DF0C7F" w:rsidP="009E7D5E">
            <w:pPr>
              <w:pStyle w:val="TabelleText"/>
            </w:pPr>
            <w:r>
              <w:rPr>
                <w:color w:val="000000"/>
              </w:rPr>
              <w:t>51 000</w:t>
            </w:r>
          </w:p>
        </w:tc>
      </w:tr>
      <w:tr w:rsidR="00DF0C7F" w:rsidRPr="00CB1818" w:rsidTr="009E7D5E">
        <w:tc>
          <w:tcPr>
            <w:tcW w:w="988" w:type="dxa"/>
          </w:tcPr>
          <w:p w:rsidR="00DF0C7F" w:rsidRPr="00CB1818" w:rsidRDefault="00DF0C7F" w:rsidP="00D32D29">
            <w:pPr>
              <w:pStyle w:val="TabelleText"/>
            </w:pPr>
            <w:r>
              <w:t>100</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0,5776</w:t>
            </w:r>
          </w:p>
        </w:tc>
        <w:tc>
          <w:tcPr>
            <w:tcW w:w="2835" w:type="dxa"/>
          </w:tcPr>
          <w:p w:rsidR="00DF0C7F" w:rsidRPr="00CB1818" w:rsidRDefault="00DF0C7F" w:rsidP="009E7D5E">
            <w:pPr>
              <w:pStyle w:val="TabelleText"/>
            </w:pPr>
            <w:r>
              <w:rPr>
                <w:color w:val="000000"/>
              </w:rPr>
              <w:t>570</w:t>
            </w:r>
          </w:p>
        </w:tc>
        <w:tc>
          <w:tcPr>
            <w:tcW w:w="2127" w:type="dxa"/>
          </w:tcPr>
          <w:p w:rsidR="00DF0C7F" w:rsidRPr="00CB1818" w:rsidRDefault="00DF0C7F" w:rsidP="009E7D5E">
            <w:pPr>
              <w:pStyle w:val="TabelleText"/>
            </w:pPr>
            <w:r>
              <w:rPr>
                <w:color w:val="000000"/>
              </w:rPr>
              <w:t>57 000</w:t>
            </w:r>
          </w:p>
        </w:tc>
      </w:tr>
      <w:tr w:rsidR="00DF0C7F" w:rsidRPr="00CB1818" w:rsidTr="009E7D5E">
        <w:tc>
          <w:tcPr>
            <w:tcW w:w="988" w:type="dxa"/>
          </w:tcPr>
          <w:p w:rsidR="00DF0C7F" w:rsidRPr="00CB1818" w:rsidRDefault="00DF0C7F" w:rsidP="00D32D29">
            <w:pPr>
              <w:pStyle w:val="TabelleText"/>
            </w:pPr>
            <w:r>
              <w:t>100</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0,1824</w:t>
            </w:r>
          </w:p>
        </w:tc>
        <w:tc>
          <w:tcPr>
            <w:tcW w:w="2835" w:type="dxa"/>
          </w:tcPr>
          <w:p w:rsidR="00DF0C7F" w:rsidRPr="00CB1818" w:rsidRDefault="00DF0C7F" w:rsidP="009E7D5E">
            <w:pPr>
              <w:pStyle w:val="TabelleText"/>
            </w:pPr>
            <w:r>
              <w:rPr>
                <w:color w:val="000000"/>
              </w:rPr>
              <w:t>180</w:t>
            </w:r>
          </w:p>
        </w:tc>
        <w:tc>
          <w:tcPr>
            <w:tcW w:w="2127" w:type="dxa"/>
          </w:tcPr>
          <w:p w:rsidR="00DF0C7F" w:rsidRPr="00CB1818" w:rsidRDefault="00DF0C7F" w:rsidP="009E7D5E">
            <w:pPr>
              <w:pStyle w:val="TabelleText"/>
            </w:pPr>
            <w:r>
              <w:rPr>
                <w:color w:val="000000"/>
              </w:rPr>
              <w:t>18 000</w:t>
            </w:r>
          </w:p>
        </w:tc>
      </w:tr>
    </w:tbl>
    <w:p w:rsidR="00DF0C7F" w:rsidRPr="00CB1818" w:rsidRDefault="00DF0C7F" w:rsidP="005B260B">
      <w:pPr>
        <w:pStyle w:val="Text"/>
        <w:keepNext/>
      </w:pPr>
      <w:r>
        <w:t>(15) Procédure d’appel (article 3b de la NetzDG): Exécution des procédures d’appel, de contrôle et de sanction pécuniaire</w:t>
      </w:r>
    </w:p>
    <w:p w:rsidR="00DF0C7F" w:rsidRPr="00CB1818" w:rsidRDefault="00DF0C7F" w:rsidP="002007B2">
      <w:pPr>
        <w:pStyle w:val="Text"/>
      </w:pPr>
      <w:r>
        <w:t>On considère qu’il y a violation des prescriptions organisationnelles pour l’exécution d’une procédure d’appel si le mauvais traitement des appels est systématique. Sur la base de l’estimation d’un faible nombre de signalements individuels, on suppose que chaque spécification (éventuellement informations nécessaires de l’autre partie, justification individuelle) ne donnera lieu à un manquement systématique qu’en moyenne tous les deux ans (nombre de cas 0,5 par an, nombre total de cas 1 par an).</w:t>
      </w:r>
    </w:p>
    <w:p w:rsidR="00DF0C7F" w:rsidRPr="00CB1818" w:rsidRDefault="00DF0C7F" w:rsidP="005B260B">
      <w:pPr>
        <w:pStyle w:val="Text"/>
        <w:keepNext/>
      </w:pPr>
      <w:r>
        <w:t>Selon une estimation de l’Office fédéral de la justice, cela se traduit par la charge supplémentaire annuelle suivante pour la mise en œuvre des procédures de contrôle: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0,0876</w:t>
            </w:r>
          </w:p>
        </w:tc>
        <w:tc>
          <w:tcPr>
            <w:tcW w:w="2835" w:type="dxa"/>
          </w:tcPr>
          <w:p w:rsidR="00DF0C7F" w:rsidRPr="00CB1818" w:rsidRDefault="00DF0C7F" w:rsidP="009E7D5E">
            <w:pPr>
              <w:pStyle w:val="TabelleText"/>
            </w:pPr>
            <w:r>
              <w:t>8 640</w:t>
            </w:r>
          </w:p>
        </w:tc>
        <w:tc>
          <w:tcPr>
            <w:tcW w:w="2127" w:type="dxa"/>
          </w:tcPr>
          <w:p w:rsidR="00DF0C7F" w:rsidRPr="00CB1818" w:rsidRDefault="00DF0C7F" w:rsidP="009E7D5E">
            <w:pPr>
              <w:pStyle w:val="TabelleText"/>
            </w:pPr>
            <w:r>
              <w:t>8 640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0,0423</w:t>
            </w:r>
          </w:p>
        </w:tc>
        <w:tc>
          <w:tcPr>
            <w:tcW w:w="2835" w:type="dxa"/>
          </w:tcPr>
          <w:p w:rsidR="00DF0C7F" w:rsidRPr="00CB1818" w:rsidRDefault="00DF0C7F" w:rsidP="009E7D5E">
            <w:pPr>
              <w:pStyle w:val="TabelleText"/>
            </w:pPr>
            <w:r>
              <w:t>4 170</w:t>
            </w:r>
          </w:p>
        </w:tc>
        <w:tc>
          <w:tcPr>
            <w:tcW w:w="2127" w:type="dxa"/>
          </w:tcPr>
          <w:p w:rsidR="00DF0C7F" w:rsidRPr="00CB1818" w:rsidRDefault="00DF0C7F" w:rsidP="009E7D5E">
            <w:pPr>
              <w:pStyle w:val="TabelleText"/>
            </w:pPr>
            <w:r>
              <w:t>4 170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0,0237</w:t>
            </w:r>
          </w:p>
        </w:tc>
        <w:tc>
          <w:tcPr>
            <w:tcW w:w="2835" w:type="dxa"/>
          </w:tcPr>
          <w:p w:rsidR="00DF0C7F" w:rsidRPr="00CB1818" w:rsidRDefault="00DF0C7F" w:rsidP="009E7D5E">
            <w:pPr>
              <w:pStyle w:val="TabelleText"/>
            </w:pPr>
            <w:r>
              <w:t>2340</w:t>
            </w:r>
          </w:p>
        </w:tc>
        <w:tc>
          <w:tcPr>
            <w:tcW w:w="2127" w:type="dxa"/>
          </w:tcPr>
          <w:p w:rsidR="00DF0C7F" w:rsidRPr="00CB1818" w:rsidRDefault="00DF0C7F" w:rsidP="009E7D5E">
            <w:pPr>
              <w:pStyle w:val="TabelleText"/>
            </w:pPr>
            <w:r>
              <w:t>2340</w:t>
            </w:r>
          </w:p>
        </w:tc>
      </w:tr>
    </w:tbl>
    <w:p w:rsidR="00DF0C7F" w:rsidRPr="00CB1818" w:rsidRDefault="00DF0C7F" w:rsidP="002007B2">
      <w:pPr>
        <w:pStyle w:val="Text"/>
      </w:pPr>
      <w:r>
        <w:t>Dans le cas des éventuels déficits systématiques dans l’exécution de la procédure d’appel expliqués ci-dessus, la mise en œuvre des procédures de sanction pécuniaire entre également en ligne de compte. On estime ici qu’en moyenne, une procédure doit être effectuée chaque année. Étant donné que les procédures de contrôle devraient déjà permettre d’arriver à des conclusions importantes, la charge de travail est plutôt modérée.</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0,0284</w:t>
            </w:r>
          </w:p>
        </w:tc>
        <w:tc>
          <w:tcPr>
            <w:tcW w:w="2835" w:type="dxa"/>
          </w:tcPr>
          <w:p w:rsidR="00DF0C7F" w:rsidRPr="00CB1818" w:rsidRDefault="00DF0C7F" w:rsidP="009E7D5E">
            <w:pPr>
              <w:pStyle w:val="TabelleText"/>
            </w:pPr>
            <w:r>
              <w:rPr>
                <w:color w:val="000000"/>
              </w:rPr>
              <w:t>2 800</w:t>
            </w:r>
          </w:p>
        </w:tc>
        <w:tc>
          <w:tcPr>
            <w:tcW w:w="2127" w:type="dxa"/>
          </w:tcPr>
          <w:p w:rsidR="00DF0C7F" w:rsidRPr="00CB1818" w:rsidRDefault="00DF0C7F" w:rsidP="009E7D5E">
            <w:pPr>
              <w:pStyle w:val="TabelleText"/>
            </w:pPr>
            <w:r>
              <w:rPr>
                <w:color w:val="000000"/>
              </w:rPr>
              <w:t>2 800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0,0058</w:t>
            </w:r>
          </w:p>
        </w:tc>
        <w:tc>
          <w:tcPr>
            <w:tcW w:w="2835" w:type="dxa"/>
          </w:tcPr>
          <w:p w:rsidR="00DF0C7F" w:rsidRPr="00CB1818" w:rsidRDefault="00DF0C7F" w:rsidP="009E7D5E">
            <w:pPr>
              <w:pStyle w:val="TabelleText"/>
            </w:pPr>
            <w:r>
              <w:rPr>
                <w:color w:val="000000"/>
              </w:rPr>
              <w:t>570</w:t>
            </w:r>
          </w:p>
        </w:tc>
        <w:tc>
          <w:tcPr>
            <w:tcW w:w="2127" w:type="dxa"/>
          </w:tcPr>
          <w:p w:rsidR="00DF0C7F" w:rsidRPr="00CB1818" w:rsidRDefault="00DF0C7F" w:rsidP="009E7D5E">
            <w:pPr>
              <w:pStyle w:val="TabelleText"/>
            </w:pPr>
            <w:r>
              <w:rPr>
                <w:color w:val="000000"/>
              </w:rPr>
              <w:t>570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0,0046</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450</w:t>
            </w:r>
          </w:p>
        </w:tc>
      </w:tr>
    </w:tbl>
    <w:p w:rsidR="00DF0C7F" w:rsidRPr="00CB1818" w:rsidRDefault="00B32668" w:rsidP="005B260B">
      <w:pPr>
        <w:pStyle w:val="Text"/>
        <w:keepNext/>
      </w:pPr>
      <w:r>
        <w:t>(16) Arbitrage (article 3c de la NetzDG): Reconnaissance et supervision des organismes d’arbitrage, médiation, communication d’informations</w:t>
      </w:r>
    </w:p>
    <w:p w:rsidR="00DF0C7F" w:rsidRPr="00CB1818" w:rsidRDefault="00DF0C7F" w:rsidP="005F4EB6">
      <w:pPr>
        <w:pStyle w:val="Text"/>
      </w:pPr>
      <w:r>
        <w:t>À l’avenir, l’Office fédéral de la justice devra décider de la reconnaissance des organismes d’arbitrage conformément à l’article 3c, paragraphe 1 de la NetzDG. On suppose qu’en moyenne une procédure doit être effectuée chaque année.</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pPr>
            <w:r>
              <w:t>1</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0,0100</w:t>
            </w:r>
          </w:p>
        </w:tc>
        <w:tc>
          <w:tcPr>
            <w:tcW w:w="2835" w:type="dxa"/>
          </w:tcPr>
          <w:p w:rsidR="00DF0C7F" w:rsidRPr="00CB1818" w:rsidRDefault="00DF0C7F" w:rsidP="009E7D5E">
            <w:pPr>
              <w:pStyle w:val="TabelleText"/>
            </w:pPr>
            <w:r>
              <w:rPr>
                <w:color w:val="000000"/>
              </w:rPr>
              <w:t>990</w:t>
            </w:r>
          </w:p>
        </w:tc>
        <w:tc>
          <w:tcPr>
            <w:tcW w:w="2127" w:type="dxa"/>
          </w:tcPr>
          <w:p w:rsidR="00DF0C7F" w:rsidRPr="00CB1818" w:rsidRDefault="00DF0C7F" w:rsidP="009E7D5E">
            <w:pPr>
              <w:pStyle w:val="TabelleText"/>
            </w:pPr>
            <w:r>
              <w:rPr>
                <w:color w:val="000000"/>
              </w:rPr>
              <w:t>990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0,0152</w:t>
            </w:r>
          </w:p>
        </w:tc>
        <w:tc>
          <w:tcPr>
            <w:tcW w:w="2835" w:type="dxa"/>
          </w:tcPr>
          <w:p w:rsidR="00DF0C7F" w:rsidRPr="00CB1818" w:rsidRDefault="00DF0C7F" w:rsidP="009E7D5E">
            <w:pPr>
              <w:pStyle w:val="TabelleText"/>
            </w:pPr>
            <w:r>
              <w:rPr>
                <w:color w:val="000000"/>
              </w:rPr>
              <w:t>1 500</w:t>
            </w:r>
          </w:p>
        </w:tc>
        <w:tc>
          <w:tcPr>
            <w:tcW w:w="2127" w:type="dxa"/>
          </w:tcPr>
          <w:p w:rsidR="00DF0C7F" w:rsidRPr="00CB1818" w:rsidRDefault="00DF0C7F" w:rsidP="009E7D5E">
            <w:pPr>
              <w:pStyle w:val="TabelleText"/>
            </w:pPr>
            <w:r>
              <w:rPr>
                <w:color w:val="000000"/>
              </w:rPr>
              <w:t>1500</w:t>
            </w:r>
          </w:p>
        </w:tc>
      </w:tr>
      <w:tr w:rsidR="00DF0C7F" w:rsidRPr="00CB1818" w:rsidTr="009E7D5E">
        <w:tc>
          <w:tcPr>
            <w:tcW w:w="988" w:type="dxa"/>
          </w:tcPr>
          <w:p w:rsidR="00DF0C7F" w:rsidRPr="00CB1818" w:rsidRDefault="00DF0C7F" w:rsidP="00D32D29">
            <w:pPr>
              <w:pStyle w:val="TabelleText"/>
            </w:pPr>
            <w:r>
              <w:t>1</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0,0006</w:t>
            </w:r>
          </w:p>
        </w:tc>
        <w:tc>
          <w:tcPr>
            <w:tcW w:w="2835" w:type="dxa"/>
          </w:tcPr>
          <w:p w:rsidR="00DF0C7F" w:rsidRPr="00CB1818" w:rsidRDefault="00DF0C7F" w:rsidP="009E7D5E">
            <w:pPr>
              <w:pStyle w:val="TabelleText"/>
            </w:pPr>
            <w:r>
              <w:rPr>
                <w:color w:val="000000"/>
              </w:rPr>
              <w:t>60</w:t>
            </w:r>
          </w:p>
        </w:tc>
        <w:tc>
          <w:tcPr>
            <w:tcW w:w="2127" w:type="dxa"/>
          </w:tcPr>
          <w:p w:rsidR="00DF0C7F" w:rsidRPr="00CB1818" w:rsidRDefault="00DF0C7F" w:rsidP="009E7D5E">
            <w:pPr>
              <w:pStyle w:val="TabelleText"/>
            </w:pPr>
            <w:r>
              <w:rPr>
                <w:color w:val="000000"/>
              </w:rPr>
              <w:t>60</w:t>
            </w:r>
          </w:p>
        </w:tc>
      </w:tr>
    </w:tbl>
    <w:p w:rsidR="00DF0C7F" w:rsidRPr="00CB1818" w:rsidRDefault="00DF0C7F" w:rsidP="005F4EB6">
      <w:pPr>
        <w:pStyle w:val="Text"/>
      </w:pPr>
      <w:r>
        <w:t>À l’avenir, l’Office fédéral de la justice assurera également la surveillance des organismes d’arbitrage reconnus conformément à l’article 3c, paragraphe 2, phrase 2 de la NetzDG. On suppose que deux procédures correspondantes au plus doivent être effectuées chaque année.</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0,0018</w:t>
            </w:r>
          </w:p>
        </w:tc>
        <w:tc>
          <w:tcPr>
            <w:tcW w:w="2835" w:type="dxa"/>
          </w:tcPr>
          <w:p w:rsidR="00DF0C7F" w:rsidRPr="00CB1818" w:rsidRDefault="00DF0C7F" w:rsidP="009E7D5E">
            <w:pPr>
              <w:pStyle w:val="TabelleText"/>
            </w:pPr>
            <w:r>
              <w:rPr>
                <w:color w:val="000000"/>
              </w:rPr>
              <w:t>90</w:t>
            </w:r>
          </w:p>
        </w:tc>
        <w:tc>
          <w:tcPr>
            <w:tcW w:w="2127" w:type="dxa"/>
          </w:tcPr>
          <w:p w:rsidR="00DF0C7F" w:rsidRPr="00CB1818" w:rsidRDefault="00DF0C7F" w:rsidP="009E7D5E">
            <w:pPr>
              <w:pStyle w:val="TabelleText"/>
            </w:pPr>
            <w:r>
              <w:rPr>
                <w:color w:val="000000"/>
              </w:rPr>
              <w:t>180</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0,0249</w:t>
            </w:r>
          </w:p>
        </w:tc>
        <w:tc>
          <w:tcPr>
            <w:tcW w:w="2835" w:type="dxa"/>
          </w:tcPr>
          <w:p w:rsidR="00DF0C7F" w:rsidRPr="00CB1818" w:rsidRDefault="00DF0C7F" w:rsidP="009E7D5E">
            <w:pPr>
              <w:pStyle w:val="TabelleText"/>
            </w:pPr>
            <w:r>
              <w:rPr>
                <w:color w:val="000000"/>
              </w:rPr>
              <w:t>1 230</w:t>
            </w:r>
          </w:p>
        </w:tc>
        <w:tc>
          <w:tcPr>
            <w:tcW w:w="2127" w:type="dxa"/>
          </w:tcPr>
          <w:p w:rsidR="00DF0C7F" w:rsidRPr="00CB1818" w:rsidRDefault="00DF0C7F" w:rsidP="009E7D5E">
            <w:pPr>
              <w:pStyle w:val="TabelleText"/>
            </w:pPr>
            <w:r>
              <w:rPr>
                <w:color w:val="000000"/>
              </w:rPr>
              <w:t>2 460</w:t>
            </w:r>
          </w:p>
        </w:tc>
      </w:tr>
      <w:tr w:rsidR="00DF0C7F" w:rsidRPr="00CB1818" w:rsidTr="009611DD">
        <w:tc>
          <w:tcPr>
            <w:tcW w:w="988" w:type="dxa"/>
          </w:tcPr>
          <w:p w:rsidR="00DF0C7F" w:rsidRPr="00CB1818" w:rsidRDefault="00DF0C7F" w:rsidP="009E7D5E">
            <w:pPr>
              <w:pStyle w:val="TabelleText"/>
            </w:pPr>
            <w:r>
              <w:rPr>
                <w:color w:val="000000"/>
              </w:rPr>
              <w:t>2</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0,0018</w:t>
            </w:r>
          </w:p>
        </w:tc>
        <w:tc>
          <w:tcPr>
            <w:tcW w:w="2835" w:type="dxa"/>
          </w:tcPr>
          <w:p w:rsidR="00DF0C7F" w:rsidRPr="00CB1818" w:rsidRDefault="00DF0C7F" w:rsidP="009E7D5E">
            <w:pPr>
              <w:pStyle w:val="TabelleText"/>
            </w:pPr>
            <w:r>
              <w:rPr>
                <w:color w:val="000000"/>
              </w:rPr>
              <w:t>90</w:t>
            </w:r>
          </w:p>
        </w:tc>
        <w:tc>
          <w:tcPr>
            <w:tcW w:w="2127" w:type="dxa"/>
          </w:tcPr>
          <w:p w:rsidR="00DF0C7F" w:rsidRPr="00CB1818" w:rsidRDefault="00DF0C7F" w:rsidP="009E7D5E">
            <w:pPr>
              <w:pStyle w:val="TabelleText"/>
            </w:pPr>
            <w:r>
              <w:rPr>
                <w:color w:val="000000"/>
              </w:rPr>
              <w:t>180</w:t>
            </w:r>
          </w:p>
        </w:tc>
      </w:tr>
    </w:tbl>
    <w:p w:rsidR="00DF0C7F" w:rsidRPr="00CB1818" w:rsidRDefault="00DF0C7F" w:rsidP="005F4EB6">
      <w:pPr>
        <w:pStyle w:val="Text"/>
      </w:pPr>
      <w:r>
        <w:t>À l’avenir, l’Office fédéral de la justice procédera également à l’arbitrage officiel conformément à l’article 3f de la NetzDG. L’organisme d’arbitrage officiel n’est responsable de certains litiges que si aucun arbitrage de droit privé n’est envisageable conformément à l’article 3f, paragraphe 1, phrase 3 de la NetzDG. On suppose qu’un maximum de dix procédures doivent être effectuées chaque année.</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0,0547</w:t>
            </w:r>
          </w:p>
        </w:tc>
        <w:tc>
          <w:tcPr>
            <w:tcW w:w="2835" w:type="dxa"/>
          </w:tcPr>
          <w:p w:rsidR="00DF0C7F" w:rsidRPr="00CB1818" w:rsidRDefault="00DF0C7F" w:rsidP="009E7D5E">
            <w:pPr>
              <w:pStyle w:val="TabelleText"/>
            </w:pPr>
            <w:r>
              <w:rPr>
                <w:color w:val="000000"/>
              </w:rPr>
              <w:t>540</w:t>
            </w:r>
          </w:p>
        </w:tc>
        <w:tc>
          <w:tcPr>
            <w:tcW w:w="2127" w:type="dxa"/>
          </w:tcPr>
          <w:p w:rsidR="00DF0C7F" w:rsidRPr="00CB1818" w:rsidRDefault="00DF0C7F" w:rsidP="009E7D5E">
            <w:pPr>
              <w:pStyle w:val="TabelleText"/>
            </w:pPr>
            <w:r>
              <w:rPr>
                <w:color w:val="000000"/>
              </w:rPr>
              <w:t>5 400</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0,0274</w:t>
            </w:r>
          </w:p>
        </w:tc>
        <w:tc>
          <w:tcPr>
            <w:tcW w:w="2835" w:type="dxa"/>
          </w:tcPr>
          <w:p w:rsidR="00DF0C7F" w:rsidRPr="00CB1818" w:rsidRDefault="00DF0C7F" w:rsidP="009E7D5E">
            <w:pPr>
              <w:pStyle w:val="TabelleText"/>
            </w:pPr>
            <w:r>
              <w:rPr>
                <w:color w:val="000000"/>
              </w:rPr>
              <w:t>270</w:t>
            </w:r>
          </w:p>
        </w:tc>
        <w:tc>
          <w:tcPr>
            <w:tcW w:w="2127" w:type="dxa"/>
          </w:tcPr>
          <w:p w:rsidR="00DF0C7F" w:rsidRPr="00CB1818" w:rsidRDefault="00DF0C7F" w:rsidP="009E7D5E">
            <w:pPr>
              <w:pStyle w:val="TabelleText"/>
            </w:pPr>
            <w:r>
              <w:rPr>
                <w:color w:val="000000"/>
              </w:rPr>
              <w:t>2 700</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0,0122</w:t>
            </w:r>
          </w:p>
        </w:tc>
        <w:tc>
          <w:tcPr>
            <w:tcW w:w="2835" w:type="dxa"/>
          </w:tcPr>
          <w:p w:rsidR="00DF0C7F" w:rsidRPr="00CB1818" w:rsidRDefault="00DF0C7F" w:rsidP="009E7D5E">
            <w:pPr>
              <w:pStyle w:val="TabelleText"/>
            </w:pPr>
            <w:r>
              <w:rPr>
                <w:color w:val="000000"/>
              </w:rPr>
              <w:t>120</w:t>
            </w:r>
          </w:p>
        </w:tc>
        <w:tc>
          <w:tcPr>
            <w:tcW w:w="2127" w:type="dxa"/>
          </w:tcPr>
          <w:p w:rsidR="00DF0C7F" w:rsidRPr="00CB1818" w:rsidRDefault="00DF0C7F" w:rsidP="009E7D5E">
            <w:pPr>
              <w:pStyle w:val="TabelleText"/>
            </w:pPr>
            <w:r>
              <w:rPr>
                <w:color w:val="000000"/>
              </w:rPr>
              <w:t>1 200</w:t>
            </w:r>
          </w:p>
        </w:tc>
      </w:tr>
    </w:tbl>
    <w:p w:rsidR="00B32668" w:rsidRPr="00CB1818" w:rsidRDefault="00DF0C7F" w:rsidP="005F4EB6">
      <w:pPr>
        <w:pStyle w:val="Text"/>
      </w:pPr>
      <w:r>
        <w:t>Enfin, l’Office fédéral de la justice fournira des informations sur l’arbitrage afin de se conformer aux exigences correspondantes.</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Personne chargée du dossier, cadre supérieur </w:t>
            </w:r>
          </w:p>
        </w:tc>
        <w:tc>
          <w:tcPr>
            <w:tcW w:w="1333" w:type="dxa"/>
          </w:tcPr>
          <w:p w:rsidR="00DF0C7F" w:rsidRPr="00CB1818" w:rsidRDefault="00DF0C7F" w:rsidP="009E7D5E">
            <w:pPr>
              <w:pStyle w:val="TabelleText"/>
            </w:pPr>
            <w:r>
              <w:rPr>
                <w:color w:val="000000"/>
              </w:rPr>
              <w:t>0,0109</w:t>
            </w:r>
          </w:p>
        </w:tc>
        <w:tc>
          <w:tcPr>
            <w:tcW w:w="2835" w:type="dxa"/>
          </w:tcPr>
          <w:p w:rsidR="00DF0C7F" w:rsidRPr="00CB1818" w:rsidRDefault="00DF0C7F" w:rsidP="009E7D5E">
            <w:pPr>
              <w:pStyle w:val="TabelleText"/>
            </w:pPr>
            <w:r>
              <w:rPr>
                <w:color w:val="000000"/>
              </w:rPr>
              <w:t>1 080</w:t>
            </w:r>
          </w:p>
        </w:tc>
        <w:tc>
          <w:tcPr>
            <w:tcW w:w="2127" w:type="dxa"/>
          </w:tcPr>
          <w:p w:rsidR="00DF0C7F" w:rsidRPr="00CB1818" w:rsidRDefault="00DF0C7F" w:rsidP="009E7D5E">
            <w:pPr>
              <w:pStyle w:val="TabelleText"/>
            </w:pPr>
            <w:r>
              <w:rPr>
                <w:color w:val="000000"/>
              </w:rPr>
              <w:t>1 080</w:t>
            </w:r>
          </w:p>
        </w:tc>
      </w:tr>
    </w:tbl>
    <w:p w:rsidR="00DF0C7F" w:rsidRPr="00CB1818" w:rsidRDefault="00DF0C7F" w:rsidP="005B260B">
      <w:pPr>
        <w:pStyle w:val="Text"/>
        <w:keepNext/>
      </w:pPr>
      <w:r>
        <w:t>(17) Procédure de consultation pour les services de plate-forme de partage de vidéos à l’étranger (article 3e, paragraphe de la NetzDG)</w:t>
      </w:r>
    </w:p>
    <w:p w:rsidR="00DF0C7F" w:rsidRPr="00CB1818" w:rsidRDefault="00DF0C7F" w:rsidP="005F4EB6">
      <w:pPr>
        <w:pStyle w:val="Text"/>
      </w:pPr>
      <w:r>
        <w:t>À l’avenir, l’Office fédéral de la justice mènera également des procédures de consultation avec d’autres États membres (en raison des fournisseurs qui y sont basés) et avec la Commission européenne sur la base de l’article 3e, paragraphe 3, phrase 3 de la NetzDG, en liaison avec l’article 3, paragraphe 5, phrase 1 de la TMG. On estime que dans trois cas, ce sera le cas chaque année.</w:t>
      </w:r>
    </w:p>
    <w:p w:rsidR="00B32668" w:rsidRPr="00CB1818" w:rsidRDefault="00DF0C7F" w:rsidP="005F4EB6">
      <w:pPr>
        <w:pStyle w:val="Text"/>
      </w:pPr>
      <w:r>
        <w:t>Il en résulte une charge supplémentaire, car dans ces cas, les conditions de l’article 3, paragraphe 5 de la TMG doivent être vérifiées dans le cadre des pouvoirs de contrôle et d’instruction.</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0,2608</w:t>
            </w:r>
          </w:p>
        </w:tc>
        <w:tc>
          <w:tcPr>
            <w:tcW w:w="2835" w:type="dxa"/>
          </w:tcPr>
          <w:p w:rsidR="00DF0C7F" w:rsidRPr="00CB1818" w:rsidRDefault="00DF0C7F" w:rsidP="009E7D5E">
            <w:pPr>
              <w:pStyle w:val="TabelleText"/>
            </w:pPr>
            <w:r>
              <w:rPr>
                <w:color w:val="000000"/>
              </w:rPr>
              <w:t>8 580</w:t>
            </w:r>
          </w:p>
        </w:tc>
        <w:tc>
          <w:tcPr>
            <w:tcW w:w="2127" w:type="dxa"/>
          </w:tcPr>
          <w:p w:rsidR="00DF0C7F" w:rsidRPr="00CB1818" w:rsidRDefault="00DF0C7F" w:rsidP="009E7D5E">
            <w:pPr>
              <w:pStyle w:val="TabelleText"/>
            </w:pPr>
            <w:r>
              <w:rPr>
                <w:color w:val="000000"/>
              </w:rPr>
              <w:t>25 740</w:t>
            </w:r>
          </w:p>
        </w:tc>
      </w:tr>
      <w:tr w:rsidR="00DF0C7F" w:rsidRPr="00CB1818" w:rsidTr="009611DD">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0,0648</w:t>
            </w:r>
          </w:p>
        </w:tc>
        <w:tc>
          <w:tcPr>
            <w:tcW w:w="2835" w:type="dxa"/>
          </w:tcPr>
          <w:p w:rsidR="00DF0C7F" w:rsidRPr="00CB1818" w:rsidRDefault="00DF0C7F" w:rsidP="009E7D5E">
            <w:pPr>
              <w:pStyle w:val="TabelleText"/>
            </w:pPr>
            <w:r>
              <w:rPr>
                <w:color w:val="000000"/>
              </w:rPr>
              <w:t>2 130</w:t>
            </w:r>
          </w:p>
        </w:tc>
        <w:tc>
          <w:tcPr>
            <w:tcW w:w="2127" w:type="dxa"/>
          </w:tcPr>
          <w:p w:rsidR="00DF0C7F" w:rsidRPr="00CB1818" w:rsidRDefault="00DF0C7F" w:rsidP="009E7D5E">
            <w:pPr>
              <w:pStyle w:val="TabelleText"/>
            </w:pPr>
            <w:r>
              <w:rPr>
                <w:color w:val="000000"/>
              </w:rPr>
              <w:t>6 390</w:t>
            </w:r>
          </w:p>
        </w:tc>
      </w:tr>
      <w:tr w:rsidR="00DF0C7F" w:rsidRPr="00CB1818" w:rsidTr="009611DD">
        <w:tc>
          <w:tcPr>
            <w:tcW w:w="988" w:type="dxa"/>
          </w:tcPr>
          <w:p w:rsidR="00DF0C7F" w:rsidRPr="00CB1818" w:rsidRDefault="00DF0C7F" w:rsidP="009E7D5E">
            <w:pPr>
              <w:pStyle w:val="TabelleText"/>
            </w:pPr>
            <w:r>
              <w:rPr>
                <w:color w:val="000000"/>
              </w:rPr>
              <w:t>3</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0,0182</w:t>
            </w:r>
          </w:p>
        </w:tc>
        <w:tc>
          <w:tcPr>
            <w:tcW w:w="2835" w:type="dxa"/>
          </w:tcPr>
          <w:p w:rsidR="00DF0C7F" w:rsidRPr="00CB1818" w:rsidRDefault="00DF0C7F" w:rsidP="009E7D5E">
            <w:pPr>
              <w:pStyle w:val="TabelleText"/>
            </w:pPr>
            <w:r>
              <w:rPr>
                <w:color w:val="000000"/>
              </w:rPr>
              <w:t>600</w:t>
            </w:r>
          </w:p>
        </w:tc>
        <w:tc>
          <w:tcPr>
            <w:tcW w:w="2127" w:type="dxa"/>
          </w:tcPr>
          <w:p w:rsidR="00DF0C7F" w:rsidRPr="00CB1818" w:rsidRDefault="00DF0C7F" w:rsidP="009E7D5E">
            <w:pPr>
              <w:pStyle w:val="TabelleText"/>
            </w:pPr>
            <w:r>
              <w:rPr>
                <w:color w:val="000000"/>
              </w:rPr>
              <w:t>1 800</w:t>
            </w:r>
          </w:p>
        </w:tc>
      </w:tr>
    </w:tbl>
    <w:p w:rsidR="00B32668" w:rsidRPr="00CB1818" w:rsidRDefault="00DF0C7F" w:rsidP="00271D47">
      <w:pPr>
        <w:pStyle w:val="Text"/>
      </w:pPr>
      <w:r>
        <w:t>Dans chaque cas, les lettres et réponses nécessaires doivent être traduites dans le processus de consultation conformément à l’article 3, paragraphe 5 TMG, si bien qu’on peut partir d’une base de douze cas de traduction.</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Rapporteur (SprD), cadre moyen</w:t>
            </w:r>
          </w:p>
        </w:tc>
        <w:tc>
          <w:tcPr>
            <w:tcW w:w="1333" w:type="dxa"/>
          </w:tcPr>
          <w:p w:rsidR="00DF0C7F" w:rsidRPr="00CB1818" w:rsidRDefault="00DF0C7F" w:rsidP="009E7D5E">
            <w:pPr>
              <w:pStyle w:val="TabelleText"/>
            </w:pPr>
            <w:r>
              <w:rPr>
                <w:color w:val="000000"/>
              </w:rPr>
              <w:t>0,0547</w:t>
            </w:r>
          </w:p>
        </w:tc>
        <w:tc>
          <w:tcPr>
            <w:tcW w:w="2835" w:type="dxa"/>
          </w:tcPr>
          <w:p w:rsidR="00DF0C7F" w:rsidRPr="00CB1818" w:rsidRDefault="00DF0C7F" w:rsidP="009E7D5E">
            <w:pPr>
              <w:pStyle w:val="TabelleText"/>
            </w:pPr>
            <w:r>
              <w:rPr>
                <w:color w:val="000000"/>
              </w:rPr>
              <w:t>450</w:t>
            </w:r>
          </w:p>
        </w:tc>
        <w:tc>
          <w:tcPr>
            <w:tcW w:w="2127" w:type="dxa"/>
          </w:tcPr>
          <w:p w:rsidR="00DF0C7F" w:rsidRPr="00CB1818" w:rsidRDefault="00DF0C7F" w:rsidP="009E7D5E">
            <w:pPr>
              <w:pStyle w:val="TabelleText"/>
            </w:pPr>
            <w:r>
              <w:rPr>
                <w:color w:val="000000"/>
              </w:rPr>
              <w:t>5 400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 xml:space="preserve">Commis de bureau (SprD), mD </w:t>
            </w:r>
          </w:p>
        </w:tc>
        <w:tc>
          <w:tcPr>
            <w:tcW w:w="1333" w:type="dxa"/>
          </w:tcPr>
          <w:p w:rsidR="00DF0C7F" w:rsidRPr="00CB1818" w:rsidRDefault="00DF0C7F" w:rsidP="009E7D5E">
            <w:pPr>
              <w:pStyle w:val="TabelleText"/>
            </w:pPr>
            <w:r>
              <w:rPr>
                <w:color w:val="000000"/>
              </w:rPr>
              <w:t>0,0300</w:t>
            </w:r>
          </w:p>
        </w:tc>
        <w:tc>
          <w:tcPr>
            <w:tcW w:w="2835" w:type="dxa"/>
          </w:tcPr>
          <w:p w:rsidR="00DF0C7F" w:rsidRPr="00CB1818" w:rsidRDefault="00DF0C7F" w:rsidP="009E7D5E">
            <w:pPr>
              <w:pStyle w:val="TabelleText"/>
            </w:pPr>
            <w:r>
              <w:rPr>
                <w:color w:val="000000"/>
              </w:rPr>
              <w:t>247</w:t>
            </w:r>
          </w:p>
        </w:tc>
        <w:tc>
          <w:tcPr>
            <w:tcW w:w="2127" w:type="dxa"/>
          </w:tcPr>
          <w:p w:rsidR="00DF0C7F" w:rsidRPr="00CB1818" w:rsidRDefault="00DF0C7F" w:rsidP="009E7D5E">
            <w:pPr>
              <w:pStyle w:val="TabelleText"/>
            </w:pPr>
            <w:r>
              <w:rPr>
                <w:color w:val="000000"/>
              </w:rPr>
              <w:t>2 964</w:t>
            </w:r>
          </w:p>
        </w:tc>
      </w:tr>
    </w:tbl>
    <w:p w:rsidR="00DF0C7F" w:rsidRPr="00CB1818" w:rsidRDefault="00DF0C7F" w:rsidP="005B260B">
      <w:pPr>
        <w:pStyle w:val="Text"/>
        <w:keepNext/>
      </w:pPr>
      <w:r>
        <w:t>(18) Autres procédures de contrôle et tâches spécifiques</w:t>
      </w:r>
    </w:p>
    <w:p w:rsidR="00B32668" w:rsidRPr="00CB1818" w:rsidRDefault="00DF0C7F" w:rsidP="00271D47">
      <w:pPr>
        <w:pStyle w:val="Text"/>
      </w:pPr>
      <w:r>
        <w:t>On suppose que l’Office fédéral de la justice, sur la base de l’article 4a, paragraphes 1 et 2 de la NetzDG, exécutera des procédures de contrôle et d’instruction pour remédier à d’éventuelles violations de nouvelles réglementations de la NetzDG. D’une part, cela concerne les exigences selon l’article 5 de la NetzDG. On suppose ici qu’environ trois procédures de contrôle devront être menées en relation avec la personne habilitée à recevoir des actes judiciaires en Allemagne conformément à l’article 5, paragraphe 1 de la NetzDG et en relation avec le destinataire ayant droit conformément à l’article 5, paragraphe 2 de la NetzDG. En outre, environ cinq procédures par an pour se conformer à l’obligation de signalement conformément à l’article 3a NetzDG sont attendues, ainsi qu’une procédure annuelle en rapport avec la prescription selon l’article 3e, paragraphe 4 de la NetzDG pour convenir de certaines interdictions de distribution.</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0,5618</w:t>
            </w:r>
          </w:p>
        </w:tc>
        <w:tc>
          <w:tcPr>
            <w:tcW w:w="2835" w:type="dxa"/>
          </w:tcPr>
          <w:p w:rsidR="00DF0C7F" w:rsidRPr="00CB1818" w:rsidRDefault="00DF0C7F" w:rsidP="009E7D5E">
            <w:pPr>
              <w:pStyle w:val="TabelleText"/>
            </w:pPr>
            <w:r>
              <w:rPr>
                <w:color w:val="000000"/>
              </w:rPr>
              <w:t>4 620</w:t>
            </w:r>
          </w:p>
        </w:tc>
        <w:tc>
          <w:tcPr>
            <w:tcW w:w="2127" w:type="dxa"/>
          </w:tcPr>
          <w:p w:rsidR="00DF0C7F" w:rsidRPr="00CB1818" w:rsidRDefault="00DF0C7F" w:rsidP="009E7D5E">
            <w:pPr>
              <w:pStyle w:val="TabelleText"/>
            </w:pPr>
            <w:r>
              <w:rPr>
                <w:color w:val="000000"/>
              </w:rPr>
              <w:t>55 440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0,3940</w:t>
            </w:r>
          </w:p>
        </w:tc>
        <w:tc>
          <w:tcPr>
            <w:tcW w:w="2835" w:type="dxa"/>
          </w:tcPr>
          <w:p w:rsidR="00DF0C7F" w:rsidRPr="00CB1818" w:rsidRDefault="00DF0C7F" w:rsidP="009E7D5E">
            <w:pPr>
              <w:pStyle w:val="TabelleText"/>
            </w:pPr>
            <w:r>
              <w:rPr>
                <w:color w:val="000000"/>
              </w:rPr>
              <w:t>3 240</w:t>
            </w:r>
          </w:p>
        </w:tc>
        <w:tc>
          <w:tcPr>
            <w:tcW w:w="2127" w:type="dxa"/>
          </w:tcPr>
          <w:p w:rsidR="00DF0C7F" w:rsidRPr="00CB1818" w:rsidRDefault="00DF0C7F" w:rsidP="009E7D5E">
            <w:pPr>
              <w:pStyle w:val="TabelleText"/>
            </w:pPr>
            <w:r>
              <w:rPr>
                <w:color w:val="000000"/>
              </w:rPr>
              <w:t>38 880</w:t>
            </w:r>
          </w:p>
        </w:tc>
      </w:tr>
      <w:tr w:rsidR="00DF0C7F" w:rsidRPr="00CB1818" w:rsidTr="009611DD">
        <w:tc>
          <w:tcPr>
            <w:tcW w:w="988" w:type="dxa"/>
          </w:tcPr>
          <w:p w:rsidR="00DF0C7F" w:rsidRPr="00CB1818" w:rsidRDefault="00DF0C7F" w:rsidP="009E7D5E">
            <w:pPr>
              <w:pStyle w:val="TabelleText"/>
            </w:pPr>
            <w:r>
              <w:rPr>
                <w:color w:val="000000"/>
              </w:rPr>
              <w:t>12</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0,0584</w:t>
            </w:r>
          </w:p>
        </w:tc>
        <w:tc>
          <w:tcPr>
            <w:tcW w:w="2835" w:type="dxa"/>
          </w:tcPr>
          <w:p w:rsidR="00DF0C7F" w:rsidRPr="00CB1818" w:rsidRDefault="00DF0C7F" w:rsidP="009E7D5E">
            <w:pPr>
              <w:pStyle w:val="TabelleText"/>
            </w:pPr>
            <w:r>
              <w:rPr>
                <w:color w:val="000000"/>
              </w:rPr>
              <w:t>480</w:t>
            </w:r>
          </w:p>
        </w:tc>
        <w:tc>
          <w:tcPr>
            <w:tcW w:w="2127" w:type="dxa"/>
          </w:tcPr>
          <w:p w:rsidR="00DF0C7F" w:rsidRPr="00CB1818" w:rsidRDefault="00DF0C7F" w:rsidP="009E7D5E">
            <w:pPr>
              <w:pStyle w:val="TabelleText"/>
            </w:pPr>
            <w:r>
              <w:rPr>
                <w:color w:val="000000"/>
              </w:rPr>
              <w:t>5 760</w:t>
            </w:r>
          </w:p>
        </w:tc>
      </w:tr>
    </w:tbl>
    <w:p w:rsidR="00DF0C7F" w:rsidRPr="00CB1818" w:rsidRDefault="00DF0C7F" w:rsidP="00271D47">
      <w:pPr>
        <w:pStyle w:val="Text"/>
      </w:pPr>
      <w:r>
        <w:t>À l’avenir, l’Office fédéral de la justice tiendra également à jour une liste des destinataires ayant droit conformément à l’article 5, paragraphe 2, phrases 4 et 5 de la NetzDG et fournira des informations aux services répressifs nationaux. Un total de 20 procédures par an est attendu.</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10</w:t>
            </w:r>
          </w:p>
        </w:tc>
        <w:tc>
          <w:tcPr>
            <w:tcW w:w="1643" w:type="dxa"/>
          </w:tcPr>
          <w:p w:rsidR="00DF0C7F" w:rsidRPr="00CB1818" w:rsidRDefault="00DF0C7F" w:rsidP="009E7D5E">
            <w:pPr>
              <w:pStyle w:val="TabelleText"/>
            </w:pPr>
            <w:r>
              <w:t xml:space="preserve">Bureau, cadre d’encadrement </w:t>
            </w:r>
          </w:p>
        </w:tc>
        <w:tc>
          <w:tcPr>
            <w:tcW w:w="1333" w:type="dxa"/>
          </w:tcPr>
          <w:p w:rsidR="00DF0C7F" w:rsidRPr="00CB1818" w:rsidRDefault="00DF0C7F" w:rsidP="009E7D5E">
            <w:pPr>
              <w:pStyle w:val="TabelleText"/>
            </w:pPr>
            <w:r>
              <w:rPr>
                <w:color w:val="000000"/>
              </w:rPr>
              <w:t>0,0061</w:t>
            </w:r>
          </w:p>
        </w:tc>
        <w:tc>
          <w:tcPr>
            <w:tcW w:w="2835" w:type="dxa"/>
          </w:tcPr>
          <w:p w:rsidR="00DF0C7F" w:rsidRPr="00CB1818" w:rsidRDefault="00DF0C7F" w:rsidP="009E7D5E">
            <w:pPr>
              <w:pStyle w:val="TabelleText"/>
            </w:pPr>
            <w:r>
              <w:rPr>
                <w:color w:val="000000"/>
              </w:rPr>
              <w:t>60</w:t>
            </w:r>
          </w:p>
        </w:tc>
        <w:tc>
          <w:tcPr>
            <w:tcW w:w="2127" w:type="dxa"/>
          </w:tcPr>
          <w:p w:rsidR="00DF0C7F" w:rsidRPr="00CB1818" w:rsidRDefault="00DF0C7F" w:rsidP="009E7D5E">
            <w:pPr>
              <w:pStyle w:val="TabelleText"/>
            </w:pPr>
            <w:r>
              <w:rPr>
                <w:color w:val="000000"/>
              </w:rPr>
              <w:t>600</w:t>
            </w:r>
          </w:p>
        </w:tc>
      </w:tr>
    </w:tbl>
    <w:p w:rsidR="00DF0C7F" w:rsidRPr="00CB1818" w:rsidRDefault="00DF0C7F" w:rsidP="00271D47">
      <w:pPr>
        <w:pStyle w:val="Text"/>
      </w:pPr>
      <w:r>
        <w:t>Enfin, l’Office fédéral de la justice effectuera des contrôles à l’avenir et, si nécessaire, décrétera des dispositions accessoires lorsqu’il décidera de la reconnaissance des institutions d’autorégulation réglementée conformément à l’article 3, paragraphe 7, phrase 2 de la NetzDG. On suppose que cela est nécessaire en moyenne chaque année dans une seule procédure.</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vAlign w:val="bottom"/>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Rapporteur, cadre moyen</w:t>
            </w:r>
          </w:p>
        </w:tc>
        <w:tc>
          <w:tcPr>
            <w:tcW w:w="1333" w:type="dxa"/>
            <w:vAlign w:val="bottom"/>
          </w:tcPr>
          <w:p w:rsidR="00DF0C7F" w:rsidRPr="00CB1818" w:rsidRDefault="00DF0C7F" w:rsidP="009E7D5E">
            <w:pPr>
              <w:pStyle w:val="TabelleText"/>
            </w:pPr>
            <w:r>
              <w:rPr>
                <w:color w:val="000000"/>
              </w:rPr>
              <w:t>0,0030</w:t>
            </w:r>
          </w:p>
        </w:tc>
        <w:tc>
          <w:tcPr>
            <w:tcW w:w="2835" w:type="dxa"/>
            <w:vAlign w:val="bottom"/>
          </w:tcPr>
          <w:p w:rsidR="00DF0C7F" w:rsidRPr="00CB1818" w:rsidRDefault="00DF0C7F" w:rsidP="009E7D5E">
            <w:pPr>
              <w:pStyle w:val="TabelleText"/>
            </w:pPr>
            <w:r>
              <w:rPr>
                <w:color w:val="000000"/>
              </w:rPr>
              <w:t>294</w:t>
            </w:r>
          </w:p>
        </w:tc>
        <w:tc>
          <w:tcPr>
            <w:tcW w:w="2127" w:type="dxa"/>
            <w:vAlign w:val="bottom"/>
          </w:tcPr>
          <w:p w:rsidR="00DF0C7F" w:rsidRPr="00CB1818" w:rsidRDefault="00DF0C7F" w:rsidP="009E7D5E">
            <w:pPr>
              <w:pStyle w:val="TabelleText"/>
            </w:pPr>
            <w:r>
              <w:rPr>
                <w:color w:val="000000"/>
              </w:rPr>
              <w:t>294</w:t>
            </w:r>
          </w:p>
        </w:tc>
      </w:tr>
      <w:tr w:rsidR="00DF0C7F" w:rsidRPr="00CB1818" w:rsidTr="009611DD">
        <w:tc>
          <w:tcPr>
            <w:tcW w:w="988" w:type="dxa"/>
            <w:vAlign w:val="bottom"/>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Personne chargée du dossier, cadre supérieur</w:t>
            </w:r>
          </w:p>
        </w:tc>
        <w:tc>
          <w:tcPr>
            <w:tcW w:w="1333" w:type="dxa"/>
            <w:vAlign w:val="bottom"/>
          </w:tcPr>
          <w:p w:rsidR="00DF0C7F" w:rsidRPr="00CB1818" w:rsidRDefault="00DF0C7F" w:rsidP="009E7D5E">
            <w:pPr>
              <w:pStyle w:val="TabelleText"/>
            </w:pPr>
            <w:r>
              <w:rPr>
                <w:color w:val="000000"/>
              </w:rPr>
              <w:t>0,0002</w:t>
            </w:r>
          </w:p>
        </w:tc>
        <w:tc>
          <w:tcPr>
            <w:tcW w:w="2835" w:type="dxa"/>
            <w:vAlign w:val="bottom"/>
          </w:tcPr>
          <w:p w:rsidR="00DF0C7F" w:rsidRPr="00CB1818" w:rsidRDefault="00DF0C7F" w:rsidP="009E7D5E">
            <w:pPr>
              <w:pStyle w:val="TabelleText"/>
            </w:pPr>
            <w:r>
              <w:rPr>
                <w:color w:val="000000"/>
              </w:rPr>
              <w:t>21</w:t>
            </w:r>
          </w:p>
        </w:tc>
        <w:tc>
          <w:tcPr>
            <w:tcW w:w="2127" w:type="dxa"/>
            <w:vAlign w:val="bottom"/>
          </w:tcPr>
          <w:p w:rsidR="00DF0C7F" w:rsidRPr="00CB1818" w:rsidRDefault="00DF0C7F" w:rsidP="009E7D5E">
            <w:pPr>
              <w:pStyle w:val="TabelleText"/>
            </w:pPr>
            <w:r>
              <w:rPr>
                <w:color w:val="000000"/>
              </w:rPr>
              <w:t>21</w:t>
            </w:r>
          </w:p>
        </w:tc>
      </w:tr>
    </w:tbl>
    <w:p w:rsidR="00DF0C7F" w:rsidRPr="00CB1818" w:rsidRDefault="00DF0C7F" w:rsidP="00271D47">
      <w:pPr>
        <w:pStyle w:val="Text"/>
      </w:pPr>
      <w:r>
        <w:t>Finalement, l’Office fédéral de la justice devra à l’avenir contrôler le respect des obligations de communication et de soumission de rapport des institutions d’autorégulation réglementées ou réceptionner les informations correspondantes.</w:t>
      </w:r>
    </w:p>
    <w:p w:rsidR="00DF0C7F" w:rsidRPr="00CB1818" w:rsidRDefault="00DF0C7F" w:rsidP="005B260B">
      <w:pPr>
        <w:pStyle w:val="Text"/>
        <w:keepNext/>
      </w:pPr>
      <w:r>
        <w:t>Selon une estimation de l’Office fédéral de la justice, cela se traduit par la charge supplémentaire annuelle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Rapporteur, cadre moyen</w:t>
            </w:r>
          </w:p>
        </w:tc>
        <w:tc>
          <w:tcPr>
            <w:tcW w:w="1333" w:type="dxa"/>
            <w:vAlign w:val="bottom"/>
          </w:tcPr>
          <w:p w:rsidR="00DF0C7F" w:rsidRPr="00CB1818" w:rsidRDefault="00DF0C7F" w:rsidP="009E7D5E">
            <w:pPr>
              <w:pStyle w:val="TabelleText"/>
            </w:pPr>
            <w:r>
              <w:rPr>
                <w:color w:val="000000"/>
              </w:rPr>
              <w:t>0,0009</w:t>
            </w:r>
          </w:p>
        </w:tc>
        <w:tc>
          <w:tcPr>
            <w:tcW w:w="2835" w:type="dxa"/>
            <w:vAlign w:val="bottom"/>
          </w:tcPr>
          <w:p w:rsidR="00DF0C7F" w:rsidRPr="00CB1818" w:rsidRDefault="00DF0C7F" w:rsidP="009E7D5E">
            <w:pPr>
              <w:pStyle w:val="TabelleText"/>
            </w:pPr>
            <w:r>
              <w:rPr>
                <w:color w:val="000000"/>
              </w:rPr>
              <w:t>90</w:t>
            </w:r>
          </w:p>
        </w:tc>
        <w:tc>
          <w:tcPr>
            <w:tcW w:w="2127" w:type="dxa"/>
            <w:vAlign w:val="bottom"/>
          </w:tcPr>
          <w:p w:rsidR="00DF0C7F" w:rsidRPr="00CB1818" w:rsidRDefault="00DF0C7F" w:rsidP="009E7D5E">
            <w:pPr>
              <w:pStyle w:val="TabelleText"/>
            </w:pPr>
            <w:r>
              <w:rPr>
                <w:color w:val="000000"/>
              </w:rPr>
              <w:t>90</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Personne chargée du dossier, cadre supérieur</w:t>
            </w:r>
          </w:p>
        </w:tc>
        <w:tc>
          <w:tcPr>
            <w:tcW w:w="1333" w:type="dxa"/>
            <w:vAlign w:val="bottom"/>
          </w:tcPr>
          <w:p w:rsidR="00DF0C7F" w:rsidRPr="00CB1818" w:rsidRDefault="00DF0C7F" w:rsidP="009E7D5E">
            <w:pPr>
              <w:pStyle w:val="TabelleText"/>
            </w:pPr>
            <w:r>
              <w:rPr>
                <w:color w:val="000000"/>
              </w:rPr>
              <w:t>0,0465</w:t>
            </w:r>
          </w:p>
        </w:tc>
        <w:tc>
          <w:tcPr>
            <w:tcW w:w="2835" w:type="dxa"/>
            <w:vAlign w:val="bottom"/>
          </w:tcPr>
          <w:p w:rsidR="00DF0C7F" w:rsidRPr="00CB1818" w:rsidRDefault="00DF0C7F" w:rsidP="009E7D5E">
            <w:pPr>
              <w:pStyle w:val="TabelleText"/>
            </w:pPr>
            <w:r>
              <w:rPr>
                <w:color w:val="000000"/>
              </w:rPr>
              <w:t>4 590</w:t>
            </w:r>
          </w:p>
        </w:tc>
        <w:tc>
          <w:tcPr>
            <w:tcW w:w="2127" w:type="dxa"/>
            <w:vAlign w:val="bottom"/>
          </w:tcPr>
          <w:p w:rsidR="00DF0C7F" w:rsidRPr="00CB1818" w:rsidRDefault="00DF0C7F" w:rsidP="009E7D5E">
            <w:pPr>
              <w:pStyle w:val="TabelleText"/>
            </w:pPr>
            <w:r>
              <w:rPr>
                <w:color w:val="000000"/>
              </w:rPr>
              <w:t>4 590</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 xml:space="preserve">Bureau, cadre d’encadrement </w:t>
            </w:r>
          </w:p>
        </w:tc>
        <w:tc>
          <w:tcPr>
            <w:tcW w:w="1333" w:type="dxa"/>
            <w:vAlign w:val="bottom"/>
          </w:tcPr>
          <w:p w:rsidR="00DF0C7F" w:rsidRPr="00CB1818" w:rsidRDefault="00DF0C7F" w:rsidP="009E7D5E">
            <w:pPr>
              <w:pStyle w:val="TabelleText"/>
            </w:pPr>
            <w:r>
              <w:rPr>
                <w:color w:val="000000"/>
              </w:rPr>
              <w:t>0,0204</w:t>
            </w:r>
          </w:p>
        </w:tc>
        <w:tc>
          <w:tcPr>
            <w:tcW w:w="2835" w:type="dxa"/>
            <w:vAlign w:val="bottom"/>
          </w:tcPr>
          <w:p w:rsidR="00DF0C7F" w:rsidRPr="00CB1818" w:rsidRDefault="00DF0C7F" w:rsidP="009E7D5E">
            <w:pPr>
              <w:pStyle w:val="TabelleText"/>
            </w:pPr>
            <w:r>
              <w:rPr>
                <w:color w:val="000000"/>
              </w:rPr>
              <w:t>2 010</w:t>
            </w:r>
          </w:p>
        </w:tc>
        <w:tc>
          <w:tcPr>
            <w:tcW w:w="2127" w:type="dxa"/>
            <w:vAlign w:val="bottom"/>
          </w:tcPr>
          <w:p w:rsidR="00DF0C7F" w:rsidRPr="00CB1818" w:rsidRDefault="00DF0C7F" w:rsidP="009E7D5E">
            <w:pPr>
              <w:pStyle w:val="TabelleText"/>
            </w:pPr>
            <w:r>
              <w:rPr>
                <w:color w:val="000000"/>
              </w:rPr>
              <w:t>2 010</w:t>
            </w:r>
          </w:p>
        </w:tc>
      </w:tr>
    </w:tbl>
    <w:p w:rsidR="00DF0C7F" w:rsidRPr="00CB1818" w:rsidRDefault="00DF0C7F" w:rsidP="005B260B">
      <w:pPr>
        <w:pStyle w:val="Text"/>
        <w:keepNext/>
      </w:pPr>
      <w:r>
        <w:t>(19) Chef d’unité Supervision, tâches transversales</w:t>
      </w:r>
    </w:p>
    <w:p w:rsidR="00DF0C7F" w:rsidRPr="00CB1818" w:rsidRDefault="00DF0C7F" w:rsidP="005B260B">
      <w:pPr>
        <w:pStyle w:val="Text"/>
        <w:keepNext/>
      </w:pPr>
      <w:r>
        <w:t>À l’avenir, l’Office fédéral de la justice devra exécuter un nombre important de procédures de contrôle et d’instruction conformément à l’article 4a, paragraphes 1 et 2 de la NetzDG. Ces procédures visent à déterminer l’existence d’une violation de la NetzDG, puis à prendre les mesures nécessaires pour remédier à la violation de manière prospective. Cela ne comprend pas les procédures de sanction pécuniaire qui doivent déjà être exécutées pour sanctionner une infraction administrative en vertu de l’article 4, paragraphe 1 de la NetzDG. Les procédures doivent être séparées sur le plan organisationnel. Cela tient également compte du fait que certaines informations obtenues au cours de la procédure de contrôle ne peuvent pas être utilisées dans le cadre de la procédure de sanction pécuniaire (article 4a, paragraphe 3 de la NetzDG). Il est donc nécessaire de mettre en place une autre unité en plus des deux unités existantes à l’Office fédéral de la justice (chargée des questions fondamentales et des procédures de sanction pécuniaire au titre de la NetzDG). Un chef d’unité supplémentaire est nécessaire. Cela entraîne la charge suivante: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vAlign w:val="bottom"/>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Chef d’unité, cadre moyen</w:t>
            </w:r>
          </w:p>
        </w:tc>
        <w:tc>
          <w:tcPr>
            <w:tcW w:w="1333" w:type="dxa"/>
            <w:vAlign w:val="bottom"/>
          </w:tcPr>
          <w:p w:rsidR="00DF0C7F" w:rsidRPr="00CB1818" w:rsidRDefault="00DF0C7F" w:rsidP="009E7D5E">
            <w:pPr>
              <w:pStyle w:val="TabelleText"/>
            </w:pPr>
            <w:r>
              <w:rPr>
                <w:color w:val="000000"/>
              </w:rPr>
              <w:t>1</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98 683</w:t>
            </w:r>
          </w:p>
        </w:tc>
      </w:tr>
    </w:tbl>
    <w:p w:rsidR="00DF0C7F" w:rsidRPr="00CB1818" w:rsidRDefault="00DF0C7F" w:rsidP="005B260B">
      <w:pPr>
        <w:pStyle w:val="Text"/>
        <w:keepNext/>
      </w:pPr>
      <w:r>
        <w:t>En outre, les nouvelles tâches entraîneront des charges supplémentaires considérables dans le domaine informatique (gestion opérationnelle des applications, description formelle des exigences techniques, planification et coopération en cas de changements futurs dus aux exigences techniques, coordination technique avec les fournisseurs de services contractuels, etc.). Selon l’estimation de l’Office fédéral de la justice, un travailleur supplémentaire dans le service supérieur est nécessaire:</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E7D5E">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E7D5E">
        <w:tc>
          <w:tcPr>
            <w:tcW w:w="988" w:type="dxa"/>
          </w:tcPr>
          <w:p w:rsidR="00DF0C7F" w:rsidRPr="00CB1818" w:rsidRDefault="00DF0C7F" w:rsidP="009E7D5E">
            <w:pPr>
              <w:pStyle w:val="TabelleText"/>
              <w:rPr>
                <w:color w:val="000000"/>
              </w:rPr>
            </w:pPr>
            <w:r>
              <w:rPr>
                <w:color w:val="000000"/>
              </w:rP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1</w:t>
            </w:r>
          </w:p>
        </w:tc>
        <w:tc>
          <w:tcPr>
            <w:tcW w:w="2835" w:type="dxa"/>
          </w:tcPr>
          <w:p w:rsidR="00DF0C7F" w:rsidRPr="00CB1818" w:rsidRDefault="00DF0C7F" w:rsidP="009E7D5E">
            <w:pPr>
              <w:pStyle w:val="TabelleText"/>
              <w:rPr>
                <w:color w:val="000000"/>
              </w:rPr>
            </w:pPr>
            <w:r>
              <w:rPr>
                <w:color w:val="000000"/>
              </w:rPr>
              <w:t>98 683</w:t>
            </w:r>
          </w:p>
        </w:tc>
        <w:tc>
          <w:tcPr>
            <w:tcW w:w="2127" w:type="dxa"/>
          </w:tcPr>
          <w:p w:rsidR="00DF0C7F" w:rsidRPr="00CB1818" w:rsidRDefault="00DF0C7F" w:rsidP="009E7D5E">
            <w:pPr>
              <w:pStyle w:val="TabelleText"/>
              <w:rPr>
                <w:color w:val="000000"/>
              </w:rPr>
            </w:pPr>
            <w:r>
              <w:rPr>
                <w:color w:val="000000"/>
              </w:rPr>
              <w:t>98 683</w:t>
            </w:r>
          </w:p>
        </w:tc>
      </w:tr>
    </w:tbl>
    <w:p w:rsidR="00DF0C7F" w:rsidRPr="00CB1818" w:rsidRDefault="00DF0C7F" w:rsidP="005B260B">
      <w:pPr>
        <w:pStyle w:val="Text"/>
        <w:keepNext/>
      </w:pPr>
      <w:r>
        <w:t>Enfin, les nouvelles tâches résultant de la NetzDG augmentent également la charge des tâches transversales à l’Office fédéral de la justice (personnel, organisation, budget, service interne, gestion immobilière, judiciaire, etc.). Les besoins supplémentaires sont estimés comme suit:</w:t>
      </w:r>
    </w:p>
    <w:tbl>
      <w:tblPr>
        <w:tblStyle w:val="Tabellenraster3"/>
        <w:tblW w:w="0" w:type="auto"/>
        <w:tblLook w:val="04A0" w:firstRow="1" w:lastRow="0" w:firstColumn="1" w:lastColumn="0" w:noHBand="0" w:noVBand="1"/>
      </w:tblPr>
      <w:tblGrid>
        <w:gridCol w:w="988"/>
        <w:gridCol w:w="1643"/>
        <w:gridCol w:w="1333"/>
        <w:gridCol w:w="2835"/>
        <w:gridCol w:w="2127"/>
      </w:tblGrid>
      <w:tr w:rsidR="00DF0C7F" w:rsidRPr="00CB1818" w:rsidTr="009611DD">
        <w:tc>
          <w:tcPr>
            <w:tcW w:w="988" w:type="dxa"/>
          </w:tcPr>
          <w:p w:rsidR="00DF0C7F" w:rsidRPr="00CB1818" w:rsidRDefault="00DF0C7F" w:rsidP="005B260B">
            <w:pPr>
              <w:pStyle w:val="TabelleText"/>
              <w:keepNext/>
            </w:pPr>
            <w:r>
              <w:t>Nombre de cas</w:t>
            </w:r>
          </w:p>
        </w:tc>
        <w:tc>
          <w:tcPr>
            <w:tcW w:w="1643" w:type="dxa"/>
          </w:tcPr>
          <w:p w:rsidR="00DF0C7F" w:rsidRPr="00CB1818" w:rsidRDefault="00DF0C7F" w:rsidP="005B260B">
            <w:pPr>
              <w:pStyle w:val="TabelleText"/>
              <w:keepNext/>
            </w:pPr>
            <w:r>
              <w:t>Fonction et service</w:t>
            </w:r>
          </w:p>
        </w:tc>
        <w:tc>
          <w:tcPr>
            <w:tcW w:w="1333" w:type="dxa"/>
          </w:tcPr>
          <w:p w:rsidR="00DF0C7F" w:rsidRPr="00CB1818" w:rsidRDefault="00DF0C7F" w:rsidP="005B260B">
            <w:pPr>
              <w:pStyle w:val="TabelleText"/>
              <w:keepNext/>
            </w:pPr>
            <w:r>
              <w:t>Main-d'œuvre</w:t>
            </w:r>
          </w:p>
        </w:tc>
        <w:tc>
          <w:tcPr>
            <w:tcW w:w="2835" w:type="dxa"/>
          </w:tcPr>
          <w:p w:rsidR="00DF0C7F" w:rsidRPr="00CB1818" w:rsidRDefault="00DF0C7F" w:rsidP="005B260B">
            <w:pPr>
              <w:pStyle w:val="TabelleText"/>
              <w:keepNext/>
            </w:pPr>
            <w:r>
              <w:t>Charge de travail moyenne en minutes par cas</w:t>
            </w:r>
          </w:p>
        </w:tc>
        <w:tc>
          <w:tcPr>
            <w:tcW w:w="2127" w:type="dxa"/>
          </w:tcPr>
          <w:p w:rsidR="00DF0C7F" w:rsidRPr="00CB1818" w:rsidRDefault="00DF0C7F" w:rsidP="005B260B">
            <w:pPr>
              <w:pStyle w:val="TabelleText"/>
              <w:keepNext/>
            </w:pPr>
            <w:r>
              <w:t>Charge de travail totale en minutes</w:t>
            </w:r>
          </w:p>
        </w:tc>
      </w:tr>
      <w:tr w:rsidR="00DF0C7F" w:rsidRPr="00CB1818" w:rsidTr="009611DD">
        <w:tc>
          <w:tcPr>
            <w:tcW w:w="988" w:type="dxa"/>
          </w:tcPr>
          <w:p w:rsidR="00DF0C7F" w:rsidRPr="00CB1818" w:rsidRDefault="00DF0C7F" w:rsidP="009E7D5E">
            <w:pPr>
              <w:pStyle w:val="TabelleText"/>
            </w:pPr>
            <w:r>
              <w:rPr>
                <w:color w:val="000000"/>
              </w:rPr>
              <w:t>0,42</w:t>
            </w:r>
          </w:p>
        </w:tc>
        <w:tc>
          <w:tcPr>
            <w:tcW w:w="1643" w:type="dxa"/>
          </w:tcPr>
          <w:p w:rsidR="00DF0C7F" w:rsidRPr="00CB1818" w:rsidRDefault="00DF0C7F" w:rsidP="009E7D5E">
            <w:pPr>
              <w:pStyle w:val="TabelleText"/>
            </w:pPr>
            <w:r>
              <w:t>Rapporteur, cadre moyen</w:t>
            </w:r>
          </w:p>
        </w:tc>
        <w:tc>
          <w:tcPr>
            <w:tcW w:w="1333" w:type="dxa"/>
          </w:tcPr>
          <w:p w:rsidR="00DF0C7F" w:rsidRPr="00CB1818" w:rsidRDefault="00DF0C7F" w:rsidP="009E7D5E">
            <w:pPr>
              <w:pStyle w:val="TabelleText"/>
            </w:pPr>
            <w:r>
              <w:rPr>
                <w:color w:val="000000"/>
              </w:rPr>
              <w:t>0,4200</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41 447</w:t>
            </w:r>
          </w:p>
        </w:tc>
      </w:tr>
      <w:tr w:rsidR="00DF0C7F" w:rsidRPr="00CB1818" w:rsidTr="009611DD">
        <w:tc>
          <w:tcPr>
            <w:tcW w:w="988" w:type="dxa"/>
          </w:tcPr>
          <w:p w:rsidR="00DF0C7F" w:rsidRPr="00CB1818" w:rsidRDefault="00DF0C7F" w:rsidP="009E7D5E">
            <w:pPr>
              <w:pStyle w:val="TabelleText"/>
            </w:pPr>
            <w:r>
              <w:rPr>
                <w:color w:val="000000"/>
              </w:rPr>
              <w:t>1</w:t>
            </w:r>
          </w:p>
        </w:tc>
        <w:tc>
          <w:tcPr>
            <w:tcW w:w="1643" w:type="dxa"/>
          </w:tcPr>
          <w:p w:rsidR="00DF0C7F" w:rsidRPr="00CB1818" w:rsidRDefault="00DF0C7F" w:rsidP="009E7D5E">
            <w:pPr>
              <w:pStyle w:val="TabelleText"/>
            </w:pPr>
            <w:r>
              <w:t>Personne chargée du dossier, cadre supérieur</w:t>
            </w:r>
          </w:p>
        </w:tc>
        <w:tc>
          <w:tcPr>
            <w:tcW w:w="1333" w:type="dxa"/>
          </w:tcPr>
          <w:p w:rsidR="00DF0C7F" w:rsidRPr="00CB1818" w:rsidRDefault="00DF0C7F" w:rsidP="009E7D5E">
            <w:pPr>
              <w:pStyle w:val="TabelleText"/>
            </w:pPr>
            <w:r>
              <w:rPr>
                <w:color w:val="000000"/>
              </w:rPr>
              <w:t>1,0000</w:t>
            </w:r>
          </w:p>
        </w:tc>
        <w:tc>
          <w:tcPr>
            <w:tcW w:w="2835" w:type="dxa"/>
          </w:tcPr>
          <w:p w:rsidR="00DF0C7F" w:rsidRPr="00CB1818" w:rsidRDefault="00DF0C7F" w:rsidP="009E7D5E">
            <w:pPr>
              <w:pStyle w:val="TabelleText"/>
            </w:pPr>
            <w:r>
              <w:rPr>
                <w:color w:val="000000"/>
              </w:rPr>
              <w:t>98 683</w:t>
            </w:r>
          </w:p>
        </w:tc>
        <w:tc>
          <w:tcPr>
            <w:tcW w:w="2127" w:type="dxa"/>
          </w:tcPr>
          <w:p w:rsidR="00DF0C7F" w:rsidRPr="00CB1818" w:rsidRDefault="00DF0C7F" w:rsidP="009E7D5E">
            <w:pPr>
              <w:pStyle w:val="TabelleText"/>
            </w:pPr>
            <w:r>
              <w:rPr>
                <w:color w:val="000000"/>
              </w:rPr>
              <w:t>98 683</w:t>
            </w:r>
          </w:p>
        </w:tc>
      </w:tr>
    </w:tbl>
    <w:p w:rsidR="00DF0C7F" w:rsidRPr="00CB1818" w:rsidRDefault="00DF0C7F" w:rsidP="005B260B">
      <w:pPr>
        <w:pStyle w:val="Text"/>
        <w:keepNext/>
      </w:pPr>
      <w:r>
        <w:t>(20) Économies dans l’accomplissement des tâches selon l’actuelle NetzDG et prise en compte de la réduction des besoins dans le domaine de l’actuelle NetzDG.</w:t>
      </w:r>
    </w:p>
    <w:p w:rsidR="00B32668" w:rsidRPr="00CB1818" w:rsidRDefault="00DF0C7F" w:rsidP="00F74CC4">
      <w:pPr>
        <w:pStyle w:val="Text"/>
      </w:pPr>
      <w:r>
        <w:t>La charge d’exécution supplémentaire entraînée par le projet est compensée par le fait que des effets d’économies se produiront pour les tâches requises par l’actuelle NetzDG. Cette estimation repose sur l’hypothèse qu’en raison des nouvelles procédures de contrôle à effectuer sur la base de l’article 4a, paragraphe 2 de la NetzDG et de l’éventuelle émission d’instructions pour remédier aux déficits, moins de procédures de sanction pécuniaire seront nécessaires. D’une part, on renonce au lancement d’une telle procédure s’il est déjà apparu lors d’une précédente procédure de contrôle qu’il n’y a pas violation de la NetzDG. D’autre part, la surveillance permettra de remédier plus rapidement à des violations de la NetzDG et, en outre, de renoncer plus souvent à une procédure de sanction pécuniaire pour des raisons d’opportunité (estimation: dans la moitié des cas précédents).</w:t>
      </w:r>
    </w:p>
    <w:p w:rsidR="00DF0C7F" w:rsidRPr="00CB1818" w:rsidRDefault="00DF0C7F" w:rsidP="005B260B">
      <w:pPr>
        <w:pStyle w:val="Text"/>
        <w:keepNext/>
      </w:pPr>
      <w:r>
        <w:t>Selon une estimation de l’Office fédéral de la justice, les économies sont les suivantes:</w:t>
      </w:r>
    </w:p>
    <w:tbl>
      <w:tblPr>
        <w:tblStyle w:val="Tabellenraster3"/>
        <w:tblW w:w="8735" w:type="dxa"/>
        <w:tblLook w:val="04A0" w:firstRow="1" w:lastRow="0" w:firstColumn="1" w:lastColumn="0" w:noHBand="0" w:noVBand="1"/>
      </w:tblPr>
      <w:tblGrid>
        <w:gridCol w:w="1134"/>
        <w:gridCol w:w="2166"/>
        <w:gridCol w:w="1515"/>
        <w:gridCol w:w="1531"/>
        <w:gridCol w:w="2389"/>
      </w:tblGrid>
      <w:tr w:rsidR="00DF0C7F" w:rsidRPr="00CB1818" w:rsidTr="00D32D29">
        <w:tc>
          <w:tcPr>
            <w:tcW w:w="1134" w:type="dxa"/>
            <w:hideMark/>
          </w:tcPr>
          <w:p w:rsidR="00DF0C7F" w:rsidRPr="00CB1818" w:rsidRDefault="00DF0C7F" w:rsidP="005B260B">
            <w:pPr>
              <w:pStyle w:val="TabelleText"/>
              <w:keepNext/>
            </w:pPr>
            <w:r>
              <w:t>Fonction et service</w:t>
            </w:r>
          </w:p>
        </w:tc>
        <w:tc>
          <w:tcPr>
            <w:tcW w:w="2166" w:type="dxa"/>
            <w:hideMark/>
          </w:tcPr>
          <w:p w:rsidR="00DF0C7F" w:rsidRPr="00CB1818" w:rsidRDefault="00DF0C7F" w:rsidP="005B260B">
            <w:pPr>
              <w:pStyle w:val="TabelleText"/>
              <w:keepNext/>
            </w:pPr>
            <w:r>
              <w:t>Temps de traitement total en heures</w:t>
            </w:r>
          </w:p>
        </w:tc>
        <w:tc>
          <w:tcPr>
            <w:tcW w:w="1515" w:type="dxa"/>
            <w:hideMark/>
          </w:tcPr>
          <w:p w:rsidR="00DF0C7F" w:rsidRPr="00CB1818" w:rsidRDefault="00DF0C7F" w:rsidP="005B260B">
            <w:pPr>
              <w:pStyle w:val="TabelleText"/>
              <w:keepNext/>
            </w:pPr>
            <w:r>
              <w:t>Coûts salariaux par heure (euro)</w:t>
            </w:r>
          </w:p>
        </w:tc>
        <w:tc>
          <w:tcPr>
            <w:tcW w:w="1531" w:type="dxa"/>
            <w:hideMark/>
          </w:tcPr>
          <w:p w:rsidR="00DF0C7F" w:rsidRPr="00CB1818" w:rsidRDefault="00DF0C7F" w:rsidP="005B260B">
            <w:pPr>
              <w:pStyle w:val="TabelleText"/>
              <w:keepNext/>
            </w:pPr>
            <w:r>
              <w:t>Frais matériels par heure</w:t>
            </w:r>
          </w:p>
        </w:tc>
        <w:tc>
          <w:tcPr>
            <w:tcW w:w="2389" w:type="dxa"/>
            <w:hideMark/>
          </w:tcPr>
          <w:p w:rsidR="00DF0C7F" w:rsidRPr="00CB1818" w:rsidRDefault="00DF0C7F" w:rsidP="005B260B">
            <w:pPr>
              <w:pStyle w:val="TabelleText"/>
              <w:keepNext/>
            </w:pPr>
            <w:r>
              <w:t>Charge d’exécution (euro)</w:t>
            </w:r>
          </w:p>
        </w:tc>
      </w:tr>
      <w:tr w:rsidR="00DF0C7F" w:rsidRPr="00CB1818" w:rsidTr="00D32D29">
        <w:tc>
          <w:tcPr>
            <w:tcW w:w="1134" w:type="dxa"/>
            <w:noWrap/>
            <w:hideMark/>
          </w:tcPr>
          <w:p w:rsidR="00DF0C7F" w:rsidRPr="00CB1818" w:rsidRDefault="00DF0C7F" w:rsidP="009E7D5E">
            <w:pPr>
              <w:pStyle w:val="TabelleText"/>
            </w:pPr>
            <w:r>
              <w:t>Cadre moyen</w:t>
            </w:r>
          </w:p>
        </w:tc>
        <w:tc>
          <w:tcPr>
            <w:tcW w:w="2166" w:type="dxa"/>
            <w:noWrap/>
            <w:hideMark/>
          </w:tcPr>
          <w:p w:rsidR="00DF0C7F" w:rsidRPr="00CB1818" w:rsidRDefault="00DF0C7F" w:rsidP="009E7D5E">
            <w:pPr>
              <w:pStyle w:val="TabelleText"/>
            </w:pPr>
            <w:r>
              <w:t>2039,45</w:t>
            </w:r>
          </w:p>
        </w:tc>
        <w:tc>
          <w:tcPr>
            <w:tcW w:w="1515" w:type="dxa"/>
            <w:noWrap/>
            <w:hideMark/>
          </w:tcPr>
          <w:p w:rsidR="00DF0C7F" w:rsidRPr="00CB1818" w:rsidRDefault="00DF0C7F" w:rsidP="009E7D5E">
            <w:pPr>
              <w:pStyle w:val="TabelleText"/>
            </w:pPr>
            <w:r>
              <w:t>65,4</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133 379,94</w:t>
            </w:r>
          </w:p>
        </w:tc>
      </w:tr>
      <w:tr w:rsidR="00DF0C7F" w:rsidRPr="00CB1818" w:rsidTr="00D32D29">
        <w:tc>
          <w:tcPr>
            <w:tcW w:w="1134" w:type="dxa"/>
            <w:noWrap/>
            <w:hideMark/>
          </w:tcPr>
          <w:p w:rsidR="00DF0C7F" w:rsidRPr="00CB1818" w:rsidRDefault="00DF0C7F" w:rsidP="009E7D5E">
            <w:pPr>
              <w:pStyle w:val="TabelleText"/>
            </w:pPr>
            <w:r>
              <w:t>Cadre supérieur</w:t>
            </w:r>
          </w:p>
        </w:tc>
        <w:tc>
          <w:tcPr>
            <w:tcW w:w="2166" w:type="dxa"/>
            <w:noWrap/>
            <w:hideMark/>
          </w:tcPr>
          <w:p w:rsidR="00DF0C7F" w:rsidRPr="00CB1818" w:rsidRDefault="00DF0C7F" w:rsidP="009E7D5E">
            <w:pPr>
              <w:pStyle w:val="TabelleText"/>
            </w:pPr>
            <w:r>
              <w:t>3240,09</w:t>
            </w:r>
          </w:p>
        </w:tc>
        <w:tc>
          <w:tcPr>
            <w:tcW w:w="1515" w:type="dxa"/>
            <w:noWrap/>
            <w:hideMark/>
          </w:tcPr>
          <w:p w:rsidR="00DF0C7F" w:rsidRPr="00CB1818" w:rsidRDefault="00DF0C7F" w:rsidP="009E7D5E">
            <w:pPr>
              <w:pStyle w:val="TabelleText"/>
            </w:pPr>
            <w:r>
              <w:t>43,4</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140 619,99</w:t>
            </w:r>
          </w:p>
        </w:tc>
      </w:tr>
      <w:tr w:rsidR="00DF0C7F" w:rsidRPr="00CB1818" w:rsidTr="00D32D29">
        <w:tc>
          <w:tcPr>
            <w:tcW w:w="1134" w:type="dxa"/>
            <w:noWrap/>
            <w:hideMark/>
          </w:tcPr>
          <w:p w:rsidR="00DF0C7F" w:rsidRPr="00CB1818" w:rsidRDefault="00DF0C7F" w:rsidP="009E7D5E">
            <w:pPr>
              <w:pStyle w:val="TabelleText"/>
            </w:pPr>
            <w:r>
              <w:t>Service moyen</w:t>
            </w:r>
          </w:p>
        </w:tc>
        <w:tc>
          <w:tcPr>
            <w:tcW w:w="2166" w:type="dxa"/>
            <w:noWrap/>
            <w:hideMark/>
          </w:tcPr>
          <w:p w:rsidR="00DF0C7F" w:rsidRPr="00CB1818" w:rsidRDefault="00DF0C7F" w:rsidP="009E7D5E">
            <w:pPr>
              <w:pStyle w:val="TabelleText"/>
            </w:pPr>
            <w:r>
              <w:t>312,50</w:t>
            </w:r>
          </w:p>
        </w:tc>
        <w:tc>
          <w:tcPr>
            <w:tcW w:w="1515" w:type="dxa"/>
            <w:noWrap/>
            <w:hideMark/>
          </w:tcPr>
          <w:p w:rsidR="00DF0C7F" w:rsidRPr="00CB1818" w:rsidRDefault="00DF0C7F" w:rsidP="009E7D5E">
            <w:pPr>
              <w:pStyle w:val="TabelleText"/>
            </w:pPr>
            <w:r>
              <w:t>31,7</w:t>
            </w:r>
          </w:p>
        </w:tc>
        <w:tc>
          <w:tcPr>
            <w:tcW w:w="1531" w:type="dxa"/>
            <w:noWrap/>
            <w:hideMark/>
          </w:tcPr>
          <w:p w:rsidR="00DF0C7F" w:rsidRPr="00CB1818" w:rsidRDefault="00DF0C7F" w:rsidP="009E7D5E">
            <w:pPr>
              <w:pStyle w:val="TabelleText"/>
            </w:pPr>
            <w:r>
              <w:t>-</w:t>
            </w:r>
          </w:p>
        </w:tc>
        <w:tc>
          <w:tcPr>
            <w:tcW w:w="2389" w:type="dxa"/>
            <w:noWrap/>
            <w:hideMark/>
          </w:tcPr>
          <w:p w:rsidR="00DF0C7F" w:rsidRPr="00CB1818" w:rsidRDefault="00DF0C7F" w:rsidP="009E7D5E">
            <w:pPr>
              <w:pStyle w:val="TabelleText"/>
            </w:pPr>
            <w:r>
              <w:t>9 906,13</w:t>
            </w:r>
          </w:p>
        </w:tc>
      </w:tr>
      <w:tr w:rsidR="00DF0C7F" w:rsidRPr="00CB1818" w:rsidTr="00D32D29">
        <w:tc>
          <w:tcPr>
            <w:tcW w:w="1134" w:type="dxa"/>
            <w:noWrap/>
            <w:hideMark/>
          </w:tcPr>
          <w:p w:rsidR="00DF0C7F" w:rsidRPr="00CB1818" w:rsidRDefault="00DF0C7F" w:rsidP="009E7D5E">
            <w:pPr>
              <w:pStyle w:val="TabelleText"/>
            </w:pPr>
            <w:r>
              <w:t> Somme</w:t>
            </w:r>
          </w:p>
        </w:tc>
        <w:tc>
          <w:tcPr>
            <w:tcW w:w="2166" w:type="dxa"/>
            <w:noWrap/>
          </w:tcPr>
          <w:p w:rsidR="00DF0C7F" w:rsidRPr="00CB1818" w:rsidRDefault="00DF0C7F" w:rsidP="009E7D5E">
            <w:pPr>
              <w:pStyle w:val="TabelleText"/>
            </w:pPr>
          </w:p>
        </w:tc>
        <w:tc>
          <w:tcPr>
            <w:tcW w:w="1515" w:type="dxa"/>
            <w:noWrap/>
          </w:tcPr>
          <w:p w:rsidR="00DF0C7F" w:rsidRPr="00CB1818" w:rsidRDefault="00DF0C7F" w:rsidP="009E7D5E">
            <w:pPr>
              <w:pStyle w:val="TabelleText"/>
            </w:pPr>
          </w:p>
        </w:tc>
        <w:tc>
          <w:tcPr>
            <w:tcW w:w="1531" w:type="dxa"/>
            <w:noWrap/>
            <w:hideMark/>
          </w:tcPr>
          <w:p w:rsidR="00DF0C7F" w:rsidRPr="00CB1818" w:rsidRDefault="00DF0C7F" w:rsidP="009E7D5E">
            <w:pPr>
              <w:pStyle w:val="TabelleText"/>
            </w:pPr>
          </w:p>
        </w:tc>
        <w:tc>
          <w:tcPr>
            <w:tcW w:w="2389" w:type="dxa"/>
            <w:noWrap/>
            <w:hideMark/>
          </w:tcPr>
          <w:p w:rsidR="00DF0C7F" w:rsidRPr="00CB1818" w:rsidRDefault="00DF0C7F" w:rsidP="009E7D5E">
            <w:pPr>
              <w:pStyle w:val="TabelleText"/>
              <w:rPr>
                <w:bCs/>
              </w:rPr>
            </w:pPr>
            <w:r>
              <w:t>283 906,06</w:t>
            </w:r>
          </w:p>
        </w:tc>
      </w:tr>
    </w:tbl>
    <w:p w:rsidR="00E83886" w:rsidRPr="00CB1818" w:rsidRDefault="00E83886" w:rsidP="00F74CC4">
      <w:pPr>
        <w:pStyle w:val="berschriftarabischBegrndung"/>
      </w:pPr>
      <w:r>
        <w:t>Autres coûts</w:t>
      </w:r>
    </w:p>
    <w:p w:rsidR="00843D7C" w:rsidRPr="00CB1818" w:rsidRDefault="00843D7C" w:rsidP="00F74CC4">
      <w:pPr>
        <w:pStyle w:val="Text"/>
      </w:pPr>
      <w:r>
        <w:t>Les modifications proposées entraînent également des coûts pour les administrations judiciaires locales et les tribunaux.</w:t>
      </w:r>
    </w:p>
    <w:p w:rsidR="00843D7C" w:rsidRPr="00CB1818" w:rsidRDefault="00843D7C" w:rsidP="00F74CC4">
      <w:pPr>
        <w:pStyle w:val="Text"/>
      </w:pPr>
      <w:r>
        <w:t>On peut donc s’attendre à ce qu’en raison des nouveaux pouvoirs de contrôle de l’Office fédéral de la justice, il y ait en moyenne cinq procédures judiciaires administratives par an au cours desquelles la légalité d’une décision serait contestée. Chacune de ces procédures est susceptible d’être plus complexe, de sorte qu’on estime largement que le besoin supplémentaire en personnel serait de 0,2 poste R1.</w:t>
      </w:r>
    </w:p>
    <w:p w:rsidR="00B32668" w:rsidRPr="00CB1818" w:rsidRDefault="00843D7C" w:rsidP="00F74CC4">
      <w:pPr>
        <w:pStyle w:val="Text"/>
      </w:pPr>
      <w:r>
        <w:t>En outre, on estime qu’en raison de la nouvelle réglementation de l’article 14, paragraphes 3 et 4 TMG, des procédures d’information correspondantes seront de plus en plus engagées. 250 procédures supplémentaires sont attendues ici chaque année. Toutefois, l’association à l’avenir de la fourniture d’informations et de la déclaration d’obligation correspondante permettra également de réaliser des économies (la procédure ne doit plus être effectuée en deux étapes). Un besoin supplémentaire de 0,5 poste R1 est attendu.</w:t>
      </w:r>
    </w:p>
    <w:p w:rsidR="00843D7C" w:rsidRPr="00CB1818" w:rsidRDefault="00843D7C" w:rsidP="005B260B">
      <w:pPr>
        <w:pStyle w:val="Text"/>
        <w:keepNext/>
      </w:pPr>
      <w:r>
        <w:t>L’estimation globale est la suivante:</w:t>
      </w:r>
    </w:p>
    <w:tbl>
      <w:tblPr>
        <w:tblStyle w:val="Tabellenraster4"/>
        <w:tblW w:w="0" w:type="auto"/>
        <w:tblLook w:val="04A0" w:firstRow="1" w:lastRow="0" w:firstColumn="1" w:lastColumn="0" w:noHBand="0" w:noVBand="1"/>
      </w:tblPr>
      <w:tblGrid>
        <w:gridCol w:w="1838"/>
        <w:gridCol w:w="992"/>
        <w:gridCol w:w="3753"/>
        <w:gridCol w:w="2196"/>
      </w:tblGrid>
      <w:tr w:rsidR="00843D7C" w:rsidRPr="00CB1818" w:rsidTr="009E7D5E">
        <w:tc>
          <w:tcPr>
            <w:tcW w:w="1838" w:type="dxa"/>
          </w:tcPr>
          <w:p w:rsidR="00843D7C" w:rsidRPr="00CB1818" w:rsidRDefault="00A37647" w:rsidP="005B260B">
            <w:pPr>
              <w:pStyle w:val="TabelleText"/>
              <w:keepNext/>
            </w:pPr>
            <w:r>
              <w:t>Fonction et service</w:t>
            </w:r>
          </w:p>
        </w:tc>
        <w:tc>
          <w:tcPr>
            <w:tcW w:w="992" w:type="dxa"/>
          </w:tcPr>
          <w:p w:rsidR="00843D7C" w:rsidRPr="00CB1818" w:rsidRDefault="00843D7C" w:rsidP="005B260B">
            <w:pPr>
              <w:pStyle w:val="TabelleText"/>
              <w:keepNext/>
            </w:pPr>
            <w:r>
              <w:t>Postes</w:t>
            </w:r>
          </w:p>
        </w:tc>
        <w:tc>
          <w:tcPr>
            <w:tcW w:w="3753" w:type="dxa"/>
          </w:tcPr>
          <w:p w:rsidR="00843D7C" w:rsidRPr="00CB1818" w:rsidRDefault="00843D7C" w:rsidP="005B260B">
            <w:pPr>
              <w:pStyle w:val="TabelleText"/>
              <w:keepNext/>
            </w:pPr>
            <w:r>
              <w:t>Dépenses de personnel par poste/année, y compris forfait de dépenses de matériel (euro)</w:t>
            </w:r>
          </w:p>
        </w:tc>
        <w:tc>
          <w:tcPr>
            <w:tcW w:w="2196" w:type="dxa"/>
          </w:tcPr>
          <w:p w:rsidR="00843D7C" w:rsidRPr="00CB1818" w:rsidRDefault="00843D7C" w:rsidP="005B260B">
            <w:pPr>
              <w:pStyle w:val="TabelleText"/>
              <w:keepNext/>
            </w:pPr>
            <w:r>
              <w:t>Dépenses de personnel totales (euro)</w:t>
            </w:r>
          </w:p>
        </w:tc>
      </w:tr>
      <w:tr w:rsidR="00843D7C" w:rsidRPr="00CB1818" w:rsidTr="009E7D5E">
        <w:tc>
          <w:tcPr>
            <w:tcW w:w="1838" w:type="dxa"/>
          </w:tcPr>
          <w:p w:rsidR="00843D7C" w:rsidRPr="00CB1818" w:rsidRDefault="00843D7C" w:rsidP="009E7D5E">
            <w:pPr>
              <w:pStyle w:val="TabelleText"/>
            </w:pPr>
            <w:r>
              <w:t>R1</w:t>
            </w:r>
          </w:p>
        </w:tc>
        <w:tc>
          <w:tcPr>
            <w:tcW w:w="992" w:type="dxa"/>
          </w:tcPr>
          <w:p w:rsidR="00843D7C" w:rsidRPr="00CB1818" w:rsidRDefault="00843D7C" w:rsidP="009E7D5E">
            <w:pPr>
              <w:pStyle w:val="TabelleText"/>
            </w:pPr>
            <w:r>
              <w:t>0,7</w:t>
            </w:r>
          </w:p>
        </w:tc>
        <w:tc>
          <w:tcPr>
            <w:tcW w:w="3753" w:type="dxa"/>
          </w:tcPr>
          <w:p w:rsidR="00843D7C" w:rsidRPr="00CB1818" w:rsidRDefault="00510B9D" w:rsidP="009E7D5E">
            <w:pPr>
              <w:pStyle w:val="TabelleText"/>
            </w:pPr>
            <w:r>
              <w:t>environ 90 000,00</w:t>
            </w:r>
          </w:p>
        </w:tc>
        <w:tc>
          <w:tcPr>
            <w:tcW w:w="2196" w:type="dxa"/>
          </w:tcPr>
          <w:p w:rsidR="00843D7C" w:rsidRPr="00CB1818" w:rsidRDefault="00843D7C" w:rsidP="009E7D5E">
            <w:pPr>
              <w:pStyle w:val="TabelleText"/>
            </w:pPr>
            <w:r>
              <w:t xml:space="preserve">63 000 </w:t>
            </w:r>
          </w:p>
        </w:tc>
      </w:tr>
    </w:tbl>
    <w:p w:rsidR="00843D7C" w:rsidRPr="00CB1818" w:rsidRDefault="009E7D5E" w:rsidP="00382B89">
      <w:pPr>
        <w:pStyle w:val="AufzhlungStufe1"/>
      </w:pPr>
      <w:r>
        <w:t>Total: 63 000</w:t>
      </w:r>
      <w:r w:rsidR="00C3547E">
        <w:t xml:space="preserve"> </w:t>
      </w:r>
      <w:r>
        <w:t>EUR.</w:t>
      </w:r>
    </w:p>
    <w:p w:rsidR="00E83886" w:rsidRPr="00CB1818" w:rsidRDefault="00E83886">
      <w:pPr>
        <w:pStyle w:val="berschriftarabischBegrndung"/>
      </w:pPr>
      <w:r>
        <w:t>Autre impact de la loi</w:t>
      </w:r>
    </w:p>
    <w:p w:rsidR="00D63D6D" w:rsidRPr="00CB1818" w:rsidRDefault="00D63D6D" w:rsidP="00D63D6D">
      <w:pPr>
        <w:pStyle w:val="Text"/>
      </w:pPr>
      <w:r>
        <w:t>Le projet a un impact en matière de politique d'égalité entre les femmes et les hommes. Le projet contribue à lutter plus efficacement contre les discriminations fondées sur le sexe à travers les crimes inspirés par la haine et d'autres contenus illicites sur les plateformes des réseaux sociaux.</w:t>
      </w:r>
    </w:p>
    <w:p w:rsidR="00E83886" w:rsidRPr="00CB1818" w:rsidRDefault="00E83886">
      <w:pPr>
        <w:pStyle w:val="berschriftrmischBegrndung"/>
      </w:pPr>
      <w:r>
        <w:t>Limitation dans le temps et évaluation</w:t>
      </w:r>
    </w:p>
    <w:p w:rsidR="003C2DC8" w:rsidRPr="00CB1818" w:rsidRDefault="00605E53" w:rsidP="00605E53">
      <w:pPr>
        <w:pStyle w:val="Text"/>
      </w:pPr>
      <w:r>
        <w:t xml:space="preserve">La présente loi sera évaluée au plus tard cinq ans après son entrée en vigueur. Il s’agit de déterminer si et dans quelle mesure les effets escomptés sur les fournisseurs répertoriés ont été atteints. Cela comprend, en particulier, les questions de savoir si le contenu d’information requis des rapports de transparence a été atteint, si les canaux de signalement pour la transmission des plaintes concernant le contenu illégal ont été conçus conformément aux clarifications de l’article 3, paragraphe 1, phrase 2 de la NetzDG et si les possibilités de règlement des litiges avec les fournisseurs se sont améliorées. De plus, on analysera comment les charges d’exécution ont évolué pour le secteur économique et l’administration et si l’évolution est proportionnée par rapport aux effets constatés de la réglementation. L’évaluation inclura la question des effets secondaires involontaires ainsi que de l’acceptation et de l’applicabilité des réglementations. </w:t>
      </w:r>
    </w:p>
    <w:p w:rsidR="003C2DC8" w:rsidRPr="00CB1818" w:rsidRDefault="003C2DC8" w:rsidP="00605E53">
      <w:pPr>
        <w:pStyle w:val="Text"/>
      </w:pPr>
      <w:r>
        <w:t>La mesure dans laquelle les objectifs de la loi seront atteints devra être déterminée sur la base de divers critères. Dans le cadre de l’évaluation, il convient d’examiner en particulier les modifications apportées par les fournisseurs dans la conception des canaux de signalement pour la transmission des plaintes concernant les contenus illégaux. En outre, si et avec quelles informations les rapports de transparence sont complétés. Il convient également de prendre en compte si et dans quelle mesure les procédures d’appel et les organismes d’arbitrage sont utilisés et dans quelle mesure les personnes habilitées à recevoir des actes judiciaires sont sollicitées conformément à l’article 5, paragraphe 1, de la NetzDG pour faire valoir plaintes pour restauration. Un autre critère sera de savoir si la nouvelle réglementation de la procédure d’information conformément à l’article 14, paragraphes 3 et 4 de la TMG conduit à la clarification des informations correspondantes dans une procédure uniforme.</w:t>
      </w:r>
    </w:p>
    <w:p w:rsidR="003C2DC8" w:rsidRPr="00CB1818" w:rsidRDefault="00F36013" w:rsidP="00F36013">
      <w:pPr>
        <w:pStyle w:val="Text"/>
      </w:pPr>
      <w:r>
        <w:t>L’évaluation devrait être basée sur différentes bases de données. Des conclusions importantes ressortiront des enquêtes et procédures de l’Office fédéral de la justice. Enfin, on tiendra tout particulièrement compte des retours des groupes concernés, en particulier des fournisseurs de services de réseaux sociaux et de plates-formes de partage de vidéos, ainsi que de ceux affectés par des contenus illégaux ou de leurs représentants ou organisations correspondantes. De plus, on tiendra également compte des retours des services répressifs, de l’évaluation des décisions judiciaires et des conclusions des acteurs de la science et de la recherche sont également pertinentes. Les études empiriques doivent être prises en compte dans une mesure appropriée.</w:t>
      </w:r>
    </w:p>
    <w:p w:rsidR="00605E53" w:rsidRPr="00CB1818" w:rsidRDefault="00E112F4" w:rsidP="00605E53">
      <w:pPr>
        <w:pStyle w:val="Text"/>
      </w:pPr>
      <w:r>
        <w:t>Il n’est pas prévu de limitier la durée d’application de la loi. On tient compte du fait que les modifications de la NetzDG servent partiellement à transposer la directive SMAV et que les ajouts visent à éliminer les déficits qui ne sont que temporaires et non prévisibles.</w:t>
      </w:r>
    </w:p>
    <w:p w:rsidR="00E83886" w:rsidRPr="00CB1818" w:rsidRDefault="00E83886" w:rsidP="000822D2">
      <w:pPr>
        <w:pStyle w:val="BegrndungBesondererTeil"/>
      </w:pPr>
      <w:r>
        <w:t>B. Partie spécifique</w:t>
      </w:r>
    </w:p>
    <w:p w:rsidR="00C7339D" w:rsidRPr="00CB1818" w:rsidRDefault="00C7339D" w:rsidP="00C7339D">
      <w:pPr>
        <w:pStyle w:val="VerweisBegrndung"/>
      </w:pPr>
      <w:r>
        <w:t>Concernant l’</w:t>
      </w:r>
      <w:r>
        <w:rPr>
          <w:rStyle w:val="Binnenverweis"/>
        </w:rPr>
        <w:t>article 1er</w:t>
      </w:r>
      <w:r>
        <w:t xml:space="preserve"> (modification de la loi d’application du droit aux réseaux sociaux)</w:t>
      </w:r>
    </w:p>
    <w:p w:rsidR="00B152DE" w:rsidRPr="00CB1818" w:rsidRDefault="00B152DE" w:rsidP="00B152DE">
      <w:pPr>
        <w:pStyle w:val="VerweisBegrndung"/>
      </w:pPr>
      <w:r>
        <w:t xml:space="preserve">Concernant le </w:t>
      </w:r>
      <w:r>
        <w:rPr>
          <w:rStyle w:val="Binnenverweis"/>
        </w:rPr>
        <w:t>point 1</w:t>
      </w:r>
    </w:p>
    <w:p w:rsidR="00B152DE" w:rsidRPr="00CB1818" w:rsidRDefault="00951270" w:rsidP="00B152DE">
      <w:pPr>
        <w:pStyle w:val="Text"/>
      </w:pPr>
      <w:r>
        <w:t>Les réseaux sociaux plus petits sont exemptés des obligations en vertu de l’article 3 de la NetzDG (traitement des plaintes concernant les contenus illégaux). Cela devrait rester inchangé. À cet égard, il convient de préciser que l’ajout d’une procédure d’appel proposé à la NetzDG (article 3b de la NetzDG dans le présent projet), qui se fonde sur les obligations prévues à l’article 3 de la NetzDG, ne s’applique pas aux réseaux sociaux plus petits au sens de l’article 1er, paragraphe 2 de la NetzDG.</w:t>
      </w:r>
    </w:p>
    <w:p w:rsidR="00C7339D" w:rsidRPr="00CB1818" w:rsidRDefault="00C7339D" w:rsidP="00C7339D">
      <w:pPr>
        <w:pStyle w:val="VerweisBegrndung"/>
      </w:pPr>
      <w:r>
        <w:t xml:space="preserve">Concernant le </w:t>
      </w:r>
      <w:r>
        <w:rPr>
          <w:rStyle w:val="Binnenverweis"/>
        </w:rPr>
        <w:t>point 2</w:t>
      </w:r>
    </w:p>
    <w:p w:rsidR="003768E4" w:rsidRPr="00CB1818" w:rsidRDefault="00C7339D" w:rsidP="003768E4">
      <w:pPr>
        <w:pStyle w:val="VerweisBegrndung"/>
        <w:rPr>
          <w:rStyle w:val="Marker"/>
          <w:color w:val="auto"/>
        </w:rPr>
      </w:pPr>
      <w:r>
        <w:t xml:space="preserve">Concernant la </w:t>
      </w:r>
      <w:r>
        <w:rPr>
          <w:rStyle w:val="Binnenverweis"/>
        </w:rPr>
        <w:t>lettre a</w:t>
      </w:r>
    </w:p>
    <w:p w:rsidR="003768E4" w:rsidRPr="00CB1818" w:rsidRDefault="003768E4" w:rsidP="005013C1">
      <w:pPr>
        <w:pStyle w:val="Text"/>
        <w:rPr>
          <w:rStyle w:val="Marker"/>
          <w:color w:val="auto"/>
        </w:rPr>
      </w:pPr>
      <w:r>
        <w:rPr>
          <w:rStyle w:val="Marker"/>
          <w:color w:val="auto"/>
        </w:rPr>
        <w:t>Compte tenu de leur grande importance pour la formation de l’opinion publique et du discours social, et du fait que de nombreux citoyens dépendent de facto des grands réseaux sociaux pour la communication et la participation au discours public, leurs fournisseurs ont une responsabilité particulière. Cela s’applique également à la question de savoir comment le contenu qui y est diffusé est traité et comment les fournisseurs privés assurent la transparence pour le grand public. En particulier, la manière dont le fournisseur traite les plaintes concernant les contenus illégaux et la manière dont les décisions concernant les restrictions à la distribution des contenus sont prises préoccupent considérablement le public. Cela fournit des informations sur la mesure dans laquelle le contenu criminel est diffusé et signalé, le traitement par les fournisseurs et les efforts déployés pour protéger la liberté d’expression lors de l’examen des signalements correspondants.</w:t>
      </w:r>
    </w:p>
    <w:p w:rsidR="00C718DA" w:rsidRPr="00CB1818" w:rsidRDefault="005013C1" w:rsidP="005013C1">
      <w:pPr>
        <w:pStyle w:val="Text"/>
        <w:rPr>
          <w:rStyle w:val="Marker"/>
          <w:color w:val="auto"/>
        </w:rPr>
      </w:pPr>
      <w:r>
        <w:rPr>
          <w:rStyle w:val="Marker"/>
          <w:color w:val="auto"/>
        </w:rPr>
        <w:t>En complétant l’article 2, paragraphe 2 de la NetzDG avec une nouvelle obligation de fournir des informations conformément au point 2, il sera nécessaire à l’avenir d’informer, entre autres, sur les principes de base du fonctionnement des procédures d’identification automatisée des contenus qui devraient être supprimés ou bloqués (si nécessaire, après un nouveau contrôle). Les grands fournisseurs de réseaux sociaux signalent que certaines des méthodes sont déjà utilisées aujourd’hui. La nouvelle l’obligation d’information n’impose donc pas l’utilisation de systèmes appropriés, et la NetzDG n’exige pas une telle utilisation ailleurs (la NetzDG ne prévoit aucune obligation de suppression des copies ou de filtrage des téléchargements). La NetzDG ne contient également aucune déclaration sur la recevabilité de l’application de telles procédures.</w:t>
      </w:r>
    </w:p>
    <w:p w:rsidR="005013C1" w:rsidRPr="00CB1818" w:rsidRDefault="00E01936" w:rsidP="005013C1">
      <w:pPr>
        <w:pStyle w:val="Text"/>
        <w:rPr>
          <w:rStyle w:val="Marker"/>
          <w:color w:val="auto"/>
        </w:rPr>
      </w:pPr>
      <w:r>
        <w:rPr>
          <w:rStyle w:val="Marker"/>
          <w:color w:val="auto"/>
        </w:rPr>
        <w:t xml:space="preserve">L’exigence de transparence comprend le contenu, dont la diffusion peut enfreindre les normes pénales ou d’autres lois, ainsi que le contenu qui, du point de vue du fournisseur, viole les relations contractuelles avec les utilisateurs. Cela tient compte du fait que, dans un passé récent, des rapports ont fait état de progrès significatifs dans la détection automatisée des contenus interdits et recommandé que le public soit informé de façon centralisée. Par exemple, les informations fournies par les principaux fournisseurs indiquent qu’une grande partie des suppressions pour cause de violations de leurs propres normes communautaires ou de ce que l’on appelle les lignes directrices communautaires peuvent être attribuées à la reconnaissance automatique des contenus (voir YouTube: </w:t>
      </w:r>
      <w:r>
        <w:rPr>
          <w:rStyle w:val="Hyperlink"/>
        </w:rPr>
        <w:t>Https://transparencyreport.google.com/youtube-policy/removals?hl=de</w:t>
      </w:r>
      <w:r>
        <w:rPr>
          <w:rStyle w:val="Marker"/>
          <w:color w:val="auto"/>
        </w:rPr>
        <w:t xml:space="preserve">; et Facebook pour le contenu classé comme «Hate Speech»: </w:t>
      </w:r>
      <w:r>
        <w:rPr>
          <w:rStyle w:val="Hyperlink"/>
        </w:rPr>
        <w:t>https://transparency.facebook.com/community-standards-enforcement#hate-speech</w:t>
      </w:r>
      <w:r>
        <w:rPr>
          <w:rStyle w:val="Marker"/>
          <w:color w:val="auto"/>
        </w:rPr>
        <w:t>). Jusqu’à présent, le grand public ignorait en grande partie l’utilisation, la portée et la fonctionnalité des procédures correspondantes. Compte tenu de l’importance particulière des grands fournisseurs de réseaux sociaux couverts par l’article 2 de la NetzDG pour le discours public des citoyens sur le net, la société dans son ensemble s’intéresse beaucoup au contexte et au fonctionnement des procédures automatisées en la matière.</w:t>
      </w:r>
    </w:p>
    <w:p w:rsidR="00C535E7" w:rsidRPr="00CB1818" w:rsidRDefault="00892542" w:rsidP="005013C1">
      <w:pPr>
        <w:pStyle w:val="Text"/>
        <w:rPr>
          <w:rStyle w:val="Marker"/>
          <w:color w:val="auto"/>
        </w:rPr>
      </w:pPr>
      <w:r>
        <w:rPr>
          <w:rStyle w:val="Marker"/>
          <w:color w:val="auto"/>
        </w:rPr>
        <w:t>Il est nécessaire de rendre compte du type de procédures utilisées, par exemple des systèmes techniques. Il est également nécessaire de rendre compte des principes de base du fonctionnement des procédures. Les aspects de base de la fonctionnalité incluent des informations sur les critères utilisés pour identifier les contenus, si les systèmes sont auto-apprenants et le contrôle de l’utilisation. Les informations sur la portée incluent notamment des informations sur les catégories de contenu (par exemple, texte, images, etc.) et les parties du service concernées.</w:t>
      </w:r>
    </w:p>
    <w:p w:rsidR="00C718DA" w:rsidRPr="00CB1818" w:rsidRDefault="00C718DA" w:rsidP="00C718DA">
      <w:pPr>
        <w:pStyle w:val="Text"/>
        <w:rPr>
          <w:rStyle w:val="Marker"/>
          <w:color w:val="auto"/>
        </w:rPr>
      </w:pPr>
      <w:r>
        <w:rPr>
          <w:rStyle w:val="Marker"/>
          <w:color w:val="auto"/>
        </w:rPr>
        <w:t>La sélection des données d’apprentissage des systèmes utilisés joue un rôle déterminant pour la fonctionnalité. Les fournisseurs devraient donc également fournir des informations générales sur la sélection et la qualité des données de formation afin d’identifier tout effet discriminatoire.</w:t>
      </w:r>
    </w:p>
    <w:p w:rsidR="00C718DA" w:rsidRPr="00CB1818" w:rsidRDefault="00C718DA" w:rsidP="00C718DA">
      <w:pPr>
        <w:pStyle w:val="Text"/>
        <w:rPr>
          <w:rStyle w:val="Marker"/>
          <w:color w:val="auto"/>
        </w:rPr>
      </w:pPr>
      <w:r>
        <w:rPr>
          <w:rStyle w:val="Marker"/>
          <w:color w:val="auto"/>
        </w:rPr>
        <w:t>Les informations sur le contrôle des résultats des procédures correspondantes par le fournisseur doivent contenir des informations, le cas échéant, sur les procédures que le fournisseur utilise pour l’assurance ou l’évaluation de la qualité, et sur les objectifs à poursuivre. Cela peut comprendre des mesures visant à prévenir la discrimination fondée sur certaines caractéristiques. Il est également nécessaire d’indiquer dans quelle mesure les résultats sont vérifiés, en particulier dans quelle mesure les employés sont impliqués («human oversight»).</w:t>
      </w:r>
    </w:p>
    <w:p w:rsidR="003D6C68" w:rsidRPr="00CB1818" w:rsidRDefault="00C535E7" w:rsidP="005013C1">
      <w:pPr>
        <w:pStyle w:val="Text"/>
        <w:rPr>
          <w:rStyle w:val="Marker"/>
          <w:color w:val="auto"/>
        </w:rPr>
      </w:pPr>
      <w:r>
        <w:rPr>
          <w:rStyle w:val="Marker"/>
          <w:color w:val="auto"/>
        </w:rPr>
        <w:t>Comme il s’agit d’informations destinées à un large public, les informations ne peuvent être que des informations de base sous une forme généralement compréhensible. Les secrets d’affaires n’ont pas besoin d’être révélés.</w:t>
      </w:r>
    </w:p>
    <w:p w:rsidR="00C535E7" w:rsidRPr="00CB1818" w:rsidRDefault="00510B9D" w:rsidP="005013C1">
      <w:pPr>
        <w:pStyle w:val="Text"/>
        <w:rPr>
          <w:rStyle w:val="Marker"/>
          <w:color w:val="auto"/>
        </w:rPr>
      </w:pPr>
      <w:r>
        <w:rPr>
          <w:rStyle w:val="Marker"/>
          <w:color w:val="auto"/>
        </w:rPr>
        <w:t>En outre, il est essentiel que les acteurs de la science et de la recherche puissent comprendre l’utilisation de procédures pour la reconnaissance automatisée des contenus sur les plateformes pertinentes pour le discours public. L’article 2, paragraphe 2, point 2 de la NetzDG prévoit donc que les fournisseurs indiquent si et dans quelle mesure les acteurs de la science et de la recherche reçoivent des informations appropriées.</w:t>
      </w:r>
    </w:p>
    <w:p w:rsidR="0028765E" w:rsidRPr="00CB1818" w:rsidRDefault="0028765E" w:rsidP="005013C1">
      <w:pPr>
        <w:pStyle w:val="Text"/>
        <w:rPr>
          <w:rStyle w:val="Marker"/>
          <w:color w:val="auto"/>
        </w:rPr>
      </w:pPr>
      <w:r>
        <w:rPr>
          <w:rStyle w:val="Marker"/>
          <w:color w:val="auto"/>
        </w:rPr>
        <w:t>En raison de la nouvelle version de l’obligation d’information actuelle conformément à l’article 2, paragraphe 2, point 2 de la NetzDG dans la nouvelle version de l’article 2, paragraphe 2, point 3 de la NetzDG, il sera également nécessaire de faire état du déroulement de l’examen des plaintes concernant des contenus illégaux, en particulier dans quel ordre et selon quelles normes de test les contrôles sont effectués (par exemple les directives communautaires ou les normes communautaires et exigences légales).</w:t>
      </w:r>
    </w:p>
    <w:p w:rsidR="00C7339D" w:rsidRPr="00CB1818" w:rsidRDefault="00C7339D" w:rsidP="00C7339D">
      <w:pPr>
        <w:pStyle w:val="VerweisBegrndung"/>
      </w:pPr>
      <w:r>
        <w:t xml:space="preserve">Concernant le </w:t>
      </w:r>
      <w:r>
        <w:rPr>
          <w:rStyle w:val="Binnenverweis"/>
        </w:rPr>
        <w:t>lettre b</w:t>
      </w:r>
    </w:p>
    <w:p w:rsidR="0028765E" w:rsidRPr="00CB1818" w:rsidRDefault="0028765E" w:rsidP="005013C1">
      <w:pPr>
        <w:pStyle w:val="Text"/>
        <w:rPr>
          <w:rStyle w:val="Marker"/>
          <w:color w:val="auto"/>
        </w:rPr>
      </w:pPr>
      <w:r>
        <w:rPr>
          <w:rStyle w:val="Marker"/>
          <w:color w:val="auto"/>
        </w:rPr>
        <w:t>Il s’agit ici de modifications rédactionnelles consécutives.</w:t>
      </w:r>
    </w:p>
    <w:p w:rsidR="00C7339D" w:rsidRPr="00CB1818" w:rsidRDefault="00C7339D" w:rsidP="00C7339D">
      <w:pPr>
        <w:pStyle w:val="VerweisBegrndung"/>
      </w:pPr>
      <w:r>
        <w:t xml:space="preserve">Concernant la </w:t>
      </w:r>
      <w:r>
        <w:rPr>
          <w:rStyle w:val="Binnenverweis"/>
        </w:rPr>
        <w:t>lettre c</w:t>
      </w:r>
    </w:p>
    <w:p w:rsidR="005013C1" w:rsidRPr="00CB1818" w:rsidRDefault="005013C1" w:rsidP="005013C1">
      <w:pPr>
        <w:pStyle w:val="Text"/>
        <w:rPr>
          <w:rStyle w:val="Marker"/>
          <w:color w:val="auto"/>
        </w:rPr>
      </w:pPr>
      <w:r>
        <w:rPr>
          <w:rStyle w:val="Marker"/>
          <w:color w:val="auto"/>
        </w:rPr>
        <w:t>L’ajout à l’article 2, paragraphe 2, point 7 de la NetzDG stipule clairement que le nombre total de contenus supprimés ou bloqués en raison de plaintes concernant des contenus illégaux doit également être indiqué.</w:t>
      </w:r>
    </w:p>
    <w:p w:rsidR="00AF124E" w:rsidRPr="00CB1818" w:rsidRDefault="005013C1" w:rsidP="005013C1">
      <w:pPr>
        <w:pStyle w:val="Text"/>
        <w:rPr>
          <w:rStyle w:val="Marker"/>
          <w:color w:val="auto"/>
        </w:rPr>
      </w:pPr>
      <w:r>
        <w:rPr>
          <w:rStyle w:val="Marker"/>
          <w:color w:val="auto"/>
        </w:rPr>
        <w:t>En outre, l’obligation d'information est complétée par l’obligation de signaler le nombre de cas dans lesquels une suppression ou un blocage suite à une plainte concernant un contenu illégal a déjà été effectué en raison d’une violation reconnue de la relation contractuelle entre le fournisseur de réseau social et l’utilisateur (par exemple, violation des directives dites communautaires). Jusqu’à présent, cette obligation d'information n’existe pas. Conjointement avec la modification de l’article 2, paragraphe 2, point 3 de la NetzDG, l’objectif est de clarifier la manière dont les fournisseurs traitent les plaintes concernant le contenu illégal en interne et pour quelles raisons les contenus sont supprimés ou bloqués.</w:t>
      </w:r>
    </w:p>
    <w:p w:rsidR="00AF124E" w:rsidRPr="00CB1818" w:rsidRDefault="005013C1" w:rsidP="005013C1">
      <w:pPr>
        <w:pStyle w:val="Text"/>
        <w:rPr>
          <w:rStyle w:val="Marker"/>
          <w:color w:val="auto"/>
        </w:rPr>
      </w:pPr>
      <w:r>
        <w:rPr>
          <w:rStyle w:val="Marker"/>
          <w:color w:val="auto"/>
        </w:rPr>
        <w:t>L’obligation d'information nouvellement introduite ne s’applique qu’aux cas dans lesquels une plainte pour contenu illégal a été déposée, a été vérifiée selon les critères de la relation contractuelle et a déjà conduit à la suppression ou au blocage de ce contrôle.</w:t>
      </w:r>
    </w:p>
    <w:p w:rsidR="00C7339D" w:rsidRPr="00CB1818" w:rsidRDefault="00C7339D" w:rsidP="00C7339D">
      <w:pPr>
        <w:pStyle w:val="VerweisBegrndung"/>
      </w:pPr>
      <w:r>
        <w:t xml:space="preserve">Concernant la </w:t>
      </w:r>
      <w:r>
        <w:rPr>
          <w:rStyle w:val="Binnenverweis"/>
        </w:rPr>
        <w:t>lettre d</w:t>
      </w:r>
    </w:p>
    <w:p w:rsidR="005013C1" w:rsidRPr="00CB1818" w:rsidRDefault="005013C1" w:rsidP="005013C1">
      <w:pPr>
        <w:pStyle w:val="Text"/>
        <w:rPr>
          <w:rStyle w:val="Marker"/>
          <w:color w:val="auto"/>
        </w:rPr>
      </w:pPr>
      <w:r>
        <w:rPr>
          <w:rStyle w:val="Marker"/>
          <w:color w:val="auto"/>
        </w:rPr>
        <w:t>Le nouveau libellé de l’article 2, paragraphe 2, point 8 de la NetzDG à l’article 2, paragraphe 2, point 9 de la NetzDG précise que la présentation différenciée des durées (dans les 24 heures, dans les 48 heures, dans la semaine, à une date ultérieure) qui s’écoule entre la réception des plaintes et la suppression ou le blocage devrait être claire pour toutes les plaintes reçues au cours de la période de référence. Cela donne (sans différenciation selon le motif de la plainte ou le plaignant) un aperçu du délai du traitement de toutes les plaintes, à condition qu’elles aient été supprimées ou bloquées.</w:t>
      </w:r>
    </w:p>
    <w:p w:rsidR="005013C1" w:rsidRPr="00CB1818" w:rsidRDefault="005013C1" w:rsidP="005013C1">
      <w:pPr>
        <w:pStyle w:val="Text"/>
        <w:rPr>
          <w:rStyle w:val="Marker"/>
          <w:color w:val="auto"/>
        </w:rPr>
      </w:pPr>
      <w:r>
        <w:rPr>
          <w:rStyle w:val="Marker"/>
          <w:color w:val="auto"/>
        </w:rPr>
        <w:t>En outre, un tel aperçu de la totalité de toutes les plaintes reçues au cours de la période de référence (sans précision du motif de la plainte) devrait être classé en fonction du plaignant (utilisateur ou bureau des plaintes).</w:t>
      </w:r>
    </w:p>
    <w:p w:rsidR="005013C1" w:rsidRPr="00CB1818" w:rsidRDefault="006B1C31" w:rsidP="005013C1">
      <w:pPr>
        <w:pStyle w:val="Text"/>
        <w:rPr>
          <w:rStyle w:val="Marker"/>
          <w:color w:val="auto"/>
        </w:rPr>
      </w:pPr>
      <w:r>
        <w:rPr>
          <w:rStyle w:val="Marker"/>
          <w:color w:val="auto"/>
        </w:rPr>
        <w:t>De plus, un aperçu des plaintes des utilisateurs par période doit être différencié en fonction du motif de la plainte. Enfin, un tel aperçu devrait également être fourni pour les plaintes émanant des organismes de plainte, classées selon le motif de la plainte.</w:t>
      </w:r>
    </w:p>
    <w:p w:rsidR="00C7339D" w:rsidRPr="00CB1818" w:rsidRDefault="00C7339D" w:rsidP="00C7339D">
      <w:pPr>
        <w:pStyle w:val="VerweisBegrndung"/>
      </w:pPr>
      <w:r>
        <w:t xml:space="preserve">Concernant la </w:t>
      </w:r>
      <w:r>
        <w:rPr>
          <w:rStyle w:val="Binnenverweis"/>
        </w:rPr>
        <w:t>lettre e</w:t>
      </w:r>
    </w:p>
    <w:p w:rsidR="00C7339D" w:rsidRPr="00CB1818" w:rsidRDefault="00325F59" w:rsidP="00C7339D">
      <w:pPr>
        <w:pStyle w:val="Text"/>
        <w:rPr>
          <w:rStyle w:val="Marker"/>
          <w:color w:val="auto"/>
        </w:rPr>
      </w:pPr>
      <w:r>
        <w:rPr>
          <w:rStyle w:val="Marker"/>
          <w:color w:val="auto"/>
        </w:rPr>
        <w:t>Il s’agit d’une modification rédactionnelle.</w:t>
      </w:r>
    </w:p>
    <w:p w:rsidR="00C7339D" w:rsidRPr="00CB1818" w:rsidRDefault="00C7339D" w:rsidP="00C7339D">
      <w:pPr>
        <w:pStyle w:val="VerweisBegrndung"/>
      </w:pPr>
      <w:r>
        <w:t xml:space="preserve">Concernant la </w:t>
      </w:r>
      <w:r>
        <w:rPr>
          <w:rStyle w:val="Binnenverweis"/>
        </w:rPr>
        <w:t>lettre f</w:t>
      </w:r>
    </w:p>
    <w:p w:rsidR="005B0C0E" w:rsidRPr="00CB1818" w:rsidRDefault="00325F59" w:rsidP="001318B0">
      <w:pPr>
        <w:pStyle w:val="Text"/>
        <w:rPr>
          <w:rStyle w:val="Marker"/>
          <w:color w:val="auto"/>
        </w:rPr>
      </w:pPr>
      <w:r>
        <w:rPr>
          <w:rStyle w:val="Marker"/>
          <w:color w:val="auto"/>
        </w:rPr>
        <w:t>L’article 2, paragraphe 2, point 11 de la NetzDG introduit une obligation d’information supplémentaire. Il faut faire état des appels des plaignants et des utilisateurs affectés par les suppressions ou les blocages ainsi que du traitement par les fournisseurs de réseaux sociaux. Cela concerne en particulier le nombre d’appels conformément à l’article 3b de la NetzDG et le nombre de cas dans lesquels des mesures correctives ont été prises, c’est-à-dire où une décision (par exemple, supprimer ou ne pas supprimer le contenu) a été révisée. L’article 2, paragraphe 2, point 11 de la NetzDG complète ainsi la procédure d’appel nouvellement introduite avec l’article 3b de la NetzDG avec des informations relatives à la transparence.</w:t>
      </w:r>
    </w:p>
    <w:p w:rsidR="00B129F5" w:rsidRPr="00CB1818" w:rsidRDefault="00B60471" w:rsidP="00B129F5">
      <w:pPr>
        <w:pStyle w:val="Text"/>
      </w:pPr>
      <w:r>
        <w:rPr>
          <w:rStyle w:val="Marker"/>
          <w:color w:val="auto"/>
        </w:rPr>
        <w:t>D’après les retours obtenus, on sait que les discours de haine criminels sont souvent dirigés contre certains groupes. Les femmes et les minorités en particulier sont particulièrement touchées par les discours de haine. Par exemple, les femmes sont exposées aux propos sexistes et aux menaces de viol. Il s’agit d’une violation particulièrement grave des droits de la personne et, comme la violence exercée par des moyens numériques, elle a souvent des conséquences physiques et psychologiques très importantes. Des cas marquants de femmes politiques, de journalistes ou de militantes du réseau montrent clairement que les dégradations et les menaces visant les femmes revêtent une importance particulière. Les minorités peuvent également être particulièrement touchées ou être la cible de discours de haine. Adresser des discours de haine punissables renforce également les effets d’intimidation potentiels, qui à leur tour mettent particulièrement en danger la coexistence pacifique dans une société libre, ouverte et démocratique.</w:t>
      </w:r>
    </w:p>
    <w:p w:rsidR="00644AD2" w:rsidRPr="00CB1818" w:rsidRDefault="00C535E7" w:rsidP="009F6860">
      <w:pPr>
        <w:pStyle w:val="Text"/>
        <w:rPr>
          <w:rStyle w:val="Marker"/>
          <w:color w:val="auto"/>
        </w:rPr>
      </w:pPr>
      <w:r>
        <w:rPr>
          <w:rStyle w:val="Marker"/>
          <w:color w:val="auto"/>
        </w:rPr>
        <w:t>Il est important de bien comprendre quelles sont les populations concernées. Cela s’inscrit dans une demande largement répandue d’amélioration de la détection, par exemple, des motifs misogynes ou sexistes d’indices de crimes de haine correspondants et donc de pouvoir lutter contre la dégradation des personnes de manière plus ciblée. Par conséquent, il est également important de savoir si le contenu supprimé ou bloqué est sensiblement lié aux caractéristiques personnelles en question. On signale également que le contenu illégal est parfois distribué de manière coordonnée, par exemple via la publication coordonnée de messages dirigés contre une personne spécifique, éventuellement dans le but de suggérer une prétendue opinion ou d’obtenir des effets d’intimidation. Il est important d’améliorer les informations sur le contexte correspondant afin de mieux comprendre la distribution des contenus illégaux et de pouvoir y réagir plus efficacement.</w:t>
      </w:r>
    </w:p>
    <w:p w:rsidR="0090243B" w:rsidRPr="00CB1818" w:rsidRDefault="00644AD2" w:rsidP="004334F6">
      <w:pPr>
        <w:pStyle w:val="Text"/>
        <w:rPr>
          <w:rStyle w:val="Marker"/>
          <w:color w:val="auto"/>
        </w:rPr>
      </w:pPr>
      <w:r>
        <w:rPr>
          <w:rStyle w:val="Marker"/>
          <w:color w:val="auto"/>
        </w:rPr>
        <w:t>Des études indépendantes peuvent notamment livrer des informations particulièrement fiables et approfondies sur les personnes affectées par le contenu illégal, le type de contenu diffusé, mais aussi les structures des auteurs. Il existe donc une forte demande de promotion de tels projets. Cela dépend également de la possibilité accordée par les fournisseurs aux acteurs de la science et de la recherche d’accéder à des informations détaillées sur leurs plateformes. Conformément à l’article 2, paragraphe 2, phrase 2, point 12 de la NetzDG, les fournisseurs devront également indiquer si et dans quelle mesure les acteurs de la science et de la recherche ont accès à des modalités de collecte d’informations à des fins d’analyses anonymes sur certains groupes d’utilisateurs concernés et sur la diffusion par des comportements coordonnés, et dans quelle mesure les contenus supprimés tombent sous le coup de l’article 1 de la loi générale sur l’égalité de traitement (Allgemeinen Gleichbehandlungsgesetz - AGG).</w:t>
      </w:r>
    </w:p>
    <w:p w:rsidR="0090243B" w:rsidRPr="00CB1818" w:rsidRDefault="00951270" w:rsidP="00325F59">
      <w:pPr>
        <w:pStyle w:val="Text"/>
        <w:rPr>
          <w:rStyle w:val="Marker"/>
          <w:color w:val="auto"/>
        </w:rPr>
      </w:pPr>
      <w:r>
        <w:rPr>
          <w:rStyle w:val="Marker"/>
          <w:color w:val="auto"/>
        </w:rPr>
        <w:t>À l’avenir, l’article 2, paragraphe 2, point 13 de la NetzDG fera également état d’autres mesures qui servent à protéger ou à soutenir les personnes touchées par les discours de haine criminels. Cela peut concerner la coopération avec les institutions correspondantes ainsi que les informations ou formations proposées aux utilisateurs en vue de leur soutien.</w:t>
      </w:r>
    </w:p>
    <w:p w:rsidR="00325F59" w:rsidRPr="00CB1818" w:rsidRDefault="00325F59" w:rsidP="004334F6">
      <w:pPr>
        <w:pStyle w:val="Text"/>
        <w:rPr>
          <w:rStyle w:val="Marker"/>
          <w:color w:val="auto"/>
        </w:rPr>
      </w:pPr>
      <w:r>
        <w:rPr>
          <w:rStyle w:val="Marker"/>
          <w:color w:val="auto"/>
        </w:rPr>
        <w:t>Les précédents rapports sur la transparence ont donné un premier aperçu de la manière dont les fournisseurs de réseaux sociaux traitent les plaintes concernant les contenus illégaux. Dans certains cas, des changements majeurs ont pu être observés entre les différentes périodes de rapport. Afin d’améliorer la comparabilité des rapports de transparence et d’augmenter leur contenu d’information, conformément à l’article 2, paragraphe 2, point 14 de la NetzDG, les rapports seront à l’avenir complétés par un résumé, qui donnera un aperçu des chiffres clés les plus importants, notamment en comparaison avec les deux périodes de rapport précédentes. Les éventuels écarts doivent également être expliqués.</w:t>
      </w:r>
    </w:p>
    <w:p w:rsidR="00C7339D" w:rsidRPr="00CB1818" w:rsidRDefault="00C7339D" w:rsidP="00C7339D">
      <w:pPr>
        <w:pStyle w:val="VerweisBegrndung"/>
      </w:pPr>
      <w:r>
        <w:t xml:space="preserve">Concernant le </w:t>
      </w:r>
      <w:r>
        <w:rPr>
          <w:rStyle w:val="Binnenverweis"/>
        </w:rPr>
        <w:t>point 3</w:t>
      </w:r>
    </w:p>
    <w:p w:rsidR="00C7339D" w:rsidRPr="00CB1818" w:rsidRDefault="00C7339D" w:rsidP="00C7339D">
      <w:pPr>
        <w:pStyle w:val="VerweisBegrndung"/>
      </w:pPr>
      <w:r>
        <w:t xml:space="preserve">Concernant la </w:t>
      </w:r>
      <w:r>
        <w:rPr>
          <w:rStyle w:val="Binnenverweis"/>
        </w:rPr>
        <w:t>lettre a</w:t>
      </w:r>
    </w:p>
    <w:p w:rsidR="001463D2" w:rsidRPr="00CB1818" w:rsidRDefault="00E44D2A" w:rsidP="00E44D2A">
      <w:pPr>
        <w:pStyle w:val="Text"/>
        <w:rPr>
          <w:rStyle w:val="Marker"/>
          <w:color w:val="auto"/>
        </w:rPr>
      </w:pPr>
      <w:r>
        <w:rPr>
          <w:rStyle w:val="Marker"/>
          <w:color w:val="auto"/>
        </w:rPr>
        <w:t>L’article 3, paragraphe 1, phrase 2 de la NetzDG est complété par le fait que la procédure à utiliser par le fournisseur pour la transmission de plaintes concernant des contenus illégaux doit non seulement être facilement reconnaissable, immédiatement accessible et constamment disponible, mais doit également être clairement facile à utiliser. Cela montre à nouveau clairement que la convivialité est un élément central des canaux de signalement (voir l’exposé des motifs de la NetzDG, BT-Drs. 18/12356, p. 22). Pour le domaine de mise en œuvre de la directive SMAV, les exigences correspondantes résultent de l’article 28b, paragraphe 3, alinéa 3, lettre d de la directive SMAV.</w:t>
      </w:r>
    </w:p>
    <w:p w:rsidR="00C21421" w:rsidRPr="00CB1818" w:rsidRDefault="001463D2" w:rsidP="00E44D2A">
      <w:pPr>
        <w:pStyle w:val="Text"/>
        <w:rPr>
          <w:rStyle w:val="Marker"/>
          <w:color w:val="auto"/>
        </w:rPr>
      </w:pPr>
      <w:r>
        <w:rPr>
          <w:rStyle w:val="Marker"/>
          <w:color w:val="auto"/>
        </w:rPr>
        <w:t>Même dans le cadre de la législation actuelle, les procédures de transmission des plaintes ne sont généralement faciles à utiliser et conviviales que si elles permettent la transmission de la plainte sans compliquer inutilement les étapes intermédiaires ou les allers-retours (comme le copier-coller d’informations d’identification telles que les URL ou les captures d’écran). Une autre condition préalable est que la procédure ne doit pas être inutilement dissuasive. Par exemple, il ne faut pas donner l’impression qu’il est nécessaire de nommer correctement l’infraction commise pour déposer une plainte concernant un contenu illégal.</w:t>
      </w:r>
    </w:p>
    <w:p w:rsidR="00C21421" w:rsidRPr="00CB1818" w:rsidRDefault="00C21421" w:rsidP="00E44D2A">
      <w:pPr>
        <w:pStyle w:val="Text"/>
        <w:rPr>
          <w:rStyle w:val="Marker"/>
          <w:color w:val="auto"/>
        </w:rPr>
      </w:pPr>
      <w:r>
        <w:rPr>
          <w:rStyle w:val="Marker"/>
          <w:color w:val="auto"/>
        </w:rPr>
        <w:t>II est également précisé que les procédures de transmission des plaintes relatives à un contenu illégal doivent être facilement identifiables à partir du contenu et immédiatement accessibles. La NetzDG exige que la procédure de transmission des plaintes soit facilement reconnaissable et directement accessible par un utilisateur correctement informé. Le point de départ est ici généralement la situation dans laquelle l’utilisateur voit le contenu en question. De ce point de vue, la procédure de transmission des plaintes doit être facilement et intuitivement reconnaissable et directement accessible par l’utilisateur.</w:t>
      </w:r>
    </w:p>
    <w:p w:rsidR="00D63D6D" w:rsidRPr="00CB1818" w:rsidRDefault="00D63D6D" w:rsidP="00D63D6D">
      <w:pPr>
        <w:pStyle w:val="Text"/>
        <w:rPr>
          <w:rStyle w:val="Marker"/>
          <w:color w:val="auto"/>
        </w:rPr>
      </w:pPr>
      <w:r>
        <w:rPr>
          <w:rStyle w:val="Marker"/>
          <w:color w:val="auto"/>
        </w:rPr>
        <w:t>Les clarifications de l’article 3, paragraphe 1, phrase 2 de la NetzDG sur le canal de signalement convivial complètent l’ajout à la NetzDG prévu dans le projet de loi pour lutter contre l’extrémisme de droite et les crimes de haine (BR-Drs.88 / 20) par une définition juridique de la plainte pour contenu illégal dans l’article 1, paragraphe 4 de la NetzDG. En conjonction avec les ajouts, il est garanti que les plaintes correspondantes puissent être transmises facilement et de manière pratique. On garantit également que les fournisseurs de réseaux sociaux traitent les plaintes concernant le contenu illégal en cas de doute comme des plaintes pour cause de contenu illégal.</w:t>
      </w:r>
    </w:p>
    <w:p w:rsidR="00883C6E" w:rsidRPr="00CB1818" w:rsidRDefault="00C7339D" w:rsidP="00440A43">
      <w:pPr>
        <w:pStyle w:val="VerweisBegrndung"/>
        <w:rPr>
          <w:rStyle w:val="Marker"/>
          <w:color w:val="auto"/>
        </w:rPr>
      </w:pPr>
      <w:r>
        <w:t xml:space="preserve">Concernant le </w:t>
      </w:r>
      <w:r>
        <w:rPr>
          <w:rStyle w:val="Binnenverweis"/>
        </w:rPr>
        <w:t>lettre b</w:t>
      </w:r>
    </w:p>
    <w:p w:rsidR="00C7339D" w:rsidRPr="00CB1818" w:rsidRDefault="00C7339D" w:rsidP="00C7339D">
      <w:pPr>
        <w:pStyle w:val="VerweisBegrndung"/>
      </w:pPr>
      <w:r>
        <w:t xml:space="preserve">Concernant la </w:t>
      </w:r>
      <w:r>
        <w:rPr>
          <w:rStyle w:val="Binnenverweis"/>
        </w:rPr>
        <w:t xml:space="preserve">double lettre bb </w:t>
      </w:r>
    </w:p>
    <w:p w:rsidR="00CF37E8" w:rsidRPr="00CB1818" w:rsidRDefault="004A65F2" w:rsidP="004979EF">
      <w:pPr>
        <w:pStyle w:val="VerweisBegrndung"/>
        <w:jc w:val="both"/>
        <w:rPr>
          <w:rStyle w:val="Marker"/>
          <w:b w:val="0"/>
          <w:color w:val="auto"/>
        </w:rPr>
      </w:pPr>
      <w:r>
        <w:rPr>
          <w:rStyle w:val="Marker"/>
          <w:b w:val="0"/>
          <w:color w:val="auto"/>
        </w:rPr>
        <w:t>Il s’agit d’une modification rédactionnelle.</w:t>
      </w:r>
    </w:p>
    <w:p w:rsidR="00B152DE" w:rsidRPr="00CB1818" w:rsidRDefault="00C7339D" w:rsidP="00951270">
      <w:pPr>
        <w:pStyle w:val="VerweisBegrndung"/>
      </w:pPr>
      <w:r>
        <w:t xml:space="preserve">Concernant la </w:t>
      </w:r>
      <w:r>
        <w:rPr>
          <w:rStyle w:val="Binnenverweis"/>
        </w:rPr>
        <w:t xml:space="preserve">double lettre cc </w:t>
      </w:r>
    </w:p>
    <w:p w:rsidR="00E822CA" w:rsidRPr="00CB1818" w:rsidRDefault="003F0FFD" w:rsidP="005B260B">
      <w:pPr>
        <w:pStyle w:val="VerweisBegrndung"/>
        <w:keepNext w:val="0"/>
        <w:jc w:val="both"/>
        <w:rPr>
          <w:rStyle w:val="Marker"/>
          <w:b w:val="0"/>
          <w:color w:val="auto"/>
        </w:rPr>
      </w:pPr>
      <w:r>
        <w:rPr>
          <w:rStyle w:val="Marker"/>
          <w:b w:val="0"/>
          <w:color w:val="auto"/>
        </w:rPr>
        <w:t>La nouvelle version de l’article 3, paragraphe 2, phrase 1, point 4 de la NetzDG est une modification rédactionnelle.</w:t>
      </w:r>
    </w:p>
    <w:p w:rsidR="004A65F2" w:rsidRPr="00CB1818" w:rsidRDefault="004A65F2" w:rsidP="005B260B">
      <w:pPr>
        <w:pStyle w:val="VerweisBegrndung"/>
        <w:keepNext w:val="0"/>
        <w:jc w:val="both"/>
        <w:rPr>
          <w:rStyle w:val="Marker"/>
          <w:b w:val="0"/>
          <w:color w:val="auto"/>
        </w:rPr>
      </w:pPr>
      <w:r>
        <w:rPr>
          <w:rStyle w:val="Marker"/>
          <w:b w:val="0"/>
          <w:color w:val="auto"/>
        </w:rPr>
        <w:t>La nouvelle version de l’article 3, paragraphe 2, point 5 de la NetzDG complète l’obligation du fournisseur de réseau social d’informer le public lorsqu’une décision est prise à la suite d’une plainte concernant un contenu illégal. Des informations doivent être données sur la possibilité d’un appel.</w:t>
      </w:r>
    </w:p>
    <w:p w:rsidR="004A65F2" w:rsidRPr="00CB1818" w:rsidRDefault="00860237" w:rsidP="004A65F2">
      <w:pPr>
        <w:pStyle w:val="Text"/>
        <w:rPr>
          <w:rStyle w:val="Marker"/>
          <w:color w:val="auto"/>
        </w:rPr>
      </w:pPr>
      <w:r>
        <w:rPr>
          <w:rStyle w:val="Marker"/>
          <w:color w:val="auto"/>
        </w:rPr>
        <w:t>Le plaignant doit également être informé de la possibilité de dénonciation et, si nécessaire, de dépôt de plainte. L’objectif est de faciliter la décision du plaignant de prendre les mesures appropriées. Des informations générales et significatives sur les autres étapes possibles pour la personne concernée doivent être fournies, si nécessaire également en se référant à d’autres sources d’informations correspondantes telles que des sites Web.</w:t>
      </w:r>
    </w:p>
    <w:p w:rsidR="008C65DD" w:rsidRPr="00CB1818" w:rsidRDefault="008C65DD" w:rsidP="004A65F2">
      <w:pPr>
        <w:pStyle w:val="Text"/>
      </w:pPr>
      <w:r>
        <w:rPr>
          <w:rStyle w:val="Marker"/>
          <w:color w:val="auto"/>
        </w:rPr>
        <w:t>Les obligations d’information conformément à l’article 3, paragraphe 2, point 5 de la NetzDG n’affectent pas la fourniture volontaire d’informations (par exemple, sur la réception d’une plainte ou sur l’état du contrôle).</w:t>
      </w:r>
    </w:p>
    <w:p w:rsidR="004A65F2" w:rsidRPr="00CB1818" w:rsidRDefault="004A65F2" w:rsidP="005B260B">
      <w:pPr>
        <w:pStyle w:val="Text"/>
        <w:keepNext/>
        <w:rPr>
          <w:b/>
        </w:rPr>
      </w:pPr>
      <w:r>
        <w:rPr>
          <w:b/>
        </w:rPr>
        <w:t>Concernant la double lettre cc)</w:t>
      </w:r>
    </w:p>
    <w:p w:rsidR="0083523F" w:rsidRPr="00CB1818" w:rsidRDefault="00BE3801" w:rsidP="00BE3801">
      <w:pPr>
        <w:pStyle w:val="Text"/>
      </w:pPr>
      <w:r>
        <w:t>L’article 3, paragraphe 2, phrases 2 et 3 de la NetzDG précise l’étendue des pouvoirs actuels de transmission et de traitement des fournisseurs et des institutions reconnues d’autorégulation réglementée en vertu du droit de la protection des données sur la base de l’article 6, paragraphe 1, lettre c, en liaison avec les paragraphes 2 et 3 du règlement de base sur la protection des données (RGPD). Selon cette disposition, le fournisseur peut, si nécessaire, également fournir des informations sur la mesure dans laquelle un contenu a été distribué, par exemple, s’il a été mis à la disposition d’un public plus large non défini ou seulement à un petit groupe fermé. Cela n’entraîne pas l’autorisation de transmission des adresses IP ou des noms des destinataires du contenu. L’autorisation de transmettre un contenu qui a un lien reconnaissable avec le contenu s’applique également en particulier aux contenus publiés par d’autres utilisateurs du réseau social, traités dans le contenu faisant l’objet de la plainte ou mentionnés par le contenu faisant l’objet de la plainte.</w:t>
      </w:r>
    </w:p>
    <w:p w:rsidR="00BE3801" w:rsidRPr="00CB1818" w:rsidRDefault="00BE3801" w:rsidP="00BE3801">
      <w:pPr>
        <w:pStyle w:val="Text"/>
      </w:pPr>
      <w:r>
        <w:t>L’article 3, paragraphe 2, phrase 4 de la NetzDG précise qu’une violation de l’article 3, paragraphe 1, phrase 1 de la NetzDG et donc une infraction administrative en vertu de l’article 4, paragraphe 1, point 2 de la NetzDG ne peut pas être fondée sur le fait que le fournisseur a suivi des décisions de l’institution d’autorégulation réglementée.</w:t>
      </w:r>
    </w:p>
    <w:p w:rsidR="00C7339D" w:rsidRPr="00CB1818" w:rsidRDefault="00C7339D" w:rsidP="00C7339D">
      <w:pPr>
        <w:pStyle w:val="VerweisBegrndung"/>
      </w:pPr>
      <w:r>
        <w:t xml:space="preserve">Concernant la </w:t>
      </w:r>
      <w:r>
        <w:rPr>
          <w:rStyle w:val="Binnenverweis"/>
        </w:rPr>
        <w:t>lettre c</w:t>
      </w:r>
    </w:p>
    <w:p w:rsidR="00C7339D" w:rsidRPr="00CB1818" w:rsidRDefault="00C7339D" w:rsidP="00C7339D">
      <w:pPr>
        <w:pStyle w:val="VerweisBegrndung"/>
      </w:pPr>
      <w:r>
        <w:t xml:space="preserve">Concernant la double lettre aa </w:t>
      </w:r>
    </w:p>
    <w:p w:rsidR="00DC1BCC" w:rsidRPr="00CB1818" w:rsidRDefault="00E822CA" w:rsidP="005B260B">
      <w:pPr>
        <w:pStyle w:val="VerweisBegrndung"/>
        <w:keepNext w:val="0"/>
        <w:jc w:val="both"/>
        <w:rPr>
          <w:rStyle w:val="Marker"/>
          <w:b w:val="0"/>
          <w:color w:val="auto"/>
        </w:rPr>
      </w:pPr>
      <w:r>
        <w:rPr>
          <w:rStyle w:val="Marker"/>
          <w:b w:val="0"/>
          <w:color w:val="auto"/>
        </w:rPr>
        <w:t>Jusqu’à présent, l’article 3, paragraphe 6, point 3 de la NetzDG stipule que le règlement intérieur d’une institution reconnue d’autorégulation réglementée doit prévoir la possibilité de contrôler les décisions (sur l’illégalité d’un contenu). Toutefois, il n’est pas précisé à la demande de qui la possibilité d’un tel contrôle doit être prévu. Le nouveau libellé indique clairement qu’une telle demande doit être ouverte au plaignant, d’une part, et à l’utilisateur pour lequel le contenu a été enregistré, d’autre part. Le fournisseur du réseau social n’est pas autorisé à déposer une telle demande car il a déjà la possibilité de commenter de manière exhaustive la décision à prendre lors du transfert de la décision conformément à l’article 3, paragraphe 2, point 3, lettre b de la NetzDG.</w:t>
      </w:r>
    </w:p>
    <w:p w:rsidR="00B00AD4" w:rsidRPr="00CB1818" w:rsidRDefault="00B00AD4" w:rsidP="00B00AD4">
      <w:pPr>
        <w:pStyle w:val="Text"/>
      </w:pPr>
      <w:r>
        <w:t>Il est renoncé à l’introduction d’une règle selon laquelle le plaignant ou l’utilisateur pour lequel le contenu est enregistré n’est pas tenu de payer les frais d’une décision de réexamen. Ceci se rapproche de la procédure d’appel qui prévoit pour les plaignants et les utilisateurs la possibilité d’obtenir gratuitement une décision de contrôle. Ce rapprochement se justifie par le fait que la procédure d’appel est exclue pour les cas pertinents ici, dans lesquels le réseau social a délégué une décision à l’institution d’autorégulation réglementée (article 3b, paragraphe 1, phrase 1 de la NetzDG).</w:t>
      </w:r>
    </w:p>
    <w:p w:rsidR="008C65DD" w:rsidRPr="00CB1818" w:rsidRDefault="00DC1BCC" w:rsidP="00DC1BCC">
      <w:pPr>
        <w:pStyle w:val="Text"/>
      </w:pPr>
      <w:r>
        <w:rPr>
          <w:rStyle w:val="Marker"/>
          <w:color w:val="auto"/>
        </w:rPr>
        <w:t>Compte tenu des périodes de transition (article 6 de la NetzDG), les nouvelles exigences en matière d’autorégulation réglementée s’appliquent également aux institutions reconnues avant l’entrée en vigueur de cette loi, mais uniquement après l’expiration d’une période de transition appropriée. La nouvelle réglementation conduit à des ajouts limités aux obligations s’appliquant à ces institutions. À cet égard, la liberté d’action (article 2, paragraphe 1 de la Constitution) et la liberté professionnelle (article 12 de la Loi fondamentale) des institutions reconnues et des fournisseurs de réseaux sociaux qui les soutiennent peuvent être affectées. Cependant, la restriction entraînée par les ajouts est autorisée. L’ajout à l’article 3, paragraphe 6, point 3 de la NetzDG est nécessaire et approprié pour permettre au plaignant et à l’utilisateur pour lequel le contenu est enregistré de faire une déclaration complète à l’institution reconnue d’autorégulation réglementée et pour exiger un contrôle de la décision jugée inappropriée. L’extension du règlement aux institutions déjà reconnues est appropriée au sens strict, car la forme concrète de la procédure peut être largement façonnée par les institutions d’autorégulation réglementée. Il n’y a pas non plus de charge excessive pour les fournisseurs de réseaux sociaux, d’autant plus qu’ils bénéficient d’une période de transition appropriée conformément à l’article 6, paragraphe 5 de la NetzDG. Il est prévu que les institutions déjà reconnues d’autorégulation réglementée procéderont aux ajustements nécessaires au cours de cette période.</w:t>
      </w:r>
    </w:p>
    <w:p w:rsidR="00C7339D" w:rsidRPr="00CB1818" w:rsidRDefault="00C7339D" w:rsidP="00C7339D">
      <w:pPr>
        <w:pStyle w:val="VerweisBegrndung"/>
      </w:pPr>
      <w:r>
        <w:t xml:space="preserve">Concernant la </w:t>
      </w:r>
      <w:r>
        <w:rPr>
          <w:rStyle w:val="Binnenverweis"/>
        </w:rPr>
        <w:t xml:space="preserve">double lettre bb </w:t>
      </w:r>
    </w:p>
    <w:p w:rsidR="000C3AF3" w:rsidRPr="00CB1818" w:rsidRDefault="000C3AF3" w:rsidP="00C7339D">
      <w:pPr>
        <w:pStyle w:val="Text"/>
      </w:pPr>
      <w:r>
        <w:t>L’article 3, paragraphe 6, point 4 de la NetzDG est supprimé. L’exigence expresse d’un bureau des réclamations est superflue dans la mesure où l’exigence d’une possibilité de contrôle des décisions prises par l’institution découle déjà de l’article 3, paragraphe 6, point 3 de la NetzDG.</w:t>
      </w:r>
    </w:p>
    <w:p w:rsidR="004A65F2" w:rsidRPr="00CB1818" w:rsidRDefault="004A65F2" w:rsidP="004A65F2">
      <w:pPr>
        <w:pStyle w:val="VerweisBegrndung"/>
      </w:pPr>
      <w:r>
        <w:t xml:space="preserve">Concernant la </w:t>
      </w:r>
      <w:r>
        <w:rPr>
          <w:rStyle w:val="Binnenverweis"/>
        </w:rPr>
        <w:t xml:space="preserve">double lettre cc </w:t>
      </w:r>
    </w:p>
    <w:p w:rsidR="004A65F2" w:rsidRPr="00CB1818" w:rsidRDefault="004A65F2" w:rsidP="00C7339D">
      <w:pPr>
        <w:pStyle w:val="Text"/>
      </w:pPr>
      <w:r>
        <w:t>Il s’agit ici d’une modification rédactionnelle.</w:t>
      </w:r>
    </w:p>
    <w:p w:rsidR="00C7339D" w:rsidRPr="00CB1818" w:rsidRDefault="00C7339D" w:rsidP="00C7339D">
      <w:pPr>
        <w:pStyle w:val="VerweisBegrndung"/>
      </w:pPr>
      <w:r>
        <w:t xml:space="preserve">Concernant la </w:t>
      </w:r>
      <w:r>
        <w:rPr>
          <w:rStyle w:val="Binnenverweis"/>
        </w:rPr>
        <w:t xml:space="preserve">lettre d </w:t>
      </w:r>
    </w:p>
    <w:p w:rsidR="000C3AF3" w:rsidRPr="00CB1818" w:rsidRDefault="000C3AF3" w:rsidP="005B260B">
      <w:pPr>
        <w:pStyle w:val="VerweisBegrndung"/>
        <w:keepNext w:val="0"/>
        <w:jc w:val="both"/>
        <w:rPr>
          <w:b w:val="0"/>
        </w:rPr>
      </w:pPr>
      <w:r>
        <w:rPr>
          <w:b w:val="0"/>
        </w:rPr>
        <w:t>L’article 3, paragraphe 7 de la NetzDG est complété afin que l’autorité de reconnaissance (Office fédéral de la justice) puisse assortir la décision de reconnaissance de dispositions accessoires, en particulier d’un délai. Celui-ci ne devrait pas être inférieur à cinq ans afin de garantir la sécurité de la planification des institutions. Il est à prévoir que cette flexibilité des instruments pour l’autorité de reconnaissance simplifiera le processus de reconnaissance.</w:t>
      </w:r>
    </w:p>
    <w:p w:rsidR="00C7339D" w:rsidRPr="00CB1818" w:rsidRDefault="00C7339D" w:rsidP="00C7339D">
      <w:pPr>
        <w:pStyle w:val="VerweisBegrndung"/>
      </w:pPr>
      <w:r>
        <w:t xml:space="preserve">Concernant la </w:t>
      </w:r>
      <w:r>
        <w:rPr>
          <w:rStyle w:val="Binnenverweis"/>
        </w:rPr>
        <w:t xml:space="preserve">lettre e </w:t>
      </w:r>
    </w:p>
    <w:p w:rsidR="00C7339D" w:rsidRPr="00CB1818" w:rsidRDefault="000C3AF3" w:rsidP="005B260B">
      <w:pPr>
        <w:pStyle w:val="VerweisBegrndung"/>
        <w:keepNext w:val="0"/>
        <w:jc w:val="both"/>
        <w:rPr>
          <w:b w:val="0"/>
        </w:rPr>
      </w:pPr>
      <w:r>
        <w:rPr>
          <w:b w:val="0"/>
        </w:rPr>
        <w:t>L’article 3, paragraphe 8 de la NetzDG simplifie le contrôle de l’Office fédéral de la justice sur les institutions reconnues d’autorégulation réglementée. D’après cet article, celles-ci doivent informer l’Office fédéral des modifications pertinentes.</w:t>
      </w:r>
    </w:p>
    <w:p w:rsidR="000C3AF3" w:rsidRPr="00CB1818" w:rsidRDefault="000C3AF3" w:rsidP="001463D2">
      <w:pPr>
        <w:pStyle w:val="Text"/>
      </w:pPr>
      <w:r>
        <w:t>En outre, l’article 3, paragraphe 9 de la NetzDG introduit une nouvelle obligation pour les institutions reconnues d’autorégulation réglementée de soumission et de publication (en ligne) des rapports d’activité annuels. Ainsi, cela permet de répondre à l’intérêt considérable du public pour les activités de ces institutions. Le contenu des rapports peut être basé sur les rapports des organismes d’autorégulation existants dans le domaine des nouveaux médias (par exemple le rapport annuel FSM).</w:t>
      </w:r>
    </w:p>
    <w:p w:rsidR="00DC1BCC" w:rsidRPr="00CB1818" w:rsidRDefault="00DC1BCC" w:rsidP="000C3AF3">
      <w:pPr>
        <w:pStyle w:val="Text"/>
        <w:rPr>
          <w:rStyle w:val="Marker"/>
          <w:color w:val="auto"/>
        </w:rPr>
      </w:pPr>
      <w:r>
        <w:rPr>
          <w:rStyle w:val="Marker"/>
          <w:color w:val="auto"/>
        </w:rPr>
        <w:t>Compte tenu des périodes de transition (article 6 de la NetzDG), les nouvelles exigences en matière d’information s’appliquent également aux institutions reconnues avant l’entrée en vigueur des modifications proposées par cette loi. La restriction des positions en question de droit fondamental (cf. lettre c, double lettre aa ci-dessus) est appropriée et nécessaire, compte tenu de l’intérêt que présente une surveillance efficace des institutions d’autorégulation réglementée et de l’intérêt particulier du grand public pour l’information sur leurs travaux.</w:t>
      </w:r>
      <w:r>
        <w:rPr>
          <w:rStyle w:val="Marker"/>
          <w:color w:val="auto"/>
        </w:rPr>
        <w:cr/>
      </w:r>
      <w:r>
        <w:rPr>
          <w:rStyle w:val="Marker"/>
          <w:color w:val="auto"/>
        </w:rPr>
        <w:br/>
        <w:t xml:space="preserve"> Compte tenu de la période de transition prévue à l’article 6, paragraphe 4 de la NetzDG, cette restriction est également appropriée au sens strict, d’autant plus que l’obligation d'information ne concerne que sa propre activité et ne nécessite pas d’analyses ou d’évaluations spécifiques.</w:t>
      </w:r>
    </w:p>
    <w:p w:rsidR="00C7339D" w:rsidRPr="00CB1818" w:rsidRDefault="00C7339D" w:rsidP="00C7339D">
      <w:pPr>
        <w:pStyle w:val="VerweisBegrndung"/>
      </w:pPr>
      <w:r>
        <w:t xml:space="preserve">Concernant le </w:t>
      </w:r>
      <w:r>
        <w:rPr>
          <w:rStyle w:val="Binnenverweis"/>
        </w:rPr>
        <w:t>point 4</w:t>
      </w:r>
    </w:p>
    <w:p w:rsidR="00575297" w:rsidRPr="00CB1818" w:rsidRDefault="00575297" w:rsidP="00C7339D">
      <w:pPr>
        <w:pStyle w:val="VerweisBegrndung"/>
      </w:pPr>
      <w:r>
        <w:t>Article 3b de la NetzDG (procédure d’appel)</w:t>
      </w:r>
    </w:p>
    <w:p w:rsidR="001463D2" w:rsidRPr="00CB1818" w:rsidRDefault="00886C17" w:rsidP="00575297">
      <w:pPr>
        <w:pStyle w:val="Text"/>
      </w:pPr>
      <w:r>
        <w:t>L’article 3b de la NetzDG introduit une procédure dite d’appel pour la première fois. Si le fournisseur d’un réseau social a pris une décision sur l’illégalité d’un contenu (par exemple, de supprimer ou de ne pas supprimer le contenu), le plaignant ou l’utilisateur concerné pour lequel le contenu faisant l’objet de la plainte a été enregistré aura donc la possibilité à l’avenir d’obtenir une révision de la décision du fournisseur. La demande doit être faite dans les deux semaines. Cette demande doit être justifiée, mais les exigences en matière de justification ne doivent pas être trop élevées.</w:t>
      </w:r>
    </w:p>
    <w:p w:rsidR="00886C17" w:rsidRPr="00CB1818" w:rsidRDefault="00886C17" w:rsidP="00575297">
      <w:pPr>
        <w:pStyle w:val="Text"/>
      </w:pPr>
      <w:r>
        <w:t>Pour recevoir les appels, le fournisseur du réseau social doit garantir un contact simple et facilement reconnaissable, par exemple au moyen d’un lien correspondant, clairement reconnaissable dans le cadre de la notification de la décision initiale, sur laquelle le fournisseur doit fournir des informations conformément à l’article 3, paragraphe 2, point 5 de la NetzDG.</w:t>
      </w:r>
    </w:p>
    <w:p w:rsidR="00B00AD4" w:rsidRPr="00CB1818" w:rsidRDefault="00886C17" w:rsidP="00575297">
      <w:pPr>
        <w:pStyle w:val="Text"/>
      </w:pPr>
      <w:r>
        <w:t>Dans la suite de la procédure d’appel, le fournisseur du réseau social doit donner à l’autre partie (plaignant ou utilisateur pour lequel le contenu a été enregistré) la possibilité de prendre position et, s’il souhaite répondre à l’appel, revoir sa décision initiale. Le contrôle ne se limite pas aux raisons indiquées dans l’appel, mais doit se faire sous tous les aspects juridiques qui entrent en ligne de compte.</w:t>
      </w:r>
    </w:p>
    <w:p w:rsidR="00221106" w:rsidRPr="00CB1818" w:rsidRDefault="00B00AD4" w:rsidP="00575297">
      <w:pPr>
        <w:pStyle w:val="Text"/>
      </w:pPr>
      <w:r>
        <w:t>La restriction de l’obligation de notification aux décisions correctives en vue contribue à faire en sorte que l’autre partie ne soit pas sollicitée inutilement. Cela tient également compte du fait que les appels pourraient théoriquement être utilisés à mauvais escient. Le contrôle doit être effectué de manière aussi impartiale que possible, c’est pourquoi un nouvel examinateur doit être impliqué. Le résultat du contrôle (maintien ou révision de la décision initiale) doit être justifié au cas par cas. À cet égard, le degré de justification requis va au-delà de l’exigence de justification de la décision initiale. Dans les cas appropriés, cependant, des modules de texte adaptés peuvent être utilisés.</w:t>
      </w:r>
    </w:p>
    <w:p w:rsidR="00886C17" w:rsidRPr="00CB1818" w:rsidRDefault="00221106" w:rsidP="00575297">
      <w:pPr>
        <w:pStyle w:val="Text"/>
      </w:pPr>
      <w:r>
        <w:t>Le deuxième contrôle par le fournisseur dans le cadre de l’appel porte sur la décision initiale selon l’article 3, paragraphe 2, points 1 à 3, lettre a de la NetzDG. Un appel supplémentaire ou deuxième appel contre la décision n’est pas exigé par l’article 3b de la NetzDG, étant donné que le plaignant et l’utilisateur pour lequel le contenu a été enregistré ont suffisamment la possibilité de prendre position dans le cadre de la procédure d’appel.</w:t>
      </w:r>
    </w:p>
    <w:p w:rsidR="00221106" w:rsidRPr="00CB1818" w:rsidRDefault="00221106" w:rsidP="00575297">
      <w:pPr>
        <w:pStyle w:val="Text"/>
      </w:pPr>
      <w:r>
        <w:t>L’appel selon l’article 3b de la NetzDG n’a pas lieu si, selon l’article 3, paragraphe 2, point 3, lettre b de la NetzDG, une décision d’une institution reconnue d’autorégulation réglementée a précédé. Le contexte est ici une procédure de révision approrpiée pour ces cas prévus par l’article 3, paragraphe 6, point 3 de la NetzDG.</w:t>
      </w:r>
    </w:p>
    <w:p w:rsidR="00575297" w:rsidRPr="00CB1818" w:rsidRDefault="00886C17" w:rsidP="00886C17">
      <w:pPr>
        <w:pStyle w:val="Text"/>
        <w:rPr>
          <w:rStyle w:val="Marker"/>
          <w:color w:val="auto"/>
        </w:rPr>
      </w:pPr>
      <w:r>
        <w:rPr>
          <w:rStyle w:val="Marker"/>
          <w:color w:val="auto"/>
        </w:rPr>
        <w:t>Dans la mesure où la réglementation de l’article 3b de la NetzDG concernant l’article 3e de la NetzDG s’appliquera également à l’avenir à certains services de plate-forme de partage de vidéos, elle sert également à mettre en œuvre l’article 28b, paragraphes 1 et 3, lettre i de la directive SMAV.</w:t>
      </w:r>
    </w:p>
    <w:p w:rsidR="00C718DA" w:rsidRPr="00CB1818" w:rsidRDefault="00C718DA" w:rsidP="00C718DA">
      <w:pPr>
        <w:pStyle w:val="Text"/>
        <w:rPr>
          <w:rStyle w:val="Marker"/>
          <w:color w:val="auto"/>
        </w:rPr>
      </w:pPr>
      <w:r>
        <w:rPr>
          <w:rStyle w:val="Marker"/>
          <w:color w:val="auto"/>
        </w:rPr>
        <w:t>Dans l’ensemble, il faut veiller lors de la procédure d’appel à ne pas révéler l’identité des parties concernées, c’est-à-dire que, par exemple, à ce que le nom et l’adresse du plaignant (par exemple, par inadvertance avec la demande d’appel) ne soient pas transmis à l’utilisateur pour lequel le contenu est enregistré. Le cas échéant, cela ne peut se faire qu’avec le consentement de la personne concernée.</w:t>
      </w:r>
    </w:p>
    <w:p w:rsidR="0090243B" w:rsidRPr="00CB1818" w:rsidRDefault="00C718DA" w:rsidP="00C718DA">
      <w:pPr>
        <w:pStyle w:val="Text"/>
      </w:pPr>
      <w:r>
        <w:rPr>
          <w:rStyle w:val="Marker"/>
          <w:color w:val="auto"/>
        </w:rPr>
        <w:t>La procédure d’appel fournit le cadre procédural permettant le contrôle de la décision par le fournisseur. La procédure judiciaire devant les tribunaux n’est pas affectée quelle que soit la situation de la procédure.</w:t>
      </w:r>
    </w:p>
    <w:p w:rsidR="00575297" w:rsidRPr="00CB1818" w:rsidRDefault="00575297" w:rsidP="005B260B">
      <w:pPr>
        <w:pStyle w:val="Text"/>
        <w:keepNext/>
        <w:rPr>
          <w:b/>
        </w:rPr>
      </w:pPr>
      <w:r>
        <w:rPr>
          <w:b/>
        </w:rPr>
        <w:t>Article 3c de la NetzDG (arbitrage)</w:t>
      </w:r>
    </w:p>
    <w:p w:rsidR="00BC1485" w:rsidRPr="00CB1818" w:rsidRDefault="00BC1485" w:rsidP="005B260B">
      <w:pPr>
        <w:pStyle w:val="Text"/>
        <w:keepNext/>
        <w:rPr>
          <w:b/>
        </w:rPr>
      </w:pPr>
      <w:r>
        <w:rPr>
          <w:b/>
        </w:rPr>
        <w:t>Concernant le paragraphe 1</w:t>
      </w:r>
    </w:p>
    <w:p w:rsidR="00BC1485" w:rsidRPr="00CB1818" w:rsidRDefault="00BC1485" w:rsidP="00BC1485">
      <w:pPr>
        <w:pStyle w:val="Text"/>
      </w:pPr>
      <w:r>
        <w:t>L’article 3c, paragraphe 1 de la NetzDG offre aux institutions de droit privé la possibilité d’agir en tant qu’organisme d’arbitrage de règlement extrajudiciaire des litiges entre plaignants ou utilisateurs pour lesquels le contenu en question a été enregistré et les fournisseurs de réseaux sociaux pour les décisions prises selon l’article 3, paragraphe 2, phrase 1, points 1 à 3 de la NetzDG. L’organisme d’arbitrage est libre d’étendre ses activités à d’autres litiges entre les parties concernées.</w:t>
      </w:r>
    </w:p>
    <w:p w:rsidR="00BC1485" w:rsidRPr="00CB1818" w:rsidRDefault="00BC1485" w:rsidP="00BC1485">
      <w:pPr>
        <w:pStyle w:val="Text"/>
      </w:pPr>
      <w:r>
        <w:t>Un tel arbitrage, en particulier dans le cadre de la nouvelle procédure d’appel, peut aider à résoudre rapidement les différends entre les plaignants ou les utilisateurs et le fournisseur. L’organisme d’arbitrage ne peut imposer aux parties une solution contraignante au différend ni limiter leur protection juridique judiciaire. L’arbitrage devrait représenter une offre simple et à bas seuil d’exigences pour les parties prenantes, accessible sans que cela n’entraîne d’effort ou de dépenses importantes. Afin d’assurer la qualité de l’arbitrage, les organismes d’arbitrage ne peuvent être reconnus que s’ils satisfont aux exigences spécifiées à l’article 3c, paragraphe 2 de la NetzDG.</w:t>
      </w:r>
    </w:p>
    <w:p w:rsidR="00BC1485" w:rsidRPr="00CB1818" w:rsidRDefault="00BC1485" w:rsidP="005B260B">
      <w:pPr>
        <w:pStyle w:val="Text"/>
        <w:keepNext/>
        <w:rPr>
          <w:b/>
        </w:rPr>
      </w:pPr>
      <w:r>
        <w:rPr>
          <w:b/>
        </w:rPr>
        <w:t>Concernant le paragraphe 2</w:t>
      </w:r>
    </w:p>
    <w:p w:rsidR="00BC1485" w:rsidRPr="00CB1818" w:rsidRDefault="00BC1485" w:rsidP="00BC1485">
      <w:pPr>
        <w:pStyle w:val="Text"/>
      </w:pPr>
      <w:r>
        <w:t>L’article 3c, paragraphe 2 de la NetzDG régit les conditions dans lesquelles les organismes d’arbitrage organisés en droit privé doivent être reconnus.</w:t>
      </w:r>
    </w:p>
    <w:p w:rsidR="00BC1485" w:rsidRPr="00CB1818" w:rsidRDefault="00BC1485" w:rsidP="00BC1485">
      <w:pPr>
        <w:pStyle w:val="Text"/>
      </w:pPr>
      <w:r>
        <w:t>Afin d’assurer l’accessibilité et la viabilité de l’organisme d’arbitrage, l’article 3c, paragraphe 2, point 1 de la NetzDG exige que la responsabilité de l’organisme soit assumée par une personne morale domiciliée en Allemagne. Le financement de l’organisme d’arbitrage doit être assuré.</w:t>
      </w:r>
    </w:p>
    <w:p w:rsidR="00BC1485" w:rsidRPr="00CB1818" w:rsidRDefault="00BC1485" w:rsidP="00BC1485">
      <w:pPr>
        <w:pStyle w:val="Text"/>
      </w:pPr>
      <w:r>
        <w:t>L’article 3c, paragraphe 2, point 2 de la NetzDG porte sur l’indépendance, l’impartialité et l’expertise des personnes qui doivent être impliquées dans l’arbitrage. Le concept d’indépendance doit être compris au sens large et requiert en particulier la liberté de donner des instructions et l’indépendance matérielle et personnelle des parties prenantes dans l’arbitrage vis-à-vis des fournisseurs de réseaux sociaux et du plaignant et de l’utilisateur respectif pour lequel le contenu contesté a été enregistré. Les parties prenantes dans l’arbitrage ne doivent être soumises à aucun conflit d’intérêts. La procédure d’arbitrage vise à permettre un règlement impartial des différends. L’exigence de connaissances spécialisées doit garantir que les personnes chargées de l’arbitrage possèdent les connaissances nécessaires à l’arbitrage, notamment de nature juridique.</w:t>
      </w:r>
    </w:p>
    <w:p w:rsidR="00BC1485" w:rsidRPr="00CB1818" w:rsidRDefault="00BC1485" w:rsidP="00BC1485">
      <w:pPr>
        <w:pStyle w:val="Text"/>
      </w:pPr>
      <w:r>
        <w:t>L’article 3c, paragraphe 2, point 3 de la NetzDG exige comme condition supplémentaire qu’une bonne dotation de l’organisme d’arbitrage et le traitement rapide des procédures d’arbitrage soient garantis.</w:t>
      </w:r>
    </w:p>
    <w:p w:rsidR="00BC1485" w:rsidRPr="00CB1818" w:rsidRDefault="00BC1485" w:rsidP="00BC1485">
      <w:pPr>
        <w:pStyle w:val="Text"/>
      </w:pPr>
      <w:r>
        <w:t>Selon l’article 3c, paragraphe 2, point 4 de la NetzDG, l’organisme d’arbitrage doit réglementer les détails de la procédure d’arbitrage et ses responsabilités dans une ordonnance d’arbitrage. La procédure d’arbitrage doit être simple, donc à bas seuil d’exigences et sans obstacles évitables pour toutes les parties concernées. La procédure d’arbitrage doit être simple, notamment en permettant aux parties concernées de communiquer avec l’organisme d’arbitrage sous forme textuelle, notamment par courrier électronique et au moins en allemand. La présence physique obligatoire des parties prenantes dans un lieu ou leur représentation obligatoire par un avocat ne serait cependant pas compatible avec une offre d’arbitrage à bas seuil d’exigences. La procédure d’arbitrage devrait également être peu coûteuse. Pour la personne qui sollicite l’organisme d’arbitrage, cela doit notamment ne pas entraîner de coûts importants et dissuasifs. Tous les frais doivent être spécifiés dans le règlement d’arbitrage afin que les parties concernées en soient informées avant de décider de participer. La procédure d’arbitrage est destinée à être une offre aux parties prenantes, elle est donc volontaire et non contraignante. Cela signifie que l’organisme d’arbitrage ne peut ni imposer aux parties une solution contraignante au différend ni restreindre leur protection juridique. Pour que la procédure d’arbitrage permette d’apaiser le litige, l’utilisateur pour lequel le contenu litigieux a été enregistré doit avoir la possibilité, lors de la sollicitation de l’organisme d’arbitrage par un plaignant, de participer à la procédure, tout comme avec la procédure d’appel. De même, si l’utilisateur pour lequel le contenu contesté a été enregistré sollicite l’organisme d’arbitrage, le plaignant devrait avoir la possibilité de participer. L’organisme d’arbitrage doit également garantir une procédure d’arbitrage équitable.</w:t>
      </w:r>
    </w:p>
    <w:p w:rsidR="00070E97" w:rsidRPr="00CB1818" w:rsidRDefault="008E7132" w:rsidP="00BC1485">
      <w:pPr>
        <w:pStyle w:val="Text"/>
      </w:pPr>
      <w:r>
        <w:t>Selon l’article 3c, paragraphe 2, point 5 de la NetzDG, le public doit être informé des aspects qui y sont mentionnés. Pour cela, l’organisme d’arbitrage peut exploiter un site Web sur lequel les informations mentionnées sont présentées de manière compréhensible.</w:t>
      </w:r>
    </w:p>
    <w:p w:rsidR="008E7132" w:rsidRPr="00CB1818" w:rsidRDefault="008E7132" w:rsidP="00BC1485">
      <w:pPr>
        <w:pStyle w:val="Text"/>
      </w:pPr>
      <w:r>
        <w:t>Les normes mentionnées à l’article 3c, paragraphe 2, phrase 2 de la NetzDG s’appliquent en conséquence. L’autorité administrative peut donc assortir la décision de dispositions accessoires (article 3, paragraphe 7, phrase 2 de la NetzDG). L’organisme d’arbitrage doit informer l’autorité administrative des changements et préparer des rapports d’activité annuels (article 3, paragraphes 8 et 9 de la NetzDG). La reconnaissance peut être révoquée en tout ou en partie conformément à l’article 3, paragraphe 10 de la NetzDG ou des dispositions accessoires peuvent être assorties si les conditions préalables à la reconnaissance ne sont plus applicables.</w:t>
      </w:r>
    </w:p>
    <w:p w:rsidR="00BC1485" w:rsidRPr="00CB1818" w:rsidRDefault="00BC1485" w:rsidP="005B260B">
      <w:pPr>
        <w:pStyle w:val="Text"/>
        <w:keepNext/>
        <w:rPr>
          <w:b/>
        </w:rPr>
      </w:pPr>
      <w:r>
        <w:rPr>
          <w:b/>
        </w:rPr>
        <w:t>Concernant le paragraphe 3</w:t>
      </w:r>
    </w:p>
    <w:p w:rsidR="00BC1485" w:rsidRPr="00CB1818" w:rsidRDefault="004859A5" w:rsidP="00BC1485">
      <w:pPr>
        <w:pStyle w:val="Text"/>
      </w:pPr>
      <w:r>
        <w:t>Les plaignants et les utilisateurs pour lesquels le contenu contesté a été enregistré peuvent solliciter un organisme d’arbitrage reconnu conformément au paragraphe 1 dans le cadre de leur responsabilité. La participation est volontaire pour le plaignant, pour l’utilisateur pour lequel le contenu contesté a été enregistré et pour le fournisseur concerné. En transférant la décision à une institution reconnue d’autorégulation réglementée conformément à l’article 3, paragraphe 2, point 3, lettre b de la NetzDG, un arbitrage ultérieur entre le plaignant, l’utilisateur pour lequel le contenu contesté a été enregistré et le fournisseur n’est pas exclu. Avant une procédure d’arbitrage, un contrôle selon l’article 3b ou l’article 3, paragraphe 6, point 3 de la NetzDG doit avoir lieu. Si l’organisme d’arbitrage est sollicité, le fournisseur concerné peut, dans l’éventualité de sa participation, transmettre les informations spécifiées au paragraphe 3 à l’organisme d’arbitrage afin que celui-ci puisse exécuter la procédure d’arbitrage. L’organisme d’arbitrage est autorisé, en vertu du paragraphe 3, phrase 3, à traiter les données personnelles pertinentes, dans la mesure où cela est nécessaire pour la procédure d’arbitrage. La divulgation des données personnelles du plaignant et de l’utilisateur pour lequel le contenu contesté a été enregistré est exemptée de l’autorisation de traitement. Conformément à l’article 4, paragraphe 2, du règlement général sur la protection des données (RGPD), la divulgation comprend la transmission, la distribution ou toute autre forme de mise à disposition. Le paragraphe 3, phrase 3, sert à protéger les intérêts de confidentialité des parties, en particulier du plaignant. Le règlement garantit que l’organisme d’arbitrage ne peut divulguer ses données personnelles qu’avec le consentement du plaignant ou de l’utilisateur pour lequel le contenu contesté a été enregistré, par exemple à l’autre partie concernée.</w:t>
      </w:r>
    </w:p>
    <w:p w:rsidR="00BC1485" w:rsidRPr="00CB1818" w:rsidRDefault="00BC1485" w:rsidP="005B260B">
      <w:pPr>
        <w:pStyle w:val="Text"/>
        <w:keepNext/>
        <w:rPr>
          <w:b/>
        </w:rPr>
      </w:pPr>
      <w:r>
        <w:rPr>
          <w:b/>
        </w:rPr>
        <w:t>Concernant le paragraphe 4</w:t>
      </w:r>
    </w:p>
    <w:p w:rsidR="00575297" w:rsidRPr="00CB1818" w:rsidRDefault="00BC1485" w:rsidP="00BC1485">
      <w:pPr>
        <w:pStyle w:val="Text"/>
      </w:pPr>
      <w:r>
        <w:t>L’article 3c, paragraphe 4 de la NetzDG précise que la participation à la procédure d’arbitrage visée à l’article 3c de la NetzDG est volontaire et que le droit de faire appel devant les tribunaux n’est pas affecté. Compte tenu du fait que le statut de plaignant ou d’utilisateur au sens de la NetzDG ne dépend pas d’un statut de consommateur ou d’entrepreneur, les dispositions légales introduites dans la NetzDG sont soumises à des conditions cadres différentes de celles des constellations régies par la loi sur le règlement des litiges de consommation. Contrairement à la NetzDG, les litiges avec le consommateur et l’entrepreneur concerné, qui sont couverts par la loi sur le règlement des litiges de consommation, n’affectent que deux parties; la participation d’autres parties n’est pas prévue.</w:t>
      </w:r>
    </w:p>
    <w:p w:rsidR="00575297" w:rsidRPr="00CB1818" w:rsidRDefault="00575297" w:rsidP="005B260B">
      <w:pPr>
        <w:pStyle w:val="Text"/>
        <w:keepNext/>
        <w:rPr>
          <w:b/>
        </w:rPr>
      </w:pPr>
      <w:r>
        <w:rPr>
          <w:b/>
        </w:rPr>
        <w:t>Article 3d de la NetzDG (définition des termes pour les services de plate-forme de partage de vidéos)</w:t>
      </w:r>
    </w:p>
    <w:p w:rsidR="00E822CA" w:rsidRPr="00CB1818" w:rsidRDefault="00886C17" w:rsidP="00E822CA">
      <w:pPr>
        <w:pStyle w:val="Text"/>
      </w:pPr>
      <w:r>
        <w:t>L’article 3d, paragraphe 1, points 1 et 2 de la NetzDG sert à mettre en œuvre l’article 1, paragraphe 1, lettre aa de la SMAV (définition des services de plate-forme de partage de vidéos). Cela tient compte du fait que, conformément au considérant 6 de la directive (UE) 2018/1808, dans le cas où une partie séparable d’un service aux fins de la directive SMAV est un service de plate-forme de partage de vidéos, seule cette partie devrait être couverte par la directive. Dans ces cas, la validité de la NetzDG reste inchangée, à condition que le fournisseur soit également fournisseur d’un réseau social.</w:t>
      </w:r>
    </w:p>
    <w:p w:rsidR="004A65F2" w:rsidRPr="00CB1818" w:rsidRDefault="002F38E2" w:rsidP="00E822CA">
      <w:pPr>
        <w:pStyle w:val="Text"/>
      </w:pPr>
      <w:r>
        <w:t>L’article 3d, paragraphe 1, points 2 et 3 de la NetzDG adopte les définitions de l’article 1, paragraphe 1, lettre b et ba de la directive SMAV. L’article 3d, paragraphe 1, point 4 à 6 de la NetzDG adopte les définitions de l’article 28a, paragraphe 2, phrase 2, lettres a à c de la directive SMAV.</w:t>
      </w:r>
    </w:p>
    <w:p w:rsidR="00576D42" w:rsidRPr="00CB1818" w:rsidRDefault="005552C9" w:rsidP="00E822CA">
      <w:pPr>
        <w:pStyle w:val="Text"/>
      </w:pPr>
      <w:r>
        <w:t>L’article 3d, paragraphes 2 et 3 de la NetzDG détermine, compte tenu de l’article 28a, paragraphes 1 à 4, de la directive SMAV si un fournisseur de services de plate-forme de partage de vidéos est établi dans un État membre ou est réputé y être établi aux fins de la mise en œuvre de la directive.</w:t>
      </w:r>
    </w:p>
    <w:p w:rsidR="005552C9" w:rsidRPr="00CB1818" w:rsidRDefault="004A65F2" w:rsidP="00E822CA">
      <w:pPr>
        <w:pStyle w:val="Text"/>
      </w:pPr>
      <w:r>
        <w:t>L’article 3d, paragraphe 4 de la NetzDG met en œuvre l’obligation de consultation prévue à l’article 28a, paragraphe 7 de la directive SMAV.</w:t>
      </w:r>
    </w:p>
    <w:p w:rsidR="00575297" w:rsidRPr="00CB1818" w:rsidRDefault="00575297" w:rsidP="005B260B">
      <w:pPr>
        <w:pStyle w:val="Text"/>
        <w:keepNext/>
        <w:rPr>
          <w:b/>
        </w:rPr>
      </w:pPr>
      <w:r>
        <w:rPr>
          <w:b/>
        </w:rPr>
        <w:t>Article 3e de la NetzDG (réglementation applicable aux services de plate-forme de partage de vidéos)</w:t>
      </w:r>
    </w:p>
    <w:p w:rsidR="00575297" w:rsidRPr="00CB1818" w:rsidRDefault="00056F24" w:rsidP="00575297">
      <w:pPr>
        <w:pStyle w:val="Text"/>
        <w:rPr>
          <w:rStyle w:val="Marker"/>
          <w:color w:val="auto"/>
        </w:rPr>
      </w:pPr>
      <w:r>
        <w:rPr>
          <w:rStyle w:val="Marker"/>
          <w:color w:val="auto"/>
        </w:rPr>
        <w:t xml:space="preserve">L’article 3e de la NetzDG sert à mettre en œuvre l’article 28b SMAV, dans la mesure où il existe des recoupements entre les fournisseurs (réseaux sociaux) et les contenus (contenu illégal selon l’article 1, paragraphe 3 de la NetzDG) précédemment répertoriés dans la NetzDG et les fournisseurs (services de plate-forme de partage de vidéos) et les contenus (contenu illégal selon l’article 28b, paragraphe 1, de la directive SMAV) couverts par l’article 28b de la directive SMAV. </w:t>
      </w:r>
    </w:p>
    <w:p w:rsidR="00575297" w:rsidRPr="00CB1818" w:rsidRDefault="00575297" w:rsidP="00575297">
      <w:pPr>
        <w:pStyle w:val="Text"/>
        <w:rPr>
          <w:rStyle w:val="Marker"/>
          <w:color w:val="auto"/>
        </w:rPr>
      </w:pPr>
      <w:r>
        <w:rPr>
          <w:rStyle w:val="Marker"/>
          <w:color w:val="auto"/>
        </w:rPr>
        <w:t>Conformément à l’approche actuelle de la NetzDG, les exigences de l’article 28b de la directive SMAV devraient être mises en œuvre dans la mesure où elles visent à supprimer des contenus qui sont en soi inadmissibles ou rattachés à de tels contenus. Cela concerne en particulier les exigences relatives à l’utilisation de conditions générales (article 28b, paragraphe 1, paragraphe 3, lettre a, de la directive SMAV), au maintien des mécanismes de notification (article 28b, paragraphe 1, paragraphe 3, lettre d, de la directive SMAV) et à la notification des parties requises lors du traitement des signalements, par exemple d’une décision de suppression (article 28b, paragraphe 1, paragraphe 3, lettre e, de la directive SMAV), ainsi que du règlement des différends concernant les décisions prises (article 28b, paragraphe 1, paragraphe 3, lettre i, paragraphe 7, de la directive SMAV). En revanche, la NetzDG ne devrait pas réglementer le traitement des communications commerciales en tant que telles. Des réglementations correspondantes figurent déjà dans la loi sur les télémédias (TMG) en fonction de la situation juridique actuelle. D’autres réglementations fondées sur les exigences de l’article 28b, paragraphes 2 et 3, lettres b et c, devraient également être réservées à la TMG et à une procédure législative distincte. De plus - suivant le système précédent en Allemagne - la NetzDG ne devrait pas contenir de réglementations spécifiques pour la protection des enfants et des adolescents. Les réglementations correspondantes peuvent être trouvées dans le traité d’État sur la protection des médias pour les jeunes (JMStV) et dans la loi sur la protection des jeunes (JuSchG) en fonction de la situation juridique applicable.</w:t>
      </w:r>
    </w:p>
    <w:p w:rsidR="00E332F8" w:rsidRPr="00CB1818" w:rsidRDefault="00BC1485" w:rsidP="005B260B">
      <w:pPr>
        <w:pStyle w:val="Text"/>
        <w:keepNext/>
        <w:rPr>
          <w:rStyle w:val="Marker"/>
          <w:b/>
          <w:color w:val="auto"/>
        </w:rPr>
      </w:pPr>
      <w:r>
        <w:rPr>
          <w:rStyle w:val="Marker"/>
          <w:b/>
          <w:color w:val="auto"/>
        </w:rPr>
        <w:t>Concernant le paragraphe 1</w:t>
      </w:r>
    </w:p>
    <w:p w:rsidR="00056F24" w:rsidRPr="00CB1818" w:rsidRDefault="00056F24" w:rsidP="00575297">
      <w:pPr>
        <w:pStyle w:val="Text"/>
        <w:rPr>
          <w:rStyle w:val="Marker"/>
          <w:color w:val="auto"/>
        </w:rPr>
      </w:pPr>
      <w:r>
        <w:rPr>
          <w:rStyle w:val="Marker"/>
          <w:color w:val="auto"/>
        </w:rPr>
        <w:t>Aux fins de la mise en œuvre susmentionnée, l’article 3e, paragraphe 1 de la NetzDG stipule d’abord l’application de la réglementation de la NetzDG pour les services de plate-forme de partage de vidéos (ou des parties séparables équivalentes selon l’article 3d, paragraphe 1, point 2 de la NetzDG). Quelle que soit leur taille, cela répertorie également les services de plate-forme de partage de vidéos qui, en raison de l’absence de concentration sur aucun contenu, n’étaient jusqu’à présent pas des fournisseurs de réseaux sociaux au sens de l’article 1, paragraphe 1, phrase 1 de la NetzDG. Conformément aux prescriptions de la directive SMAV, les services de plate-forme de partage de vidéos qui visent à la diffusion de contenu spécifique (par exemple, le partage de scènes de jeux informatiques) sont donc répertoriés. Cela signifie que d’autres fournisseurs entreront dans le champ d’application de la NetzDG.</w:t>
      </w:r>
    </w:p>
    <w:p w:rsidR="00E332F8" w:rsidRPr="00CB1818" w:rsidRDefault="00BC1485" w:rsidP="005B260B">
      <w:pPr>
        <w:pStyle w:val="Text"/>
        <w:keepNext/>
        <w:rPr>
          <w:rStyle w:val="Marker"/>
          <w:b/>
          <w:color w:val="auto"/>
        </w:rPr>
      </w:pPr>
      <w:r>
        <w:rPr>
          <w:rStyle w:val="Marker"/>
          <w:b/>
          <w:color w:val="auto"/>
        </w:rPr>
        <w:t>Concernant le paragraphe 2</w:t>
      </w:r>
    </w:p>
    <w:p w:rsidR="00E332F8" w:rsidRPr="00CB1818" w:rsidRDefault="00B60471" w:rsidP="00056F24">
      <w:pPr>
        <w:pStyle w:val="Text"/>
        <w:rPr>
          <w:rStyle w:val="Marker"/>
          <w:color w:val="auto"/>
        </w:rPr>
      </w:pPr>
      <w:r>
        <w:rPr>
          <w:rStyle w:val="Marker"/>
          <w:color w:val="auto"/>
        </w:rPr>
        <w:t>Les exigences de conformité de la directive SMAV s’appliquent également aux petits services de plate-forme de partage de vidéos. L’article 3e, paragraphe 2 de la NetzDG applique donc les exigences de base de la NetzDG également pour les petits services de plate-forme de partage de vidéos. La réglementation représente donc une réglementation spéciale relative à l’article 1, paragraphe 2 de la NetzDG. Dans le même temps, il est stipulé que la NetzDG ne s’applique à ces petits fournisseurs que s’ils sont établis en Allemagne ou réputés établis en Allemagne.</w:t>
      </w:r>
    </w:p>
    <w:p w:rsidR="00E332F8" w:rsidRPr="00CB1818" w:rsidRDefault="00E332F8" w:rsidP="00E332F8">
      <w:pPr>
        <w:pStyle w:val="Text"/>
        <w:rPr>
          <w:rStyle w:val="Marker"/>
          <w:color w:val="auto"/>
        </w:rPr>
      </w:pPr>
      <w:r>
        <w:rPr>
          <w:rStyle w:val="Marker"/>
          <w:color w:val="auto"/>
        </w:rPr>
        <w:t>En outre, l’article 3e, paragraphe 2 de la NetzDG limite les obligations des services de plate-forme de partage de vidéos plus petits répertoriés pour la première fois aux contenus audiovisuels au sens de l’article 1er, paragraphe 3 de la NetzDG, lesquels violent les dispositions des articles 111, 130, paragraphe 1 ou 2, 131, 140, 166 ou 184b en relation avec l’article 184d du Code pénal (StGB). Cela sert à la mise en œuvre des exigences de l’article 28b, paragraphe 1, de la directive SMAV dans la NetzDG uniquement pour les catégories de contenu déjà couvertes par la NetzDG (article 1, paragraphe 3 de la NetzDG). Il n’est pas nécessaire d’étendre la NetzDG pour inclure d’autres catégories de contenu. En particulier, aucune catégorie de contenu couverte par l’article 28b, paragraphe 1, de la directive SMA, mais dont la distribution ne répond pas aux critères du code pénal en vertu du droit pénal allemand, n’est incluse. Cela ne se traduit pas par un écart de mise en œuvre; la protection supplémentaire nécessaire est fournie par les réglementations du traité d’État sur la protection des médias pour les jeunes (JMStV) et de la loi sur la protection des jeunes (JuSchG).</w:t>
      </w:r>
    </w:p>
    <w:p w:rsidR="00575297" w:rsidRPr="00CB1818" w:rsidRDefault="00D54D8C" w:rsidP="00E332F8">
      <w:pPr>
        <w:pStyle w:val="Text"/>
        <w:rPr>
          <w:rStyle w:val="Marker"/>
          <w:color w:val="auto"/>
        </w:rPr>
      </w:pPr>
      <w:r>
        <w:rPr>
          <w:rStyle w:val="Marker"/>
          <w:color w:val="auto"/>
        </w:rPr>
        <w:t>Conformément à l’article 28b, paragraphe 3, alinéa 2 de la directive SMAV, les mesures à prendre devraient être proportionnées et tenir compte de la taille du service de plate-forme de partage de vidéos. Pour cette raison, et pour des raisons de proportionnalité, les petits fournisseurs ne devraient respecter que les obligations de base et uniquement dans la mesure spécifiée par la directive. Ils sont totalement exemptés des obligations de l’article 2 de la NetzDG (obligations de rapport) et de l’article 3a de la NetzDG (obligations de signalement). Ces petits fournisseurs sont partiellement exemptés des obligations en vertu de l’article 3 de la NetzDG (traitement des plaintes concernant les contenus illégaux). Cela s’applique à la fois aux exigences relatives au traitement des contenus non manifestement illégaux (section 3, paragraphe 2, point 3 de la NetzDG), aux obligations d’enregistrement de contenus supprimés (section 3, paragraphe 2, point 4 de la NetzDG) et aux exigences spécifiques relatives au contrôle interne du traitement des plaintes (section 3, paragraphe 4 de la NetzDG). Ainsi, il est tenu compte du fait que les dispositions à mettre en œuvre à partir de l’article 28b de la directive SMAV pour se protéger des contenus illégaux sont en principe également prévues pour les petits fournisseurs. En revanche, pour les petits services, la validité de toutes les dispositions de la NetzDG pourrait constituer une charge excessive.</w:t>
      </w:r>
    </w:p>
    <w:p w:rsidR="00E332F8" w:rsidRPr="00CB1818" w:rsidRDefault="00BC1485" w:rsidP="005B260B">
      <w:pPr>
        <w:pStyle w:val="Text"/>
        <w:keepNext/>
        <w:rPr>
          <w:rStyle w:val="Marker"/>
          <w:b/>
          <w:color w:val="auto"/>
        </w:rPr>
      </w:pPr>
      <w:r>
        <w:rPr>
          <w:rStyle w:val="Marker"/>
          <w:b/>
          <w:color w:val="auto"/>
        </w:rPr>
        <w:t>Concernant le paragraphe 3</w:t>
      </w:r>
    </w:p>
    <w:p w:rsidR="00861858" w:rsidRPr="00CB1818" w:rsidRDefault="00E332F8" w:rsidP="00E332F8">
      <w:pPr>
        <w:pStyle w:val="Text"/>
        <w:rPr>
          <w:rStyle w:val="Marker"/>
          <w:color w:val="auto"/>
        </w:rPr>
      </w:pPr>
      <w:r>
        <w:rPr>
          <w:rStyle w:val="Marker"/>
          <w:color w:val="auto"/>
        </w:rPr>
        <w:t xml:space="preserve">L’article 3e, paragraphe 3 de la NetzDG met en œuvre l’harmonisation minimale des obligations de conformité pour les services de plate-forme de partage de vidéos prescrite par les articles 28a et 28b de la directive SMAV ainsi que les règles de responsabilité introduites à cet égard. Dans le domaine d’application de l’article 28b de la directive SMAV, il convient de supposer que le niveau de protection nécessaire, harmonisé par l’article 28b en termes de droit européen, concernant certains contenus et les finalités poursuivies par l’article 28b de la directive SMAV, est généralement garanti par l’État membre dans lequel le fournisseur d’un service de plate-forme de partage de vidéos est établi ou réputé établi. Dans ce contexte, la responsabilité principale du pays de domicile respectif conformément à l’article 28a, paragraphe 1, de la directive SMA doit être respectée. Étant donné que l’article 28b de la directive SMAV harmonise la procédure de notification et de réparation, y compris les exigences en matière d’information et les procédures de règlement extrajudiciaire des litiges (article 28b, paragraphe 1, paragraphe 3, lettres d, e et i de la directive SMAV), la priorité susmentionnée concerne principalement les exigences de la NetzDG des domaines réglementaires correspondants des articles 3 et 3b de la NetzDG. L’obligation de signalement conformément à l’article 3a n’est pas couverte par l’exception à l’article 3e, paragraphe 1, phrase 1 de la NetzDG. Le contexte est le fait que les obligations de signalement correspondantes aux services répressifs ne relèvent pas du domaine harmonisé par l’article 28b de la directive SMAV et que les règles de souveraineté selon l’article 28a de la directive SMAV ne s’appliquent qu’aux fins de la directive. L’article 28b de la directive SMAV a pour objet la protection préventive des mineurs ou du grand public contre certains contenus. En revanche, l’article 28b de la directive SMAV est sans préjudice de la question des poursuites judiciaires dans les cas pertinents, qui doit être considérée séparément, ainsi que de la question de l’obtention d’informations auprès des services répressifs. </w:t>
      </w:r>
    </w:p>
    <w:p w:rsidR="00861858" w:rsidRPr="00CB1818" w:rsidRDefault="00E332F8" w:rsidP="00E332F8">
      <w:pPr>
        <w:pStyle w:val="Text"/>
        <w:rPr>
          <w:rStyle w:val="Marker"/>
          <w:color w:val="auto"/>
        </w:rPr>
      </w:pPr>
      <w:r>
        <w:rPr>
          <w:rStyle w:val="Marker"/>
          <w:color w:val="auto"/>
        </w:rPr>
        <w:t>Si le fournisseur d’un service de plate-forme de partage de vidéos est situé dans un autre État membre de l’UE alors que le fournisseur en question propose également ses services en Allemagne, la responsabilité des autorités allemandes sur le soi-disant marché (principe du marché) peut (dans le domaine des contenus, des fournisseurs et des exigences de conformité soumises à une harmonisation minimale) s’appliquer uniquement en cas de nécessité spéciale, et en principe uniquement après avoir procédé à une consultation avec le pays de résidence respectif (article 28a, paragraphe 5, de la directive SMAV en liaison avec l’article 3, paragraphe 4, de la directive 2000/31/CE (directive sur le commerce électronique)). Les conditions préalables et les étapes procédurales nécessaires à l’action de l’Office fédéral de la justice découlent de l’article 3, paragraphe 5, de la TMG, qui à son tour met en œuvre l’article 3, paragraphe 4, de la directive sur le commerce électronique et y fait référence. L’instruction possible de l’application des obligations au titre de la NetzDG conformément à l’article 3e, paragraphe 3, phrase 1 de la NetzDG doit servir l’un des objectifs mentionnés à l’article 3, paragraphe 5 de la TMG (par exemple, la protection de la sécurité publique - telle que la prévention des infractions pénales ou la lutte contre la haine raciale - contre les atteintes ou les dangers graves et sérieux), et les autres conditions préalables mentionnées doivent être remplies (proportionnalité entre objectif et mesure de protection, mise en œuvre de procédures de consultation et d’information).</w:t>
      </w:r>
    </w:p>
    <w:p w:rsidR="00E332F8" w:rsidRPr="00CB1818" w:rsidRDefault="00BC1485" w:rsidP="005B260B">
      <w:pPr>
        <w:pStyle w:val="Text"/>
        <w:keepNext/>
        <w:rPr>
          <w:rStyle w:val="Marker"/>
          <w:b/>
          <w:color w:val="auto"/>
        </w:rPr>
      </w:pPr>
      <w:r>
        <w:rPr>
          <w:rStyle w:val="Marker"/>
          <w:b/>
          <w:color w:val="auto"/>
        </w:rPr>
        <w:t>Concernant le paragraphe 4</w:t>
      </w:r>
    </w:p>
    <w:p w:rsidR="00575297" w:rsidRPr="00CB1818" w:rsidRDefault="00E332F8" w:rsidP="00575297">
      <w:pPr>
        <w:pStyle w:val="Text"/>
        <w:rPr>
          <w:rStyle w:val="Marker"/>
          <w:color w:val="auto"/>
        </w:rPr>
      </w:pPr>
      <w:r>
        <w:rPr>
          <w:rStyle w:val="Marker"/>
          <w:color w:val="auto"/>
        </w:rPr>
        <w:t>L’article 3e, paragraphe 4 de la NetzDG sert à mettre en œuvre partiellement l’article 28b, paragraphes 1 et 3, point a de la directive SMAV. L’objectif d’une transposition partielle dans la NetzDG est atteint avec le renvoi à l’article 3, paragraphe 2, phrase 2 de la NetzDG, qui limite la portée aux contenus audiovisuels selon l’article 28b, paragraphe 1 de la directive SMAV qui représentent également des contenus au sens de l’article 1, paragraphe 3 de la NetzDG. L’article 3e, paragraphe 4 de la NetzDG exige que les fournisseurs de services de plate-forme de partage de vidéos conviennent contractuellement avec les utilisateurs que le service ne peut pas être utilisé pour les contenus correspondants. Étant donné que l’article 3e de la NetzDG se réfère au moins aux exigences de base selon le l’article 3 NetzDG pour tous les fournisseurs répertoriés, le contrôle du contenu signalé et son éventuelle suppression s’imposent. Il n’y a aucune obligation en vertu de l’article 3e, paragraphe 4 de la NetzDG de rechercher de manière proactive un contenu qui viole les accords. Cela semble approprié compte tenu du fait que l’article 28b, paragraphes 1 et 3 de la directive SMAV laisse une marge de mise en œuvre («si opportun») et que, conformément à l’article 28b, paragraphe 6 de la directive SMAV, il est précisé par la référence à l’article 15 de la directive sur le commerce électronique que des obligations générales de surveillance ne devraient pas être introduites (non plus par des spécifications relatives à l’application des dispositions contractuelles) et que l’article 7, paragraphe 2 de la TMG reste intact (exclusion des obligations générales de surveillance).</w:t>
      </w:r>
    </w:p>
    <w:p w:rsidR="00CF37E8" w:rsidRPr="00CB1818" w:rsidRDefault="004568AE" w:rsidP="005B260B">
      <w:pPr>
        <w:pStyle w:val="Text"/>
        <w:keepNext/>
        <w:rPr>
          <w:b/>
        </w:rPr>
      </w:pPr>
      <w:r>
        <w:rPr>
          <w:b/>
        </w:rPr>
        <w:t>Article 3f de la NetzDG (arbitrage officiel pour les litiges avec les services de plate-forme de partage de vidéos)</w:t>
      </w:r>
    </w:p>
    <w:p w:rsidR="00207AD5" w:rsidRPr="00CB1818" w:rsidRDefault="00207AD5" w:rsidP="00207AD5">
      <w:pPr>
        <w:pStyle w:val="Text"/>
      </w:pPr>
      <w:r>
        <w:t>Dans la mesure où les exigences énoncées à l’article 28b de la directive SMAV sont mises en œuvre dans la NetzDG, l’article 3f de la NetzDG crée, en application de l’article 28b, paragraphe 7, de la directive SMAV, une option d’arbitrage officielle pour les litiges avec les fournisseurs de services de plate-forme de partage de vidéos lorsque la République fédérale d’Allemagne est le siège ou réputée être le siège. L’option d’arbitrage officielle est limitée aux litiges mentionnés à l’article 3f de la NetzDG et vise à garantir également une possibilité extrajudiciaire impartiale de règlement des litiges qui y sont mentionnés en l’absence d’offre d’arbitrage privé conformément à l’article 3c, paragraphe 1de la NetzDG. Par conséquent, l’arbitrage officiel n’est utilisé qu’à titre subsidiaire.</w:t>
      </w:r>
    </w:p>
    <w:p w:rsidR="00C718DA" w:rsidRPr="00CB1818" w:rsidRDefault="00C718DA" w:rsidP="00207AD5">
      <w:pPr>
        <w:pStyle w:val="Text"/>
      </w:pPr>
      <w:r>
        <w:t>L’organisme d’arbitrage officiel peut facturer des frais pour l’exécution du processus d’arbitrage. Le règlement d’arbitrage doit préciser les participants à la procédure d’arbitrage et le montant des frais facturés.</w:t>
      </w:r>
    </w:p>
    <w:p w:rsidR="00C7339D" w:rsidRPr="00CB1818" w:rsidRDefault="00C7339D" w:rsidP="00C7339D">
      <w:pPr>
        <w:pStyle w:val="VerweisBegrndung"/>
      </w:pPr>
      <w:r>
        <w:t xml:space="preserve">Concernant le </w:t>
      </w:r>
      <w:r>
        <w:rPr>
          <w:rStyle w:val="Binnenverweis"/>
        </w:rPr>
        <w:t xml:space="preserve">point 5 </w:t>
      </w:r>
    </w:p>
    <w:p w:rsidR="00C7339D" w:rsidRPr="00CB1818" w:rsidRDefault="00C7339D" w:rsidP="00C7339D">
      <w:pPr>
        <w:pStyle w:val="VerweisBegrndung"/>
      </w:pPr>
      <w:r>
        <w:t xml:space="preserve">Concernant la </w:t>
      </w:r>
      <w:r>
        <w:rPr>
          <w:rStyle w:val="Binnenverweis"/>
        </w:rPr>
        <w:t>lettre a</w:t>
      </w:r>
    </w:p>
    <w:p w:rsidR="00523138" w:rsidRPr="00CB1818" w:rsidRDefault="005552C9" w:rsidP="00C7339D">
      <w:pPr>
        <w:pStyle w:val="Text"/>
        <w:rPr>
          <w:rStyle w:val="Marker"/>
          <w:color w:val="auto"/>
        </w:rPr>
      </w:pPr>
      <w:r>
        <w:rPr>
          <w:rStyle w:val="Marker"/>
          <w:color w:val="auto"/>
        </w:rPr>
        <w:t xml:space="preserve">Selon l’article 4, paragraphe 1, point 2, variante 2 de la NetzDG, se rendent coupables d’infraction les personnes qui, intentionnellement ou par négligence, ne respectent pas, correctement ou complètement, la procédure d’appel qui y est mentionnée contrairement à l’article 3b, paragraphe 1, phrase 1 de la NetzDG. L’obligation d’organisation correspondante est renforcée par des sanctions. Les erreurs dans le traitement régulier des appels individuels ne constituent pas une infraction administrative; le facteur décisif est plutôt le manquement systématique à traiter les appels. </w:t>
      </w:r>
    </w:p>
    <w:p w:rsidR="00C7339D" w:rsidRPr="00CB1818" w:rsidRDefault="00576D42" w:rsidP="00C7339D">
      <w:pPr>
        <w:pStyle w:val="Text"/>
        <w:rPr>
          <w:rStyle w:val="Marker"/>
          <w:color w:val="auto"/>
        </w:rPr>
      </w:pPr>
      <w:r>
        <w:rPr>
          <w:rStyle w:val="Marker"/>
          <w:color w:val="auto"/>
        </w:rPr>
        <w:t>Selon l’article 4, paragraphe 1, point 3, variante 2 de la NetzDG, se rendent coupables d’infraction les personnes qui ne mettent pas à disposition, ou pas correctement, les procédures nécessaires à la transmission des appels conformément à l’article 3b, paragraphe 1, phrase 3 de la NetzDG. L’absence ou la mise à disposition incorrecte d’une procédure correspondante de contact et de communication est renforcée par des sanctions.</w:t>
      </w:r>
    </w:p>
    <w:p w:rsidR="00BE4434" w:rsidRPr="00CB1818" w:rsidRDefault="00566465" w:rsidP="00C7339D">
      <w:pPr>
        <w:pStyle w:val="Text"/>
        <w:rPr>
          <w:rStyle w:val="Marker"/>
          <w:color w:val="auto"/>
        </w:rPr>
      </w:pPr>
      <w:r>
        <w:rPr>
          <w:rStyle w:val="Marker"/>
          <w:color w:val="auto"/>
        </w:rPr>
        <w:t>Les autres modifications sont des modifications de l’énumération.</w:t>
      </w:r>
    </w:p>
    <w:p w:rsidR="00C7339D" w:rsidRPr="00CB1818" w:rsidRDefault="00C7339D" w:rsidP="00C7339D">
      <w:pPr>
        <w:pStyle w:val="VerweisBegrndung"/>
        <w:rPr>
          <w:rStyle w:val="Binnenverweis"/>
        </w:rPr>
      </w:pPr>
      <w:r>
        <w:t xml:space="preserve">Concernant la </w:t>
      </w:r>
      <w:r>
        <w:rPr>
          <w:rStyle w:val="Binnenverweis"/>
        </w:rPr>
        <w:t>lettre b</w:t>
      </w:r>
    </w:p>
    <w:p w:rsidR="00BE4434" w:rsidRPr="00CB1818" w:rsidRDefault="00BE4434" w:rsidP="00951270">
      <w:pPr>
        <w:pStyle w:val="Text"/>
      </w:pPr>
      <w:r>
        <w:t>Il s’agit ici d’une modification rédactionnelle.</w:t>
      </w:r>
    </w:p>
    <w:p w:rsidR="00C7339D" w:rsidRPr="00CB1818" w:rsidRDefault="00C7339D" w:rsidP="00C7339D">
      <w:pPr>
        <w:pStyle w:val="VerweisBegrndung"/>
      </w:pPr>
      <w:r>
        <w:t xml:space="preserve">Concernant le </w:t>
      </w:r>
      <w:r>
        <w:rPr>
          <w:rStyle w:val="Binnenverweis"/>
        </w:rPr>
        <w:t>point 6</w:t>
      </w:r>
    </w:p>
    <w:p w:rsidR="00980A88" w:rsidRPr="00CB1818" w:rsidRDefault="00980A88" w:rsidP="00980A88">
      <w:pPr>
        <w:pStyle w:val="Text"/>
        <w:rPr>
          <w:rStyle w:val="Marker"/>
          <w:color w:val="auto"/>
        </w:rPr>
      </w:pPr>
      <w:r>
        <w:rPr>
          <w:rStyle w:val="Marker"/>
          <w:color w:val="auto"/>
        </w:rPr>
        <w:t>L’article 4a de la NetzDG introduit des pouvoirs de contrôle et d’instruction de l’Office fédéral de la justice chargée de l’application de la NetzDG.</w:t>
      </w:r>
    </w:p>
    <w:p w:rsidR="00980A88" w:rsidRPr="00CB1818" w:rsidRDefault="006D1FCE" w:rsidP="00980A88">
      <w:pPr>
        <w:pStyle w:val="Text"/>
        <w:rPr>
          <w:rStyle w:val="Marker"/>
          <w:color w:val="auto"/>
        </w:rPr>
      </w:pPr>
      <w:r>
        <w:rPr>
          <w:rStyle w:val="Marker"/>
          <w:color w:val="auto"/>
        </w:rPr>
        <w:t>À l’heure actuelle, l’Office fédéral de la justice n’est qu’une autorité de poursuite (article 4, paragraphe 4, phrase 1 de la NetzDG) et ne peut donc agir qu’à titre répressif après coup (enquête et, le cas échéant, sanction). À ce jour, il n’existe aucune autorité de contrôle qui puisse émettre des instructions dans le but de mettre fin à une violation de la loi de façon prospective. Cette lacune devrait maintenant être comblée. La création d’une autorité de contrôle sert également - dans le cadre de la directive SMAV - à mettre en œuvre l’article 28b, paragraphe 5, de la directive SMAV.</w:t>
      </w:r>
    </w:p>
    <w:p w:rsidR="00C718DA" w:rsidRPr="00CB1818" w:rsidRDefault="00980A88" w:rsidP="00980A88">
      <w:pPr>
        <w:pStyle w:val="Text"/>
        <w:rPr>
          <w:rStyle w:val="Marker"/>
          <w:color w:val="auto"/>
        </w:rPr>
      </w:pPr>
      <w:r>
        <w:rPr>
          <w:rStyle w:val="Marker"/>
          <w:color w:val="auto"/>
        </w:rPr>
        <w:t>La création de pouvoirs de contrôle et d’instruction n’entraîne pas de recoupement avec les compétences des autorités des Lands. Sur la base de l’article 59, paragraphe 4 du Traité interétatique de radiodiffusion (RStV), ces autorités peuvent prendre des mesures pour bloquer les offres du fournisseur de services en cas de violation du Traité interétatique sur la protection des médias pour les jeunes (JMStV) en liaison avec l’article 20, paragraphes 1 et 4 de la JMStV, qui comprend également les ordres de suppression (Volkmann, in: Spindler / Schuster Elektron. Medien, 4ème édition 2019, Traité interétatique de radiodiffusion, article 59, considérant 44). Les pouvoirs d’instruction correspondants ne découleront pas non plus de la NetzDG à l’avenir. Avec le nouvel article 4a, paragraphe 2 de la NetzDG, il est uniquement possible d’ordonner de mettre un terme aux violations des prescriptions en matière de conformité ou d’organisation de la NetzDG (par exemple en ce qui concerne les prescriptions pour le canal de signalement conformément à l’article 3, paragraphe 1, phrase 2 de la NetzDG ou l’exigence de mise en place d’une procédure efficace de traitement des plaintes concernant les contenus illégaux conformément à l’article 3, paragraphes 2 et 3 de la NetzDG).</w:t>
      </w:r>
    </w:p>
    <w:p w:rsidR="00C718DA" w:rsidRPr="00CB1818" w:rsidRDefault="00C718DA" w:rsidP="00980A88">
      <w:pPr>
        <w:pStyle w:val="Text"/>
        <w:rPr>
          <w:rStyle w:val="Marker"/>
          <w:color w:val="auto"/>
        </w:rPr>
      </w:pPr>
      <w:r>
        <w:rPr>
          <w:rStyle w:val="Marker"/>
          <w:color w:val="auto"/>
        </w:rPr>
        <w:t>Une condition préalable à la prise de mesures dans le cadre de la surveillance est la constatation d’une violation de l’article 4a, paragraphe 2 de la NetzDG. Les cas mentionnés à l’article 3e, paragraphe 3 de la NetzDG, pour lesquels des conditions d’instruction découlent de l’article 3, paragraphe 5 de la TMG, représentent des cas particuliers.</w:t>
      </w:r>
    </w:p>
    <w:p w:rsidR="00B3135F" w:rsidRPr="00CB1818" w:rsidRDefault="00B3135F" w:rsidP="00980A88">
      <w:pPr>
        <w:pStyle w:val="Text"/>
        <w:rPr>
          <w:rStyle w:val="Marker"/>
          <w:color w:val="auto"/>
        </w:rPr>
      </w:pPr>
      <w:r>
        <w:rPr>
          <w:rStyle w:val="Marker"/>
          <w:color w:val="auto"/>
        </w:rPr>
        <w:t>La création de pouvoirs de contrôle et d’instruction a pour objectif précis de mettre fin aux violations de la NetzDG. Dans le domaine de la mise en œuvre de l’article 28b de la directive SMAV (article 3e de la NetzDG), l’introduction de pouvoirs appropriés de l’Office fédéral de la justice sert également à mettre en œuvre l’article 28b, paragraphe 5, de la directive SMAV. Après cela, des mécanismes nécessaires à l’évaluation des mesures prises par les fournisseurs de services de plate-forme de partage de vidéos doivent être mis en place par les États membres.</w:t>
      </w:r>
    </w:p>
    <w:p w:rsidR="00280D6A" w:rsidRPr="00CB1818" w:rsidRDefault="00280D6A" w:rsidP="00280D6A">
      <w:pPr>
        <w:pStyle w:val="Text"/>
        <w:rPr>
          <w:rStyle w:val="Marker"/>
          <w:color w:val="auto"/>
        </w:rPr>
      </w:pPr>
      <w:r>
        <w:rPr>
          <w:rStyle w:val="Marker"/>
          <w:color w:val="auto"/>
        </w:rPr>
        <w:t>Dans la mesure où les pouvoirs de contrôle et d’instruction concernent également les services de plate-forme de partage de vidéos, les exigences relatives à la position de l’autorité de régulation conformément à l’article 30 de la directive SMAV sont maintenues par l’Office fédéral de la justice concerné. Dans le cadre du droit constitutionnel, l’Office fédéral de la justice est soumis au contrôle juridique et spécialisé du ministère fédéral de la Justice et de la Protection des Consommateurs. Un tel contrôle conformément au droit constitutionnel national est expressément autorisé en vertu de l’article 30, paragraphe 2, sous-paragraphe 2 de la directive SMAV.</w:t>
      </w:r>
    </w:p>
    <w:p w:rsidR="00B3135F" w:rsidRPr="00CB1818" w:rsidRDefault="00A203C8" w:rsidP="00A203C8">
      <w:pPr>
        <w:pStyle w:val="Text"/>
        <w:rPr>
          <w:rStyle w:val="Marker"/>
          <w:color w:val="auto"/>
        </w:rPr>
      </w:pPr>
      <w:r>
        <w:rPr>
          <w:rStyle w:val="Marker"/>
          <w:color w:val="auto"/>
        </w:rPr>
        <w:t>L’article 4a, paragraphe 3 de la NetzDG donne à l’Office fédéral de la justice compétent le pouvoir de demander des informations sur les mesures de mise en œuvre par les fournisseurs de réseaux sociaux, le nombre d’utilisateurs répertoriés en Allemagne et le nombre de plaintes reçues portant sur des contenus illégaux au cours de la dernière année civile. Le fournisseur est tenu de fournir ces informations. Les personnes nommées à l’article 4a, paragraphe 3, phrase 1, demi-phrase 2 de la NetzDG sont obligées de participer.</w:t>
      </w:r>
    </w:p>
    <w:p w:rsidR="00C718DA" w:rsidRPr="00CB1818" w:rsidRDefault="00C718DA" w:rsidP="00A203C8">
      <w:pPr>
        <w:pStyle w:val="Text"/>
        <w:rPr>
          <w:rStyle w:val="Marker"/>
          <w:color w:val="auto"/>
        </w:rPr>
      </w:pPr>
      <w:r>
        <w:rPr>
          <w:rStyle w:val="Marker"/>
          <w:color w:val="auto"/>
        </w:rPr>
        <w:t>Aux fins de la surveillance future de l’Office fédéral de la justice, il est nécessaire que l’obligation de fournir des informations puisse également comprendre des informations auto-incriminantes. Sinon, l’identification des violations de la NetzDG pour l’Office fédéral de la justice serait impossible ou beaucoup plus difficile dans de nombreux cas. Cela s’explique par le fait que l’identification de divers éléments d’infraction dans le contexte de la NetzDG peut poser des difficultés considérables en termes d’enquête. Une des raisons est le fait que les fournisseurs concernés sont basés à l’étranger et que, sans informations effectives des fournisseurs, il est impossible d’accéder aux indices permettant de procéder aux clarifications nécessaires. Cela concerne, par exemple, l’organisation interne des processus de contrôle des plaintes concernant des contenus illégaux ou la question de savoir si un fournisseur compte au moins deux millions d’utilisateurs répertoriés en Allemagne et est donc soumis aux obligations de conformité pertinentes de l’article 1, paragraphe 2 de la NetzDG. L’obligation de fournir des informations a pour seul objectif d’assurer une surveillance efficace afin d’éliminer les violations de la NetzDG. Une utilisation à des fins répressives dans le cadre d’une procédure pénale ou de sanction pécuniaire est expressément exclue conformément à l’article 4a, paragraphe 2, phrases 4 et 5 de la NetzDG, sauf si la partie tenue de fournir des informations y consent séparément. L’interdiction d’utilisation protège également le fournisseur même s’il n’est pas une personne physique, étant donné que l’utilisation dans le cadre d’une procédure de sanction pécuniaire à son encontre en vertu de l’article 30 de la loi sur les infractions administratives est fondamentalement exclue selon l’article 4, paragraphe 2, phrase 5 de la NetzDG. En outre, l’interdiction d’utilisation protège également les proches des personnes tenues de participer à la divulgation. Le modèle retenu tient compte de l’interdiction de l’obligation de s’auto-incriminer (principe nemo tenetur) et du droit à un procès équitable propre à l’État de droit. La jurisprudence de la Cour constitutionnelle fédérale (BverfG) reconnaît que le droit constitutionnel n’offre pas une protection complète contre l’auto-incrimination. Dans la mesure où il s’agit d’informations répondant à un besoin légitime d’information, le législateur est plutôt autorisé à soupeser les intérêts des différentes parties (BVerfG, décision du 13 janvier 1981, 1 BvR 116/77, BVerfGE 56, 37 - auto-incrimination du débiteur public) .</w:t>
      </w:r>
    </w:p>
    <w:p w:rsidR="00980A88" w:rsidRPr="00CB1818" w:rsidRDefault="00A203C8" w:rsidP="00A203C8">
      <w:pPr>
        <w:pStyle w:val="Text"/>
        <w:rPr>
          <w:rStyle w:val="Marker"/>
          <w:color w:val="auto"/>
        </w:rPr>
      </w:pPr>
      <w:r>
        <w:rPr>
          <w:rStyle w:val="Marker"/>
          <w:color w:val="auto"/>
        </w:rPr>
        <w:t>L’article 4a, paragraphe 4, phrase 1 de la NetzDG stipule que les témoins sont tenus de témoigner dans le cadre de la procédure d’information conformément à l’article 4a, paragraphe 2 de la NetzDG. L’article 4a, paragraphe 4, phrase 2 de la NetzDG garantit le principe nemo-tenetur aux témoins.</w:t>
      </w:r>
    </w:p>
    <w:p w:rsidR="00C7339D" w:rsidRPr="00CB1818" w:rsidRDefault="00C7339D" w:rsidP="00C7339D">
      <w:pPr>
        <w:pStyle w:val="VerweisBegrndung"/>
      </w:pPr>
      <w:r>
        <w:t xml:space="preserve">Concernant le </w:t>
      </w:r>
      <w:r>
        <w:rPr>
          <w:rStyle w:val="Binnenverweis"/>
        </w:rPr>
        <w:t xml:space="preserve">point 7 </w:t>
      </w:r>
    </w:p>
    <w:p w:rsidR="00C7339D" w:rsidRPr="00CB1818" w:rsidRDefault="00C7339D" w:rsidP="00C7339D">
      <w:pPr>
        <w:pStyle w:val="VerweisBegrndung"/>
      </w:pPr>
      <w:r>
        <w:t xml:space="preserve">Concernant la </w:t>
      </w:r>
      <w:r>
        <w:rPr>
          <w:rStyle w:val="Binnenverweis"/>
        </w:rPr>
        <w:t>lettre a</w:t>
      </w:r>
    </w:p>
    <w:p w:rsidR="00784109" w:rsidRPr="00CB1818" w:rsidRDefault="00784109" w:rsidP="00A70833">
      <w:pPr>
        <w:pStyle w:val="Text"/>
        <w:rPr>
          <w:rStyle w:val="Marker"/>
          <w:color w:val="auto"/>
        </w:rPr>
      </w:pPr>
      <w:r>
        <w:rPr>
          <w:rStyle w:val="Marker"/>
          <w:color w:val="auto"/>
        </w:rPr>
        <w:t>Selon l’article 5, paragraphe 1, phrase 2 de la NetzDG, les notifications peuvent être effectuées aux personnes habilitées à recevoir des actes judiciaires, entre autres dans le cadre de procédures judiciaires devant les tribunaux allemands en raison de la diffusion de contenus illégaux. Dans tous les cas, cela inclut des procédures dont l’objectif est la suppression ou l’interdiction de certains contenus illégaux. La question de savoir si la disposition précédente doit être interprétée comme couvrant également les procédures dans lesquelles il est affirmé à l’inverse qu’il n’y a pas de contenu illégal est contestée dans la pratique (par exemple dans le cas de plaintes pour restauration de contenu supprimé ou - avec la justification de l’existence de contenu illégal - de comptes bloqués en raison de - du point de vue des plaignants - contenus classés à tort comme illégal) (par exemple, rejet de KG, décision du 6 mars 2019-10 W 192/18, NJW 2019, 2624; OLG Cologne, décision du 11 janvier 2019-15 W 59/18, marg. 19, juris). L’ajout à l’article 5, paragraphe 1, phrase 2 de la NetzDG supprime cette incertitude et précise que la disposition s’applique également aux procédures dans lesquelles il est affirmé que l’hypothèse de la diffusion de contenus illégaux est non fondée, par exemple si un utilisateur demande la restauration de contenus supprimés.</w:t>
      </w:r>
    </w:p>
    <w:p w:rsidR="00784109" w:rsidRPr="00CB1818" w:rsidRDefault="00784109" w:rsidP="00784109">
      <w:pPr>
        <w:pStyle w:val="Text"/>
        <w:rPr>
          <w:rStyle w:val="Marker"/>
          <w:color w:val="auto"/>
        </w:rPr>
      </w:pPr>
      <w:r>
        <w:rPr>
          <w:rStyle w:val="Marker"/>
          <w:color w:val="auto"/>
        </w:rPr>
        <w:t>En outre, le règlement a été légèrement complété et fait désormais également référence aux notifications dans le cadre de la procédure relevant du droit de surveillance conformément à l’article 4a de la NetzDG.</w:t>
      </w:r>
    </w:p>
    <w:p w:rsidR="00784109" w:rsidRPr="00CB1818" w:rsidRDefault="00784109" w:rsidP="00784109">
      <w:pPr>
        <w:pStyle w:val="Text"/>
        <w:rPr>
          <w:rStyle w:val="Marker"/>
          <w:color w:val="auto"/>
        </w:rPr>
      </w:pPr>
      <w:r>
        <w:rPr>
          <w:rStyle w:val="Marker"/>
          <w:color w:val="auto"/>
        </w:rPr>
        <w:t>Enfin, les ajouts à l’article 5, paragraphe 1, phrase 2 de la NetzDG précisent que le domaine d’application de la personne habilitée à recevoir des actes judiciaires pour les notifications dans les procédures judiciaires doit être compris au sens large et qu’il s’applique également à la notification, par exemple, des invitations à nomination, des décisions judiciaires définitives ainsi que des notifications dans le cadre des procédures d’exécution.</w:t>
      </w:r>
    </w:p>
    <w:p w:rsidR="00C7339D" w:rsidRPr="00CB1818" w:rsidRDefault="00C7339D" w:rsidP="00C7339D">
      <w:pPr>
        <w:pStyle w:val="VerweisBegrndung"/>
        <w:rPr>
          <w:rStyle w:val="Binnenverweis"/>
        </w:rPr>
      </w:pPr>
      <w:r>
        <w:t xml:space="preserve">Concernant le </w:t>
      </w:r>
      <w:r>
        <w:rPr>
          <w:rStyle w:val="Binnenverweis"/>
        </w:rPr>
        <w:t>lettre b</w:t>
      </w:r>
    </w:p>
    <w:p w:rsidR="00E3743C" w:rsidRPr="00CB1818" w:rsidRDefault="00784109" w:rsidP="00E3743C">
      <w:pPr>
        <w:pStyle w:val="Text"/>
        <w:rPr>
          <w:rStyle w:val="Marker"/>
          <w:color w:val="auto"/>
        </w:rPr>
      </w:pPr>
      <w:r>
        <w:rPr>
          <w:rStyle w:val="Marker"/>
          <w:color w:val="auto"/>
        </w:rPr>
        <w:t>L’article 5, paragraphe 2 de la NetzDG précise que les fournisseurs de réseaux sociaux doivent nommer les destinataires ayant droit de manière centralisée à l’Office fédéral de la justice, lequel en tient une liste et informe les services répressifs compétents. La publication générale des noms des destinataires ayant droit est interdite. Il s’agit d’un interlocuteur des seuls services répressifs. Pour se protéger contre les spams, etc., les données correspondantes ne doivent pas faire l’objet d’une publication générale.</w:t>
      </w:r>
    </w:p>
    <w:p w:rsidR="00C7339D" w:rsidRPr="00CB1818" w:rsidRDefault="00C7339D" w:rsidP="00C7339D">
      <w:pPr>
        <w:pStyle w:val="VerweisBegrndung"/>
      </w:pPr>
      <w:r>
        <w:t xml:space="preserve">Concernant le </w:t>
      </w:r>
      <w:r>
        <w:rPr>
          <w:rStyle w:val="Binnenverweis"/>
        </w:rPr>
        <w:t xml:space="preserve">point 8 </w:t>
      </w:r>
    </w:p>
    <w:p w:rsidR="00C7339D" w:rsidRPr="00CB1818" w:rsidRDefault="005552C9" w:rsidP="00C7339D">
      <w:pPr>
        <w:pStyle w:val="Text"/>
        <w:rPr>
          <w:rStyle w:val="Marker"/>
          <w:color w:val="auto"/>
        </w:rPr>
      </w:pPr>
      <w:r>
        <w:rPr>
          <w:rStyle w:val="Marker"/>
          <w:color w:val="auto"/>
        </w:rPr>
        <w:t>Les dispositions transitoires applicables de l’article 6 de la NetzDG sont complétées. Il est ainsi précisé que les modifications des obligations de rapport prévues à l’article 2, paragraphe 2, de la NetzDG doivent être prises en compte pour la première fois pour la période de déclaration commençant après l’entrée en vigueur de la présente loi.</w:t>
      </w:r>
    </w:p>
    <w:p w:rsidR="000C3AF3" w:rsidRPr="00CB1818" w:rsidRDefault="00DC1BCC" w:rsidP="00C7339D">
      <w:pPr>
        <w:pStyle w:val="Text"/>
      </w:pPr>
      <w:r>
        <w:rPr>
          <w:rStyle w:val="Marker"/>
          <w:color w:val="auto"/>
        </w:rPr>
        <w:t>Les nouveaux rapports d’activité des institutions reconnues d’autorégulation réglementée seront dus pour la première fois le 31 juillet 2022.</w:t>
      </w:r>
    </w:p>
    <w:p w:rsidR="00C7339D" w:rsidRPr="00CB1818" w:rsidRDefault="00C7339D" w:rsidP="00C7339D">
      <w:pPr>
        <w:pStyle w:val="VerweisBegrndung"/>
      </w:pPr>
      <w:r>
        <w:t>Concernant l’</w:t>
      </w:r>
      <w:r>
        <w:rPr>
          <w:rStyle w:val="Binnenverweis"/>
        </w:rPr>
        <w:t>article 2</w:t>
      </w:r>
      <w:r>
        <w:t xml:space="preserve"> (modification de la loi sur les télémédias)</w:t>
      </w:r>
    </w:p>
    <w:p w:rsidR="004A65F2" w:rsidRPr="00CB1818" w:rsidRDefault="00F55418" w:rsidP="00C7339D">
      <w:pPr>
        <w:pStyle w:val="Text"/>
        <w:rPr>
          <w:rStyle w:val="Marker"/>
          <w:color w:val="auto"/>
        </w:rPr>
      </w:pPr>
      <w:r>
        <w:rPr>
          <w:rStyle w:val="Marker"/>
          <w:color w:val="auto"/>
        </w:rPr>
        <w:t>Le paragraphe 14, paragraphe 3 de la TMG est complété en ce sens que, si les conditions qui y sont énoncées sont remplies, non seulement il est permis de fournir des informations à la personne lésée, mais le fournisseur de services y est également obligé. Le tribunal qui, en vertu de l’article 14, paragraphe 4, de la loi allemande sur les télémédias (TMG), est chargé d’ordonner la recevabilité de la fourniture d’informations doit, sur la base de l’article 14, paragraphe 4, phrase 2 de la TMG, ordonner également à l’avenir l’obligation du fournisseur à cet égard si l’ordre est donné, à moins que le demandeur ne limite expressément sa demande au jugement de la recevabilité de la fourniture d’informations.</w:t>
      </w:r>
    </w:p>
    <w:p w:rsidR="00F55418" w:rsidRPr="00CB1818" w:rsidRDefault="00F55418" w:rsidP="008D7819">
      <w:pPr>
        <w:pStyle w:val="Text"/>
        <w:rPr>
          <w:rStyle w:val="Marker"/>
          <w:color w:val="auto"/>
        </w:rPr>
      </w:pPr>
      <w:r>
        <w:rPr>
          <w:rStyle w:val="Marker"/>
          <w:color w:val="auto"/>
        </w:rPr>
        <w:t>Le contexte du nouveau règlement est le fait que les articles 14, paragraphe 3 à 5 de la TMG ne réglementent jusqu’à présent que l’autorisation de divulgation des données (sous la compétence du juge) des données d’inventaire et d’utilisation (via l’article 15, paragraphe 5, phrase 4 de la TMG). Le droit à l’information (à l’encontre du fournisseur) n’est pas réglementé en tant que tel. Dans le domaine des violations juridiques couvertes par l’article 14, paragraphe 3 de la TMG, il existe en particulier le droit à l’information reconnu par la jurisprudence sur la base de l’article 242 du Code civil allemand (BGB) (par exemple BGH, arrêt du 1</w:t>
      </w:r>
      <w:r>
        <w:rPr>
          <w:rStyle w:val="Marker"/>
          <w:color w:val="auto"/>
          <w:vertAlign w:val="superscript"/>
        </w:rPr>
        <w:t>er</w:t>
      </w:r>
      <w:r>
        <w:rPr>
          <w:rStyle w:val="Marker"/>
          <w:color w:val="auto"/>
        </w:rPr>
        <w:t xml:space="preserve"> juillet 2014 - VI ZR 345/13 «Ärzteprüfung I» , BGHZ 201, 380, marg. 6).</w:t>
      </w:r>
    </w:p>
    <w:p w:rsidR="001A0BA6" w:rsidRPr="00CB1818" w:rsidRDefault="00F55418" w:rsidP="001A0BA6">
      <w:pPr>
        <w:pStyle w:val="Text"/>
        <w:rPr>
          <w:rStyle w:val="Marker"/>
          <w:color w:val="auto"/>
        </w:rPr>
      </w:pPr>
      <w:r>
        <w:rPr>
          <w:rStyle w:val="Marker"/>
          <w:color w:val="auto"/>
        </w:rPr>
        <w:t>Lorsque la NetzDG a été adoptée, le droit à l’information n’était pas spécifié. Cependant, il avait déjà été souligné à l’époque qu’une réglementation légale pourrait éventuellement être mise en place (BT-Drs 18/13013, p. 23).</w:t>
      </w:r>
    </w:p>
    <w:p w:rsidR="00641F12" w:rsidRPr="00CB1818" w:rsidRDefault="00F55418" w:rsidP="001A0BA6">
      <w:pPr>
        <w:pStyle w:val="Text"/>
        <w:rPr>
          <w:rStyle w:val="Marker"/>
          <w:color w:val="auto"/>
        </w:rPr>
      </w:pPr>
      <w:r>
        <w:rPr>
          <w:rStyle w:val="Marker"/>
          <w:color w:val="auto"/>
        </w:rPr>
        <w:t>En pratique, la situation juridique actuelle conduit à une procédure en deux étapes dans laquelle, dans un premier temps, le tribunal régional compétent en vertu de l’article 14, paragraphe 4 de la loi allemande sur les télémédias (TMG) se prononce sur la recevabilité de la divulgation des données, en appliquant par analogie la loi sur les procédures en matière d’affaires familiales et de juridiction gracieuse (FamFG).</w:t>
      </w:r>
    </w:p>
    <w:p w:rsidR="00641F12" w:rsidRPr="00CB1818" w:rsidRDefault="00641F12" w:rsidP="001A0BA6">
      <w:pPr>
        <w:pStyle w:val="Text"/>
        <w:rPr>
          <w:rStyle w:val="Marker"/>
          <w:color w:val="auto"/>
        </w:rPr>
      </w:pPr>
      <w:r>
        <w:rPr>
          <w:rStyle w:val="Marker"/>
          <w:color w:val="auto"/>
        </w:rPr>
        <w:t>Si le fournisseur refuse de fournir des informations malgré une décision autorisant la divulgation des données, la partie lésée doit engager une autre procédure civile pour faire respecter le droit à l’information sur la base de l’article 242 du Code civil allemand. Le tribunal compétent est déterminé selon les règles du code de procédure civile, également décisif pour la procédure. Une association des deux étapes procédurales en une seule procédure judiciaire n’est pas possible en raison des différentes règles de procédure applicables. Il peut également arriver que différents tribunaux soient compétents.</w:t>
      </w:r>
    </w:p>
    <w:p w:rsidR="00E0062E" w:rsidRPr="00CB1818" w:rsidRDefault="00E4043D" w:rsidP="001A0BA6">
      <w:pPr>
        <w:pStyle w:val="Text"/>
        <w:rPr>
          <w:rStyle w:val="Marker"/>
          <w:color w:val="auto"/>
        </w:rPr>
      </w:pPr>
      <w:r>
        <w:rPr>
          <w:rStyle w:val="Marker"/>
          <w:color w:val="auto"/>
        </w:rPr>
        <w:t>La procédure en deux étapes complique et ralentit considérablement la procédure d’obtention des données requises. Il semble approprié de regrouper la procédure d’information afin d’éviter deux procédures judiciaires ultérieures distinctes devant des tribunaux différents et d’utiliser des règles de procédure différentes, malgré des questions identiques.</w:t>
      </w:r>
    </w:p>
    <w:p w:rsidR="001A0BA6" w:rsidRPr="00CB1818" w:rsidRDefault="00E0062E" w:rsidP="00C7339D">
      <w:pPr>
        <w:pStyle w:val="Text"/>
      </w:pPr>
      <w:r>
        <w:rPr>
          <w:rStyle w:val="Marker"/>
          <w:color w:val="auto"/>
        </w:rPr>
        <w:t>Cela n’inclut pas la codification du droit général à l’information sur la base de l’article 242 du Code civil allemand. Un règlement spécial est plutôt créé pour le domaine des cas décrits à l’article 14, paragraphe 3 de la TMG, selon lequel, si les exigences de l’article 14, paragraphe 3, phrase 1 de la TMG sont remplies, le fournisseur de services est également tenu de fournir des données. Le rattachement aux exigences de l’article 14, paragraphe 3, phrase 1 de la TMG est approprié car les exigences sont similaires aux critères développés dans la jurisprudence relative à l’article 242 BGB. Ainsi, selon la jurisprudence, une condition essentielle du droit général à l’information sur la base de l’article 242 BGB est que le bénéficiaire soit, de manière justifiable, incertain de l’existence ou de la portée de son droit et que la partie débitrice soit en mesure de fournir sans difficulté les informations nécessaires pour éliminer cette incertitude (BGH, loc. cit.). L’exigence de l’article 14, paragraphe 3 de la TMG, selon laquelle la divulgation des données «est nécessaire pour faire valoir les droits civils ...», est similaire. Une modification de la règle de coût de l’actuel article 14, paragraphe 4, phrase 6 de la TMG est exclue afin d’éviter une divulgation des données prématurée par le fournisseur de services (éventuellement pour éviter d’éventuels risques de coût). Cela garantit que les données ne sont publiées qu’après une décision de justice dans les affaires concernées.</w:t>
      </w:r>
    </w:p>
    <w:p w:rsidR="00C7339D" w:rsidRPr="00CB1818" w:rsidRDefault="00C7339D" w:rsidP="00C7339D">
      <w:pPr>
        <w:pStyle w:val="VerweisBegrndung"/>
      </w:pPr>
      <w:r>
        <w:t>Concernant l’</w:t>
      </w:r>
      <w:r>
        <w:rPr>
          <w:rStyle w:val="Binnenverweis"/>
        </w:rPr>
        <w:t>article 3</w:t>
      </w:r>
      <w:r>
        <w:t xml:space="preserve"> (entrée en vigueur)</w:t>
      </w:r>
    </w:p>
    <w:p w:rsidR="00B355DA" w:rsidRPr="00CB1818" w:rsidRDefault="0022102F" w:rsidP="00C7339D">
      <w:pPr>
        <w:pStyle w:val="Text"/>
        <w:rPr>
          <w:rStyle w:val="Marker"/>
          <w:color w:val="auto"/>
        </w:rPr>
      </w:pPr>
      <w:r>
        <w:rPr>
          <w:rStyle w:val="Marker"/>
          <w:color w:val="auto"/>
        </w:rPr>
        <w:t>L’article 3 réglemente l’entrée en vigueur.</w:t>
      </w:r>
    </w:p>
    <w:sectPr w:rsidR="00B355DA" w:rsidRPr="00CB1818" w:rsidSect="00D9408F">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C0C" w:rsidRDefault="00784C0C" w:rsidP="005D1540">
      <w:pPr>
        <w:spacing w:before="0" w:after="0"/>
      </w:pPr>
      <w:r>
        <w:separator/>
      </w:r>
    </w:p>
  </w:endnote>
  <w:endnote w:type="continuationSeparator" w:id="0">
    <w:p w:rsidR="00784C0C" w:rsidRDefault="00784C0C"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C0C" w:rsidRDefault="00784C0C" w:rsidP="005D1540">
      <w:pPr>
        <w:spacing w:before="0" w:after="0"/>
      </w:pPr>
      <w:r>
        <w:separator/>
      </w:r>
    </w:p>
  </w:footnote>
  <w:footnote w:type="continuationSeparator" w:id="0">
    <w:p w:rsidR="00784C0C" w:rsidRDefault="00784C0C" w:rsidP="005D1540">
      <w:pPr>
        <w:spacing w:before="0" w:after="0"/>
      </w:pPr>
      <w:r>
        <w:continuationSeparator/>
      </w:r>
    </w:p>
  </w:footnote>
  <w:footnote w:id="1">
    <w:p w:rsidR="00D32D29" w:rsidRDefault="00D32D29">
      <w:pPr>
        <w:pStyle w:val="FootnoteText"/>
      </w:pPr>
      <w:r>
        <w:rPr>
          <w:rStyle w:val="FootnoteReference"/>
        </w:rPr>
        <w:footnoteRef/>
      </w:r>
      <w:r>
        <w:rPr>
          <w:rStyle w:val="FootnoteReference"/>
          <w:vertAlign w:val="baseline"/>
        </w:rPr>
        <w:t>)</w:t>
      </w:r>
      <w:r>
        <w:tab/>
        <w:t>Cette loi sert à transposer la directive (UE) 2018/1808 du Parlement européen et du Conseil du 14 novembre 2018 modifiant la directive 2010/13/UE visant à la coordination de certaines dispositions législatives, réglementaires et administratives des États membres relatives à la fourniture de services de médias audiovisuels (directive «Services de médias audiovisuels»), compte tenu de l’évolution des réalités du marché (JO L 303 du 28.11.2018, p. 69).</w:t>
      </w:r>
    </w:p>
  </w:footnote>
  <w:footnote w:id="2">
    <w:p w:rsidR="00D32D29" w:rsidRDefault="00D32D29">
      <w:pPr>
        <w:pStyle w:val="FootnoteText"/>
      </w:pPr>
      <w:r>
        <w:rPr>
          <w:rStyle w:val="FootnoteReference"/>
        </w:rPr>
        <w:footnoteRef/>
      </w:r>
      <w:r>
        <w:rPr>
          <w:rStyle w:val="FootnoteReference"/>
          <w:vertAlign w:val="baseline"/>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29" w:rsidRPr="00D9408F" w:rsidRDefault="00D32D29" w:rsidP="00D9408F">
    <w:pPr>
      <w:pStyle w:val="Header"/>
    </w:pPr>
    <w:r>
      <w:tab/>
      <w:t xml:space="preserve">- </w:t>
    </w:r>
    <w:r>
      <w:fldChar w:fldCharType="begin"/>
    </w:r>
    <w:r>
      <w:instrText xml:space="preserve"> PAGE  \* MERGEFORMAT </w:instrText>
    </w:r>
    <w:r>
      <w:fldChar w:fldCharType="separate"/>
    </w:r>
    <w:r w:rsidR="00C3547E">
      <w:rPr>
        <w:noProof/>
      </w:rPr>
      <w:t>2</w:t>
    </w:r>
    <w:r>
      <w:fldChar w:fldCharType="end"/>
    </w:r>
    <w:r>
      <w:t xml:space="preserve"> -</w:t>
    </w:r>
    <w:r>
      <w:tab/>
    </w:r>
    <w:r>
      <w:rPr>
        <w:sz w:val="18"/>
      </w:rPr>
      <w:t>Version: 27.3.2020  11h57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29" w:rsidRPr="00D9408F" w:rsidRDefault="00D32D29" w:rsidP="00CF3579">
    <w:pPr>
      <w:pStyle w:val="Header"/>
      <w:jc w:val="right"/>
    </w:pPr>
    <w:r>
      <w:rPr>
        <w:sz w:val="18"/>
      </w:rPr>
      <w:t>Version: 27.3.2020  11h57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1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9" w15:restartNumberingAfterBreak="0">
    <w:nsid w:val="4D451F88"/>
    <w:multiLevelType w:val="multilevel"/>
    <w:tmpl w:val="53C03C46"/>
    <w:numStyleLink w:val="ListeBMJnumerisch"/>
  </w:abstractNum>
  <w:abstractNum w:abstractNumId="2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4" w15:restartNumberingAfterBreak="0">
    <w:nsid w:val="5CC4249E"/>
    <w:multiLevelType w:val="hybridMultilevel"/>
    <w:tmpl w:val="EA5C9034"/>
    <w:lvl w:ilvl="0" w:tplc="F5D6B3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6"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9"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1"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2"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32"/>
  </w:num>
  <w:num w:numId="13">
    <w:abstractNumId w:val="2"/>
  </w:num>
  <w:num w:numId="14">
    <w:abstractNumId w:val="17"/>
  </w:num>
  <w:num w:numId="15">
    <w:abstractNumId w:val="19"/>
  </w:num>
  <w:num w:numId="16">
    <w:abstractNumId w:val="24"/>
  </w:num>
  <w:num w:numId="17">
    <w:abstractNumId w:val="6"/>
  </w:num>
  <w:num w:numId="18">
    <w:abstractNumId w:val="23"/>
  </w:num>
  <w:num w:numId="19">
    <w:abstractNumId w:val="33"/>
  </w:num>
  <w:num w:numId="20">
    <w:abstractNumId w:val="22"/>
  </w:num>
  <w:num w:numId="21">
    <w:abstractNumId w:val="4"/>
  </w:num>
  <w:num w:numId="22">
    <w:abstractNumId w:val="13"/>
  </w:num>
  <w:num w:numId="23">
    <w:abstractNumId w:val="0"/>
  </w:num>
  <w:num w:numId="24">
    <w:abstractNumId w:val="31"/>
  </w:num>
  <w:num w:numId="25">
    <w:abstractNumId w:val="14"/>
  </w:num>
  <w:num w:numId="26">
    <w:abstractNumId w:val="27"/>
  </w:num>
  <w:num w:numId="27">
    <w:abstractNumId w:val="3"/>
  </w:num>
  <w:num w:numId="28">
    <w:abstractNumId w:val="20"/>
  </w:num>
  <w:num w:numId="29">
    <w:abstractNumId w:val="8"/>
  </w:num>
  <w:num w:numId="30">
    <w:abstractNumId w:val="7"/>
  </w:num>
  <w:num w:numId="31">
    <w:abstractNumId w:val="18"/>
  </w:num>
  <w:num w:numId="32">
    <w:abstractNumId w:val="28"/>
  </w:num>
  <w:num w:numId="33">
    <w:abstractNumId w:val="9"/>
  </w:num>
  <w:num w:numId="34">
    <w:abstractNumId w:val="15"/>
  </w:num>
  <w:num w:numId="35">
    <w:abstractNumId w:val="1"/>
  </w:num>
  <w:num w:numId="36">
    <w:abstractNumId w:val="16"/>
  </w:num>
  <w:num w:numId="37">
    <w:abstractNumId w:val="5"/>
  </w:num>
  <w:num w:numId="38">
    <w:abstractNumId w:val="30"/>
  </w:num>
  <w:num w:numId="39">
    <w:abstractNumId w:val="29"/>
  </w:num>
  <w:num w:numId="40">
    <w:abstractNumId w:val="11"/>
  </w:num>
  <w:num w:numId="41">
    <w:abstractNumId w:val="2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20"/>
  </w:num>
  <w:num w:numId="62">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Aktualisierung der Strukturanzeige [1569ms] [Main] [eNormCommandLocal::DynamicStructureCheck.UpdateStructure]"/>
    <w:docVar w:name="BefehlsHistorie_BefehlsZähler" w:val="1"/>
    <w:docVar w:name="BefehlsKontext_SpeichernOOXML_Maximum" w:val="1022ms"/>
    <w:docVar w:name="BefehlsKontext_SpeichernOOXML_Schnitt" w:val="1022ms"/>
    <w:docVar w:name="BMJ" w:val="True"/>
    <w:docVar w:name="CUSTOMER" w:val="8"/>
    <w:docVar w:name="DQCDateTime" w:val="27.03.2020 10:22:03"/>
    <w:docVar w:name="DQCHighlighting" w:val="100"/>
    <w:docVar w:name="DQCPart_Begruendung" w:val="0"/>
    <w:docVar w:name="DQCPart_Dokument" w:val="0"/>
    <w:docVar w:name="DQCPart_Regelungsteil" w:val="0"/>
    <w:docVar w:name="DQCPart_Vorblatt" w:val="0"/>
    <w:docVar w:name="DQCResult_Aenderungsbefehl" w:val="0;6"/>
    <w:docVar w:name="DQCResult_Binnenverweise" w:val="0;0"/>
    <w:docVar w:name="DQCResult_Citations" w:val="0;0"/>
    <w:docVar w:name="DQCResult_EinzelneRegelungsteile" w:val="0;0"/>
    <w:docVar w:name="DQCResult_EmbeddedObjects" w:val="0;0"/>
    <w:docVar w:name="DQCResult_Gliederung" w:val="0;0"/>
    <w:docVar w:name="DQCResult_Marker" w:val="0;0"/>
    <w:docVar w:name="DQCResult_Metadata" w:val="0;0"/>
    <w:docVar w:name="DQCResult_ModifiedCharFormat" w:val="0;100"/>
    <w:docVar w:name="DQCResult_ModifiedMargins" w:val="22;0"/>
    <w:docVar w:name="DQCResult_ModifiedNumbering" w:val="0;0"/>
    <w:docVar w:name="DQCResult_StructureCheck" w:val="0;0"/>
    <w:docVar w:name="DQCResult_SuperfluousWhitespace" w:val="2;0"/>
    <w:docVar w:name="DQCResult_TermsAndDiction" w:val="0;17"/>
    <w:docVar w:name="DQCResult_Verweise" w:val="0;0"/>
    <w:docVar w:name="DQCWithWarnings" w:val="1"/>
    <w:docVar w:name="eNV_014D67E831A54E84AE69F682494D2210" w:val="Buchstabe a"/>
    <w:docVar w:name="eNV_014D67E831A54E84AE69F682494D2210_Struct" w:val="§ 1 Nummer 3 Buchstabe a;2;Struktur:1/0/3/1;CheckSums:-1/-1/-1/-1;eNV_014D67E831A54E84AE69F682494D2210_1@@2"/>
    <w:docVar w:name="eNV_02766DCDDD0C451696CD2CA9BA8F5F05" w:val="Artikel 1"/>
    <w:docVar w:name="eNV_02766DCDDD0C451696CD2CA9BA8F5F05_Struct" w:val="Artikel 1;6;Struktur:1;CheckSums:-1;eNV_02766DCDDD0C451696CD2CA9BA8F5F05_1@@2"/>
    <w:docVar w:name="eNV_04FF9BB8F8AA4AA7A9BF1B042E4A5062" w:val="Nummer 7"/>
    <w:docVar w:name="eNV_04FF9BB8F8AA4AA7A9BF1B042E4A5062_Struct" w:val="§ 1 Nummer 7;2;Struktur:1/0/7;CheckSums:-1/-1/-1;eNV_04FF9BB8F8AA4AA7A9BF1B042E4A5062_1@@2"/>
    <w:docVar w:name="eNV_1071D66C7A3A4E78904AD55041E5495E" w:val="Nummer 3"/>
    <w:docVar w:name="eNV_1071D66C7A3A4E78904AD55041E5495E_Struct" w:val="§ 1 Nummer 3;2;Struktur:1/0/3;CheckSums:-1/-1/-1;eNV_1071D66C7A3A4E78904AD55041E5495E_1@@2"/>
    <w:docVar w:name="eNV_1889E279CDC24205B0D826D1A9874907" w:val="Buchstabe e"/>
    <w:docVar w:name="eNV_1889E279CDC24205B0D826D1A9874907_Struct" w:val="§ 1 Nummer 2 Buchstabe e;2;Struktur:1/0/2/5;CheckSums:-1/-1/-1/-1;eNV_1889E279CDC24205B0D826D1A9874907_1@@2"/>
    <w:docVar w:name="eNV_1BD0FCD066BB4ADDA24D31C7AFEE9D76" w:val="Buchstabe c"/>
    <w:docVar w:name="eNV_1BD0FCD066BB4ADDA24D31C7AFEE9D76_Struct" w:val="§ 1 Nummer 3 Buchstabe c;2;Struktur:1/0/3/3;CheckSums:-1/-1/-1/-1;eNV_1BD0FCD066BB4ADDA24D31C7AFEE9D76_1@@2"/>
    <w:docVar w:name="eNV_24B3038AC4B7485CA5CBE49ECF8FDA5B" w:val="Nummer 4"/>
    <w:docVar w:name="eNV_24B3038AC4B7485CA5CBE49ECF8FDA5B_Struct" w:val="§ 1 Nummer 4;2;Struktur:1/0/4;CheckSums:-1/-1/-1;eNV_24B3038AC4B7485CA5CBE49ECF8FDA5B_1@@2"/>
    <w:docVar w:name="eNV_2647B04F6BD44C27A403E05A83BEA7BB" w:val="Buchstabe d"/>
    <w:docVar w:name="eNV_2647B04F6BD44C27A403E05A83BEA7BB_Struct" w:val="§ 1 Nummer 3 Buchstabe d;2;Struktur:1/0/3/4;CheckSums:-1/-1/-1/-1;eNV_2647B04F6BD44C27A403E05A83BEA7BB_1@@2"/>
    <w:docVar w:name="eNV_29BA89EA1BB2430697A4687983AABC93" w:val="Buchstabe b"/>
    <w:docVar w:name="eNV_29BA89EA1BB2430697A4687983AABC93_Struct" w:val="§ 1 Nummer 3 Buchstabe b;2;Struktur:1/0/3/2;CheckSums:-1/-1/-1/-1;eNV_29BA89EA1BB2430697A4687983AABC93_1@@2"/>
    <w:docVar w:name="eNV_3CAAC48361F44D8E911B82392C79CDB9" w:val="Buchstabe d"/>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 w:val="Doppelbuchstabe cc"/>
    <w:docVar w:name="eNV_60D697455DC24545A44B582DB9DD08B2_Struct" w:val="§ 1 Nummer 3 Buchstabe b Doppelbuchstabe cc;2;Struktur:1/0/3/2/3;CheckSums:-1/-1/-1/-1/-1;eNV_60D697455DC24545A44B582DB9DD08B2_1@@2"/>
    <w:docVar w:name="eNV_6C01AF3269F54A25937775F5B1921A82" w:val="Nummer 1"/>
    <w:docVar w:name="eNV_6C01AF3269F54A25937775F5B1921A82_Struct" w:val="Nummer 1;2;Struktur:-1/-1/1;CheckSums:-1/-1/-1;eNV_6C01AF3269F54A25937775F5B1921A82_1@@2"/>
    <w:docVar w:name="eNV_75EECEE39F6042299F02C89BB83ABA93" w:val="Artikel 2"/>
    <w:docVar w:name="eNV_75EECEE39F6042299F02C89BB83ABA93_Struct" w:val="Artikel 2;6;Struktur:2;CheckSums:-1;eNV_75EECEE39F6042299F02C89BB83ABA93_1@@2"/>
    <w:docVar w:name="eNV_9291AE4B799844E98739D68DE9F55F7C" w:val="Buchstabe b"/>
    <w:docVar w:name="eNV_9291AE4B799844E98739D68DE9F55F7C_Struct" w:val="§ 1 Nummer 7 Buchstabe b;2;Struktur:1/0/7/2;CheckSums:-1/-1/-1/-1;eNV_9291AE4B799844E98739D68DE9F55F7C_1@@2"/>
    <w:docVar w:name="eNV_95D0B1FF82E643548E19CDBF244405BA" w:val="Doppelbuchstabe bb"/>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 w:val="Buchstabe f"/>
    <w:docVar w:name="eNV_B7E77CF81DF546509590876B6BA20344_Struct" w:val="§ 1 Nummer 2 Buchstabe f;2;Struktur:1/0/2/6;CheckSums:-1/-1/-1/-1;eNV_B7E77CF81DF546509590876B6BA20344_1@@2"/>
    <w:docVar w:name="eNV_C4D4FB87EB23484289627BC27807BCE5" w:val="Buchstabe a"/>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 w:val="Buchstabe e"/>
    <w:docVar w:name="eNV_C9F4E65DC72A4A318587B7B03101C3D9_Struct" w:val="§ 1 Nummer 3 Buchstabe e;2;Struktur:1/0/3/5;CheckSums:-1/-1/-1/-1;eNV_C9F4E65DC72A4A318587B7B03101C3D9_1@@2"/>
    <w:docVar w:name="eNV_C9F55B4BE97741478F2249B607AE3168" w:val="Nummer 5"/>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 w:val="Buchstabe b"/>
    <w:docVar w:name="eNV_E1BA476FCB764ADDB48639E0A11B9ED4_Struct" w:val="§ 1 Nummer 2 Buchstabe b;2;Struktur:1/0/2/2;CheckSums:-1/-1/-1/-1;eNV_E1BA476FCB764ADDB48639E0A11B9ED4_1@@2"/>
    <w:docVar w:name="eNV_E3C684370782471181B2BC0D2620E1BC" w:val="Nummer 8"/>
    <w:docVar w:name="eNV_E3C684370782471181B2BC0D2620E1BC_Struct" w:val="§ 1 Nummer 8;2;Struktur:1/0/8;CheckSums:-1/-1/-1;eNV_E3C684370782471181B2BC0D2620E1BC_1@@2"/>
    <w:docVar w:name="eNV_E6DE02647D4D48EA8EC2D351BB8C0943" w:val="Nummer 6"/>
    <w:docVar w:name="eNV_E6DE02647D4D48EA8EC2D351BB8C0943_Struct" w:val="§ 1 Nummer 6;2;Struktur:1/0/6;CheckSums:-1/-1/-1;eNV_E6DE02647D4D48EA8EC2D351BB8C0943_1@@2"/>
    <w:docVar w:name="eNV_E8E53DE82E5F4774950097C7BE3BDB55" w:val="Buchstabe a"/>
    <w:docVar w:name="eNV_E8E53DE82E5F4774950097C7BE3BDB55_Struct" w:val="§ 1 Nummer 5 Buchstabe a;2;Struktur:1/0/5/1;CheckSums:-1/-1/-1/-1;eNV_E8E53DE82E5F4774950097C7BE3BDB55_1@@2"/>
    <w:docVar w:name="eNV_ECCE8084956041488F37F91682FA7EA5" w:val="Artikel 3"/>
    <w:docVar w:name="eNV_ECCE8084956041488F37F91682FA7EA5_Struct" w:val="Artikel 3;6;Struktur:3;CheckSums:-1;eNV_ECCE8084956041488F37F91682FA7EA5_1@@2"/>
    <w:docVar w:name="eNV_EEB47693F91D4F2B9784901065243950" w:val="Doppelbuchstabe bb"/>
    <w:docVar w:name="eNV_EEB47693F91D4F2B9784901065243950_Struct" w:val="§ 1 Nummer 3 Buchstabe b Doppelbuchstabe bb;2;Struktur:1/0/3/2/2;CheckSums:-1/-1/-1/-1/-1;eNV_EEB47693F91D4F2B9784901065243950_1@@2"/>
    <w:docVar w:name="eNV_F184275CB3ED43BBAC3DB3FE735A86E0" w:val="Nummer 2"/>
    <w:docVar w:name="eNV_F184275CB3ED43BBAC3DB3FE735A86E0_Struct" w:val="§ 1 Nummer 2;2;Struktur:1/0/2;CheckSums:-1/-1/-1;eNV_F184275CB3ED43BBAC3DB3FE735A86E0_1@@2"/>
    <w:docVar w:name="eNV_F1BD62BAB8A24907A434AC4AC5AA1BD4" w:val="Buchstabe b"/>
    <w:docVar w:name="eNV_F1BD62BAB8A24907A434AC4AC5AA1BD4_Struct" w:val="§ 1 Nummer 5 Buchstabe b;2;Struktur:1/0/5/2;CheckSums:-1/-1/-1/-1;eNV_F1BD62BAB8A24907A434AC4AC5AA1BD4_1@@2"/>
    <w:docVar w:name="eNV_F70A720BD02C436A9E59F78C4D2CC3D5" w:val="Buchstabe c"/>
    <w:docVar w:name="eNV_F70A720BD02C436A9E59F78C4D2CC3D5_Struct" w:val="§ 1 Nummer 2 Buchstabe c;2;Struktur:1/0/2/3;CheckSums:-1/-1/-1/-1;eNV_F70A720BD02C436A9E59F78C4D2CC3D5_1@@2"/>
    <w:docVar w:name="eNV_FE6D31F203874E4C8EEC616DEBA99F3C" w:val="Buchstabe a"/>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F9B"/>
    <w:rsid w:val="0002575A"/>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17C"/>
    <w:rsid w:val="00066393"/>
    <w:rsid w:val="00070558"/>
    <w:rsid w:val="00070E97"/>
    <w:rsid w:val="0007149F"/>
    <w:rsid w:val="00072BA3"/>
    <w:rsid w:val="000746D3"/>
    <w:rsid w:val="0007471C"/>
    <w:rsid w:val="00074CDF"/>
    <w:rsid w:val="00076314"/>
    <w:rsid w:val="000822D2"/>
    <w:rsid w:val="0008388B"/>
    <w:rsid w:val="000877B3"/>
    <w:rsid w:val="00092488"/>
    <w:rsid w:val="00093C0D"/>
    <w:rsid w:val="000A05D0"/>
    <w:rsid w:val="000A336F"/>
    <w:rsid w:val="000A5E86"/>
    <w:rsid w:val="000B476D"/>
    <w:rsid w:val="000B4861"/>
    <w:rsid w:val="000B5126"/>
    <w:rsid w:val="000B6BAC"/>
    <w:rsid w:val="000B770D"/>
    <w:rsid w:val="000C09CB"/>
    <w:rsid w:val="000C2AEB"/>
    <w:rsid w:val="000C3AF3"/>
    <w:rsid w:val="000C67F3"/>
    <w:rsid w:val="000C6C89"/>
    <w:rsid w:val="000D4021"/>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30920"/>
    <w:rsid w:val="001318B0"/>
    <w:rsid w:val="001323B8"/>
    <w:rsid w:val="00134C8F"/>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B001F"/>
    <w:rsid w:val="002B1FCE"/>
    <w:rsid w:val="002B2FB1"/>
    <w:rsid w:val="002B3991"/>
    <w:rsid w:val="002B431C"/>
    <w:rsid w:val="002B4B76"/>
    <w:rsid w:val="002B50D8"/>
    <w:rsid w:val="002B5122"/>
    <w:rsid w:val="002B6935"/>
    <w:rsid w:val="002D0FE2"/>
    <w:rsid w:val="002D39F2"/>
    <w:rsid w:val="002E3D41"/>
    <w:rsid w:val="002E5517"/>
    <w:rsid w:val="002F2ED2"/>
    <w:rsid w:val="002F38E2"/>
    <w:rsid w:val="002F5084"/>
    <w:rsid w:val="002F6D0D"/>
    <w:rsid w:val="00300F58"/>
    <w:rsid w:val="0030128E"/>
    <w:rsid w:val="00302B09"/>
    <w:rsid w:val="0030304A"/>
    <w:rsid w:val="00305DBD"/>
    <w:rsid w:val="00310FDF"/>
    <w:rsid w:val="00311201"/>
    <w:rsid w:val="003169A8"/>
    <w:rsid w:val="0032020B"/>
    <w:rsid w:val="00321605"/>
    <w:rsid w:val="003237A2"/>
    <w:rsid w:val="00324498"/>
    <w:rsid w:val="00324C4D"/>
    <w:rsid w:val="00325F59"/>
    <w:rsid w:val="00330094"/>
    <w:rsid w:val="00330160"/>
    <w:rsid w:val="00331D06"/>
    <w:rsid w:val="00340D2D"/>
    <w:rsid w:val="00340EE5"/>
    <w:rsid w:val="003417AD"/>
    <w:rsid w:val="00343845"/>
    <w:rsid w:val="00343DBD"/>
    <w:rsid w:val="00347CFE"/>
    <w:rsid w:val="0035151A"/>
    <w:rsid w:val="003518A6"/>
    <w:rsid w:val="00354F24"/>
    <w:rsid w:val="00364C41"/>
    <w:rsid w:val="003701D0"/>
    <w:rsid w:val="003748BA"/>
    <w:rsid w:val="003764C3"/>
    <w:rsid w:val="003768E4"/>
    <w:rsid w:val="003818B0"/>
    <w:rsid w:val="00382AC7"/>
    <w:rsid w:val="00382AD2"/>
    <w:rsid w:val="00382B89"/>
    <w:rsid w:val="003869B3"/>
    <w:rsid w:val="00386D14"/>
    <w:rsid w:val="00387D06"/>
    <w:rsid w:val="00392332"/>
    <w:rsid w:val="0039538A"/>
    <w:rsid w:val="003A17AA"/>
    <w:rsid w:val="003A401C"/>
    <w:rsid w:val="003A4063"/>
    <w:rsid w:val="003A5929"/>
    <w:rsid w:val="003B0B10"/>
    <w:rsid w:val="003B1D17"/>
    <w:rsid w:val="003B72B2"/>
    <w:rsid w:val="003C0E19"/>
    <w:rsid w:val="003C2DC8"/>
    <w:rsid w:val="003C6BE2"/>
    <w:rsid w:val="003C6E31"/>
    <w:rsid w:val="003D081C"/>
    <w:rsid w:val="003D18F4"/>
    <w:rsid w:val="003D22E2"/>
    <w:rsid w:val="003D6C68"/>
    <w:rsid w:val="003E04BA"/>
    <w:rsid w:val="003E0D92"/>
    <w:rsid w:val="003E4228"/>
    <w:rsid w:val="003E6C7B"/>
    <w:rsid w:val="003F0736"/>
    <w:rsid w:val="003F0FFD"/>
    <w:rsid w:val="003F1107"/>
    <w:rsid w:val="003F3C24"/>
    <w:rsid w:val="003F402B"/>
    <w:rsid w:val="003F4F4D"/>
    <w:rsid w:val="003F6172"/>
    <w:rsid w:val="00406568"/>
    <w:rsid w:val="00410A7F"/>
    <w:rsid w:val="0041137A"/>
    <w:rsid w:val="004174C6"/>
    <w:rsid w:val="00417D03"/>
    <w:rsid w:val="00417DFD"/>
    <w:rsid w:val="00420B90"/>
    <w:rsid w:val="004256B4"/>
    <w:rsid w:val="004334F6"/>
    <w:rsid w:val="004353F0"/>
    <w:rsid w:val="00435424"/>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1E06"/>
    <w:rsid w:val="004C2588"/>
    <w:rsid w:val="004C44DE"/>
    <w:rsid w:val="004C5829"/>
    <w:rsid w:val="004C737B"/>
    <w:rsid w:val="004C7947"/>
    <w:rsid w:val="004D1006"/>
    <w:rsid w:val="004D2B75"/>
    <w:rsid w:val="004D543D"/>
    <w:rsid w:val="004E1CA6"/>
    <w:rsid w:val="004E23E0"/>
    <w:rsid w:val="004E33E8"/>
    <w:rsid w:val="004E5037"/>
    <w:rsid w:val="004F19D8"/>
    <w:rsid w:val="004F1EF9"/>
    <w:rsid w:val="004F3239"/>
    <w:rsid w:val="004F6B94"/>
    <w:rsid w:val="005013C1"/>
    <w:rsid w:val="005024B8"/>
    <w:rsid w:val="005027B0"/>
    <w:rsid w:val="00503960"/>
    <w:rsid w:val="005040E1"/>
    <w:rsid w:val="0050573B"/>
    <w:rsid w:val="00505E43"/>
    <w:rsid w:val="00506A34"/>
    <w:rsid w:val="0050737C"/>
    <w:rsid w:val="005109A2"/>
    <w:rsid w:val="00510B9D"/>
    <w:rsid w:val="00512DAE"/>
    <w:rsid w:val="00514371"/>
    <w:rsid w:val="0051510A"/>
    <w:rsid w:val="005151DB"/>
    <w:rsid w:val="00516163"/>
    <w:rsid w:val="00516310"/>
    <w:rsid w:val="0051695A"/>
    <w:rsid w:val="00523138"/>
    <w:rsid w:val="00523F7B"/>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66D8"/>
    <w:rsid w:val="005B0C0E"/>
    <w:rsid w:val="005B14B9"/>
    <w:rsid w:val="005B260B"/>
    <w:rsid w:val="005B32DB"/>
    <w:rsid w:val="005B4A44"/>
    <w:rsid w:val="005B677C"/>
    <w:rsid w:val="005C48C8"/>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2151"/>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66B0"/>
    <w:rsid w:val="0068712E"/>
    <w:rsid w:val="006940A1"/>
    <w:rsid w:val="006A29BC"/>
    <w:rsid w:val="006A31C2"/>
    <w:rsid w:val="006A356C"/>
    <w:rsid w:val="006A535E"/>
    <w:rsid w:val="006A76DB"/>
    <w:rsid w:val="006B014F"/>
    <w:rsid w:val="006B0944"/>
    <w:rsid w:val="006B1C31"/>
    <w:rsid w:val="006B2529"/>
    <w:rsid w:val="006B3E33"/>
    <w:rsid w:val="006B53DD"/>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21F"/>
    <w:rsid w:val="006F73FF"/>
    <w:rsid w:val="007061F1"/>
    <w:rsid w:val="007068D4"/>
    <w:rsid w:val="007142D2"/>
    <w:rsid w:val="00715217"/>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4C0C"/>
    <w:rsid w:val="00787DAF"/>
    <w:rsid w:val="00790EC4"/>
    <w:rsid w:val="00791A89"/>
    <w:rsid w:val="0079470C"/>
    <w:rsid w:val="00795DF7"/>
    <w:rsid w:val="007A039E"/>
    <w:rsid w:val="007A559F"/>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E1B4C"/>
    <w:rsid w:val="007E6A11"/>
    <w:rsid w:val="007F0C8C"/>
    <w:rsid w:val="007F1D4B"/>
    <w:rsid w:val="007F6E94"/>
    <w:rsid w:val="00800164"/>
    <w:rsid w:val="00806E78"/>
    <w:rsid w:val="00807BF4"/>
    <w:rsid w:val="00810BB1"/>
    <w:rsid w:val="008122A1"/>
    <w:rsid w:val="00813D2E"/>
    <w:rsid w:val="00815100"/>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25F6"/>
    <w:rsid w:val="008A2AA4"/>
    <w:rsid w:val="008A2FC0"/>
    <w:rsid w:val="008A3551"/>
    <w:rsid w:val="008A6931"/>
    <w:rsid w:val="008A766D"/>
    <w:rsid w:val="008A7D27"/>
    <w:rsid w:val="008B6249"/>
    <w:rsid w:val="008B7905"/>
    <w:rsid w:val="008C55B9"/>
    <w:rsid w:val="008C65DD"/>
    <w:rsid w:val="008D18EA"/>
    <w:rsid w:val="008D1FC5"/>
    <w:rsid w:val="008D410D"/>
    <w:rsid w:val="008D48A6"/>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A88"/>
    <w:rsid w:val="00981346"/>
    <w:rsid w:val="00983F01"/>
    <w:rsid w:val="00986693"/>
    <w:rsid w:val="0098689C"/>
    <w:rsid w:val="0098690A"/>
    <w:rsid w:val="00987661"/>
    <w:rsid w:val="0098798D"/>
    <w:rsid w:val="009920AA"/>
    <w:rsid w:val="0099624E"/>
    <w:rsid w:val="009A0259"/>
    <w:rsid w:val="009A104D"/>
    <w:rsid w:val="009A2E2C"/>
    <w:rsid w:val="009A5A02"/>
    <w:rsid w:val="009A5E06"/>
    <w:rsid w:val="009B1C5D"/>
    <w:rsid w:val="009B2742"/>
    <w:rsid w:val="009C00A8"/>
    <w:rsid w:val="009C08F3"/>
    <w:rsid w:val="009C0E4C"/>
    <w:rsid w:val="009C30FC"/>
    <w:rsid w:val="009C349B"/>
    <w:rsid w:val="009C3C3B"/>
    <w:rsid w:val="009D0916"/>
    <w:rsid w:val="009D1DB5"/>
    <w:rsid w:val="009D1EFD"/>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30B7"/>
    <w:rsid w:val="00A23594"/>
    <w:rsid w:val="00A23F48"/>
    <w:rsid w:val="00A301D7"/>
    <w:rsid w:val="00A302FE"/>
    <w:rsid w:val="00A3242E"/>
    <w:rsid w:val="00A326F9"/>
    <w:rsid w:val="00A32A2A"/>
    <w:rsid w:val="00A37647"/>
    <w:rsid w:val="00A41680"/>
    <w:rsid w:val="00A46F15"/>
    <w:rsid w:val="00A524ED"/>
    <w:rsid w:val="00A5288E"/>
    <w:rsid w:val="00A52CB3"/>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22B6"/>
    <w:rsid w:val="00AC24A8"/>
    <w:rsid w:val="00AC2CB9"/>
    <w:rsid w:val="00AC77F9"/>
    <w:rsid w:val="00AD09F5"/>
    <w:rsid w:val="00AD0A3F"/>
    <w:rsid w:val="00AD2CA4"/>
    <w:rsid w:val="00AD52F5"/>
    <w:rsid w:val="00AD64FF"/>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52756"/>
    <w:rsid w:val="00B52C47"/>
    <w:rsid w:val="00B538B4"/>
    <w:rsid w:val="00B53CF0"/>
    <w:rsid w:val="00B5400A"/>
    <w:rsid w:val="00B55DE6"/>
    <w:rsid w:val="00B5725D"/>
    <w:rsid w:val="00B60471"/>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3017"/>
    <w:rsid w:val="00BC525C"/>
    <w:rsid w:val="00BD1804"/>
    <w:rsid w:val="00BD57F8"/>
    <w:rsid w:val="00BD5D3F"/>
    <w:rsid w:val="00BD5F1E"/>
    <w:rsid w:val="00BD6C2C"/>
    <w:rsid w:val="00BD74BF"/>
    <w:rsid w:val="00BE01D3"/>
    <w:rsid w:val="00BE08ED"/>
    <w:rsid w:val="00BE13DB"/>
    <w:rsid w:val="00BE305C"/>
    <w:rsid w:val="00BE3801"/>
    <w:rsid w:val="00BE43F7"/>
    <w:rsid w:val="00BE4434"/>
    <w:rsid w:val="00BF27CC"/>
    <w:rsid w:val="00C0366E"/>
    <w:rsid w:val="00C050DD"/>
    <w:rsid w:val="00C0679A"/>
    <w:rsid w:val="00C16CBB"/>
    <w:rsid w:val="00C175D3"/>
    <w:rsid w:val="00C20142"/>
    <w:rsid w:val="00C21421"/>
    <w:rsid w:val="00C21E48"/>
    <w:rsid w:val="00C22ED5"/>
    <w:rsid w:val="00C2595B"/>
    <w:rsid w:val="00C272B3"/>
    <w:rsid w:val="00C30844"/>
    <w:rsid w:val="00C30AC7"/>
    <w:rsid w:val="00C3547E"/>
    <w:rsid w:val="00C376F6"/>
    <w:rsid w:val="00C37E49"/>
    <w:rsid w:val="00C42EAB"/>
    <w:rsid w:val="00C45E75"/>
    <w:rsid w:val="00C509AC"/>
    <w:rsid w:val="00C535E7"/>
    <w:rsid w:val="00C56C99"/>
    <w:rsid w:val="00C606DE"/>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B0BB5"/>
    <w:rsid w:val="00CB0CB7"/>
    <w:rsid w:val="00CB1818"/>
    <w:rsid w:val="00CC2D2B"/>
    <w:rsid w:val="00CC3E8B"/>
    <w:rsid w:val="00CC6F08"/>
    <w:rsid w:val="00CD0D15"/>
    <w:rsid w:val="00CD17B6"/>
    <w:rsid w:val="00CD20BF"/>
    <w:rsid w:val="00CD4547"/>
    <w:rsid w:val="00CD55BC"/>
    <w:rsid w:val="00CD7A84"/>
    <w:rsid w:val="00CE245D"/>
    <w:rsid w:val="00CE291E"/>
    <w:rsid w:val="00CF3579"/>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2D29"/>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408F"/>
    <w:rsid w:val="00D944BB"/>
    <w:rsid w:val="00D96391"/>
    <w:rsid w:val="00DA00AE"/>
    <w:rsid w:val="00DA7EEC"/>
    <w:rsid w:val="00DB0F1F"/>
    <w:rsid w:val="00DB207F"/>
    <w:rsid w:val="00DB51F9"/>
    <w:rsid w:val="00DB5656"/>
    <w:rsid w:val="00DC1381"/>
    <w:rsid w:val="00DC17F6"/>
    <w:rsid w:val="00DC1BCC"/>
    <w:rsid w:val="00DC3DF6"/>
    <w:rsid w:val="00DC43C7"/>
    <w:rsid w:val="00DC4F31"/>
    <w:rsid w:val="00DC61CF"/>
    <w:rsid w:val="00DC63DB"/>
    <w:rsid w:val="00DD04F8"/>
    <w:rsid w:val="00DD1C05"/>
    <w:rsid w:val="00DD4259"/>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64C6"/>
    <w:rsid w:val="00E36EB7"/>
    <w:rsid w:val="00E3743C"/>
    <w:rsid w:val="00E37E10"/>
    <w:rsid w:val="00E4043D"/>
    <w:rsid w:val="00E40C42"/>
    <w:rsid w:val="00E43EFE"/>
    <w:rsid w:val="00E44D2A"/>
    <w:rsid w:val="00E461C4"/>
    <w:rsid w:val="00E476F0"/>
    <w:rsid w:val="00E52363"/>
    <w:rsid w:val="00E53401"/>
    <w:rsid w:val="00E53B58"/>
    <w:rsid w:val="00E54B08"/>
    <w:rsid w:val="00E54EBB"/>
    <w:rsid w:val="00E63F30"/>
    <w:rsid w:val="00E67EE9"/>
    <w:rsid w:val="00E73DD7"/>
    <w:rsid w:val="00E756B5"/>
    <w:rsid w:val="00E76B98"/>
    <w:rsid w:val="00E776ED"/>
    <w:rsid w:val="00E80868"/>
    <w:rsid w:val="00E822CA"/>
    <w:rsid w:val="00E83886"/>
    <w:rsid w:val="00E83CBF"/>
    <w:rsid w:val="00E84EAD"/>
    <w:rsid w:val="00E85F0A"/>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F005F0"/>
    <w:rsid w:val="00F007B3"/>
    <w:rsid w:val="00F01D7B"/>
    <w:rsid w:val="00F051CA"/>
    <w:rsid w:val="00F125C6"/>
    <w:rsid w:val="00F141BF"/>
    <w:rsid w:val="00F14E0A"/>
    <w:rsid w:val="00F158A2"/>
    <w:rsid w:val="00F22090"/>
    <w:rsid w:val="00F226C2"/>
    <w:rsid w:val="00F246DD"/>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40E6"/>
    <w:rsid w:val="00F676C2"/>
    <w:rsid w:val="00F706C6"/>
    <w:rsid w:val="00F710FC"/>
    <w:rsid w:val="00F73392"/>
    <w:rsid w:val="00F73F43"/>
    <w:rsid w:val="00F74CC4"/>
    <w:rsid w:val="00F765E6"/>
    <w:rsid w:val="00F7772D"/>
    <w:rsid w:val="00F828FC"/>
    <w:rsid w:val="00F82F72"/>
    <w:rsid w:val="00F84B41"/>
    <w:rsid w:val="00F85B00"/>
    <w:rsid w:val="00F85CF7"/>
    <w:rsid w:val="00F86A78"/>
    <w:rsid w:val="00F87D01"/>
    <w:rsid w:val="00F9088A"/>
    <w:rsid w:val="00F9088E"/>
    <w:rsid w:val="00F910EB"/>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CBB754-EC80-421B-AE09-777225D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27"/>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27"/>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27"/>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27"/>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DF0C7F"/>
    <w:pPr>
      <w:keepNext/>
      <w:keepLines/>
      <w:spacing w:before="40" w:after="0"/>
      <w:outlineLvl w:val="4"/>
    </w:pPr>
    <w:rPr>
      <w:rFonts w:asciiTheme="minorHAnsi" w:eastAsia="Times New Roman" w:hAnsiTheme="minorHAnsi" w:cstheme="minorBidi"/>
      <w:color w:val="243F60"/>
    </w:rPr>
  </w:style>
  <w:style w:type="paragraph" w:styleId="Heading6">
    <w:name w:val="heading 6"/>
    <w:basedOn w:val="Normal"/>
    <w:next w:val="Normal"/>
    <w:link w:val="Heading6Char"/>
    <w:uiPriority w:val="9"/>
    <w:semiHidden/>
    <w:unhideWhenUsed/>
    <w:qFormat/>
    <w:rsid w:val="00DF0C7F"/>
    <w:pPr>
      <w:keepNext/>
      <w:keepLines/>
      <w:spacing w:before="40" w:after="0"/>
      <w:outlineLvl w:val="5"/>
    </w:pPr>
    <w:rPr>
      <w:rFonts w:asciiTheme="minorHAnsi" w:eastAsia="Times New Roman" w:hAnsiTheme="minorHAnsi" w:cstheme="minorBidi"/>
      <w:i/>
      <w:iCs/>
      <w:color w:val="243F60"/>
    </w:rPr>
  </w:style>
  <w:style w:type="paragraph" w:styleId="Heading7">
    <w:name w:val="heading 7"/>
    <w:basedOn w:val="Normal"/>
    <w:next w:val="Normal"/>
    <w:link w:val="Heading7Char"/>
    <w:uiPriority w:val="9"/>
    <w:semiHidden/>
    <w:unhideWhenUsed/>
    <w:qFormat/>
    <w:rsid w:val="00DF0C7F"/>
    <w:pPr>
      <w:keepNext/>
      <w:keepLines/>
      <w:spacing w:before="40" w:after="0"/>
      <w:outlineLvl w:val="6"/>
    </w:pPr>
    <w:rPr>
      <w:rFonts w:asciiTheme="minorHAnsi" w:eastAsia="Times New Roman" w:hAnsiTheme="minorHAnsi" w:cstheme="minorBidi"/>
      <w:i/>
      <w:iCs/>
      <w:color w:val="404040"/>
    </w:rPr>
  </w:style>
  <w:style w:type="paragraph" w:styleId="Heading8">
    <w:name w:val="heading 8"/>
    <w:basedOn w:val="Normal"/>
    <w:next w:val="Normal"/>
    <w:link w:val="Heading8Char"/>
    <w:uiPriority w:val="9"/>
    <w:semiHidden/>
    <w:unhideWhenUsed/>
    <w:qFormat/>
    <w:rsid w:val="00DF0C7F"/>
    <w:pPr>
      <w:keepNext/>
      <w:keepLines/>
      <w:spacing w:before="40" w:after="0"/>
      <w:outlineLvl w:val="7"/>
    </w:pPr>
    <w:rPr>
      <w:rFonts w:asciiTheme="minorHAnsi" w:eastAsia="Times New Roman" w:hAnsiTheme="minorHAnsi" w:cstheme="minorBidi"/>
      <w:color w:val="404040"/>
      <w:sz w:val="20"/>
      <w:szCs w:val="20"/>
    </w:rPr>
  </w:style>
  <w:style w:type="paragraph" w:styleId="Heading9">
    <w:name w:val="heading 9"/>
    <w:basedOn w:val="Normal"/>
    <w:next w:val="Normal"/>
    <w:link w:val="Heading9Char"/>
    <w:uiPriority w:val="9"/>
    <w:semiHidden/>
    <w:unhideWhenUsed/>
    <w:qFormat/>
    <w:rsid w:val="00DF0C7F"/>
    <w:pPr>
      <w:keepNext/>
      <w:keepLines/>
      <w:spacing w:before="40" w:after="0"/>
      <w:outlineLvl w:val="8"/>
    </w:pPr>
    <w:rPr>
      <w:rFonts w:asciiTheme="minorHAnsi" w:eastAsia="Times New Roman" w:hAnsiTheme="minorHAnsi" w:cstheme="min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3886"/>
    <w:rPr>
      <w:color w:val="0000FF"/>
      <w:u w:val="single"/>
    </w:rPr>
  </w:style>
  <w:style w:type="character" w:styleId="CommentReference">
    <w:name w:val="annotation reference"/>
    <w:basedOn w:val="DefaultParagraphFont"/>
    <w:uiPriority w:val="99"/>
    <w:semiHidden/>
    <w:unhideWhenUsed/>
    <w:rsid w:val="00876620"/>
    <w:rPr>
      <w:sz w:val="16"/>
      <w:szCs w:val="16"/>
    </w:rPr>
  </w:style>
  <w:style w:type="paragraph" w:styleId="CommentText">
    <w:name w:val="annotation text"/>
    <w:basedOn w:val="Normal"/>
    <w:link w:val="CommentTextChar"/>
    <w:uiPriority w:val="99"/>
    <w:unhideWhenUsed/>
    <w:rsid w:val="00876620"/>
    <w:rPr>
      <w:sz w:val="20"/>
      <w:szCs w:val="20"/>
    </w:rPr>
  </w:style>
  <w:style w:type="character" w:customStyle="1" w:styleId="CommentTextChar">
    <w:name w:val="Comment Text Char"/>
    <w:basedOn w:val="DefaultParagraphFont"/>
    <w:link w:val="CommentText"/>
    <w:uiPriority w:val="99"/>
    <w:rsid w:val="0087662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76620"/>
    <w:rPr>
      <w:b/>
      <w:bCs/>
    </w:rPr>
  </w:style>
  <w:style w:type="character" w:customStyle="1" w:styleId="CommentSubjectChar">
    <w:name w:val="Comment Subject Char"/>
    <w:basedOn w:val="CommentTextChar"/>
    <w:link w:val="CommentSubject"/>
    <w:uiPriority w:val="99"/>
    <w:semiHidden/>
    <w:rsid w:val="00876620"/>
    <w:rPr>
      <w:rFonts w:ascii="Arial" w:hAnsi="Arial" w:cs="Arial"/>
      <w:b/>
      <w:bCs/>
      <w:sz w:val="20"/>
      <w:szCs w:val="20"/>
    </w:rPr>
  </w:style>
  <w:style w:type="paragraph" w:styleId="BalloonText">
    <w:name w:val="Balloon Text"/>
    <w:basedOn w:val="Normal"/>
    <w:link w:val="BalloonTextChar"/>
    <w:uiPriority w:val="99"/>
    <w:semiHidden/>
    <w:unhideWhenUsed/>
    <w:rsid w:val="001E094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4B"/>
    <w:rPr>
      <w:rFonts w:ascii="Segoe UI" w:hAnsi="Segoe UI" w:cs="Segoe UI"/>
      <w:sz w:val="18"/>
      <w:szCs w:val="18"/>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leGrid">
    <w:name w:val="Table Grid"/>
    <w:basedOn w:val="TableNorma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NoList"/>
    <w:uiPriority w:val="99"/>
    <w:semiHidden/>
    <w:unhideWhenUsed/>
    <w:rsid w:val="00DF0C7F"/>
  </w:style>
  <w:style w:type="paragraph" w:styleId="ListParagraph">
    <w:name w:val="List Paragraph"/>
    <w:basedOn w:val="Normal"/>
    <w:uiPriority w:val="34"/>
    <w:qFormat/>
    <w:rsid w:val="00DF0C7F"/>
    <w:pPr>
      <w:spacing w:before="0" w:after="0" w:line="360" w:lineRule="auto"/>
      <w:ind w:left="720"/>
      <w:contextualSpacing/>
      <w:jc w:val="left"/>
    </w:pPr>
    <w:rPr>
      <w:rFonts w:cs="Times New Roman"/>
    </w:rPr>
  </w:style>
  <w:style w:type="numbering" w:customStyle="1" w:styleId="ListeBMJalphanumerisch">
    <w:name w:val="Liste_BMJ_alphanumerisch"/>
    <w:uiPriority w:val="99"/>
    <w:rsid w:val="00DF0C7F"/>
    <w:pPr>
      <w:numPr>
        <w:numId w:val="8"/>
      </w:numPr>
    </w:pPr>
  </w:style>
  <w:style w:type="character" w:customStyle="1" w:styleId="Heading5Char">
    <w:name w:val="Heading 5 Char"/>
    <w:basedOn w:val="DefaultParagraphFont"/>
    <w:link w:val="Heading5"/>
    <w:uiPriority w:val="9"/>
    <w:semiHidden/>
    <w:rsid w:val="00DF0C7F"/>
    <w:rPr>
      <w:rFonts w:eastAsia="Times New Roman"/>
      <w:color w:val="243F60"/>
    </w:rPr>
  </w:style>
  <w:style w:type="character" w:customStyle="1" w:styleId="Heading6Char">
    <w:name w:val="Heading 6 Char"/>
    <w:basedOn w:val="DefaultParagraphFont"/>
    <w:link w:val="Heading6"/>
    <w:uiPriority w:val="9"/>
    <w:semiHidden/>
    <w:rsid w:val="00DF0C7F"/>
    <w:rPr>
      <w:rFonts w:eastAsia="Times New Roman"/>
      <w:i/>
      <w:iCs/>
      <w:color w:val="243F60"/>
    </w:rPr>
  </w:style>
  <w:style w:type="character" w:customStyle="1" w:styleId="Heading7Char">
    <w:name w:val="Heading 7 Char"/>
    <w:basedOn w:val="DefaultParagraphFont"/>
    <w:link w:val="Heading7"/>
    <w:uiPriority w:val="9"/>
    <w:semiHidden/>
    <w:rsid w:val="00DF0C7F"/>
    <w:rPr>
      <w:rFonts w:eastAsia="Times New Roman"/>
      <w:i/>
      <w:iCs/>
      <w:color w:val="404040"/>
    </w:rPr>
  </w:style>
  <w:style w:type="character" w:customStyle="1" w:styleId="Heading8Char">
    <w:name w:val="Heading 8 Char"/>
    <w:basedOn w:val="DefaultParagraphFont"/>
    <w:link w:val="Heading8"/>
    <w:uiPriority w:val="9"/>
    <w:semiHidden/>
    <w:rsid w:val="00DF0C7F"/>
    <w:rPr>
      <w:rFonts w:eastAsia="Times New Roman"/>
      <w:color w:val="404040"/>
      <w:sz w:val="20"/>
      <w:szCs w:val="20"/>
    </w:rPr>
  </w:style>
  <w:style w:type="character" w:customStyle="1" w:styleId="Heading9Char">
    <w:name w:val="Heading 9 Char"/>
    <w:basedOn w:val="DefaultParagraphFont"/>
    <w:link w:val="Heading9"/>
    <w:uiPriority w:val="9"/>
    <w:semiHidden/>
    <w:rsid w:val="00DF0C7F"/>
    <w:rPr>
      <w:rFonts w:eastAsia="Times New Roman"/>
      <w:i/>
      <w:iCs/>
      <w:color w:val="404040"/>
      <w:sz w:val="20"/>
      <w:szCs w:val="20"/>
    </w:r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TableNormal"/>
    <w:next w:val="TableGrid"/>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styleId="NoSpacing">
    <w:name w:val="No Spacing"/>
    <w:uiPriority w:val="9"/>
    <w:qFormat/>
    <w:rsid w:val="00DF0C7F"/>
    <w:pPr>
      <w:spacing w:after="0" w:line="240" w:lineRule="auto"/>
    </w:pPr>
    <w:rPr>
      <w:rFonts w:ascii="Arial" w:hAnsi="Arial" w:cs="Times New Roman"/>
    </w:rPr>
  </w:style>
  <w:style w:type="paragraph" w:customStyle="1" w:styleId="Inhaltsverzeichnisberschrift1">
    <w:name w:val="Inhaltsverzeichnisüberschrift1"/>
    <w:basedOn w:val="Heading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DefaultParagraphFon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DefaultParagraphFont"/>
    <w:uiPriority w:val="9"/>
    <w:semiHidden/>
    <w:rsid w:val="00DF0C7F"/>
    <w:rPr>
      <w:rFonts w:ascii="Arial" w:eastAsia="Times New Roman" w:hAnsi="Arial" w:cs="Times New Roman"/>
      <w:color w:val="243F60"/>
    </w:rPr>
  </w:style>
  <w:style w:type="character" w:customStyle="1" w:styleId="berschrift6Zchn1">
    <w:name w:val="Überschrift 6 Zchn1"/>
    <w:basedOn w:val="DefaultParagraphFont"/>
    <w:uiPriority w:val="9"/>
    <w:semiHidden/>
    <w:rsid w:val="00DF0C7F"/>
    <w:rPr>
      <w:rFonts w:ascii="Arial" w:eastAsia="Times New Roman" w:hAnsi="Arial" w:cs="Times New Roman"/>
      <w:i/>
      <w:iCs/>
      <w:color w:val="243F60"/>
    </w:rPr>
  </w:style>
  <w:style w:type="character" w:customStyle="1" w:styleId="berschrift7Zchn1">
    <w:name w:val="Überschrift 7 Zchn1"/>
    <w:basedOn w:val="DefaultParagraphFont"/>
    <w:uiPriority w:val="9"/>
    <w:semiHidden/>
    <w:rsid w:val="00DF0C7F"/>
    <w:rPr>
      <w:rFonts w:ascii="Arial" w:eastAsia="Times New Roman" w:hAnsi="Arial" w:cs="Times New Roman"/>
      <w:i/>
      <w:iCs/>
      <w:color w:val="404040"/>
    </w:rPr>
  </w:style>
  <w:style w:type="character" w:customStyle="1" w:styleId="berschrift8Zchn1">
    <w:name w:val="Überschrift 8 Zchn1"/>
    <w:basedOn w:val="DefaultParagraphFon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DefaultParagraphFon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character" w:customStyle="1" w:styleId="TitleChar">
    <w:name w:val="Title Char"/>
    <w:basedOn w:val="DefaultParagraphFont"/>
    <w:link w:val="Title"/>
    <w:uiPriority w:val="10"/>
    <w:rsid w:val="00DF0C7F"/>
    <w:rPr>
      <w:rFonts w:eastAsia="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customStyle="1" w:styleId="SubtitleChar">
    <w:name w:val="Subtitle Char"/>
    <w:basedOn w:val="DefaultParagraphFont"/>
    <w:link w:val="Subtitle"/>
    <w:uiPriority w:val="11"/>
    <w:rsid w:val="00DF0C7F"/>
    <w:rPr>
      <w:rFonts w:eastAsia="Times New Roman"/>
      <w:i/>
      <w:iCs/>
      <w:color w:val="4F81BD"/>
      <w:spacing w:val="15"/>
      <w:sz w:val="24"/>
      <w:szCs w:val="24"/>
    </w:rPr>
  </w:style>
  <w:style w:type="character" w:styleId="Strong">
    <w:name w:val="Strong"/>
    <w:basedOn w:val="DefaultParagraphFont"/>
    <w:uiPriority w:val="22"/>
    <w:qFormat/>
    <w:rsid w:val="00DF0C7F"/>
    <w:rPr>
      <w:b/>
      <w:bCs/>
    </w:rPr>
  </w:style>
  <w:style w:type="character" w:styleId="Emphasis">
    <w:name w:val="Emphasis"/>
    <w:basedOn w:val="DefaultParagraphFon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character" w:customStyle="1" w:styleId="QuoteChar">
    <w:name w:val="Quote Char"/>
    <w:basedOn w:val="DefaultParagraphFont"/>
    <w:link w:val="Quote"/>
    <w:uiPriority w:val="29"/>
    <w:rsid w:val="00DF0C7F"/>
    <w:rPr>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IntenseQuoteChar">
    <w:name w:val="Intense Quote Char"/>
    <w:basedOn w:val="DefaultParagraphFont"/>
    <w:link w:val="IntenseQuote"/>
    <w:uiPriority w:val="30"/>
    <w:rsid w:val="00DF0C7F"/>
    <w:rPr>
      <w:b/>
      <w:bCs/>
      <w:i/>
      <w:iCs/>
      <w:color w:val="4F81BD"/>
    </w:rPr>
  </w:style>
  <w:style w:type="character" w:customStyle="1" w:styleId="SchwacheHervorhebung1">
    <w:name w:val="Schwache Hervorhebung1"/>
    <w:basedOn w:val="DefaultParagraphFont"/>
    <w:uiPriority w:val="19"/>
    <w:qFormat/>
    <w:rsid w:val="00DF0C7F"/>
    <w:rPr>
      <w:i/>
      <w:iCs/>
      <w:color w:val="808080"/>
    </w:rPr>
  </w:style>
  <w:style w:type="character" w:customStyle="1" w:styleId="IntensiveHervorhebung1">
    <w:name w:val="Intensive Hervorhebung1"/>
    <w:basedOn w:val="DefaultParagraphFont"/>
    <w:uiPriority w:val="21"/>
    <w:qFormat/>
    <w:rsid w:val="00DF0C7F"/>
    <w:rPr>
      <w:b/>
      <w:bCs/>
      <w:i/>
      <w:iCs/>
      <w:color w:val="4F81BD"/>
    </w:rPr>
  </w:style>
  <w:style w:type="character" w:customStyle="1" w:styleId="SchwacherVerweis1">
    <w:name w:val="Schwacher Verweis1"/>
    <w:basedOn w:val="DefaultParagraphFont"/>
    <w:uiPriority w:val="31"/>
    <w:qFormat/>
    <w:rsid w:val="00DF0C7F"/>
    <w:rPr>
      <w:smallCaps/>
      <w:color w:val="C0504D"/>
      <w:u w:val="single"/>
    </w:rPr>
  </w:style>
  <w:style w:type="character" w:customStyle="1" w:styleId="IntensiverVerweis1">
    <w:name w:val="Intensiver Verweis1"/>
    <w:basedOn w:val="DefaultParagraphFont"/>
    <w:uiPriority w:val="32"/>
    <w:qFormat/>
    <w:rsid w:val="00DF0C7F"/>
    <w:rPr>
      <w:b/>
      <w:bCs/>
      <w:smallCaps/>
      <w:color w:val="C0504D"/>
      <w:spacing w:val="5"/>
      <w:u w:val="single"/>
    </w:rPr>
  </w:style>
  <w:style w:type="character" w:styleId="BookTitle">
    <w:name w:val="Book Title"/>
    <w:basedOn w:val="DefaultParagraphFont"/>
    <w:uiPriority w:val="33"/>
    <w:qFormat/>
    <w:rsid w:val="00DF0C7F"/>
    <w:rPr>
      <w:b/>
      <w:bCs/>
      <w:smallCaps/>
      <w:spacing w:val="5"/>
    </w:rPr>
  </w:style>
  <w:style w:type="paragraph" w:styleId="BodyText">
    <w:name w:val="Body Text"/>
    <w:basedOn w:val="Normal"/>
    <w:link w:val="BodyTextChar"/>
    <w:uiPriority w:val="99"/>
    <w:semiHidden/>
    <w:unhideWhenUsed/>
    <w:rsid w:val="00DF0C7F"/>
    <w:pPr>
      <w:spacing w:before="0" w:line="360" w:lineRule="auto"/>
      <w:jc w:val="left"/>
    </w:pPr>
    <w:rPr>
      <w:rFonts w:cs="Times New Roman"/>
    </w:rPr>
  </w:style>
  <w:style w:type="character" w:customStyle="1" w:styleId="BodyTextChar">
    <w:name w:val="Body Text Char"/>
    <w:basedOn w:val="DefaultParagraphFont"/>
    <w:link w:val="BodyText"/>
    <w:uiPriority w:val="99"/>
    <w:semiHidden/>
    <w:rsid w:val="00DF0C7F"/>
    <w:rPr>
      <w:rFonts w:ascii="Arial" w:hAnsi="Arial" w:cs="Times New Roman"/>
    </w:rPr>
  </w:style>
  <w:style w:type="character" w:customStyle="1" w:styleId="berschrift5Zchn2">
    <w:name w:val="Überschrift 5 Zchn2"/>
    <w:basedOn w:val="DefaultParagraphFon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DefaultParagraphFon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DefaultParagraphFon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DefaultParagraphFon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DefaultParagraphFont"/>
    <w:uiPriority w:val="9"/>
    <w:semiHidden/>
    <w:rsid w:val="00DF0C7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F0C7F"/>
    <w:pPr>
      <w:spacing w:before="0" w:after="0"/>
      <w:contextualSpacing/>
    </w:pPr>
    <w:rPr>
      <w:rFonts w:asciiTheme="minorHAnsi" w:eastAsia="Times New Roman" w:hAnsiTheme="minorHAnsi" w:cstheme="minorBidi"/>
      <w:color w:val="17365D"/>
      <w:spacing w:val="5"/>
      <w:kern w:val="28"/>
      <w:sz w:val="52"/>
      <w:szCs w:val="52"/>
    </w:rPr>
  </w:style>
  <w:style w:type="character" w:customStyle="1" w:styleId="TitelZchn1">
    <w:name w:val="Titel Zchn1"/>
    <w:basedOn w:val="DefaultParagraphFont"/>
    <w:uiPriority w:val="10"/>
    <w:rsid w:val="00DF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7F"/>
    <w:pPr>
      <w:numPr>
        <w:ilvl w:val="1"/>
      </w:numPr>
      <w:spacing w:after="160"/>
    </w:pPr>
    <w:rPr>
      <w:rFonts w:asciiTheme="minorHAnsi" w:eastAsia="Times New Roman" w:hAnsiTheme="minorHAnsi" w:cstheme="minorBidi"/>
      <w:i/>
      <w:iCs/>
      <w:color w:val="4F81BD"/>
      <w:spacing w:val="15"/>
      <w:sz w:val="24"/>
      <w:szCs w:val="24"/>
    </w:rPr>
  </w:style>
  <w:style w:type="character" w:customStyle="1" w:styleId="UntertitelZchn1">
    <w:name w:val="Untertitel Zchn1"/>
    <w:basedOn w:val="DefaultParagraphFont"/>
    <w:uiPriority w:val="11"/>
    <w:rsid w:val="00DF0C7F"/>
    <w:rPr>
      <w:rFonts w:eastAsiaTheme="minorEastAsia"/>
      <w:color w:val="5A5A5A" w:themeColor="text1" w:themeTint="A5"/>
      <w:spacing w:val="15"/>
    </w:rPr>
  </w:style>
  <w:style w:type="paragraph" w:styleId="Quote">
    <w:name w:val="Quote"/>
    <w:basedOn w:val="Normal"/>
    <w:next w:val="Normal"/>
    <w:link w:val="QuoteChar"/>
    <w:uiPriority w:val="29"/>
    <w:qFormat/>
    <w:rsid w:val="00DF0C7F"/>
    <w:pPr>
      <w:spacing w:before="200" w:after="160"/>
      <w:ind w:left="864" w:right="864"/>
      <w:jc w:val="center"/>
    </w:pPr>
    <w:rPr>
      <w:rFonts w:asciiTheme="minorHAnsi" w:hAnsiTheme="minorHAnsi" w:cstheme="minorBidi"/>
      <w:i/>
      <w:iCs/>
      <w:color w:val="000000"/>
    </w:rPr>
  </w:style>
  <w:style w:type="character" w:customStyle="1" w:styleId="ZitatZchn1">
    <w:name w:val="Zitat Zchn1"/>
    <w:basedOn w:val="DefaultParagraphFont"/>
    <w:uiPriority w:val="29"/>
    <w:rsid w:val="00DF0C7F"/>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DF0C7F"/>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b/>
      <w:bCs/>
      <w:i/>
      <w:iCs/>
      <w:color w:val="4F81BD"/>
    </w:rPr>
  </w:style>
  <w:style w:type="character" w:customStyle="1" w:styleId="IntensivesZitatZchn1">
    <w:name w:val="Intensives Zitat Zchn1"/>
    <w:basedOn w:val="DefaultParagraphFont"/>
    <w:uiPriority w:val="30"/>
    <w:rsid w:val="00DF0C7F"/>
    <w:rPr>
      <w:rFonts w:ascii="Arial" w:hAnsi="Arial" w:cs="Arial"/>
      <w:i/>
      <w:iCs/>
      <w:color w:val="4F81BD" w:themeColor="accent1"/>
    </w:rPr>
  </w:style>
  <w:style w:type="character" w:styleId="SubtleEmphasis">
    <w:name w:val="Subtle Emphasis"/>
    <w:basedOn w:val="DefaultParagraphFont"/>
    <w:uiPriority w:val="19"/>
    <w:qFormat/>
    <w:rsid w:val="00DF0C7F"/>
    <w:rPr>
      <w:i/>
      <w:iCs/>
      <w:color w:val="404040" w:themeColor="text1" w:themeTint="BF"/>
    </w:rPr>
  </w:style>
  <w:style w:type="character" w:styleId="IntenseEmphasis">
    <w:name w:val="Intense Emphasis"/>
    <w:basedOn w:val="DefaultParagraphFont"/>
    <w:uiPriority w:val="21"/>
    <w:qFormat/>
    <w:rsid w:val="00DF0C7F"/>
    <w:rPr>
      <w:i/>
      <w:iCs/>
      <w:color w:val="4F81BD" w:themeColor="accent1"/>
    </w:rPr>
  </w:style>
  <w:style w:type="character" w:styleId="SubtleReference">
    <w:name w:val="Subtle Reference"/>
    <w:basedOn w:val="DefaultParagraphFont"/>
    <w:uiPriority w:val="31"/>
    <w:qFormat/>
    <w:rsid w:val="00DF0C7F"/>
    <w:rPr>
      <w:smallCaps/>
      <w:color w:val="5A5A5A" w:themeColor="text1" w:themeTint="A5"/>
    </w:rPr>
  </w:style>
  <w:style w:type="character" w:styleId="IntenseReference">
    <w:name w:val="Intense Reference"/>
    <w:basedOn w:val="DefaultParagraphFont"/>
    <w:uiPriority w:val="32"/>
    <w:qFormat/>
    <w:rsid w:val="00DF0C7F"/>
    <w:rPr>
      <w:b/>
      <w:bCs/>
      <w:smallCaps/>
      <w:color w:val="4F81BD" w:themeColor="accent1"/>
      <w:spacing w:val="5"/>
    </w:rPr>
  </w:style>
  <w:style w:type="table" w:customStyle="1" w:styleId="Tabellenraster4">
    <w:name w:val="Tabellenraster4"/>
    <w:basedOn w:val="TableNormal"/>
    <w:next w:val="TableGrid"/>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791D"/>
    <w:rPr>
      <w:color w:val="800080" w:themeColor="followedHyperlink"/>
      <w:u w:val="single"/>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23"/>
      </w:numPr>
      <w:spacing w:before="60" w:after="60"/>
    </w:pPr>
    <w:rPr>
      <w:sz w:val="18"/>
    </w:rPr>
  </w:style>
  <w:style w:type="paragraph" w:customStyle="1" w:styleId="TabelleListe">
    <w:name w:val="Tabelle Liste"/>
    <w:basedOn w:val="Normal"/>
    <w:rsid w:val="00A147E3"/>
    <w:pPr>
      <w:numPr>
        <w:numId w:val="24"/>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22"/>
      </w:numPr>
      <w:tabs>
        <w:tab w:val="left" w:pos="0"/>
      </w:tabs>
    </w:pPr>
  </w:style>
  <w:style w:type="paragraph" w:customStyle="1" w:styleId="ListeFolgeabsatzStufe1">
    <w:name w:val="Liste Folgeabsatz (Stufe 1)"/>
    <w:basedOn w:val="Normal"/>
    <w:rsid w:val="00A147E3"/>
    <w:pPr>
      <w:numPr>
        <w:ilvl w:val="1"/>
        <w:numId w:val="22"/>
      </w:numPr>
    </w:pPr>
  </w:style>
  <w:style w:type="paragraph" w:customStyle="1" w:styleId="ListeStufe2">
    <w:name w:val="Liste (Stufe 2)"/>
    <w:basedOn w:val="Normal"/>
    <w:rsid w:val="00A147E3"/>
    <w:pPr>
      <w:numPr>
        <w:ilvl w:val="2"/>
        <w:numId w:val="22"/>
      </w:numPr>
    </w:pPr>
  </w:style>
  <w:style w:type="paragraph" w:customStyle="1" w:styleId="ListeFolgeabsatzStufe2">
    <w:name w:val="Liste Folgeabsatz (Stufe 2)"/>
    <w:basedOn w:val="Normal"/>
    <w:rsid w:val="00A147E3"/>
    <w:pPr>
      <w:numPr>
        <w:ilvl w:val="3"/>
        <w:numId w:val="22"/>
      </w:numPr>
    </w:pPr>
  </w:style>
  <w:style w:type="paragraph" w:customStyle="1" w:styleId="ListeStufe3">
    <w:name w:val="Liste (Stufe 3)"/>
    <w:basedOn w:val="Normal"/>
    <w:rsid w:val="00A147E3"/>
    <w:pPr>
      <w:numPr>
        <w:ilvl w:val="4"/>
        <w:numId w:val="22"/>
      </w:numPr>
    </w:pPr>
  </w:style>
  <w:style w:type="paragraph" w:customStyle="1" w:styleId="ListeFolgeabsatzStufe3">
    <w:name w:val="Liste Folgeabsatz (Stufe 3)"/>
    <w:basedOn w:val="Normal"/>
    <w:rsid w:val="00A147E3"/>
    <w:pPr>
      <w:numPr>
        <w:ilvl w:val="5"/>
        <w:numId w:val="22"/>
      </w:numPr>
    </w:pPr>
  </w:style>
  <w:style w:type="paragraph" w:customStyle="1" w:styleId="ListeStufe4">
    <w:name w:val="Liste (Stufe 4)"/>
    <w:basedOn w:val="Normal"/>
    <w:rsid w:val="00A147E3"/>
    <w:pPr>
      <w:numPr>
        <w:ilvl w:val="6"/>
        <w:numId w:val="22"/>
      </w:numPr>
    </w:pPr>
  </w:style>
  <w:style w:type="paragraph" w:customStyle="1" w:styleId="ListeFolgeabsatzStufe4">
    <w:name w:val="Liste Folgeabsatz (Stufe 4)"/>
    <w:basedOn w:val="Normal"/>
    <w:rsid w:val="00A147E3"/>
    <w:pPr>
      <w:numPr>
        <w:ilvl w:val="7"/>
        <w:numId w:val="22"/>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17"/>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18"/>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19"/>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20"/>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21"/>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37"/>
      </w:numPr>
    </w:pPr>
  </w:style>
  <w:style w:type="paragraph" w:customStyle="1" w:styleId="NummerierungStufe2">
    <w:name w:val="Nummerierung (Stufe 2)"/>
    <w:basedOn w:val="Normal"/>
    <w:rsid w:val="00A147E3"/>
    <w:pPr>
      <w:numPr>
        <w:ilvl w:val="4"/>
        <w:numId w:val="37"/>
      </w:numPr>
    </w:pPr>
  </w:style>
  <w:style w:type="paragraph" w:customStyle="1" w:styleId="NummerierungStufe3">
    <w:name w:val="Nummerierung (Stufe 3)"/>
    <w:basedOn w:val="Normal"/>
    <w:rsid w:val="00A147E3"/>
    <w:pPr>
      <w:numPr>
        <w:ilvl w:val="5"/>
        <w:numId w:val="37"/>
      </w:numPr>
    </w:pPr>
  </w:style>
  <w:style w:type="paragraph" w:customStyle="1" w:styleId="NummerierungStufe4">
    <w:name w:val="Nummerierung (Stufe 4)"/>
    <w:basedOn w:val="Normal"/>
    <w:rsid w:val="00A147E3"/>
    <w:pPr>
      <w:numPr>
        <w:ilvl w:val="6"/>
        <w:numId w:val="37"/>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25"/>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26"/>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38"/>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37"/>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37"/>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39"/>
      </w:numPr>
      <w:spacing w:before="480"/>
      <w:jc w:val="center"/>
    </w:pPr>
    <w:rPr>
      <w:b/>
      <w:sz w:val="26"/>
    </w:rPr>
  </w:style>
  <w:style w:type="paragraph" w:customStyle="1" w:styleId="Buchberschrift">
    <w:name w:val="Buch Überschrift"/>
    <w:basedOn w:val="Normal"/>
    <w:next w:val="ParagraphBezeichner"/>
    <w:rsid w:val="00A147E3"/>
    <w:pPr>
      <w:keepNext/>
      <w:numPr>
        <w:numId w:val="40"/>
      </w:numPr>
      <w:spacing w:after="240"/>
      <w:jc w:val="center"/>
    </w:pPr>
    <w:rPr>
      <w:b/>
      <w:sz w:val="26"/>
    </w:rPr>
  </w:style>
  <w:style w:type="paragraph" w:customStyle="1" w:styleId="TeilBezeichner">
    <w:name w:val="Teil Bezeichner"/>
    <w:basedOn w:val="Normal"/>
    <w:next w:val="Teilberschrift"/>
    <w:rsid w:val="00A147E3"/>
    <w:pPr>
      <w:keepNext/>
      <w:numPr>
        <w:ilvl w:val="1"/>
        <w:numId w:val="39"/>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40"/>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39"/>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40"/>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39"/>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40"/>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39"/>
      </w:numPr>
      <w:spacing w:before="480"/>
      <w:jc w:val="center"/>
    </w:pPr>
  </w:style>
  <w:style w:type="paragraph" w:customStyle="1" w:styleId="Unterabschnittberschrift">
    <w:name w:val="Unterabschnitt Überschrift"/>
    <w:basedOn w:val="Normal"/>
    <w:next w:val="ParagraphBezeichner"/>
    <w:rsid w:val="00A147E3"/>
    <w:pPr>
      <w:keepNext/>
      <w:numPr>
        <w:ilvl w:val="4"/>
        <w:numId w:val="40"/>
      </w:numPr>
      <w:spacing w:after="240"/>
      <w:jc w:val="center"/>
    </w:pPr>
  </w:style>
  <w:style w:type="paragraph" w:customStyle="1" w:styleId="TitelBezeichner">
    <w:name w:val="Titel Bezeichner"/>
    <w:basedOn w:val="Normal"/>
    <w:next w:val="Titelberschrift"/>
    <w:rsid w:val="00A147E3"/>
    <w:pPr>
      <w:keepNext/>
      <w:numPr>
        <w:ilvl w:val="5"/>
        <w:numId w:val="39"/>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40"/>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39"/>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40"/>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41"/>
      </w:numPr>
      <w:spacing w:before="360"/>
    </w:pPr>
    <w:rPr>
      <w:b/>
    </w:rPr>
  </w:style>
  <w:style w:type="paragraph" w:customStyle="1" w:styleId="berschriftarabischBegrndung">
    <w:name w:val="Überschrift arabisch (Begründung)"/>
    <w:basedOn w:val="Normal"/>
    <w:next w:val="Text"/>
    <w:rsid w:val="00A147E3"/>
    <w:pPr>
      <w:keepNext/>
      <w:numPr>
        <w:ilvl w:val="1"/>
        <w:numId w:val="41"/>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28"/>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28"/>
      </w:numPr>
    </w:pPr>
    <w:rPr>
      <w:color w:val="800000"/>
    </w:rPr>
  </w:style>
  <w:style w:type="paragraph" w:customStyle="1" w:styleId="RevisionNummerierungStufe2">
    <w:name w:val="Revision Nummerierung (Stufe 2)"/>
    <w:basedOn w:val="Normal"/>
    <w:rsid w:val="00A147E3"/>
    <w:pPr>
      <w:numPr>
        <w:ilvl w:val="4"/>
        <w:numId w:val="28"/>
      </w:numPr>
    </w:pPr>
    <w:rPr>
      <w:color w:val="800000"/>
    </w:rPr>
  </w:style>
  <w:style w:type="paragraph" w:customStyle="1" w:styleId="RevisionNummerierungStufe3">
    <w:name w:val="Revision Nummerierung (Stufe 3)"/>
    <w:basedOn w:val="Normal"/>
    <w:rsid w:val="00A147E3"/>
    <w:pPr>
      <w:numPr>
        <w:ilvl w:val="5"/>
        <w:numId w:val="28"/>
      </w:numPr>
    </w:pPr>
    <w:rPr>
      <w:color w:val="800000"/>
    </w:rPr>
  </w:style>
  <w:style w:type="paragraph" w:customStyle="1" w:styleId="RevisionNummerierungStufe4">
    <w:name w:val="Revision Nummerierung (Stufe 4)"/>
    <w:basedOn w:val="Normal"/>
    <w:rsid w:val="00A147E3"/>
    <w:pPr>
      <w:numPr>
        <w:ilvl w:val="6"/>
        <w:numId w:val="28"/>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28"/>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28"/>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35"/>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29"/>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29"/>
      </w:numPr>
    </w:pPr>
    <w:rPr>
      <w:color w:val="800000"/>
    </w:rPr>
  </w:style>
  <w:style w:type="paragraph" w:customStyle="1" w:styleId="RevisionListeStufe2">
    <w:name w:val="Revision Liste (Stufe 2)"/>
    <w:basedOn w:val="Normal"/>
    <w:rsid w:val="00A147E3"/>
    <w:pPr>
      <w:numPr>
        <w:ilvl w:val="2"/>
        <w:numId w:val="29"/>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29"/>
      </w:numPr>
    </w:pPr>
    <w:rPr>
      <w:color w:val="800000"/>
    </w:rPr>
  </w:style>
  <w:style w:type="paragraph" w:customStyle="1" w:styleId="RevisionListeStufe3">
    <w:name w:val="Revision Liste (Stufe 3)"/>
    <w:basedOn w:val="Normal"/>
    <w:rsid w:val="00A147E3"/>
    <w:pPr>
      <w:numPr>
        <w:ilvl w:val="4"/>
        <w:numId w:val="29"/>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29"/>
      </w:numPr>
    </w:pPr>
    <w:rPr>
      <w:color w:val="800000"/>
    </w:rPr>
  </w:style>
  <w:style w:type="paragraph" w:customStyle="1" w:styleId="RevisionListeStufe4">
    <w:name w:val="Revision Liste (Stufe 4)"/>
    <w:basedOn w:val="Normal"/>
    <w:rsid w:val="00A147E3"/>
    <w:pPr>
      <w:numPr>
        <w:ilvl w:val="6"/>
        <w:numId w:val="29"/>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29"/>
      </w:numPr>
    </w:pPr>
    <w:rPr>
      <w:color w:val="800000"/>
    </w:rPr>
  </w:style>
  <w:style w:type="paragraph" w:customStyle="1" w:styleId="RevisionAufzhlungStufe1">
    <w:name w:val="Revision Aufzählung (Stufe 1)"/>
    <w:basedOn w:val="Normal"/>
    <w:rsid w:val="00A147E3"/>
    <w:pPr>
      <w:numPr>
        <w:numId w:val="30"/>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31"/>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32"/>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33"/>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34"/>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36"/>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37"/>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amnesty-insights/unsocial-media-the-real-toll-of-online-abuse-against-women-37134ddab3f4" TargetMode="External"/><Relationship Id="rId5" Type="http://schemas.openxmlformats.org/officeDocument/2006/relationships/webSettings" Target="webSettings.xml"/><Relationship Id="rId10" Type="http://schemas.openxmlformats.org/officeDocument/2006/relationships/hyperlink" Target="https://www.idz-jena.de/fileadmin/user_upload/_Hass_im_Netz_-_Der_schleichende_Angriff.pdf"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006D-F4E5-4A20-AA47-4640B996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37</TotalTime>
  <Pages>1</Pages>
  <Words>31929</Words>
  <Characters>181999</Characters>
  <Application>Microsoft Office Word</Application>
  <DocSecurity>0</DocSecurity>
  <Lines>1516</Lines>
  <Paragraphs>427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BMWi, IT-Referat</Company>
  <LinksUpToDate>false</LinksUpToDate>
  <CharactersWithSpaces>213501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Liu, Lei</cp:lastModifiedBy>
  <cp:revision>15</cp:revision>
  <cp:lastPrinted>2020-03-26T09:36:00Z</cp:lastPrinted>
  <dcterms:created xsi:type="dcterms:W3CDTF">2020-03-30T11:16:00Z</dcterms:created>
  <dcterms:modified xsi:type="dcterms:W3CDTF">2020-04-30T03:36:00Z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20200121</vt:lpwstr>
  </property>
  <property fmtid="{D5CDD505-2E9C-101B-9397-08002B2CF9AE}" pid="7" name="eNorm-Version Erstellung">
    <vt:lpwstr>4.0.3.1, Bundesregierung, [20190301]</vt:lpwstr>
  </property>
  <property fmtid="{D5CDD505-2E9C-101B-9397-08002B2CF9AE}" pid="8" name="eNorm-Version letzte Bearbeitung">
    <vt:lpwstr>4.1.2.2 Bundesregierung [20200121]</vt:lpwstr>
  </property>
  <property fmtid="{D5CDD505-2E9C-101B-9397-08002B2CF9AE}" pid="9" name="Meta_Initiant">
    <vt:lpwstr>Bundesministerium der Justiz und f³r Verbraucherschutz</vt:lpwstr>
  </property>
  <property fmtid="{D5CDD505-2E9C-101B-9397-08002B2CF9AE}" pid="10" name="eNorm-Version vorherige Bearbeitung">
    <vt:lpwstr>4.1.2.2 Bundesregierung [20200121]</vt:lpwstr>
  </property>
  <property fmtid="{D5CDD505-2E9C-101B-9397-08002B2CF9AE}" pid="11" name="Bearbeitungsstand">
    <vt:lpwstr>Bearbeitungsstand: 27.03.2020  11:57 Uhr</vt:lpwstr>
  </property>
  <property fmtid="{D5CDD505-2E9C-101B-9397-08002B2CF9AE}" pid="12" name="DQP-Ergebnis für Version 4">
    <vt:lpwstr>24 Fehler, 76 Warnungen</vt:lpwstr>
  </property>
  <property fmtid="{D5CDD505-2E9C-101B-9397-08002B2CF9AE}" pid="13" name="eNorm-Version letzte DQP">
    <vt:lpwstr>4.1.2.2, Bundesregierung, [20200121]</vt:lpwstr>
  </property>
  <property fmtid="{D5CDD505-2E9C-101B-9397-08002B2CF9AE}" pid="14" name="Meta_Bezeichnung">
    <vt:lpwstr>Entwurf eines Gesetzes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Dieses Gesetz dient der Umsetzung der Richtlinie (EU) 2018/1808 des Europäischen Parlaments und des Rates vom 14. November 2018 zur Änderung der Richtlinie 2010/13/EU zur Koordinierung bestimmter Rechts- und Verwaltungsvorschriften der Mitgliedstaaten übe</vt:lpwstr>
  </property>
  <property fmtid="{D5CDD505-2E9C-101B-9397-08002B2CF9AE}" pid="20" name="Meta_Umsetzung von EU-Recht_2">
    <vt:lpwstr>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