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De bhun Airteagal 64(4) den Acht Talmhaíochta (Iris Oifigiúil Phoblacht na Slóivéine Uimh. 45/08, 57/12, 90/12 — ZdZPVHVVR, 26/14 agus 32/15, 27/17, </w:t>
      </w:r>
      <w:hyperlink r:id="rId8" w:tgtFrame="_blank" w:tooltip="Acht lena leasaítear an tAcht Talmhaíocht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Cinneadh maidir leis an tríú mír d’Airteagal 61.f den Ionstraim Talmhaíochta a aisghairm go páirteach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Cinntí ón gCúirt Bhunreachtúil</w:t>
      </w:r>
      <w:r>
        <w:rPr>
          <w:shd w:val="clear" w:color="auto" w:fill="FFFFFF"/>
          <w:b/>
        </w:rPr>
        <w:t xml:space="preserve"> </w:t>
      </w:r>
      <w:hyperlink r:id="rId10" w:tgtFrame="_blank" w:tooltip="Acht lena leasaítear an tAcht Talmhaíocht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agus 44/22) Saincheisteanna an Aire Talmhaíochta, Foraoiseachta agus Bia</w:t>
      </w:r>
    </w:p>
    <w:p w14:paraId="5DE339B3" w14:textId="77777777" w:rsidR="00E549B4" w:rsidRDefault="00E549B4" w:rsidP="00E549B4">
      <w:pPr>
        <w:pStyle w:val="Vrstapredpisa"/>
      </w:pPr>
      <w:r>
        <w:t xml:space="preserve">RIALACHA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maidir le cáilíocht </w:t>
      </w:r>
      <w:bookmarkStart w:id="0" w:name="_Hlk80263497"/>
      <w:r>
        <w:t xml:space="preserve">beorach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 FORÁLACHA GINEARÁLTA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Airteagal 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(Ábhar)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Rialaíonn na Rialacha seo na coinníollacha maidir leis an gcáilíocht íosta, an t-aicmiú agus an lipéadú nach mór don bheoir a chomhlíonadh ar an margadh.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Airteagal 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(Nós imeachta faisnéise agus clásal)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Eisíodh na Rialacha seo i gcomhréir leis an nós imeachta faisnéise faoi Threoir (AE) 2015/1535 ó Pharlaimint na hEorpa agus ón gComhairle an 9 Meán Fómhair 2015 lena leagtar síos nós imeachta chun faisnéis a sholáthar i réimse na rialachán teicniúil agus na rialacha maidir le seirbhísí na Sochaí Faisnéise (IO L 241, 17.</w:t>
      </w:r>
      <w:r>
        <w:t xml:space="preserve"> </w:t>
      </w:r>
      <w:r>
        <w:t xml:space="preserve">9.</w:t>
      </w:r>
      <w:r>
        <w:t xml:space="preserve"> </w:t>
      </w:r>
      <w:r>
        <w:t xml:space="preserve">2015, lch.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Ní bheidh feidhm ag forálacha na Rialacha seo maidir le táirgí atá dleathach, i gcomhréir leis an reachtaíocht náisiúnta a áirithíonn leibhéal coibhéiseach cosanta do leas an phobail mar atá arna chinneadh i reachtaíocht Phoblacht na Slóivéine:</w:t>
      </w:r>
    </w:p>
    <w:p w14:paraId="311CA9A6" w14:textId="77777777" w:rsidR="009B2E64" w:rsidRDefault="00A75091" w:rsidP="009B2E64">
      <w:r>
        <w:t xml:space="preserve">— gur táirgeadh nó gur margaíodh i mBallstáit eile den Aontas Eorpach agus sa Tuirc iad, nó</w:t>
      </w:r>
    </w:p>
    <w:p w14:paraId="33A5163A" w14:textId="77777777" w:rsidR="009B2E64" w:rsidRDefault="00A75091" w:rsidP="009B2E64">
      <w:r>
        <w:t xml:space="preserve">— a táirgeadh i dtíortha Chomhlachas Saorthrádála na hEorpa (CSTE), ar sínitheoirí iad freisin leis an gComhaontú maidir leis an Limistéar Eorpach Eacnamaíoch.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Cuirfear na Rialacha seo chun feidhme i gcomhréir le Rialachán (AE) 2019/515 ó Pharlaimint na hEorpa agus ón gComhairle an 19 Márta 2019 maidir le haitheantas frithpháirteach earraí atá ar an margadh go dleathach i mBallstát eile agus lena n-aisghairtear Rialachán (CE) Uimh. 764/2008 (IO L 91, 29.</w:t>
      </w: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 2019, lch. 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Airteagal 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(An bhrí atá le téarmaí)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Ciallaíonn na téarmaí a úsáidtear sna Rialacha seo: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is deoch alcólach choipthe í beoir ina bhfoirmítear gach eatánól agus cuid de dhé-ocsaíd charbóin ar a laghad le linn choipeadh na gcomhábhar dá dtagraítear in Airteagal 4 de na Rialacha seo agus ina dtáirgtear í trí phróiseas grúdaireachta teicneolaíochta agus coipeadh ina dhiaidh sin;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is é an t-eastóscadh sa bhunlus ná cion na substaintí intuaslagtha sa bhraichlis roimh choipeadh, arna shloinneadh i 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t xml:space="preserve">is é cion alcóil de réir toirte (% toirte) an cion eatánóil ag 20 °C, arna shloinneadh mar chéatadán de réir toirte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BEOIR AR AN MARGADH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Airteagal 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(Amhábhair)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Is iad seo a leanas na hamhábhair chun beoir a tháirgeadh: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uisce nach mór dó na coinníollacha a leagtar amach sna rialacha lena rialaítear uisce óil a chomhlíonadh chun uisce próisis a ullmhú;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braich eorna nó gránaigh mhilsithe nó neamhmhilsithe eile nó táirgí déanta as gránaigh agus amhábhair ghránaigh, barra agus amhábhair eile atá bunaithe ar stáirse agus ar shiúcraí;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−- leannlusanna agus táirgí leannlusanna i gcomhréir leis na rialacha lena rialaítear deimhniú barr leannlusanna agus táirgí leannlusanna;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saothráin mhiocróbacha, ina n-úsáidtear giosta grúdaireachta nó miocrorgánaigh eile nó pobail mhiocróbacha le haghaidh coipeadh beorach;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agus amhábhair eile.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Airteagal 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(Aicmiú beorach)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Déantar beoir a aicmiú de réir: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eastóscán cion na bunbhraichlise;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an cion alcóil;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dath;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próiseáil teicneolaíochta.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Airteagal 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(Lipéadú beorach)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Ní mór beoir a lipéadú de réir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Rialachán (AE) Uimh. 1169/2011 ó Pharlaimint na hEorpa agus ón gComhairle an 25 Deireadh Fómhair 2011 maidir le faisnéis bhia a sholáthar do thomhaltóirí, lena leasaítear Rialachán (CE) Uimh. 1924/2006 ó Pharlaimint na hEorpa agus ón gComhairle agus Rialachán (CE) Uimh. 1925/2006 ó Pharlaimint na hEorpa agus ón gComhairle agus lena n-aisghairtear Treoir 87/250/CEE ón gCoimisiún, Treoir 90/496/CEE ón gComhairle, Treoir 1999/10/CE ón gCoimisiún, Treoir 2000/13/CE ó Pharlaimint na hEorpa agus ón gComhairle, Treoir 2002/67/CE ón gCoimisiún agus Treoir 2008/5/CE ón gCoimisiún agus Rialachán (CE) Uimh. 608/2004 ón gCoimisiún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(OJ L 304, 22.</w:t>
      </w:r>
      <w:r>
        <w:t xml:space="preserve"> </w:t>
      </w:r>
      <w:r>
        <w:t xml:space="preserve">11.</w:t>
      </w:r>
      <w:r>
        <w:t xml:space="preserve"> </w:t>
      </w:r>
      <w:r>
        <w:t xml:space="preserve">2011, lch. 18), arna leasú go deireanach le </w:t>
      </w:r>
      <w:r>
        <w:rPr>
          <w:shd w:val="clear" w:color="auto" w:fill="FFFFFF"/>
        </w:rPr>
        <w:t xml:space="preserve">Rialachán (AE) 2015/2283 ó Pharlaimint na hEorpa agus ón gComhairle an 25 Samhain 2015 maidir le bianna núíosacha, lena leasaítear Rialachán (AE) Uimh. 1169/2011 ó Pharlaimint na hEorpa agus ón gComhairle agus lena n-aisghairtear Rialachán (CE) Uimh. 258/97 ó Pharlaimint na hEorpa agus ón gComhairle agus Rialachán (CE) Uimh. 1852/2001 ón gCoimisiún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IO L 327, 11.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2015, lch. 1)</w:t>
      </w:r>
      <w:r>
        <w:t xml:space="preserve">, agus de réir na Rialacha seo.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Ag brath ar luach an eastóscáin sa bhunbhraichlis, déanfar beoir a lipéadú mar seo a leanas: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beoir, má tá suas le 13.5 % (m/m) d’eastóscán sa bhunbhraichlis;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beoir speisialta má tá níos mó ná 13.5 % de suas le 16 % (m/m) den eastóscán sa bhunbhraichlis ann;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beoir láidir má tá níos mó ná 16 % (m/m) d’eastóscán sa bhunbhraichlis.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I bhfianaise an chion alcóil níos ísle, déanfar beoir a lipéadú mar seo a leanas: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beoir éadrom má tá uasmhéid 3.5 % alcóil de réir toirte inti;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beoir neamhalcólach, má tá uasmhéid 0.5 % alcóil de réir toirte inti.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Ag brath ar an dath, déanfar beoir a lipéadú mar seo a leanas: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beoir ghealbhuí, mura mó ná 30 aonad EBC déine an datha;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beoir dhorcha, má tá déine an datha os cionn 30 aonad EBC.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Déanfar beoir a lipéadú mar bheoir theimhneach, más de thoradh nósanna imeachta teicneolaíocha speisialta an teimhneacht.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Déanfar beoir a bhfuil 6 mhí d’aois aici ar a laghad a lipéadú mar bheoir aibithe.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Déanfar beoir nár scagadh a lipéadú mar bheoir neamhscagtha.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Déanfar beoir nár phaistéaradh a lipéadú mar bheoir neamhphaistéartha.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Déanfar beoir atá déanta as 30 % (m/m) ar a laghad de bhraich chruithneachta a lipéadú mar bheoir cruithneachta.</w:t>
      </w:r>
      <w:r>
        <w:t xml:space="preserve"> </w:t>
      </w:r>
      <w:r>
        <w:t xml:space="preserve">Má tháirgtear beoir ó ghránaigh eile nó ó tháirgí gránach eile agus ó amhábhair cosúil le gránach, sonrófar in ainm an táirge ainm an amhábhair a úsáideadh más ionann é agus 30 % ar a laghad den amhábhar bunúsach (e.g. beoir ruáin).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Déanfar beoir a bhfuil cion níos ísle CO</w:t>
      </w:r>
      <w:r>
        <w:rPr>
          <w:vertAlign w:val="subscript"/>
        </w:rPr>
        <w:t xml:space="preserve">2</w:t>
      </w:r>
      <w:r>
        <w:t xml:space="preserve"> aici a lipéadú mar bheoir a bhfuil luach níos ísle CO</w:t>
      </w:r>
      <w:r>
        <w:rPr>
          <w:vertAlign w:val="subscript"/>
        </w:rPr>
        <w:t xml:space="preserve">2</w:t>
      </w:r>
      <w:r>
        <w:t xml:space="preserve"> aici mar atá sainmhínithe in Airteagal 6 de na Rialacha seo.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Déanfar beoir gan leannlusanna a lipéadú mar bheoir nach gcuirtear leannlusanna agus táirgí leannlusanna léi.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Féadfar saintréithe eile na beorach (e.g. Aosaithe i gcasc, i mbeoir coipthe uachtair) a léiriú freisin.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Airteagal 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(Cáilíocht íosta)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Ní mór do bheoir ar an margadh na coinníollacha íosta cáilíochta seo a leanas a chomhlíonadh: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go bhfuil sé soiléir agus saor ó dhríodar, seachas beoir theimhneach agus neamhscagtha;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tá 3 g/l ar a laghad de dhé-ocsaíd charbóin inti, cé is moite de bheoir ón deichiú mír den earra roimhe seo;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luach pH suas le 5.5;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ní mór d’airíonna orgánaileipteacha na beorach an sainmhíniú sa tsonraíocht táirge a chomhlíonadh.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Airteagal 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(Stóráil)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Ní mór beoir a stóráil tar éis a táirgthe agus le linn an díola i gcomhréir le treoracha an mhonaróra.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FORÁLACHA IDIRTHRÉIMHSEACHA AGUS CRÍOCHNAITHEACHA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Airteagal 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(Foráil idirthréimhseach)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Ní mór do bheoir a chuirfear ar an margadh na ceanglais a chomhlíonadh agus a lipéadú i gcomhréir le forálacha na Rialacha seo tráth nach déanaí ná dhá bhliain tar éis theacht i bhfeidhm na Rialacha seo.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Beag beann ar fhoráil na míre roimhe seo, féadfar beoir a tháirgtear agus a lipéadaítear i gcomhréir leis na Rialacha maidir le cáilíocht beorach (Iris Oifigiúil Phoblacht na Slóivéine, Uimh. 3/03 agus Uimh. 45/08 — ZKme-1) a chur ar an margadh roimh an spriocdháta dá dtagraítear sa mhír roimhe seo go dtí go mbeidh na stoic ídithe.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Airteagal 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(Éag)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Scoirfidh na Rialacha maidir le cáilíocht beorach (Iris Oifigiúil Phoblacht na Slóivéine, Uimh. 3/03 agus Uimh. 45/08 — ZKme-1) d’fheidhm a bheith acu an lá a thiocfaidh na Rialacha seo i bhfeidhm agus fanfaidh siad i bhfeidhm go ceann dhá bhliain ó theacht i bhfeidhm na Rialacha seo.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Airteagal 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(Teacht i bhfeidhm)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Tiocfaidh na Rialacha seo i bhfeidhm an cúigiú lá déag tar éis a bhfoilsithe in Iris Oifigiúil Phoblacht na Slóivéine.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Uimh. 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Liúibleána, dáta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An tAire Talmhaíochta, Foraoiseachta agus Bia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ga-IE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ga-IE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ga-IE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