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Pagal Žemės ūkio įstatymo 64 straipsnio 4 dalį (Slovėnijos Respublikos oficialusis leidinys Nr. 45/08, 57/12, 90/12 – ZdZPVHVVR, 26/14 ir 32/15, 27/17, </w:t>
      </w:r>
      <w:hyperlink r:id="rId8" w:tgtFrame="_blank" w:tooltip="Įstatymas, kuriuo iš dalies keičiamas Žemės ūkio įstatymas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Sprendimas iš dalies panaikinti Žemės ūkio įstatymo 61 straipsnio f punkto trečią pastraipą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Konstitucinio teismo sprendimai</w:t>
      </w:r>
      <w:r>
        <w:rPr>
          <w:shd w:val="clear" w:color="auto" w:fill="FFFFFF"/>
          <w:b/>
        </w:rPr>
        <w:t xml:space="preserve"> </w:t>
      </w:r>
      <w:hyperlink r:id="rId10" w:tgtFrame="_blank" w:tooltip="Įstatymas, kuriuo iš dalies keičiamas Žemės ūkio įstatymas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123/21</w:t>
        </w:r>
      </w:hyperlink>
      <w:r>
        <w:t xml:space="preserve"> ir 44/22) Žemės ūkio, miškininkystės ir maisto ministras</w:t>
      </w:r>
    </w:p>
    <w:p w14:paraId="5DE339B3" w14:textId="77777777" w:rsidR="00E549B4" w:rsidRDefault="00E549B4" w:rsidP="00E549B4">
      <w:pPr>
        <w:pStyle w:val="Vrstapredpisa"/>
      </w:pPr>
      <w:r>
        <w:t xml:space="preserve">Alaus kokybės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TAISYKLĖS</w:t>
      </w:r>
      <w:bookmarkStart w:id="0" w:name="_Hlk80263497"/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I. BENDROSIOS NUOSTATOS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1 straipsnis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(Turinys)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Šiomis taisyklėmis reglamentuojamos sąlygos, susijusios su minimaliaisiais kokybės, klasifikavimo ir ženklinimo reikalavimais, kuriuos turi atitikti rinkoje esantis alus.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2 straipsnis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(Informavimo procedūra ir nuostata)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(1)</w:t>
      </w:r>
      <w:r>
        <w:t xml:space="preserve"> </w:t>
      </w:r>
      <w:r>
        <w:t xml:space="preserve">Šios taisyklės paskelbtos atsižvelgiant į informavimo procedūrą pagal 2015 m. rugsėjo 9 d. Europos Parlamento ir Tarybos direktyvą (ES) 2015/1535, kuria nustatoma informacijos apie techninius reglamentus ir informacinės visuomenės paslaugų taisykles teikimo tvarka (OL L 241, 2015</w:t>
      </w:r>
      <w:r>
        <w:t xml:space="preserve"> </w:t>
      </w:r>
      <w:r>
        <w:t xml:space="preserve">9</w:t>
      </w:r>
      <w:r>
        <w:t xml:space="preserve"> </w:t>
      </w:r>
      <w:r>
        <w:t xml:space="preserve">17, p.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(2)</w:t>
      </w:r>
      <w:r>
        <w:t xml:space="preserve"> </w:t>
      </w:r>
      <w:r>
        <w:t xml:space="preserve">Šių Taisyklių nuostatos netaikomos produktams, kurie pagal nacionalinius teisės aktus, užtikrinančius lygiavertį viešojo intereso apsaugos lygį, kaip nustatyta Slovėnijos Respublikos teisės aktuose, yra legaliai:</w:t>
      </w:r>
    </w:p>
    <w:p w14:paraId="311CA9A6" w14:textId="77777777" w:rsidR="009B2E64" w:rsidRDefault="00A75091" w:rsidP="009B2E64">
      <w:r>
        <w:t xml:space="preserve">–</w:t>
      </w:r>
      <w:r>
        <w:tab/>
      </w:r>
      <w:r>
        <w:t xml:space="preserve">gaminami arba parduodami kitose Europos Sąjungos valstybėse narėse ir Turkijoje;</w:t>
      </w:r>
    </w:p>
    <w:p w14:paraId="33A5163A" w14:textId="77777777" w:rsidR="009B2E64" w:rsidRDefault="00A75091" w:rsidP="009B2E64">
      <w:r>
        <w:t xml:space="preserve">–</w:t>
      </w:r>
      <w:r>
        <w:tab/>
      </w:r>
      <w:r>
        <w:t xml:space="preserve">gaminami Europos laisvosios prekybos asociacijos (ELPA) valstybėse, kurios taip pat yra Europos ekonominės erdvės susitarimą pasirašiusios šalys.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Šios Taisyklės įgyvendinamos pagal 2019 m. kovo 19 d. Europos Parlamento ir Tarybos reglamentą (ES) 2019/515 dėl kitoje valstybėje narėje teisėtai parduodamų prekių abipusio pripažinimo, kuriuo panaikinamas Reglamentas (EB) Nr. 764/2008 (OL L 91, 2019</w:t>
      </w:r>
      <w:r>
        <w:rPr>
          <w:color w:val="000000"/>
        </w:rPr>
        <w:t xml:space="preserve"> </w:t>
      </w:r>
      <w:r>
        <w:rPr>
          <w:color w:val="000000"/>
        </w:rPr>
        <w:t xml:space="preserve">3</w:t>
      </w:r>
      <w:r>
        <w:rPr>
          <w:color w:val="000000"/>
        </w:rPr>
        <w:t xml:space="preserve"> 29, p. 1)</w:t>
      </w:r>
      <w:r>
        <w:t xml:space="preserve"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3 straipsnis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(Sąvokų reikšmė)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Šiose Taisyklėse vartojamos sąvokos reiškia: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alus yra fermentuotas alkoholinis gėrimas, kuriame visas etanolio kiekis ir bent dalis anglies dioksido kiekio susidaro fermentuojant sudedamąsias dalis, nurodytas šių Taisyklių 4 straipsnyje, ir kuris yra gaminamas technologiniu alaus gamybos būdu, o po to fermentuojant;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ekstraktas bazinėje misoje – tirpių medžiagų kiekis misoje prieš fermentaciją, išreikštas %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 xml:space="preserve">alkoholio kiekis tūrio procentais (% tūrio) yra etanolio kiekis esant 20 °C temperatūrai, išreikštas tūrio procentine dalimi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ALUS RINKOJE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4 straipsnis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(Žaliavos)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Alaus gamybai naudojamos šios žaliavos: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vanduo, kuris turi atitikti geriamąjį vandenį reglamentuojančiose taisyklėse nustatytas sąlygas, kad būtų galima paruošti gamybos procese naudojamą vandenį;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miežių salyklas arba kiti saldinti ar nesaldinti javai arba produktai, pagaminti iš javų ir javų pavidalo žaliavų, pasėlių ir kitų žaliavų, kurių pagrindinės sudėtinės dalys yra krakmolas ir cukrus;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apyniai ir apynių produktai pagal apynių pasėlių ir apynių produktų sertifikavimą reglamentuojančias taisykles;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mikrobų kultūros, kuriose alaus fermentacijai naudojamos mielės ar kiti mikroorganizmai ar mikrobų bendruomenės;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</w:t>
      </w:r>
      <w:r>
        <w:t xml:space="preserve"> </w:t>
      </w:r>
      <w:r>
        <w:rPr>
          <w:sz w:val="22"/>
        </w:rPr>
        <w:t xml:space="preserve">kitos žaliavos.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5 straipsnis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(Alaus klasifikacija)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Alus klasifikuojamas pagal: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ekstrakto kiekį bazinėje misoje;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alkoholio kiekį;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spalvą;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gamybos technologinį būdą.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6 straipsnis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(Alaus ženklinimas)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</w:t>
      </w:r>
      <w:r>
        <w:t xml:space="preserve"> </w:t>
      </w:r>
      <w:r>
        <w:t xml:space="preserve">Alus turi būti ženklinamas pagal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2011 m. spalio 25 d. Europos Parlamento ir Tarybos reglamentas (ES) Nr. 1169/2011 dėl informacijos apie maistą teikimo vartotojams, kuriuo iš dalies keičiami Europos Parlamento ir Tarybos reglamentai (EB) Nr. 1924/2006 ir (EB) Nr. 1925/2006 bei kuriuo panaikinami Komisijos direktyva 87/250/EEB, Tarybos direktyva 90/496/EEB, Komisijos direktyva 1999/10/EB, Europos Parlamento ir Tarybos direktyva 2000/13/EB, Komisijos direktyvos 2002/67/EB ir 2008/5/EB bei Komisijos reglamentas (EB) Nr. 608/2004.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(OL L 304, 2011</w:t>
      </w:r>
      <w:r>
        <w:t xml:space="preserve"> </w:t>
      </w:r>
      <w:r>
        <w:t xml:space="preserve">11</w:t>
      </w:r>
      <w:r>
        <w:t xml:space="preserve"> </w:t>
      </w:r>
      <w:r>
        <w:t xml:space="preserve">22, p. 18), su paskutiniais pakeitimais, padarytais </w:t>
      </w:r>
      <w:r>
        <w:rPr>
          <w:shd w:val="clear" w:color="auto" w:fill="FFFFFF"/>
        </w:rPr>
        <w:t xml:space="preserve">2015 m. lapkričio 25 d. Europos Parlamento ir Tarybos reglamentu (ES) 2015/2283 dėl naujų maisto produktų, iš dalies keičiančiu Europos Parlamento ir Tarybos reglamentą (ES) Nr. 1169/2011 ir panaikinančiu Europos Parlamento ir Tarybos reglamentą (EB) Nr. 258/97 ir Komisijos reglamentą (EB) Nr. 1852/2001 </w:t>
      </w:r>
      <w:r>
        <w:rPr>
          <w:shd w:val="clear" w:color="auto" w:fill="FFFFFF"/>
          <w:i/>
        </w:rPr>
        <w:t xml:space="preserve">(</w:t>
      </w:r>
      <w:r>
        <w:rPr>
          <w:shd w:val="clear" w:color="auto" w:fill="FFFFFF"/>
          <w:rStyle w:val="Emphasis"/>
          <w:i w:val="0"/>
        </w:rPr>
        <w:t xml:space="preserve">OL L 327, 2015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12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11, p. 1)</w:t>
      </w:r>
      <w:r>
        <w:t xml:space="preserve"> ir pagal šias Taisykles.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</w:t>
      </w:r>
      <w:r>
        <w:t xml:space="preserve"> </w:t>
      </w:r>
      <w:r>
        <w:t xml:space="preserve">Atsižvelgiant į ekstrakto koncentraciją bazinėje misoje, alus ženklinamas taip: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alus, jei jo bazinėje misoje yra ne daugiau kaip 13,5 % (m/m) ekstrakto;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specialusis alus, jei jo bazinėje misoje yra daugiau kaip 13,5 %, tačiau ne daugiau kaip 16 % (m/m) ekstrakto;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stiprusis alus, jei jo bazinėje misoje yra daugiau kaip 16 % (m/m) ekstrakto.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(3)</w:t>
      </w:r>
      <w:r>
        <w:t xml:space="preserve"> </w:t>
      </w:r>
      <w:r>
        <w:t xml:space="preserve">Atsižvelgiant į mažesnį alkoholio kiekį, alus ženklinamas taip: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lengvasis alus, jei jo alkoholio koncentracija yra ne mažesnė kaip 3,5 %;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nealkoholinis alus, jei jo alkoholio koncentracija yra ne mažesnė kaip 0,5 %.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</w:t>
      </w:r>
      <w:r>
        <w:t xml:space="preserve"> </w:t>
      </w:r>
      <w:r>
        <w:t xml:space="preserve">Atsižvelgiant į spalvą, alus ženklinamas taip: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šviesusis alus, jei spalvos intensyvumas yra ne didesnis kaip 30 EBC vienetų;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tamsusis alus, jei spalvos intensyvumas yra didesnis kaip 30 EBC vienetų.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</w:t>
      </w:r>
      <w:r>
        <w:t xml:space="preserve"> </w:t>
      </w:r>
      <w:r>
        <w:t xml:space="preserve">Alus ženklinamas kaip nepermatomas alus, jei jo neskaidrumas yra tam tikrų gamybos būdų rezultatas.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(6)</w:t>
      </w:r>
      <w:r>
        <w:t xml:space="preserve"> </w:t>
      </w:r>
      <w:r>
        <w:t xml:space="preserve">Ne trumpiau kaip 6 mėnesius brandintas alus ženklinamas kaip brandintas alus.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(7)</w:t>
      </w:r>
      <w:r>
        <w:t xml:space="preserve"> </w:t>
      </w:r>
      <w:r>
        <w:t xml:space="preserve">Alus, kuris nebuvo filtruotas, ženklinamas kaip nefiltruotas alus.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(8)</w:t>
      </w:r>
      <w:r>
        <w:t xml:space="preserve"> </w:t>
      </w:r>
      <w:r>
        <w:t xml:space="preserve">Alus, kuris nebuvo pasterizuotas, ženklinamas kaip nepasterizuotas alus.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(9)</w:t>
      </w:r>
      <w:r>
        <w:t xml:space="preserve"> </w:t>
      </w:r>
      <w:r>
        <w:t xml:space="preserve">Alus, kurio sudėtyje yra ne mažiau kaip 30 % (m/m) kviečių salyklo, ženklinamas kaip kvietinis alus.</w:t>
      </w:r>
      <w:r>
        <w:t xml:space="preserve"> </w:t>
      </w:r>
      <w:r>
        <w:t xml:space="preserve">Jei alus gaminamas iš kitų javų ar javų produktų ir į javus panašių žaliavų, produkto pavadinime nurodomas naudotos žaliavos pavadinimas, jei jos produkto sudėtyje yra ne mažiau kaip 30 % pagrindinės žaliavos (pvz., grikių alus).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(10)</w:t>
      </w:r>
      <w:r>
        <w:t xml:space="preserve"> </w:t>
      </w:r>
      <w:r>
        <w:t xml:space="preserve">Alus, kurio sudėtyje yra mažesnis CO</w:t>
      </w:r>
      <w:r>
        <w:rPr>
          <w:vertAlign w:val="subscript"/>
        </w:rPr>
        <w:t xml:space="preserve">2</w:t>
      </w:r>
      <w:r>
        <w:t xml:space="preserve"> kiekis, ženklinamas kaip nedidelės CO</w:t>
      </w:r>
      <w:r>
        <w:rPr>
          <w:vertAlign w:val="subscript"/>
        </w:rPr>
        <w:t xml:space="preserve">2</w:t>
      </w:r>
      <w:r>
        <w:t xml:space="preserve"> koncentracijos alus, kaip apibrėžta šių Taisyklių 6 straipsnyje.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(11)</w:t>
      </w:r>
      <w:r>
        <w:t xml:space="preserve"> </w:t>
      </w:r>
      <w:r>
        <w:t xml:space="preserve">Alus be apynių ženklinamas kaip alus, kurio sudėtyje nėra apynių ir apynių produktų.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Taip pat gali būti nurodytos kitos alaus savybės (pvz., brandintas statinėje, pagamintas žemutinės fermentacijos būdu).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7 straipsnis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(Minimali kokybė)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Rinkoje esantis alus turi atitikti šiuos būtiniausius kokybės reikalavimus: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būti skaidrus ir be nuosėdų, išskyrus nepermatomą ir nefiltruotą alų;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turėti ne mažiau kaip 3 g/l anglies dioksido, išskyrus ankstesnio straipsnio dešimtoje pastraipoje nurodytą alų;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jo pH vertė turi neviršyti 5,5;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organoleptinės alaus savybės turi atitikti produkto specifikacijoje pateiktą apibrėžtį.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8 straipsnis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(Laikymas)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Po pagaminimo ir pardavimo metu alus turi būti laikomas pagal gamintojo instrukcijas.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PEREINAMOJO LAIKOTARPIO IR GALUTINĖS NUOSTATOS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9 straipsnis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(Pereinamojo laikotarpio nuostata)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(1)</w:t>
      </w:r>
      <w:r>
        <w:t xml:space="preserve"> </w:t>
      </w:r>
      <w:r>
        <w:t xml:space="preserve">Į rinką pateiktas alus turi atitikti reikalavimus ir būti paženklintas pagal šių Taisyklių nuostatas ne vėliau kaip per dvejus metus nuo šių Taisyklių įsigaliojimo.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(2)</w:t>
      </w:r>
      <w:r>
        <w:t xml:space="preserve"> </w:t>
      </w:r>
      <w:r>
        <w:t xml:space="preserve">Neatsižvelgiant į ankstesnės pastraipos nuostatas, alus, pagamintas ir paženklintas pagal Alaus kokybės taisykles (Slovėnijos Respublikos oficialusis leidinys Nr. 3/03 ir Nr. 45/08 – ZKme-1), gali būti pateiktas rinkai iki ankstesnėje pastraipoje nurodyto termino, kol baigsis atsargos.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10 straipsnis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(Galiojimo pabaiga)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Alaus kokybės taisyklės (Slovėnijos Respublikos oficialusis leidinys Nr. 3/03 ir Nr. 45/08 – ZKme-1) nustoja galioti nuo šių Taisyklių įsigaliojimo dienos ir galioja dvejus metus nuo šių Taisyklių įsigaliojimo dienos.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11 straipsnis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(Įsigaliojimas)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Šios Taisyklės įsigalioja penkioliktą dieną po jų paskelbimo Slovėnijos Respublikos oficialiajame leidinyje.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Nr. 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Liubliana, data: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Žemės ūkio, miškininkystės ir maisto ministras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lt-LT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lt-LT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