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4BCFD" w14:textId="30D8B70F" w:rsidR="00651E64" w:rsidRDefault="00CA4904" w:rsidP="00484650">
      <w:pPr>
        <w:pStyle w:val="Dokumentstatus"/>
      </w:pPr>
      <w:r>
        <w:t>Uredba Zveznega ministrstva za prehrano in kmetijstvo</w:t>
      </w:r>
    </w:p>
    <w:p w14:paraId="2F532029" w14:textId="77777777" w:rsidR="00651E64" w:rsidRDefault="00651E64" w:rsidP="00484650">
      <w:pPr>
        <w:pStyle w:val="Bezeichnungnderungsdokument"/>
      </w:pPr>
      <w:r>
        <w:t>Uredba o prilagoditvi nacionalne zakonodaje predpisom EU o aromah in živilih, ki vsebujejo arome</w:t>
      </w:r>
      <w:r w:rsidR="00E21259">
        <w:rPr>
          <w:rStyle w:val="FootnoteReference"/>
        </w:rPr>
        <w:footnoteReference w:id="2"/>
      </w:r>
    </w:p>
    <w:p w14:paraId="23058E40" w14:textId="77777777" w:rsidR="00651E64" w:rsidRDefault="00651E64" w:rsidP="00484650">
      <w:pPr>
        <w:pStyle w:val="Ausfertigungsdatumnderungsdokument"/>
      </w:pPr>
      <w:r>
        <w:t>Vsebina</w:t>
      </w:r>
    </w:p>
    <w:p w14:paraId="272F006C" w14:textId="77777777" w:rsidR="009650F3" w:rsidRPr="00E9574F" w:rsidRDefault="009650F3" w:rsidP="009650F3">
      <w:pPr>
        <w:pStyle w:val="EingangsformelStandardnderungsdokument"/>
      </w:pPr>
      <w:r>
        <w:t>Zvezno ministrstvo za prehrano in kmetijstvo na podlagi</w:t>
      </w:r>
    </w:p>
    <w:p w14:paraId="512FFA89" w14:textId="0A9A8E83" w:rsidR="00321AE7" w:rsidRPr="009E0D4B" w:rsidRDefault="004267EE" w:rsidP="005005AB">
      <w:pPr>
        <w:pStyle w:val="EingangsformelAufzhlungnderungsdokument"/>
        <w:numPr>
          <w:ilvl w:val="0"/>
          <w:numId w:val="39"/>
        </w:numPr>
      </w:pPr>
      <w:r>
        <w:t>oddelka 13(1)(1)(a)(2) ter 4(1)(a) in (b), oddelka 35(1)(b)(aa), oddelka 7(1)(1) v povezavi z oddelkom 4(2)(2) Zakonika o živilih in krmi v različici, objavljeni 3. junija 2013 (Zvezni uradni list I, str. 1426), katerega oddelek 13(1)(1)(a) in (4)(1)(b) je bil nazadnje spremenjen z oddelkom 1(13) zakona z dne […] 2021 (Zvezni UL I, str. […]), oddelka 13(1)(2) in (4)(1)(a), ki je bil nazadnje spremenjen z oddelkom 67(5) Uredbe z dne 31. avgusta 2015 (Zvezni uradni list I, str. 1474), in oddelka 35(1)(b)(aa), ki je bil nazadnje spremenjen z oddelkom 67(6) Uredbe z dne 31. avgusta 2015 (Zvezni uradni list I, str. 1474), v soglasju z Zveznim ministrstvom za gospodarstvo in energijo,</w:t>
      </w:r>
      <w:bookmarkStart w:id="0" w:name="DQPErrorScope6C4DC7B48DAD49F3910D9C706FB"/>
    </w:p>
    <w:p w14:paraId="38AB48AA" w14:textId="1975D840" w:rsidR="009650F3" w:rsidRPr="009E0D4B" w:rsidRDefault="009650F3" w:rsidP="00E84B01">
      <w:pPr>
        <w:pStyle w:val="EingangsformelAufzhlungnderungsdokument"/>
      </w:pPr>
      <w:r>
        <w:t>oddelka 13(1)(6), oddelka 62(1)(1) in (2)(a) ter oddelka 75(5), tudi v povezavi z oddelkom 4(2) Zakonika o živilih in krmi v različici, objavljeni 3. junija 2013 (Zvezni uradni list I, str. 1426), v kateri je bil oddelek 13(1)(6) nazadnje spremenjen z oddelkom 67(5) Uredbe z dne 31. avgusta 2015 (Zvezni uradni list I, str. 1474), in oddelka 62(1)(1) in (2)(a), ki je bil nazadnje preoblikovan s členom 1(48) Zakona z dne […] 2021 (Zvezni uradni list I, str. […]), in oddelka 75(5), kakor je bil nazadnje spremenjen s členom 1(53) zakona z dne […] 2021 (Zvezni uradni list I, str. […]) in</w:t>
      </w:r>
    </w:p>
    <w:p w14:paraId="1E0F7501" w14:textId="3B02D45A" w:rsidR="009650F3" w:rsidRPr="00E9574F" w:rsidRDefault="009650F3" w:rsidP="009650F3">
      <w:pPr>
        <w:pStyle w:val="EingangsformelAufzhlungnderungsdokument"/>
      </w:pPr>
      <w:r>
        <w:t>oddelka 3(1)(1)(1) Zakona o mleku in margarini z dne 25. julija 1990 (Zvezni UL I, str. 1471), kakor je bil nazadnje spremenjen s členom 2(2) Zakona z dne 18. januarja 2019 (Zvezni UL I, str. 33), v dogovoru z Zveznim ministrstvom za gospodarstvo in energijo, odreja naslednje:</w:t>
      </w:r>
    </w:p>
    <w:p w14:paraId="520879A2" w14:textId="23D61F57" w:rsidR="00651E64" w:rsidRPr="00651E64" w:rsidRDefault="009A59A7" w:rsidP="009A59A7">
      <w:pPr>
        <w:pStyle w:val="ArtikelBezeichner"/>
        <w:numPr>
          <w:ilvl w:val="0"/>
          <w:numId w:val="0"/>
        </w:numPr>
      </w:pPr>
      <w:bookmarkStart w:id="1" w:name="DQPErrorScope24B7A3350EDE4A9ABF2103034B1"/>
      <w:bookmarkEnd w:id="0"/>
      <w:bookmarkEnd w:id="1"/>
      <w:r>
        <w:t>Člen 1</w:t>
      </w:r>
    </w:p>
    <w:p w14:paraId="2A2F26A0" w14:textId="77777777" w:rsidR="00244293" w:rsidRPr="005632EA" w:rsidRDefault="005C3F8A" w:rsidP="00244293">
      <w:pPr>
        <w:pStyle w:val="BezeichnungStammdokument"/>
      </w:pPr>
      <w:bookmarkStart w:id="2" w:name="DQPErrorScope9E5B26B397B847A4B87D8A5E50F"/>
      <w:r>
        <w:t>Izvedbena uredba o aromah in živilih, ki vsebujejo arome</w:t>
      </w:r>
      <w:bookmarkEnd w:id="2"/>
    </w:p>
    <w:p w14:paraId="6DE99BBE" w14:textId="77777777" w:rsidR="005C3F8A" w:rsidRPr="005632EA" w:rsidRDefault="00E21259" w:rsidP="005F25F7">
      <w:pPr>
        <w:pStyle w:val="Kurzbezeichnung-AbkrzungStammdokument"/>
      </w:pPr>
      <w:r>
        <w:t>(Izvedbena uredba o aromah)</w:t>
      </w:r>
    </w:p>
    <w:p w14:paraId="3608BD23" w14:textId="03F7117D" w:rsidR="00651E64" w:rsidRPr="005632EA" w:rsidRDefault="009A59A7" w:rsidP="009A59A7">
      <w:pPr>
        <w:pStyle w:val="ParagraphBezeichner"/>
        <w:numPr>
          <w:ilvl w:val="0"/>
          <w:numId w:val="0"/>
        </w:numPr>
      </w:pPr>
      <w:r>
        <w:t>Oddelek 1</w:t>
      </w:r>
    </w:p>
    <w:p w14:paraId="084CBDF6" w14:textId="77777777" w:rsidR="00651E64" w:rsidRPr="005632EA" w:rsidRDefault="00817B35" w:rsidP="00651E64">
      <w:pPr>
        <w:pStyle w:val="Paragraphberschrift"/>
      </w:pPr>
      <w:r>
        <w:t>Področje uporabe</w:t>
      </w:r>
    </w:p>
    <w:p w14:paraId="03203C78" w14:textId="77777777" w:rsidR="00C9581A" w:rsidRPr="005632EA" w:rsidRDefault="00C9581A" w:rsidP="00E11DA0">
      <w:pPr>
        <w:pStyle w:val="JuristischerAbsatznummeriert"/>
      </w:pPr>
      <w:r>
        <w:t xml:space="preserve"> Ta uredba se uporablja poleg:</w:t>
      </w:r>
    </w:p>
    <w:p w14:paraId="06BC809E" w14:textId="77777777" w:rsidR="009D3ED5" w:rsidRPr="005632EA" w:rsidRDefault="00817B35" w:rsidP="00DD7B4D">
      <w:pPr>
        <w:pStyle w:val="NummerierungStufe1"/>
      </w:pPr>
      <w:r>
        <w:t xml:space="preserve">določb Uredbe (ES) št. 1334/2008 Evropskega parlamenta in Sveta z dne 16. decembra 2008 o aromah in nekaterih sestavinah živil z aromatičnimi lastnostmi za uporabo v in na živilih ter spremembi Uredbe Sveta (EGS) št. 1601/91, uredb (ES) št. 2232/96 in (ES) št. 110/2008 ter Direktive 2000/13/ES (UL L 354, 31.12.2008, str. 34; L 105, 27.4.2010, str. 115; L 406, 3.12.2020, str. 67), kakor je bila nazadnje </w:t>
      </w:r>
      <w:r>
        <w:lastRenderedPageBreak/>
        <w:t>spremenjena z Uredbo (EU) št. 2020/1681 (UL L 379, 13.11.2020, str. 27), v vsakokrat veljavni različici, v zvezi z dajanjem na trg in označevanjem arom v smislu člena 3(2)(a) Uredbe (ES) št. 1334/2008;</w:t>
      </w:r>
    </w:p>
    <w:p w14:paraId="089EE9A6" w14:textId="77777777" w:rsidR="009D3ED5" w:rsidRPr="005632EA" w:rsidRDefault="00817B35" w:rsidP="00E11DA0">
      <w:pPr>
        <w:pStyle w:val="NummerierungStufe1"/>
      </w:pPr>
      <w:r>
        <w:t xml:space="preserve">določb Uredbe (ES) št. 2065/2003 Evropskega parlamenta in Sveta z dne 10. novembra 2003 o aromah dima, ki se uporabljajo ali so namenjene uporabi v ali na živilih (UL L 309, 26.11.2003, str. 1), kakor je bila nazadnje spremenjena z Uredbo (EU) 2019/1381 (UL L 231, 6.9.2019, str. 1), v vsakokrat veljavni različici, v zvezi z dajanjem </w:t>
      </w:r>
    </w:p>
    <w:p w14:paraId="53762AE9" w14:textId="77777777" w:rsidR="00817B35" w:rsidRPr="005632EA" w:rsidRDefault="009D3ED5" w:rsidP="00E11DA0">
      <w:pPr>
        <w:pStyle w:val="NummerierungStufe2"/>
      </w:pPr>
      <w:r>
        <w:t>arom dima na trg v smislu člena 3(2)(f) Uredbe (EU) št. 1334/2008 in</w:t>
      </w:r>
    </w:p>
    <w:p w14:paraId="7758FE44" w14:textId="77777777" w:rsidR="009D3ED5" w:rsidRPr="005632EA" w:rsidRDefault="009D3ED5" w:rsidP="00E11DA0">
      <w:pPr>
        <w:pStyle w:val="NummerierungStufe2"/>
      </w:pPr>
      <w:r>
        <w:t>živil, v ali na katerih je prisotna aroma dima.</w:t>
      </w:r>
    </w:p>
    <w:p w14:paraId="2C1F76E8" w14:textId="77777777" w:rsidR="00E11DA0" w:rsidRPr="005632EA" w:rsidRDefault="00E11DA0" w:rsidP="00E11DA0">
      <w:pPr>
        <w:pStyle w:val="JuristischerAbsatznummeriert"/>
      </w:pPr>
      <w:r>
        <w:t xml:space="preserve">Ta uredba ureja: </w:t>
      </w:r>
    </w:p>
    <w:p w14:paraId="4E217407" w14:textId="77777777" w:rsidR="00E11DA0" w:rsidRPr="005632EA" w:rsidRDefault="00E11DA0" w:rsidP="00E11DA0">
      <w:pPr>
        <w:pStyle w:val="NummerierungStufe1"/>
      </w:pPr>
      <w:r>
        <w:t>uporabo aromatičnih snovi v smislu člena 3(2)(b) Uredbe (ES) št. 1334/2008 pri proizvodnji živil, ki so predvidena za dojenčke;</w:t>
      </w:r>
    </w:p>
    <w:p w14:paraId="746D10E6" w14:textId="77777777" w:rsidR="00E11DA0" w:rsidRPr="005632EA" w:rsidRDefault="00E11DA0" w:rsidP="00E11DA0">
      <w:pPr>
        <w:pStyle w:val="NummerierungStufe1"/>
      </w:pPr>
      <w:r>
        <w:t xml:space="preserve">proizvodnjo in uporabo svežega dima, </w:t>
      </w:r>
    </w:p>
    <w:p w14:paraId="172E3806" w14:textId="77777777" w:rsidR="00E11DA0" w:rsidRPr="005632EA" w:rsidRDefault="00E11DA0" w:rsidP="00E11DA0">
      <w:pPr>
        <w:pStyle w:val="NummerierungStufe1"/>
      </w:pPr>
      <w:r>
        <w:t xml:space="preserve">označevanje določenih predpakiranih živil v smislu člena 2(2)(e)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Evropskega parlamenta in Sveta 2000/13/ES, direktiv Komisije 2002/67/ES in 2008/5/ES ter Uredbe Komisije (ES) št. 608/2004 (UL L 304, 22.11.2011, str. 18; UL L 331, 18.11.2014, str. 41; UL L 50, 21.2.2015, str. 48, UL L 266, 30.9.2016, str. 7), kakor je bila nazadnje spremenjena z Uredbo (EU) 2015/2283 (UL L 327, 11.12.2015, str. 1), v vsakokrat veljavni različici, in označevanje določenih nepredpakiranih živil, ki so namenjena dobavi: </w:t>
      </w:r>
    </w:p>
    <w:p w14:paraId="63280A61" w14:textId="77777777" w:rsidR="002124E7" w:rsidRPr="005632EA" w:rsidRDefault="00E11DA0" w:rsidP="004D072A">
      <w:pPr>
        <w:pStyle w:val="NummerierungStufe2"/>
      </w:pPr>
      <w:r>
        <w:t xml:space="preserve">končnim potrošnikom v smislu člena 3(18) Uredbe (ES) št. 178/2002 Evropskega parlamenta in Sveta z dne 28. januarja 2002 o določitvi splošnih načel in zahtevah živilske zakonodaje, ustanovitvi Evropske agencije za varnost hrane in postopkih, ki zadevajo varnost hrane (UL L 31, 1.2.2002, str. 1), kakor je bila nazadnje spremenjena z Uredbo (EU) 2019/1381 (UL L 231, 6.9.2019, str. 1), v vsakokrat veljavni različici, ali </w:t>
      </w:r>
    </w:p>
    <w:p w14:paraId="12232107" w14:textId="77777777" w:rsidR="00E11DA0" w:rsidRPr="005632EA" w:rsidRDefault="00E11DA0" w:rsidP="004D072A">
      <w:pPr>
        <w:pStyle w:val="NummerierungStufe2"/>
      </w:pPr>
      <w:r>
        <w:t>obratom javne prehrane v smislu člena 2(2)(d) Uredbe (EU) št. 1169/2011.</w:t>
      </w:r>
    </w:p>
    <w:p w14:paraId="68B6D1B2" w14:textId="03260B6C" w:rsidR="002039AA" w:rsidRPr="005632EA" w:rsidRDefault="009A59A7" w:rsidP="009A59A7">
      <w:pPr>
        <w:pStyle w:val="ParagraphBezeichner"/>
        <w:numPr>
          <w:ilvl w:val="0"/>
          <w:numId w:val="0"/>
        </w:numPr>
      </w:pPr>
      <w:r>
        <w:t>Oddelek 2</w:t>
      </w:r>
    </w:p>
    <w:p w14:paraId="489796CB" w14:textId="77777777" w:rsidR="002039AA" w:rsidRPr="005632EA" w:rsidRDefault="00F01166" w:rsidP="00F01166">
      <w:pPr>
        <w:pStyle w:val="Paragraphberschrift"/>
      </w:pPr>
      <w:r>
        <w:t>Opredelitev pojmov</w:t>
      </w:r>
    </w:p>
    <w:p w14:paraId="7A80D09F" w14:textId="77777777" w:rsidR="00E11DA0" w:rsidRPr="005632EA" w:rsidRDefault="00BC5CE3" w:rsidP="000D651F">
      <w:pPr>
        <w:pStyle w:val="JuristischerAbsatznichtnummeriert"/>
        <w:rPr>
          <w:b/>
        </w:rPr>
      </w:pPr>
      <w:r>
        <w:t>Nepredpakirana živila v smislu te uredbe so</w:t>
      </w:r>
      <w:bookmarkStart w:id="3" w:name="DQPErrorScope67E92608D42740079E6457E1473"/>
      <w:r>
        <w:t xml:space="preserve"> živila, ki:</w:t>
      </w:r>
    </w:p>
    <w:p w14:paraId="3AD04CA9" w14:textId="77777777" w:rsidR="00E11DA0" w:rsidRPr="005632EA" w:rsidRDefault="00E11DA0" w:rsidP="000D651F">
      <w:pPr>
        <w:pStyle w:val="NummerierungStufe1"/>
      </w:pPr>
      <w:r>
        <w:t>so naprodaj brez embalaže;</w:t>
      </w:r>
    </w:p>
    <w:p w14:paraId="6419D49F" w14:textId="77777777" w:rsidR="00E11DA0" w:rsidRPr="005632EA" w:rsidRDefault="00E11DA0" w:rsidP="000D651F">
      <w:pPr>
        <w:pStyle w:val="NummerierungStufe1"/>
      </w:pPr>
      <w:r>
        <w:t>so pakirana na prodajnem mestu na zahtevo končnega potrošnika ali obrata javne prehrane ali</w:t>
      </w:r>
    </w:p>
    <w:p w14:paraId="4DFEC0D0" w14:textId="77777777" w:rsidR="00651E64" w:rsidRPr="005632EA" w:rsidRDefault="00E11DA0" w:rsidP="000D651F">
      <w:pPr>
        <w:pStyle w:val="NummerierungStufe1"/>
      </w:pPr>
      <w:r>
        <w:t>so predpakirana za takojšnjo prodajo.</w:t>
      </w:r>
      <w:bookmarkEnd w:id="3"/>
    </w:p>
    <w:p w14:paraId="4137B85D" w14:textId="3AE4A84C" w:rsidR="00651E64" w:rsidRPr="005632EA" w:rsidRDefault="009A59A7" w:rsidP="009A59A7">
      <w:pPr>
        <w:pStyle w:val="ParagraphBezeichner"/>
        <w:numPr>
          <w:ilvl w:val="0"/>
          <w:numId w:val="0"/>
        </w:numPr>
      </w:pPr>
      <w:r>
        <w:lastRenderedPageBreak/>
        <w:t>Oddelek 3</w:t>
      </w:r>
    </w:p>
    <w:p w14:paraId="11A8A898" w14:textId="77777777" w:rsidR="00651E64" w:rsidRPr="005632EA" w:rsidRDefault="008B28E1" w:rsidP="00651E64">
      <w:pPr>
        <w:pStyle w:val="Paragraphberschrift"/>
      </w:pPr>
      <w:r>
        <w:t>Živila, ki so predvidena za dojenčke</w:t>
      </w:r>
    </w:p>
    <w:p w14:paraId="0E589CC6" w14:textId="77777777" w:rsidR="00043572" w:rsidRPr="005632EA" w:rsidRDefault="0050376B" w:rsidP="00651E64">
      <w:pPr>
        <w:pStyle w:val="JuristischerAbsatznichtnummeriert"/>
      </w:pPr>
      <w:r>
        <w:t xml:space="preserve">Uporaba aromatičnih snovi je prepovedana pri proizvodnji: </w:t>
      </w:r>
    </w:p>
    <w:p w14:paraId="78830B54" w14:textId="77777777" w:rsidR="00043572" w:rsidRPr="005632EA" w:rsidRDefault="00651E64" w:rsidP="009E788E">
      <w:pPr>
        <w:pStyle w:val="NummerierungStufe1"/>
      </w:pPr>
      <w:r>
        <w:t>prehrane za dojenčke in</w:t>
      </w:r>
    </w:p>
    <w:p w14:paraId="56568695" w14:textId="77777777" w:rsidR="00043572" w:rsidRPr="005632EA" w:rsidRDefault="00043572" w:rsidP="009E788E">
      <w:pPr>
        <w:pStyle w:val="NummerierungStufe1"/>
      </w:pPr>
      <w:r>
        <w:t xml:space="preserve">živil, ki so predvidena za uporabo pri dojenčkih, mlajših od 16 tednov. </w:t>
      </w:r>
    </w:p>
    <w:p w14:paraId="5075DFB7" w14:textId="10683200" w:rsidR="00651E64" w:rsidRPr="005632EA" w:rsidRDefault="009A59A7" w:rsidP="009A59A7">
      <w:pPr>
        <w:pStyle w:val="ParagraphBezeichner"/>
        <w:numPr>
          <w:ilvl w:val="0"/>
          <w:numId w:val="0"/>
        </w:numPr>
      </w:pPr>
      <w:r>
        <w:t>Oddelek 4</w:t>
      </w:r>
    </w:p>
    <w:p w14:paraId="5514444C" w14:textId="77777777" w:rsidR="00651E64" w:rsidRPr="005632EA" w:rsidRDefault="00B7429A" w:rsidP="00651E64">
      <w:pPr>
        <w:pStyle w:val="Paragraphberschrift"/>
      </w:pPr>
      <w:r>
        <w:t>Uporaba svežega dima</w:t>
      </w:r>
    </w:p>
    <w:p w14:paraId="058D0921" w14:textId="77777777" w:rsidR="00E11DA0" w:rsidRPr="005632EA" w:rsidRDefault="00C86B1E" w:rsidP="008A0CC7">
      <w:pPr>
        <w:pStyle w:val="JuristischerAbsatznummeriert"/>
      </w:pPr>
      <w:r>
        <w:t xml:space="preserve">Prepovedana je proizvodnja živil ob uporabi svežega dima, če niso upoštevani pogoji iz odstavka 2, 4 ali 5. </w:t>
      </w:r>
    </w:p>
    <w:p w14:paraId="0EA3F196" w14:textId="77777777" w:rsidR="00B9172A" w:rsidRPr="005632EA" w:rsidRDefault="00B9172A" w:rsidP="00B9172A">
      <w:pPr>
        <w:pStyle w:val="JuristischerAbsatznummeriert"/>
      </w:pPr>
      <w:r>
        <w:t xml:space="preserve">Za proizvodnjo svežega dima se lahko uporabljajo izključno naravni hlodi in veje, jesenska vresa in stebla iglavcev, v vsakem primeru tudi z uporabo začimb. </w:t>
      </w:r>
    </w:p>
    <w:p w14:paraId="4277BC9E" w14:textId="77777777" w:rsidR="00B9172A" w:rsidRPr="005632EA" w:rsidRDefault="00DD78B3">
      <w:pPr>
        <w:pStyle w:val="JuristischerAbsatznummeriert"/>
      </w:pPr>
      <w:r>
        <w:t xml:space="preserve"> Ne glede na odstavek 2 se lahko za proizvodnjo svežega dima uporablja tudi šota za obdelavo sladu za proizvodnjo: </w:t>
      </w:r>
    </w:p>
    <w:p w14:paraId="068BCAED" w14:textId="77777777" w:rsidR="00B9172A" w:rsidRPr="005632EA" w:rsidRDefault="00B9172A" w:rsidP="00B9172A">
      <w:pPr>
        <w:pStyle w:val="NummerierungStufe1"/>
      </w:pPr>
      <w:r>
        <w:t>whiskyja ali whiskeyja v smislu točke 2 Priloge I k Uredbi (EU) 2019/787 Evropskega parlamenta in Sveta z dne 17. aprila 2019 o opredelitvi, opisu, predstavitvi in označevanju žganih pijač, uporabi imen žganih pijač pri predstavitvi in označevanju drugih živil, zaščiti geografskih označb žganih pijač, uporabi etanola in destilatov kmetijskega porekla v alkoholnih pijačah ter o razveljavitvi Uredbe (ES) št. 110/2008 (UL L 130, 17.5.2019, str. 1; UL L 316I, 6.12.2019, str. 3); L 178, 20.5.2021, str. 4) in</w:t>
      </w:r>
      <w:bookmarkStart w:id="4" w:name="DQPErrorScope28DA2E2C73EE4A8EA6577F4BAE0"/>
      <w:bookmarkStart w:id="5" w:name="DQPErrorScope99465381B6464B289894D728EEF"/>
      <w:bookmarkStart w:id="6" w:name="DQPErrorScope2DEF65B51EE44A5D8DE4F31006A"/>
    </w:p>
    <w:bookmarkEnd w:id="4"/>
    <w:bookmarkEnd w:id="5"/>
    <w:bookmarkEnd w:id="6"/>
    <w:p w14:paraId="3BF48B30" w14:textId="77777777" w:rsidR="00B9172A" w:rsidRPr="005632EA" w:rsidRDefault="00B9172A" w:rsidP="00B9172A">
      <w:pPr>
        <w:pStyle w:val="NummerierungStufe1"/>
      </w:pPr>
      <w:r>
        <w:t xml:space="preserve">piva. </w:t>
      </w:r>
    </w:p>
    <w:p w14:paraId="2F8C86E8" w14:textId="77777777" w:rsidR="00B9172A" w:rsidRPr="005632EA" w:rsidRDefault="00B9172A" w:rsidP="00B9172A">
      <w:pPr>
        <w:pStyle w:val="JuristischerAbsatznummeriert"/>
      </w:pPr>
      <w:r>
        <w:t xml:space="preserve">Svežega dima ni dovoljeno uporabljati za obdelavo vode, vodnih raztopin, jedilnih olj in drugih tekočin ter nitritne soli za razsol. </w:t>
      </w:r>
    </w:p>
    <w:p w14:paraId="3D203D49" w14:textId="77777777" w:rsidR="00651E64" w:rsidRPr="005632EA" w:rsidRDefault="00B9172A" w:rsidP="00E105DA">
      <w:pPr>
        <w:pStyle w:val="JuristischerAbsatznummeriert"/>
      </w:pPr>
      <w:bookmarkStart w:id="7" w:name="DQPErrorScopeBA1D14AAEDFE47A89FAAF10D3EE"/>
      <w:bookmarkStart w:id="8" w:name="DQPErrorScopeFE446157341546B19C8CB8CE8D1"/>
      <w:r>
        <w:t>Povprečna vsebnost benzo(a)pirena pri prekajenem siru ali prekajenih sirnih izdelkih ne sme preseči enega mikrograma na kilogram (1,0 µg/kg)</w:t>
      </w:r>
      <w:bookmarkEnd w:id="7"/>
      <w:bookmarkEnd w:id="8"/>
      <w:r>
        <w:t xml:space="preserve"> </w:t>
      </w:r>
      <w:bookmarkStart w:id="9" w:name="DQPErrorScopeF11771B40F1748CCBE6ADFADDF1"/>
      <w:bookmarkStart w:id="10" w:name="DQPErrorScope6B12DDF99151491C95D7E2DA9D3"/>
      <w:bookmarkEnd w:id="9"/>
      <w:bookmarkEnd w:id="10"/>
    </w:p>
    <w:p w14:paraId="18DBEC8B" w14:textId="186FB22C" w:rsidR="00122C40" w:rsidRPr="005632EA" w:rsidRDefault="009A59A7" w:rsidP="009A59A7">
      <w:pPr>
        <w:pStyle w:val="ParagraphBezeichner"/>
        <w:numPr>
          <w:ilvl w:val="0"/>
          <w:numId w:val="0"/>
        </w:numPr>
      </w:pPr>
      <w:r>
        <w:t>Oddelek 5</w:t>
      </w:r>
    </w:p>
    <w:p w14:paraId="480E4DDD" w14:textId="77777777" w:rsidR="00651E64" w:rsidRPr="005632EA" w:rsidRDefault="00651E64" w:rsidP="00651E64">
      <w:pPr>
        <w:pStyle w:val="Paragraphberschrift"/>
      </w:pPr>
      <w:r>
        <w:t>Označevanje</w:t>
      </w:r>
    </w:p>
    <w:p w14:paraId="67CDE80E" w14:textId="77777777" w:rsidR="00651E64" w:rsidRPr="005632EA" w:rsidRDefault="00F707E6" w:rsidP="00651E64">
      <w:pPr>
        <w:pStyle w:val="JuristischerAbsatznummeriert"/>
      </w:pPr>
      <w:r>
        <w:t xml:space="preserve">Nepredpakirane pijače z vsebnostjo alkohola do 1,2 vol. % in nepredpakirane arome, od katerih vsaka vsebuje kinin ali njegove soli, se lahko končnim potrošnikom in ponudnikom obratov javne prehrane dobavijo le, če so proizvodi označeni z navedbo „vsebuje kinin“ na način, določen v odstavkih od 3 do 5. </w:t>
      </w:r>
      <w:bookmarkStart w:id="11" w:name="DQPErrorScopeE4EB20D4B1684A33878E68F0A6F"/>
      <w:r>
        <w:t>Navedbe v skladu s prvim stavkom ni treba navesti v primeru predhodno navedenih živil s seznamom sestavin, ki izpolnjuje zahteve glede navedb v skladu s členom 9(1)(b) v povezavi s členom 18 Uredbe (EU) št. 1169/2011.</w:t>
      </w:r>
      <w:bookmarkEnd w:id="11"/>
      <w:r>
        <w:t xml:space="preserve"> </w:t>
      </w:r>
    </w:p>
    <w:p w14:paraId="614C59F2" w14:textId="77777777" w:rsidR="00651E64" w:rsidRPr="005632EA" w:rsidRDefault="00C621E8" w:rsidP="00651E64">
      <w:pPr>
        <w:pStyle w:val="JuristischerAbsatznummeriert"/>
      </w:pPr>
      <w:r>
        <w:t>Predpakirani in nepredpakirani izdelki iz sladkega korena se lahko končnim potrošnikom in ponudnikom obratov javne prehrane dobavijo le, če so navedene naslednje navedbe, ki jih je treba zagotoviti na način, določen v odstavkih od 3 do 5:</w:t>
      </w:r>
    </w:p>
    <w:p w14:paraId="4923723A" w14:textId="77777777" w:rsidR="00651E64" w:rsidRPr="005632EA" w:rsidRDefault="00651E64" w:rsidP="00651E64">
      <w:pPr>
        <w:pStyle w:val="NummerierungStufe1"/>
      </w:pPr>
      <w:r>
        <w:lastRenderedPageBreak/>
        <w:t xml:space="preserve">pri vsebnosti amonijevega klorida, večji od 20,0 g/kg do 44,9 g/kg, z navedbo „Lakrica za odrasle – ni primerno za otroke“; </w:t>
      </w:r>
    </w:p>
    <w:p w14:paraId="6FE208B0" w14:textId="77777777" w:rsidR="00B23B47" w:rsidRPr="005632EA" w:rsidRDefault="00651E64" w:rsidP="00B23B47">
      <w:pPr>
        <w:pStyle w:val="NummerierungStufe1"/>
      </w:pPr>
      <w:r>
        <w:t xml:space="preserve">pri vsebnosti amonijevega klorida, večji od 44,9 g/kg do 79,9 g/kg, z navedbo „Zelo močno, lakrica za odrasle – ni primerno za otroke“; </w:t>
      </w:r>
    </w:p>
    <w:p w14:paraId="4D743E2D" w14:textId="77777777" w:rsidR="00651E64" w:rsidRPr="005632EA" w:rsidRDefault="00651E64" w:rsidP="00B23B47">
      <w:pPr>
        <w:pStyle w:val="NummerierungStufe1"/>
      </w:pPr>
      <w:r>
        <w:t>pri vsebnosti amonijevega klorida, večji od 79,9 g/kg, je treba poleg navedbe v skladu s točko 2 dodati navedbo „Čezmerno uživanje lahko vpliva na zdravje, zlasti pri ljudeh z boleznimi ledvic“.</w:t>
      </w:r>
    </w:p>
    <w:p w14:paraId="7F821019" w14:textId="09B71547" w:rsidR="00DE2A80" w:rsidRPr="005632EA" w:rsidRDefault="00C756B3" w:rsidP="00C66A86">
      <w:pPr>
        <w:pStyle w:val="JuristischerAbsatznummeriert"/>
      </w:pPr>
      <w:bookmarkStart w:id="12" w:name="DQPErrorScope568EEC9C90CC421DBAB93096CD0"/>
      <w:r>
        <w:t>Navedbe v skladu s prvim stavkom odstavka 1 in odstavkom 2 je treba pri živilih navesti v smislu oddelka 2(3), če izdelki niso ponujeni v samopostrežni obliki, ter pri živilih v smislu oddelka 2(1) in (2) na naslednji način:</w:t>
      </w:r>
    </w:p>
    <w:p w14:paraId="3BB0816C" w14:textId="59F880FB" w:rsidR="00C756B3" w:rsidRPr="005632EA" w:rsidRDefault="00C756B3" w:rsidP="00E548ED">
      <w:pPr>
        <w:pStyle w:val="NummerierungStufe1"/>
      </w:pPr>
      <w:r>
        <w:t>v skladu z ukrepi iz člena 12(2) Uredbe (EU) št. 1169/2011 ali v skladu z oddelkom 4(3) in (4) Izvedbene uredbe o informacijah o živilih z dne 5. julija 2017 (Zvezni UL I, str. 2272), nazadnje spremenjenega s členom 4 Uredbe z dne 18. novembra 2020 (Zvezni uradni list I str. 2504) in</w:t>
      </w:r>
    </w:p>
    <w:p w14:paraId="7D61ED43" w14:textId="77777777" w:rsidR="00380DED" w:rsidRPr="005632EA" w:rsidRDefault="00C756B3" w:rsidP="00E548ED">
      <w:pPr>
        <w:pStyle w:val="NummerierungStufe1"/>
      </w:pPr>
      <w:r>
        <w:t>če so navedbe v skladu z oddelkom 4(2) Izvedbene uredbe o informacijah o živilih zavezujoče, na enak način in prek identičnega medija kot navedbe v skladu z oddelkom 4(2) Izvedbene uredbe o informacijah o živilih.</w:t>
      </w:r>
    </w:p>
    <w:p w14:paraId="30D82C29" w14:textId="7BE80271" w:rsidR="0038729E" w:rsidRPr="005632EA" w:rsidRDefault="005A6DDD" w:rsidP="00D43DAA">
      <w:pPr>
        <w:pStyle w:val="JuristischerAbsatznummeriert"/>
      </w:pPr>
      <w:r>
        <w:t>Navedbe v skladu s prvim stavkom odstavka 1 in odstavkom 2 je treba pri živilih v smislu oddelka 2(3), če ta niso ponujena v samopostrežni obliki, ter pri predpakiranih izdelkih iz sladkega korena zagotoviti v skladu z ukrepi iz člena 12(2) Uredbe (EU) št. 1169/2011.</w:t>
      </w:r>
    </w:p>
    <w:p w14:paraId="7022EE71" w14:textId="77777777" w:rsidR="00C50450" w:rsidRPr="005632EA" w:rsidRDefault="001E604E">
      <w:pPr>
        <w:pStyle w:val="JuristischerAbsatznummeriert"/>
      </w:pPr>
      <w:r>
        <w:t>V primeru živil, ki se ponujajo za prodajo z uporabo sredstev za komuniciranje na daljavo, je treba zagotoviti navedbe v skladu s prvim stavkom odstavka 1 in odstavkom 2, brez poseganja v odstavek 3 in odstavek 4 v skladu z ukrepi iz člena 14(1) Uredbe (EU) št. 1169/2011.</w:t>
      </w:r>
    </w:p>
    <w:bookmarkEnd w:id="12"/>
    <w:p w14:paraId="0722652F" w14:textId="77777777" w:rsidR="001E04AA" w:rsidRPr="005632EA" w:rsidRDefault="001E04AA" w:rsidP="004C2AB1">
      <w:pPr>
        <w:pStyle w:val="JuristischerAbsatznummeriert"/>
      </w:pPr>
      <w:r>
        <w:t>Arome, ki so predvidene za dobavo končnim potrošnikom in ki v opisu vsebujejo izraz „naravno“, se lahko dajejo v promet le, če uporaba tega izraza izpolnjuje zahteve iz člena 17(2) v povezavi s členom 16 Uredbe (ES) št. 1334/2008.</w:t>
      </w:r>
    </w:p>
    <w:p w14:paraId="4D906090" w14:textId="1DD4D1E0" w:rsidR="00651E64" w:rsidRPr="005632EA" w:rsidRDefault="009A59A7" w:rsidP="009A59A7">
      <w:pPr>
        <w:pStyle w:val="ParagraphBezeichner"/>
        <w:numPr>
          <w:ilvl w:val="0"/>
          <w:numId w:val="0"/>
        </w:numPr>
      </w:pPr>
      <w:r>
        <w:t>Oddelek 6</w:t>
      </w:r>
    </w:p>
    <w:p w14:paraId="36D55FC3" w14:textId="77777777" w:rsidR="00651E64" w:rsidRPr="005632EA" w:rsidRDefault="00651E64" w:rsidP="00651E64">
      <w:pPr>
        <w:pStyle w:val="Paragraphberschrift"/>
      </w:pPr>
      <w:r>
        <w:t>Kazniva dejanja</w:t>
      </w:r>
    </w:p>
    <w:p w14:paraId="32C78173" w14:textId="77777777" w:rsidR="007B7086" w:rsidRPr="005632EA" w:rsidRDefault="00651E64" w:rsidP="00651E64">
      <w:pPr>
        <w:pStyle w:val="JuristischerAbsatznummeriert"/>
      </w:pPr>
      <w:r>
        <w:t>V skladu z oddelkom 58(1)(18), odstavki 4 do 6 Zakonika o živilih in krmi se kaznuje vsaka oseba, ki namerno ali iz malomarnosti:</w:t>
      </w:r>
    </w:p>
    <w:p w14:paraId="2ABDE8CD" w14:textId="77777777" w:rsidR="007B7086" w:rsidRPr="005632EA" w:rsidRDefault="00DF49C8" w:rsidP="007B7086">
      <w:pPr>
        <w:pStyle w:val="NummerierungStufe1"/>
      </w:pPr>
      <w:r>
        <w:t xml:space="preserve">uporablja aromatično snov v nasprotju z oddelkom 3 ali </w:t>
      </w:r>
    </w:p>
    <w:p w14:paraId="5298DA03" w14:textId="77777777" w:rsidR="00DF49C8" w:rsidRPr="005632EA" w:rsidRDefault="00732057" w:rsidP="00C15A69">
      <w:pPr>
        <w:pStyle w:val="NummerierungStufe1"/>
      </w:pPr>
      <w:r>
        <w:t xml:space="preserve">proizvaja živilo v nasprotju z oddelkom 4(1). </w:t>
      </w:r>
    </w:p>
    <w:p w14:paraId="4CF08140" w14:textId="77777777" w:rsidR="00251B11" w:rsidRPr="005632EA" w:rsidRDefault="00651E64" w:rsidP="00251B11">
      <w:pPr>
        <w:pStyle w:val="JuristischerAbsatznummeriert"/>
      </w:pPr>
      <w:r>
        <w:t>V skladu z oddelkom 59(1)(21)(a) Zakonika o živilih in krmi se kaznuje vsaka oseba, ki v nasprotju s prvim stavkom oddelka 5(1) ali oddelkom 5(2) dobavi tam naveden proizvod ali aromo.</w:t>
      </w:r>
    </w:p>
    <w:p w14:paraId="419B5E20" w14:textId="77777777" w:rsidR="00021797" w:rsidRPr="005632EA" w:rsidRDefault="00651E64" w:rsidP="00020477">
      <w:pPr>
        <w:pStyle w:val="JuristischerAbsatznummeriert"/>
      </w:pPr>
      <w:bookmarkStart w:id="13" w:name="DQPErrorScopeC76905A79867435F8B7C38D4B45"/>
      <w:r>
        <w:t>V skladu z oddelkom 58(3)(2) ter oddelkom 58(4) do (6) Zakonika o živilih in krmi se kaznuje vsaka oseba, ki namerno ali iz malomarnosti da v promet aromo dima ali živilo</w:t>
      </w:r>
      <w:bookmarkEnd w:id="13"/>
      <w:r>
        <w:t xml:space="preserve"> v nasprotju s členom 4(2) Uredbe (ES) št. 2065/2003 Evropskega parlamenta in Sveta z dne 10. novembra 2003 o aromah dima, ki se uporabljajo ali so namenjene uporabi v ali na </w:t>
      </w:r>
      <w:r>
        <w:lastRenderedPageBreak/>
        <w:t>živilih (UL L 309, 26.11.2003, str. 1), kakor je bila nazadnje spremenjena z Uredbo (EU) 2019/1381 (UL L 231, 6.9.2019, str. 1).</w:t>
      </w:r>
    </w:p>
    <w:p w14:paraId="0076BE5B" w14:textId="5CE6E0B5" w:rsidR="00D43DAA" w:rsidRPr="005632EA" w:rsidRDefault="009A59A7" w:rsidP="009A59A7">
      <w:pPr>
        <w:pStyle w:val="ParagraphBezeichner"/>
        <w:numPr>
          <w:ilvl w:val="0"/>
          <w:numId w:val="0"/>
        </w:numPr>
      </w:pPr>
      <w:r>
        <w:t>Oddelek 7</w:t>
      </w:r>
    </w:p>
    <w:p w14:paraId="66715C88" w14:textId="77777777" w:rsidR="00021797" w:rsidRPr="005632EA" w:rsidRDefault="00021797" w:rsidP="00E548ED">
      <w:pPr>
        <w:pStyle w:val="Paragraphberschrift"/>
      </w:pPr>
      <w:r>
        <w:t>Kršitve</w:t>
      </w:r>
    </w:p>
    <w:p w14:paraId="25F7C572" w14:textId="77777777" w:rsidR="00651E64" w:rsidRPr="005632EA" w:rsidRDefault="009A5EF4" w:rsidP="00651E64">
      <w:pPr>
        <w:pStyle w:val="JuristischerAbsatznummeriert"/>
      </w:pPr>
      <w:bookmarkStart w:id="14" w:name="DQPErrorScope198834BC410D4A869AB7DF5798B"/>
      <w:r>
        <w:t>Kdor iz malomarnosti stori</w:t>
      </w:r>
      <w:bookmarkEnd w:id="14"/>
      <w:r>
        <w:t xml:space="preserve"> dejanje iz oddelka 6(2), stori kršitev v skladu z oddelkom 60(1)(2) Zakonika o živilih in krmi. </w:t>
      </w:r>
    </w:p>
    <w:p w14:paraId="2D5E64E8" w14:textId="77777777" w:rsidR="001E04AA" w:rsidRPr="005632EA" w:rsidRDefault="001E04AA" w:rsidP="001E04AA">
      <w:pPr>
        <w:pStyle w:val="JuristischerAbsatznummeriert"/>
      </w:pPr>
      <w:bookmarkStart w:id="15" w:name="DQPErrorScope54B3504AEBF347B489F4C3F8811"/>
      <w:bookmarkStart w:id="16" w:name="DQPErrorScope7CF15FF5351E44E09993510841B"/>
      <w:r>
        <w:t>Kršitev v smislu oddelka 60(2)(26)(a) Zakonika o živilih in krmi stori oseba, ki v nasprotju z oddelkom 5(6) namerno ali iz malomarnosti da v promet aromo, navedeno v zadevnih razdelkih.</w:t>
      </w:r>
    </w:p>
    <w:p w14:paraId="74D142D0" w14:textId="14AD1384" w:rsidR="008A0CC7" w:rsidRPr="005632EA" w:rsidRDefault="00486873" w:rsidP="008A0CC7">
      <w:pPr>
        <w:pStyle w:val="JuristischerAbsatznummeriert"/>
      </w:pPr>
      <w:r>
        <w:t>Kršitev v smislu oddelka 60(4)(2)(a) Zakonika o živilih in krmi stori oseba, ki krši Uredbo (ES) št. 1334/2008 Evropskega parlamenta in Sveta z dne 16. decembra 2008 o aromah in nekaterih sestavinah živil z aromatičnimi lastnostmi za uporabo v in na živilih ter spremembi Uredbe Sveta (EGS) št. 1601/91, uredb (ES) št. 2232/96 in (ES) št. 110/2008 ter Direktive 2000/13/ES (UL L 354, 31.12.2008, str. 34; UL L 105, 27.4.2010, str. 115), kakor je bila nazadnje spremenjena z Uredbo Komisije (EU) 2020/1681 (UL L 379, 13.11.2020, str. 27), in sicer tako, da namerno ali iz malomarnosti da v promet aromo v nasprotju s prvim stavkom člena 14(1) v povezavi s členom 15 ali 16 ali v nasprotju s členom 17(1).</w:t>
      </w:r>
      <w:bookmarkEnd w:id="15"/>
      <w:bookmarkEnd w:id="16"/>
    </w:p>
    <w:p w14:paraId="1AFD2ADD" w14:textId="69B8FC8B" w:rsidR="00651E64" w:rsidRPr="005632EA" w:rsidRDefault="009A59A7" w:rsidP="009A59A7">
      <w:pPr>
        <w:pStyle w:val="ParagraphBezeichner"/>
        <w:numPr>
          <w:ilvl w:val="0"/>
          <w:numId w:val="0"/>
        </w:numPr>
      </w:pPr>
      <w:r>
        <w:t>Oddelek 8</w:t>
      </w:r>
    </w:p>
    <w:p w14:paraId="7D621927" w14:textId="77777777" w:rsidR="00651E64" w:rsidRPr="005632EA" w:rsidRDefault="00651E64" w:rsidP="00651E64">
      <w:pPr>
        <w:pStyle w:val="Paragraphberschrift"/>
      </w:pPr>
      <w:r>
        <w:t>Prehodne določbe</w:t>
      </w:r>
    </w:p>
    <w:p w14:paraId="376BE833" w14:textId="026E9F23" w:rsidR="00651E64" w:rsidRPr="005632EA" w:rsidRDefault="00651E64" w:rsidP="00651E64">
      <w:pPr>
        <w:pStyle w:val="JuristischerAbsatznichtnummeriert"/>
      </w:pPr>
      <w:r>
        <w:t xml:space="preserve">Izdelke iz sladkega korena, ki ne izpolnjujejo zahtev iz oddelka 5(2), je dovoljeno, dokler ne poidejo zaloge, dajati v promet tudi po […] [vstaviti: </w:t>
      </w:r>
      <w:r>
        <w:rPr>
          <w:i/>
        </w:rPr>
        <w:t>datum začetka veljavnosti iz prvega stavka člena 3 te uredbe]</w:t>
      </w:r>
      <w:r>
        <w:t>.</w:t>
      </w:r>
    </w:p>
    <w:p w14:paraId="41B7D042" w14:textId="063AF1BB" w:rsidR="00321AE7" w:rsidRPr="005632EA" w:rsidRDefault="009A59A7" w:rsidP="009A59A7">
      <w:pPr>
        <w:pStyle w:val="ArtikelBezeichner"/>
        <w:numPr>
          <w:ilvl w:val="0"/>
          <w:numId w:val="0"/>
        </w:numPr>
        <w:ind w:left="720"/>
      </w:pPr>
      <w:r>
        <w:t>Člen 2</w:t>
      </w:r>
    </w:p>
    <w:p w14:paraId="43BD44C0" w14:textId="77777777" w:rsidR="00321AE7" w:rsidRPr="005632EA" w:rsidRDefault="00321AE7" w:rsidP="00321AE7">
      <w:pPr>
        <w:pStyle w:val="Artikelberschrift"/>
      </w:pPr>
      <w:r>
        <w:t>Sprememba Uredbe o siru</w:t>
      </w:r>
    </w:p>
    <w:p w14:paraId="4F034C3F" w14:textId="77777777" w:rsidR="00321AE7" w:rsidRPr="005632EA" w:rsidRDefault="00321AE7" w:rsidP="00321AE7">
      <w:pPr>
        <w:pStyle w:val="JuristischerAbsatznichtnummeriert"/>
      </w:pPr>
      <w:r>
        <w:t>Uredba o siru v objavljeni različici z dne 14. aprila 1986 (Zvezni UL I, str. 412), kakor je bila nazadnje spremenjena s členom 18 Uredbe z dne 5. julija 2017 (Zvezni UL I, str. 2272), se spremeni:</w:t>
      </w:r>
    </w:p>
    <w:p w14:paraId="4C90E633" w14:textId="77777777" w:rsidR="00321AE7" w:rsidRPr="005632EA" w:rsidRDefault="00321AE7" w:rsidP="00321AE7">
      <w:pPr>
        <w:pStyle w:val="NummerierungStufe1"/>
      </w:pPr>
      <w:r>
        <w:t>Oddelek 3 se spremeni:</w:t>
      </w:r>
    </w:p>
    <w:p w14:paraId="6DDC2025" w14:textId="77777777" w:rsidR="0067727A" w:rsidRPr="005632EA" w:rsidRDefault="00321AE7" w:rsidP="00321AE7">
      <w:pPr>
        <w:pStyle w:val="NummerierungStufe2"/>
      </w:pPr>
      <w:r>
        <w:t>Odstavek 1 se spremeni:</w:t>
      </w:r>
    </w:p>
    <w:p w14:paraId="30CA21AE" w14:textId="77777777" w:rsidR="00321AE7" w:rsidRPr="005632EA" w:rsidRDefault="0067727A" w:rsidP="00D65456">
      <w:pPr>
        <w:pStyle w:val="NummerierungStufe3"/>
      </w:pPr>
      <w:r>
        <w:t xml:space="preserve">V delu stavka, ki je naveden pred točko 1, se črta besedilo </w:t>
      </w:r>
      <w:bookmarkStart w:id="17" w:name="DQPErrorScope9F6C3AFBC940482287EA8CACE7D"/>
      <w:r>
        <w:rPr>
          <w:color w:val="800000"/>
        </w:rPr>
        <w:t>„in ob upoštevanju oddelka 23“.</w:t>
      </w:r>
      <w:bookmarkEnd w:id="17"/>
      <w:r>
        <w:rPr>
          <w:color w:val="0000FF"/>
        </w:rPr>
        <w:t xml:space="preserve"> </w:t>
      </w:r>
    </w:p>
    <w:p w14:paraId="557ADBF6" w14:textId="4AFAFB57" w:rsidR="00DE766B" w:rsidRPr="005632EA" w:rsidRDefault="00DE766B" w:rsidP="00DE766B">
      <w:pPr>
        <w:pStyle w:val="NummerierungStufe3"/>
      </w:pPr>
      <w:r>
        <w:t>V točki 1(e) se podpičje vsakokrat na koncu nadomesti z vejico.</w:t>
      </w:r>
    </w:p>
    <w:p w14:paraId="39DA0767" w14:textId="71F849AB" w:rsidR="00A22FC2" w:rsidRPr="005632EA" w:rsidRDefault="0039746B" w:rsidP="00D65456">
      <w:pPr>
        <w:pStyle w:val="NummerierungStufe3"/>
      </w:pPr>
      <w:r>
        <w:t>Točka 2 se spremeni:</w:t>
      </w:r>
    </w:p>
    <w:p w14:paraId="56ED3096" w14:textId="41BECEC2" w:rsidR="00A22FC2" w:rsidRPr="005632EA" w:rsidRDefault="00A22FC2" w:rsidP="009E0D4B">
      <w:pPr>
        <w:pStyle w:val="NummerierungStufe4"/>
      </w:pPr>
      <w:r>
        <w:t>V točki (e) se podpičje vsakokrat na koncu nadomesti z vejico.</w:t>
      </w:r>
    </w:p>
    <w:p w14:paraId="65555EB5" w14:textId="5D2F1E21" w:rsidR="0039746B" w:rsidRPr="005632EA" w:rsidRDefault="00A22FC2" w:rsidP="009E0D4B">
      <w:pPr>
        <w:pStyle w:val="NummerierungStufe4"/>
      </w:pPr>
      <w:r>
        <w:lastRenderedPageBreak/>
        <w:t>Doda se naslednja podtočka (f):</w:t>
      </w:r>
    </w:p>
    <w:p w14:paraId="171F26A4" w14:textId="6B12DE19" w:rsidR="00321AE7" w:rsidRDefault="00DF33A3" w:rsidP="00871D83">
      <w:pPr>
        <w:pStyle w:val="RevisionNummerierungStufe2"/>
        <w:numPr>
          <w:ilvl w:val="4"/>
          <w:numId w:val="2"/>
        </w:numPr>
        <w:tabs>
          <w:tab w:val="clear" w:pos="850"/>
          <w:tab w:val="left" w:pos="2484"/>
        </w:tabs>
        <w:ind w:left="2484"/>
      </w:pPr>
      <w:r>
        <w:t xml:space="preserve"> </w:t>
      </w:r>
      <w:r w:rsidR="00321AE7">
        <w:t>„svež dim v smislu oddelka 4(2) Izvedbene uredbe o aromah;“.</w:t>
      </w:r>
    </w:p>
    <w:p w14:paraId="211A0FBC" w14:textId="77777777" w:rsidR="00321AE7" w:rsidRPr="005632EA" w:rsidRDefault="00321AE7" w:rsidP="00321AE7">
      <w:pPr>
        <w:pStyle w:val="NummerierungStufe2"/>
      </w:pPr>
      <w:r>
        <w:t>V odstavku 2 in prvem stavku odstavka 2a se črta besedilo</w:t>
      </w:r>
      <w:bookmarkStart w:id="18" w:name="DQPErrorScope5FBBE17180284D6297EB00D6129"/>
      <w:r>
        <w:rPr>
          <w:rStyle w:val="RevisionText"/>
        </w:rPr>
        <w:t xml:space="preserve"> </w:t>
      </w:r>
      <w:r>
        <w:rPr>
          <w:color w:val="800000"/>
        </w:rPr>
        <w:t xml:space="preserve"> „in ob upoštevanju oddelka 23“</w:t>
      </w:r>
      <w:bookmarkEnd w:id="18"/>
      <w:r>
        <w:rPr>
          <w:rStyle w:val="RevisionText"/>
        </w:rPr>
        <w:t xml:space="preserve"> </w:t>
      </w:r>
      <w:r>
        <w:t>.</w:t>
      </w:r>
    </w:p>
    <w:p w14:paraId="7FDA74F0" w14:textId="77777777" w:rsidR="00321AE7" w:rsidRPr="005632EA" w:rsidRDefault="00321AE7" w:rsidP="004E38D6">
      <w:pPr>
        <w:pStyle w:val="NummerierungStufe1"/>
      </w:pPr>
      <w:r>
        <w:t>V oddelku 4(1) se črta besedilo</w:t>
      </w:r>
      <w:bookmarkStart w:id="19" w:name="DQPErrorScope139E5972AC4743AFB0D787C277F"/>
      <w:r>
        <w:rPr>
          <w:rStyle w:val="RevisionText"/>
        </w:rPr>
        <w:t xml:space="preserve"> </w:t>
      </w:r>
      <w:r>
        <w:rPr>
          <w:color w:val="800000"/>
        </w:rPr>
        <w:t>„in ob upoštevanju oddelka 23“</w:t>
      </w:r>
      <w:r>
        <w:rPr>
          <w:rStyle w:val="RevisionText"/>
        </w:rPr>
        <w:t xml:space="preserve"> </w:t>
      </w:r>
      <w:bookmarkEnd w:id="19"/>
      <w:r>
        <w:t>.</w:t>
      </w:r>
    </w:p>
    <w:p w14:paraId="7AC50CA0" w14:textId="77777777" w:rsidR="00321AE7" w:rsidRPr="005632EA" w:rsidRDefault="00321AE7" w:rsidP="004E38D6">
      <w:pPr>
        <w:pStyle w:val="NummerierungStufe1"/>
      </w:pPr>
      <w:r>
        <w:t>Šesto poglavje se razveljavi.</w:t>
      </w:r>
    </w:p>
    <w:p w14:paraId="748256A0" w14:textId="77777777" w:rsidR="00031266" w:rsidRPr="005632EA" w:rsidRDefault="00E253F9" w:rsidP="000E0920">
      <w:pPr>
        <w:pStyle w:val="NummerierungStufe1"/>
      </w:pPr>
      <w:r>
        <w:t>Oddelek 30 se spremeni:</w:t>
      </w:r>
    </w:p>
    <w:p w14:paraId="474225BF" w14:textId="77777777" w:rsidR="00031266" w:rsidRPr="005632EA" w:rsidRDefault="00321AE7" w:rsidP="00866FD2">
      <w:pPr>
        <w:pStyle w:val="NummerierungStufe2"/>
      </w:pPr>
      <w:r>
        <w:t>Odstavek 3 se razveljavi.</w:t>
      </w:r>
    </w:p>
    <w:p w14:paraId="4FAEE056" w14:textId="77777777" w:rsidR="0039746B" w:rsidRPr="005632EA" w:rsidRDefault="00E253F9" w:rsidP="00031266">
      <w:pPr>
        <w:pStyle w:val="NummerierungStufe2"/>
      </w:pPr>
      <w:r>
        <w:t xml:space="preserve">V odstavku 5 beseda </w:t>
      </w:r>
      <w:r>
        <w:rPr>
          <w:color w:val="800000"/>
        </w:rPr>
        <w:t>„do“</w:t>
      </w:r>
      <w:r>
        <w:t xml:space="preserve"> nadomesti besedo </w:t>
      </w:r>
      <w:r>
        <w:rPr>
          <w:color w:val="800000"/>
        </w:rPr>
        <w:t>„ali“</w:t>
      </w:r>
      <w:r>
        <w:t>.</w:t>
      </w:r>
    </w:p>
    <w:p w14:paraId="02E115D1" w14:textId="48D58A42" w:rsidR="00651E64" w:rsidRDefault="009A59A7" w:rsidP="009A59A7">
      <w:pPr>
        <w:pStyle w:val="ArtikelBezeichner"/>
        <w:numPr>
          <w:ilvl w:val="0"/>
          <w:numId w:val="0"/>
        </w:numPr>
      </w:pPr>
      <w:r>
        <w:t>Člen 3</w:t>
      </w:r>
    </w:p>
    <w:p w14:paraId="100EACD9" w14:textId="77777777" w:rsidR="00651E64" w:rsidRPr="005632EA" w:rsidRDefault="00651E64" w:rsidP="00484650">
      <w:pPr>
        <w:pStyle w:val="Artikelberschrift"/>
      </w:pPr>
      <w:r>
        <w:rPr>
          <w:rStyle w:val="Marker"/>
          <w:color w:val="auto"/>
        </w:rPr>
        <w:t>Začetek veljavnosti, prenehanje veljavnosti</w:t>
      </w:r>
    </w:p>
    <w:p w14:paraId="1E09C3F9" w14:textId="77777777" w:rsidR="00651E64" w:rsidRPr="005632EA" w:rsidRDefault="0039746B" w:rsidP="009E0D4B">
      <w:pPr>
        <w:pStyle w:val="JuristischerAbsatznichtnummeriert"/>
      </w:pPr>
      <w:bookmarkStart w:id="20" w:name="DQPErrorScopeD3252BF2A46E4F62B3685A17D3C"/>
      <w:bookmarkStart w:id="21" w:name="DQPErrorScope31C361210E2349D08419C0C661C"/>
      <w:bookmarkStart w:id="22" w:name="DQPErrorScopeEC6183466E3B4F8BB3C1A099256"/>
      <w:r>
        <w:t>Ta uredba začne veljati dan po njeni objavi. Hkrati preneha veljati Uredba o aromah, kakor je bila objavljena dne 2. maja 2006 (Zvezni UL I, str. 1127), kakor je bila nazadnje spremenjena s členom 3 Uredbe z dne 5. julija 2017 (Zvezni UL I, str. 2272).</w:t>
      </w:r>
      <w:bookmarkEnd w:id="20"/>
      <w:bookmarkEnd w:id="21"/>
      <w:bookmarkEnd w:id="22"/>
    </w:p>
    <w:p w14:paraId="77AFE858" w14:textId="77777777" w:rsidR="00651E64" w:rsidRPr="005632EA" w:rsidRDefault="00651E64" w:rsidP="00651E64">
      <w:pPr>
        <w:pStyle w:val="Schlussformel"/>
      </w:pPr>
      <w:r>
        <w:rPr>
          <w:rStyle w:val="Marker"/>
          <w:color w:val="auto"/>
        </w:rPr>
        <w:t>Zvezni svet je soglašal.</w:t>
      </w:r>
    </w:p>
    <w:p w14:paraId="32715D59" w14:textId="77777777" w:rsidR="00D16906" w:rsidRDefault="00D16906" w:rsidP="00D16906">
      <w:pPr>
        <w:pStyle w:val="OrtDatum"/>
        <w:jc w:val="left"/>
      </w:pPr>
      <w:r>
        <w:t>V Bonnu, dne …………</w:t>
      </w:r>
    </w:p>
    <w:p w14:paraId="4216F008" w14:textId="77777777" w:rsidR="00D16906" w:rsidRDefault="00D16906" w:rsidP="00D16906">
      <w:pPr>
        <w:pStyle w:val="Organisation"/>
      </w:pPr>
      <w:r>
        <w:t>Zvezno ministrstvo za prehrano in kmetijstvo</w:t>
      </w:r>
    </w:p>
    <w:p w14:paraId="01502FBD" w14:textId="07423031" w:rsidR="00D16906" w:rsidRPr="005632EA" w:rsidRDefault="00D16906" w:rsidP="00576F59">
      <w:pPr>
        <w:pStyle w:val="Person"/>
      </w:pPr>
      <w:r>
        <w:t>Julia Klöckner</w:t>
      </w:r>
    </w:p>
    <w:sectPr w:rsidR="00D16906" w:rsidRPr="005632EA" w:rsidSect="00E73B8E">
      <w:headerReference w:type="default" r:id="rId8"/>
      <w:headerReference w:type="first" r:id="rId9"/>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824B8" w14:textId="77777777" w:rsidR="001B35FC" w:rsidRDefault="001B35FC" w:rsidP="005D1540">
      <w:pPr>
        <w:spacing w:before="0" w:after="0"/>
      </w:pPr>
      <w:r>
        <w:separator/>
      </w:r>
    </w:p>
  </w:endnote>
  <w:endnote w:type="continuationSeparator" w:id="0">
    <w:p w14:paraId="0E2E3841" w14:textId="77777777" w:rsidR="001B35FC" w:rsidRDefault="001B35FC" w:rsidP="005D1540">
      <w:pPr>
        <w:spacing w:before="0" w:after="0"/>
      </w:pPr>
      <w:r>
        <w:continuationSeparator/>
      </w:r>
    </w:p>
  </w:endnote>
  <w:endnote w:type="continuationNotice" w:id="1">
    <w:p w14:paraId="52C17074" w14:textId="77777777" w:rsidR="001B35FC" w:rsidRDefault="001B35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BD58D" w14:textId="77777777" w:rsidR="001B35FC" w:rsidRDefault="001B35FC" w:rsidP="005D1540">
      <w:pPr>
        <w:spacing w:before="0" w:after="0"/>
      </w:pPr>
      <w:r>
        <w:separator/>
      </w:r>
    </w:p>
  </w:footnote>
  <w:footnote w:type="continuationSeparator" w:id="0">
    <w:p w14:paraId="079FFD9D" w14:textId="77777777" w:rsidR="001B35FC" w:rsidRDefault="001B35FC" w:rsidP="005D1540">
      <w:pPr>
        <w:spacing w:before="0" w:after="0"/>
      </w:pPr>
      <w:r>
        <w:continuationSeparator/>
      </w:r>
    </w:p>
  </w:footnote>
  <w:footnote w:type="continuationNotice" w:id="1">
    <w:p w14:paraId="33803EF4" w14:textId="77777777" w:rsidR="001B35FC" w:rsidRDefault="001B35FC">
      <w:pPr>
        <w:spacing w:before="0" w:after="0"/>
      </w:pPr>
    </w:p>
  </w:footnote>
  <w:footnote w:id="2">
    <w:p w14:paraId="3CD683E6" w14:textId="77777777" w:rsidR="00FF2308" w:rsidRDefault="00FF2308">
      <w:pPr>
        <w:pStyle w:val="FootnoteText"/>
      </w:pPr>
      <w:r>
        <w:rPr>
          <w:rStyle w:val="FootnoteReference"/>
        </w:rPr>
        <w:footnoteRef/>
      </w:r>
      <w:r>
        <w:t xml:space="preserve"> </w:t>
      </w:r>
      <w:r>
        <w:tab/>
        <w:t>Upoštevane so bile obveznosti iz Direktive (EU) 2015/1535 Evropskega parlamenta in Sveta z dne 9. septembra 2015 o določitvi postopka za zbiranje informacij na področju tehničnih predpisov in pravil za storitve informacijske družbe (UL L 241, 17.9.2015,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E3CA1" w14:textId="65879414" w:rsidR="00FF2308" w:rsidRPr="00E73B8E" w:rsidRDefault="00E73B8E" w:rsidP="00E73B8E">
    <w:pPr>
      <w:pStyle w:val="Header"/>
    </w:pPr>
    <w:r>
      <w:tab/>
      <w:t xml:space="preserve">- </w:t>
    </w:r>
    <w:r>
      <w:fldChar w:fldCharType="begin"/>
    </w:r>
    <w:r>
      <w:instrText xml:space="preserve"> PAGE  \* MERGEFORMAT </w:instrText>
    </w:r>
    <w:r>
      <w:fldChar w:fldCharType="separate"/>
    </w:r>
    <w:r w:rsidR="00576F59">
      <w:t>7</w:t>
    </w:r>
    <w:r>
      <w:fldChar w:fldCharType="end"/>
    </w:r>
    <w:r>
      <w:t xml:space="preserve"> -</w:t>
    </w:r>
    <w:r>
      <w:tab/>
    </w:r>
    <w:r>
      <w:rPr>
        <w:sz w:val="18"/>
      </w:rPr>
      <w:t>Zadnja posodobitev: 11. oktober 2021 ob 12.12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D6097" w14:textId="6695D769" w:rsidR="00FF2308" w:rsidRPr="00E73B8E" w:rsidRDefault="00E73B8E" w:rsidP="00E73B8E">
    <w:pPr>
      <w:pStyle w:val="Header"/>
    </w:pPr>
    <w:r>
      <w:tab/>
    </w:r>
    <w:r>
      <w:tab/>
    </w:r>
    <w:r w:rsidR="00CC2C89">
      <w:fldChar w:fldCharType="begin"/>
    </w:r>
    <w:r w:rsidR="00CC2C89">
      <w:instrText xml:space="preserve"> DOCPROPERTY "Bearbeitungsstand" \* MERGEFORMAT </w:instrText>
    </w:r>
    <w:r w:rsidR="00CC2C89">
      <w:fldChar w:fldCharType="separate"/>
    </w:r>
    <w:r w:rsidRPr="00E73B8E">
      <w:rPr>
        <w:sz w:val="18"/>
      </w:rPr>
      <w:t xml:space="preserve">Bearbeitungsstand: </w:t>
    </w:r>
    <w:r w:rsidRPr="00E73B8E">
      <w:rPr>
        <w:sz w:val="18"/>
      </w:rPr>
      <w:t>11.10.2021  12:12</w:t>
    </w:r>
    <w:r w:rsidR="00CC2C89">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80657"/>
    <w:multiLevelType w:val="hybridMultilevel"/>
    <w:tmpl w:val="E9640788"/>
    <w:lvl w:ilvl="0" w:tplc="FFFFFFFF">
      <w:start w:val="1"/>
      <w:numFmt w:val="bullet"/>
      <w:pStyle w:val="TOCHead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2"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3"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28"/>
  </w:num>
  <w:num w:numId="6">
    <w:abstractNumId w:val="35"/>
  </w:num>
  <w:num w:numId="7">
    <w:abstractNumId w:val="27"/>
  </w:num>
  <w:num w:numId="8">
    <w:abstractNumId w:val="14"/>
  </w:num>
  <w:num w:numId="9">
    <w:abstractNumId w:val="21"/>
  </w:num>
  <w:num w:numId="10">
    <w:abstractNumId w:val="11"/>
  </w:num>
  <w:num w:numId="11">
    <w:abstractNumId w:val="34"/>
  </w:num>
  <w:num w:numId="12">
    <w:abstractNumId w:val="22"/>
  </w:num>
  <w:num w:numId="13">
    <w:abstractNumId w:val="30"/>
  </w:num>
  <w:num w:numId="14">
    <w:abstractNumId w:val="13"/>
  </w:num>
  <w:num w:numId="15">
    <w:abstractNumId w:val="26"/>
  </w:num>
  <w:num w:numId="16">
    <w:abstractNumId w:val="18"/>
  </w:num>
  <w:num w:numId="17">
    <w:abstractNumId w:val="17"/>
  </w:num>
  <w:num w:numId="18">
    <w:abstractNumId w:val="25"/>
  </w:num>
  <w:num w:numId="19">
    <w:abstractNumId w:val="31"/>
  </w:num>
  <w:num w:numId="20">
    <w:abstractNumId w:val="19"/>
  </w:num>
  <w:num w:numId="21">
    <w:abstractNumId w:val="23"/>
  </w:num>
  <w:num w:numId="22">
    <w:abstractNumId w:val="12"/>
  </w:num>
  <w:num w:numId="23">
    <w:abstractNumId w:val="24"/>
  </w:num>
  <w:num w:numId="24">
    <w:abstractNumId w:val="15"/>
  </w:num>
  <w:num w:numId="25">
    <w:abstractNumId w:val="33"/>
  </w:num>
  <w:num w:numId="26">
    <w:abstractNumId w:val="32"/>
  </w:num>
  <w:num w:numId="27">
    <w:abstractNumId w:val="20"/>
  </w:num>
  <w:num w:numId="28">
    <w:abstractNumId w:val="29"/>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 w:numId="39">
    <w:abstractNumId w:val="24"/>
    <w:lvlOverride w:ilvl="0">
      <w:startOverride w:val="1"/>
    </w:lvlOverride>
  </w:num>
  <w:num w:numId="40">
    <w:abstractNumId w:val="15"/>
  </w:num>
  <w:num w:numId="41">
    <w:abstractNumId w:val="15"/>
  </w:num>
  <w:num w:numId="42">
    <w:abstractNumId w:val="15"/>
  </w:num>
  <w:num w:numId="43">
    <w:abstractNumId w:val="15"/>
  </w:num>
  <w:num w:numId="44">
    <w:abstractNumId w:val="15"/>
  </w:num>
  <w:num w:numId="45">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ErmittelnOPC_Maximum" w:val="150ms"/>
    <w:docVar w:name="BefehlsKontext_ErmittelnOPC_Schnitt" w:val="150ms"/>
    <w:docVar w:name="BefehlsKontext_KonvertierenOPC2OOXML_Maximum" w:val="116ms"/>
    <w:docVar w:name="BefehlsKontext_KonvertierenOPC2OOXML_Schnitt" w:val="116ms"/>
    <w:docVar w:name="BefehlsKontext_SpeichernOOXML_Maximum" w:val="360ms"/>
    <w:docVar w:name="BefehlsKontext_SpeichernOOXML_Schnitt" w:val="360ms"/>
    <w:docVar w:name="DQCDateTime" w:val="11.02.2020 15:46:55"/>
    <w:docVar w:name="DQCHighlighting" w:val="100"/>
    <w:docVar w:name="DQCPart_Begruendung" w:val="0"/>
    <w:docVar w:name="DQCPart_Dokument" w:val="0"/>
    <w:docVar w:name="DQCPart_Regelungsteil" w:val="0"/>
    <w:docVar w:name="DQCPart_Vorblatt" w:val="0"/>
    <w:docVar w:name="DQCResult_Aenderungsbefehl" w:val="0;4"/>
    <w:docVar w:name="DQCResult_Binnenverweise" w:val="0;0"/>
    <w:docVar w:name="DQCResult_Citations" w:val="0;4"/>
    <w:docVar w:name="DQCResult_EinzelneRegelungsteile" w:val="0;2"/>
    <w:docVar w:name="DQCResult_EmbeddedObjects" w:val="0;0"/>
    <w:docVar w:name="DQCResult_Gliederung" w:val="6;6"/>
    <w:docVar w:name="DQCResult_Marker" w:val="2;0"/>
    <w:docVar w:name="DQCResult_Metadata" w:val="0;0"/>
    <w:docVar w:name="DQCResult_ModifiedCharFormat" w:val="0;0"/>
    <w:docVar w:name="DQCResult_ModifiedMargins" w:val="5;0"/>
    <w:docVar w:name="DQCResult_ModifiedNumbering" w:val="5;0"/>
    <w:docVar w:name="DQCResult_StructureCheck" w:val="3;0"/>
    <w:docVar w:name="DQCResult_SuperfluousWhitespace" w:val="2;0"/>
    <w:docVar w:name="DQCResult_TermsAndDiction" w:val="0;10"/>
    <w:docVar w:name="DQCResult_Verweise" w:val="0;0"/>
    <w:docVar w:name="DQCWithWarnings" w:val="1"/>
    <w:docVar w:name="eNorm_Property_Save_Classification" w:val=" "/>
    <w:docVar w:name="eNorm_Property_Save_Created using" w:val="LW 5.4, Build 20190301"/>
    <w:docVar w:name="eNorm_Property_Save_eNorm-Version Erstellung" w:val="4.0.3.1, Bundesregierung, [20190301]"/>
    <w:docVar w:name="eNorm_Property_Save_eNorm-Version letzte Bearbeitung" w:val="4.2.1.1 Bundesregierung [20210518]"/>
    <w:docVar w:name="eNorm_Property_Save_eNorm-Version letzte DQP" w:val="4.1.2.1, Bundesregierung, [20191227]"/>
    <w:docVar w:name="eNorm_Property_Save_eNorm-Version vorherige Bearbeitung" w:val="4.2.1.1 Bundesregierung [20210518]"/>
    <w:docVar w:name="eNorm_Property_Save_Kategorie" w:val="AENDER/ARTVER"/>
    <w:docVar w:name="eNorm_Property_Save_Last edited using" w:val="LW 5.4, Build 20210518"/>
    <w:docVar w:name="eNorm_Property_Save_Version" w:val="4.0.3.0"/>
    <w:docVar w:name="eNorm_Template_Save" w:val="AENDER.dotm"/>
    <w:docVar w:name="eNorm_Variable_Save_BMJ" w:val="True"/>
    <w:docVar w:name="eNorm_Variable_Save_CUSTOMER" w:val="8"/>
    <w:docVar w:name="eNorm_Variable_Save_LW_DocType" w:val="AENDER"/>
    <w:docVar w:name="eNorm_Variable_Save_LWCons_Langue" w:val="DE"/>
    <w:docVar w:name="eNormPrintPreview" w:val="1"/>
  </w:docVars>
  <w:rsids>
    <w:rsidRoot w:val="00651E64"/>
    <w:rsid w:val="00000FC3"/>
    <w:rsid w:val="00001A58"/>
    <w:rsid w:val="00003CAC"/>
    <w:rsid w:val="00006385"/>
    <w:rsid w:val="00010DB1"/>
    <w:rsid w:val="00011A12"/>
    <w:rsid w:val="000120A9"/>
    <w:rsid w:val="00015ACF"/>
    <w:rsid w:val="00016412"/>
    <w:rsid w:val="00020477"/>
    <w:rsid w:val="00021797"/>
    <w:rsid w:val="00025E80"/>
    <w:rsid w:val="000271B7"/>
    <w:rsid w:val="00030172"/>
    <w:rsid w:val="00031266"/>
    <w:rsid w:val="00031EB2"/>
    <w:rsid w:val="00035FF5"/>
    <w:rsid w:val="0003619E"/>
    <w:rsid w:val="00043013"/>
    <w:rsid w:val="00043572"/>
    <w:rsid w:val="0004415B"/>
    <w:rsid w:val="0004459C"/>
    <w:rsid w:val="00045B16"/>
    <w:rsid w:val="00047F77"/>
    <w:rsid w:val="0005114E"/>
    <w:rsid w:val="00052AE2"/>
    <w:rsid w:val="00056FA3"/>
    <w:rsid w:val="0007227F"/>
    <w:rsid w:val="00072FCA"/>
    <w:rsid w:val="00073B65"/>
    <w:rsid w:val="00076B25"/>
    <w:rsid w:val="000811C1"/>
    <w:rsid w:val="00082646"/>
    <w:rsid w:val="00082690"/>
    <w:rsid w:val="000910A9"/>
    <w:rsid w:val="000929F5"/>
    <w:rsid w:val="00092FC1"/>
    <w:rsid w:val="0009628C"/>
    <w:rsid w:val="000A0398"/>
    <w:rsid w:val="000A0FF0"/>
    <w:rsid w:val="000A68EC"/>
    <w:rsid w:val="000B0588"/>
    <w:rsid w:val="000B148A"/>
    <w:rsid w:val="000B2D02"/>
    <w:rsid w:val="000B2D63"/>
    <w:rsid w:val="000B63B3"/>
    <w:rsid w:val="000B69A1"/>
    <w:rsid w:val="000B75F9"/>
    <w:rsid w:val="000C30FF"/>
    <w:rsid w:val="000C4751"/>
    <w:rsid w:val="000D1137"/>
    <w:rsid w:val="000D49D1"/>
    <w:rsid w:val="000D5069"/>
    <w:rsid w:val="000D651F"/>
    <w:rsid w:val="000E0920"/>
    <w:rsid w:val="000E15FD"/>
    <w:rsid w:val="000E3114"/>
    <w:rsid w:val="000E4C93"/>
    <w:rsid w:val="000E6052"/>
    <w:rsid w:val="000E67F6"/>
    <w:rsid w:val="000E7D5E"/>
    <w:rsid w:val="000F42E8"/>
    <w:rsid w:val="000F6F60"/>
    <w:rsid w:val="000F799F"/>
    <w:rsid w:val="001011BA"/>
    <w:rsid w:val="00102D84"/>
    <w:rsid w:val="00106731"/>
    <w:rsid w:val="001130F4"/>
    <w:rsid w:val="00113235"/>
    <w:rsid w:val="001140E3"/>
    <w:rsid w:val="001205F9"/>
    <w:rsid w:val="00122C40"/>
    <w:rsid w:val="00122D3A"/>
    <w:rsid w:val="001238B0"/>
    <w:rsid w:val="00132228"/>
    <w:rsid w:val="00134B44"/>
    <w:rsid w:val="00141D5C"/>
    <w:rsid w:val="00144B0D"/>
    <w:rsid w:val="00145059"/>
    <w:rsid w:val="001458B1"/>
    <w:rsid w:val="00151563"/>
    <w:rsid w:val="0015162E"/>
    <w:rsid w:val="00154238"/>
    <w:rsid w:val="001572DC"/>
    <w:rsid w:val="00161C2E"/>
    <w:rsid w:val="0016247A"/>
    <w:rsid w:val="00162CCE"/>
    <w:rsid w:val="00162EEC"/>
    <w:rsid w:val="00165ED1"/>
    <w:rsid w:val="00170C3B"/>
    <w:rsid w:val="00171DE0"/>
    <w:rsid w:val="0017378C"/>
    <w:rsid w:val="00177BB6"/>
    <w:rsid w:val="00182DCC"/>
    <w:rsid w:val="00183378"/>
    <w:rsid w:val="00184039"/>
    <w:rsid w:val="00185BAB"/>
    <w:rsid w:val="00197181"/>
    <w:rsid w:val="001A071B"/>
    <w:rsid w:val="001A0DC7"/>
    <w:rsid w:val="001A192A"/>
    <w:rsid w:val="001A2772"/>
    <w:rsid w:val="001A420F"/>
    <w:rsid w:val="001B0BAB"/>
    <w:rsid w:val="001B2D92"/>
    <w:rsid w:val="001B35FC"/>
    <w:rsid w:val="001B4B4F"/>
    <w:rsid w:val="001B4C4A"/>
    <w:rsid w:val="001B791A"/>
    <w:rsid w:val="001B7E3B"/>
    <w:rsid w:val="001C134D"/>
    <w:rsid w:val="001C2850"/>
    <w:rsid w:val="001C2C2D"/>
    <w:rsid w:val="001C4621"/>
    <w:rsid w:val="001C4F0B"/>
    <w:rsid w:val="001C7481"/>
    <w:rsid w:val="001D3819"/>
    <w:rsid w:val="001D503A"/>
    <w:rsid w:val="001D56F9"/>
    <w:rsid w:val="001D5C75"/>
    <w:rsid w:val="001D7BAA"/>
    <w:rsid w:val="001E04AA"/>
    <w:rsid w:val="001E31B0"/>
    <w:rsid w:val="001E53AE"/>
    <w:rsid w:val="001E5DD3"/>
    <w:rsid w:val="001E604E"/>
    <w:rsid w:val="001E683D"/>
    <w:rsid w:val="001E7221"/>
    <w:rsid w:val="001F3FB7"/>
    <w:rsid w:val="001F5545"/>
    <w:rsid w:val="001F5CA7"/>
    <w:rsid w:val="002015F3"/>
    <w:rsid w:val="00202C5B"/>
    <w:rsid w:val="002039AA"/>
    <w:rsid w:val="00203E05"/>
    <w:rsid w:val="002124E7"/>
    <w:rsid w:val="0021414D"/>
    <w:rsid w:val="00215B2A"/>
    <w:rsid w:val="00233F52"/>
    <w:rsid w:val="0024155A"/>
    <w:rsid w:val="00244293"/>
    <w:rsid w:val="00245662"/>
    <w:rsid w:val="002477FF"/>
    <w:rsid w:val="002510CA"/>
    <w:rsid w:val="00251B11"/>
    <w:rsid w:val="00255A59"/>
    <w:rsid w:val="00257A57"/>
    <w:rsid w:val="00260420"/>
    <w:rsid w:val="00260B37"/>
    <w:rsid w:val="00265790"/>
    <w:rsid w:val="00270AE0"/>
    <w:rsid w:val="00272EEA"/>
    <w:rsid w:val="00273098"/>
    <w:rsid w:val="00274E4D"/>
    <w:rsid w:val="002767F9"/>
    <w:rsid w:val="00280BA3"/>
    <w:rsid w:val="00280F1D"/>
    <w:rsid w:val="00285AD2"/>
    <w:rsid w:val="00290432"/>
    <w:rsid w:val="00292712"/>
    <w:rsid w:val="00293836"/>
    <w:rsid w:val="002965B2"/>
    <w:rsid w:val="002A25FE"/>
    <w:rsid w:val="002A5D72"/>
    <w:rsid w:val="002A6052"/>
    <w:rsid w:val="002C02FD"/>
    <w:rsid w:val="002D05B8"/>
    <w:rsid w:val="002D4C8A"/>
    <w:rsid w:val="002D5A17"/>
    <w:rsid w:val="002D6BF8"/>
    <w:rsid w:val="002D75D1"/>
    <w:rsid w:val="002E3232"/>
    <w:rsid w:val="003019E6"/>
    <w:rsid w:val="00313BE7"/>
    <w:rsid w:val="00315243"/>
    <w:rsid w:val="00321AE7"/>
    <w:rsid w:val="003248A5"/>
    <w:rsid w:val="00327774"/>
    <w:rsid w:val="00327D7F"/>
    <w:rsid w:val="00330F6A"/>
    <w:rsid w:val="00335377"/>
    <w:rsid w:val="00341C1D"/>
    <w:rsid w:val="00342737"/>
    <w:rsid w:val="003441B6"/>
    <w:rsid w:val="00346EA3"/>
    <w:rsid w:val="003524A9"/>
    <w:rsid w:val="003546B1"/>
    <w:rsid w:val="00354843"/>
    <w:rsid w:val="003561F4"/>
    <w:rsid w:val="0035620C"/>
    <w:rsid w:val="00364BD1"/>
    <w:rsid w:val="0036548C"/>
    <w:rsid w:val="00366A37"/>
    <w:rsid w:val="00380DED"/>
    <w:rsid w:val="0038729E"/>
    <w:rsid w:val="00391602"/>
    <w:rsid w:val="00392519"/>
    <w:rsid w:val="00393833"/>
    <w:rsid w:val="0039746B"/>
    <w:rsid w:val="003A189F"/>
    <w:rsid w:val="003A30B7"/>
    <w:rsid w:val="003A34B3"/>
    <w:rsid w:val="003A4B05"/>
    <w:rsid w:val="003B4510"/>
    <w:rsid w:val="003B7C26"/>
    <w:rsid w:val="003C1135"/>
    <w:rsid w:val="003C7A1D"/>
    <w:rsid w:val="003D0970"/>
    <w:rsid w:val="003D2D3B"/>
    <w:rsid w:val="003E7110"/>
    <w:rsid w:val="003E7571"/>
    <w:rsid w:val="003E7F75"/>
    <w:rsid w:val="003F2418"/>
    <w:rsid w:val="003F6AE4"/>
    <w:rsid w:val="00400381"/>
    <w:rsid w:val="00407B54"/>
    <w:rsid w:val="00411AB0"/>
    <w:rsid w:val="00413C4F"/>
    <w:rsid w:val="00415634"/>
    <w:rsid w:val="0042005C"/>
    <w:rsid w:val="00422B35"/>
    <w:rsid w:val="0042561C"/>
    <w:rsid w:val="004267EE"/>
    <w:rsid w:val="00431D84"/>
    <w:rsid w:val="00432F13"/>
    <w:rsid w:val="00434792"/>
    <w:rsid w:val="00437F5C"/>
    <w:rsid w:val="0044758B"/>
    <w:rsid w:val="00447E2D"/>
    <w:rsid w:val="004501CE"/>
    <w:rsid w:val="004556F1"/>
    <w:rsid w:val="004626FD"/>
    <w:rsid w:val="004651B8"/>
    <w:rsid w:val="004657B9"/>
    <w:rsid w:val="00467556"/>
    <w:rsid w:val="00470EDF"/>
    <w:rsid w:val="00484650"/>
    <w:rsid w:val="00486653"/>
    <w:rsid w:val="00486873"/>
    <w:rsid w:val="0049115F"/>
    <w:rsid w:val="00491412"/>
    <w:rsid w:val="00492A3D"/>
    <w:rsid w:val="00493903"/>
    <w:rsid w:val="0049435D"/>
    <w:rsid w:val="004943C4"/>
    <w:rsid w:val="004A5456"/>
    <w:rsid w:val="004A6112"/>
    <w:rsid w:val="004A65D4"/>
    <w:rsid w:val="004A6930"/>
    <w:rsid w:val="004A6F89"/>
    <w:rsid w:val="004A7C38"/>
    <w:rsid w:val="004B0006"/>
    <w:rsid w:val="004B01A7"/>
    <w:rsid w:val="004B352C"/>
    <w:rsid w:val="004B5D11"/>
    <w:rsid w:val="004B7058"/>
    <w:rsid w:val="004B798D"/>
    <w:rsid w:val="004C272A"/>
    <w:rsid w:val="004C2AB1"/>
    <w:rsid w:val="004C4640"/>
    <w:rsid w:val="004C71B8"/>
    <w:rsid w:val="004C7692"/>
    <w:rsid w:val="004D072A"/>
    <w:rsid w:val="004D07C3"/>
    <w:rsid w:val="004D0E72"/>
    <w:rsid w:val="004D1525"/>
    <w:rsid w:val="004D383E"/>
    <w:rsid w:val="004D460E"/>
    <w:rsid w:val="004D50C1"/>
    <w:rsid w:val="004D5BC9"/>
    <w:rsid w:val="004E0F1B"/>
    <w:rsid w:val="004E38D6"/>
    <w:rsid w:val="004E46AA"/>
    <w:rsid w:val="004E6B26"/>
    <w:rsid w:val="004F03AF"/>
    <w:rsid w:val="004F05F1"/>
    <w:rsid w:val="004F1969"/>
    <w:rsid w:val="004F48DD"/>
    <w:rsid w:val="004F5437"/>
    <w:rsid w:val="004F7909"/>
    <w:rsid w:val="005005AB"/>
    <w:rsid w:val="0050376B"/>
    <w:rsid w:val="005068EB"/>
    <w:rsid w:val="00510BF4"/>
    <w:rsid w:val="005159A3"/>
    <w:rsid w:val="00522C32"/>
    <w:rsid w:val="00525629"/>
    <w:rsid w:val="005325CE"/>
    <w:rsid w:val="00532972"/>
    <w:rsid w:val="005329B4"/>
    <w:rsid w:val="00535F62"/>
    <w:rsid w:val="00540A2B"/>
    <w:rsid w:val="00541CDB"/>
    <w:rsid w:val="00550DAC"/>
    <w:rsid w:val="00553E49"/>
    <w:rsid w:val="00557C71"/>
    <w:rsid w:val="00561016"/>
    <w:rsid w:val="00562EE4"/>
    <w:rsid w:val="00563060"/>
    <w:rsid w:val="005632EA"/>
    <w:rsid w:val="0056521D"/>
    <w:rsid w:val="0056761A"/>
    <w:rsid w:val="005722AF"/>
    <w:rsid w:val="00572404"/>
    <w:rsid w:val="0057348E"/>
    <w:rsid w:val="00576F59"/>
    <w:rsid w:val="00580378"/>
    <w:rsid w:val="005841AE"/>
    <w:rsid w:val="00584989"/>
    <w:rsid w:val="00587568"/>
    <w:rsid w:val="00597A33"/>
    <w:rsid w:val="005A05A9"/>
    <w:rsid w:val="005A6DD8"/>
    <w:rsid w:val="005A6DDD"/>
    <w:rsid w:val="005B042F"/>
    <w:rsid w:val="005B5827"/>
    <w:rsid w:val="005C3F8A"/>
    <w:rsid w:val="005C65CA"/>
    <w:rsid w:val="005D1540"/>
    <w:rsid w:val="005D3A74"/>
    <w:rsid w:val="005D41D5"/>
    <w:rsid w:val="005D54AA"/>
    <w:rsid w:val="005D7A68"/>
    <w:rsid w:val="005E483E"/>
    <w:rsid w:val="005E7839"/>
    <w:rsid w:val="005F25F7"/>
    <w:rsid w:val="005F4E7B"/>
    <w:rsid w:val="00605CB4"/>
    <w:rsid w:val="00611BDB"/>
    <w:rsid w:val="00617D39"/>
    <w:rsid w:val="00622BF0"/>
    <w:rsid w:val="00630A69"/>
    <w:rsid w:val="00651E64"/>
    <w:rsid w:val="006548AA"/>
    <w:rsid w:val="006616ED"/>
    <w:rsid w:val="00664EC4"/>
    <w:rsid w:val="0067042F"/>
    <w:rsid w:val="006708DE"/>
    <w:rsid w:val="006713F9"/>
    <w:rsid w:val="0067727A"/>
    <w:rsid w:val="00682A63"/>
    <w:rsid w:val="00686B8E"/>
    <w:rsid w:val="006878F4"/>
    <w:rsid w:val="006A0054"/>
    <w:rsid w:val="006A63AE"/>
    <w:rsid w:val="006B254E"/>
    <w:rsid w:val="006B406A"/>
    <w:rsid w:val="006B4601"/>
    <w:rsid w:val="006B4AB6"/>
    <w:rsid w:val="006B6A81"/>
    <w:rsid w:val="006C2A92"/>
    <w:rsid w:val="006C2B2F"/>
    <w:rsid w:val="006C2C7F"/>
    <w:rsid w:val="006C3D6B"/>
    <w:rsid w:val="006D003B"/>
    <w:rsid w:val="006D0338"/>
    <w:rsid w:val="006E1675"/>
    <w:rsid w:val="006E4A84"/>
    <w:rsid w:val="006E5EAC"/>
    <w:rsid w:val="006E627B"/>
    <w:rsid w:val="006F1439"/>
    <w:rsid w:val="006F26DD"/>
    <w:rsid w:val="006F26E0"/>
    <w:rsid w:val="006F4734"/>
    <w:rsid w:val="006F5A3E"/>
    <w:rsid w:val="006F68D1"/>
    <w:rsid w:val="007020C6"/>
    <w:rsid w:val="00703769"/>
    <w:rsid w:val="00707B98"/>
    <w:rsid w:val="007127B5"/>
    <w:rsid w:val="0071379A"/>
    <w:rsid w:val="00714FDA"/>
    <w:rsid w:val="00716BC9"/>
    <w:rsid w:val="007173F8"/>
    <w:rsid w:val="00726AF7"/>
    <w:rsid w:val="00730026"/>
    <w:rsid w:val="00730244"/>
    <w:rsid w:val="00731341"/>
    <w:rsid w:val="00732057"/>
    <w:rsid w:val="007334FC"/>
    <w:rsid w:val="00733666"/>
    <w:rsid w:val="0073539B"/>
    <w:rsid w:val="00736B0A"/>
    <w:rsid w:val="00741F05"/>
    <w:rsid w:val="00742CF5"/>
    <w:rsid w:val="00742E3B"/>
    <w:rsid w:val="00746119"/>
    <w:rsid w:val="00750A46"/>
    <w:rsid w:val="0075207D"/>
    <w:rsid w:val="0075208B"/>
    <w:rsid w:val="00752513"/>
    <w:rsid w:val="00754486"/>
    <w:rsid w:val="00755F49"/>
    <w:rsid w:val="00756559"/>
    <w:rsid w:val="00757561"/>
    <w:rsid w:val="00757AC1"/>
    <w:rsid w:val="00757F9D"/>
    <w:rsid w:val="007603EE"/>
    <w:rsid w:val="00760ABA"/>
    <w:rsid w:val="00761FBF"/>
    <w:rsid w:val="00765960"/>
    <w:rsid w:val="00765BFB"/>
    <w:rsid w:val="007663C7"/>
    <w:rsid w:val="0076640D"/>
    <w:rsid w:val="00776370"/>
    <w:rsid w:val="00781973"/>
    <w:rsid w:val="0078308B"/>
    <w:rsid w:val="007917F9"/>
    <w:rsid w:val="00796596"/>
    <w:rsid w:val="007A1BD0"/>
    <w:rsid w:val="007B0105"/>
    <w:rsid w:val="007B0699"/>
    <w:rsid w:val="007B15E3"/>
    <w:rsid w:val="007B1C01"/>
    <w:rsid w:val="007B1CEB"/>
    <w:rsid w:val="007B2D34"/>
    <w:rsid w:val="007B3238"/>
    <w:rsid w:val="007B6305"/>
    <w:rsid w:val="007B7086"/>
    <w:rsid w:val="007B7B98"/>
    <w:rsid w:val="007C21BE"/>
    <w:rsid w:val="007C5938"/>
    <w:rsid w:val="007D52E7"/>
    <w:rsid w:val="007E6F83"/>
    <w:rsid w:val="007F23EF"/>
    <w:rsid w:val="007F4D42"/>
    <w:rsid w:val="007F5E1A"/>
    <w:rsid w:val="00800739"/>
    <w:rsid w:val="00801A82"/>
    <w:rsid w:val="0080255C"/>
    <w:rsid w:val="00802E38"/>
    <w:rsid w:val="00803FE0"/>
    <w:rsid w:val="00810210"/>
    <w:rsid w:val="00814B88"/>
    <w:rsid w:val="00816CEC"/>
    <w:rsid w:val="00817B35"/>
    <w:rsid w:val="00831289"/>
    <w:rsid w:val="008345CC"/>
    <w:rsid w:val="008349FF"/>
    <w:rsid w:val="00837E0C"/>
    <w:rsid w:val="00841937"/>
    <w:rsid w:val="00850F69"/>
    <w:rsid w:val="00857380"/>
    <w:rsid w:val="008651BA"/>
    <w:rsid w:val="00866FD2"/>
    <w:rsid w:val="00867029"/>
    <w:rsid w:val="00867AEB"/>
    <w:rsid w:val="0087079E"/>
    <w:rsid w:val="00871D83"/>
    <w:rsid w:val="00872610"/>
    <w:rsid w:val="008748A3"/>
    <w:rsid w:val="00877A6F"/>
    <w:rsid w:val="0088583E"/>
    <w:rsid w:val="0088611B"/>
    <w:rsid w:val="00887F76"/>
    <w:rsid w:val="008902BF"/>
    <w:rsid w:val="008958B7"/>
    <w:rsid w:val="008969EA"/>
    <w:rsid w:val="00897A9A"/>
    <w:rsid w:val="008A0CC7"/>
    <w:rsid w:val="008A366B"/>
    <w:rsid w:val="008A3BF3"/>
    <w:rsid w:val="008A6027"/>
    <w:rsid w:val="008A7D4F"/>
    <w:rsid w:val="008B28E1"/>
    <w:rsid w:val="008B35B6"/>
    <w:rsid w:val="008B6A37"/>
    <w:rsid w:val="008B6A4A"/>
    <w:rsid w:val="008C1F9E"/>
    <w:rsid w:val="008C44BB"/>
    <w:rsid w:val="008C5742"/>
    <w:rsid w:val="008C78A0"/>
    <w:rsid w:val="008D0D65"/>
    <w:rsid w:val="008D5552"/>
    <w:rsid w:val="008D57D0"/>
    <w:rsid w:val="008E090E"/>
    <w:rsid w:val="008E1209"/>
    <w:rsid w:val="008E234F"/>
    <w:rsid w:val="008E61F5"/>
    <w:rsid w:val="008E746C"/>
    <w:rsid w:val="008F0920"/>
    <w:rsid w:val="008F4006"/>
    <w:rsid w:val="00905EC0"/>
    <w:rsid w:val="009106C6"/>
    <w:rsid w:val="00910772"/>
    <w:rsid w:val="00910777"/>
    <w:rsid w:val="009117D7"/>
    <w:rsid w:val="00912C60"/>
    <w:rsid w:val="009138A3"/>
    <w:rsid w:val="00921852"/>
    <w:rsid w:val="009232DB"/>
    <w:rsid w:val="0092431A"/>
    <w:rsid w:val="00924C17"/>
    <w:rsid w:val="00927715"/>
    <w:rsid w:val="009340B5"/>
    <w:rsid w:val="0094164D"/>
    <w:rsid w:val="009463DF"/>
    <w:rsid w:val="00946493"/>
    <w:rsid w:val="0094760A"/>
    <w:rsid w:val="00947693"/>
    <w:rsid w:val="00950CA7"/>
    <w:rsid w:val="00951ED9"/>
    <w:rsid w:val="00953222"/>
    <w:rsid w:val="00953EDE"/>
    <w:rsid w:val="009542FD"/>
    <w:rsid w:val="009650F3"/>
    <w:rsid w:val="0096655A"/>
    <w:rsid w:val="009706B3"/>
    <w:rsid w:val="00971E15"/>
    <w:rsid w:val="0097471D"/>
    <w:rsid w:val="009763A6"/>
    <w:rsid w:val="00982A98"/>
    <w:rsid w:val="00986075"/>
    <w:rsid w:val="0098689C"/>
    <w:rsid w:val="00991408"/>
    <w:rsid w:val="009959A3"/>
    <w:rsid w:val="009A0256"/>
    <w:rsid w:val="009A18B7"/>
    <w:rsid w:val="009A275C"/>
    <w:rsid w:val="009A59A7"/>
    <w:rsid w:val="009A5EF4"/>
    <w:rsid w:val="009A61C2"/>
    <w:rsid w:val="009A785E"/>
    <w:rsid w:val="009B1EBD"/>
    <w:rsid w:val="009B573C"/>
    <w:rsid w:val="009B7194"/>
    <w:rsid w:val="009C0C9F"/>
    <w:rsid w:val="009C4376"/>
    <w:rsid w:val="009C4B07"/>
    <w:rsid w:val="009C5BFE"/>
    <w:rsid w:val="009D2E7F"/>
    <w:rsid w:val="009D3D8C"/>
    <w:rsid w:val="009D3ED5"/>
    <w:rsid w:val="009D6088"/>
    <w:rsid w:val="009D7669"/>
    <w:rsid w:val="009E0D4B"/>
    <w:rsid w:val="009E745F"/>
    <w:rsid w:val="009E788E"/>
    <w:rsid w:val="009F122D"/>
    <w:rsid w:val="009F5678"/>
    <w:rsid w:val="009F7E5E"/>
    <w:rsid w:val="00A0312F"/>
    <w:rsid w:val="00A058B0"/>
    <w:rsid w:val="00A11BBC"/>
    <w:rsid w:val="00A147E3"/>
    <w:rsid w:val="00A22079"/>
    <w:rsid w:val="00A22FC2"/>
    <w:rsid w:val="00A23367"/>
    <w:rsid w:val="00A266A3"/>
    <w:rsid w:val="00A2786E"/>
    <w:rsid w:val="00A33AA0"/>
    <w:rsid w:val="00A34364"/>
    <w:rsid w:val="00A35832"/>
    <w:rsid w:val="00A404E7"/>
    <w:rsid w:val="00A42602"/>
    <w:rsid w:val="00A53CED"/>
    <w:rsid w:val="00A54EAB"/>
    <w:rsid w:val="00A5555E"/>
    <w:rsid w:val="00A56739"/>
    <w:rsid w:val="00A62BD2"/>
    <w:rsid w:val="00A63C24"/>
    <w:rsid w:val="00A640FD"/>
    <w:rsid w:val="00A64C61"/>
    <w:rsid w:val="00A64D73"/>
    <w:rsid w:val="00A77781"/>
    <w:rsid w:val="00A77FC8"/>
    <w:rsid w:val="00A82FBE"/>
    <w:rsid w:val="00A85AFE"/>
    <w:rsid w:val="00A86915"/>
    <w:rsid w:val="00A95694"/>
    <w:rsid w:val="00AA3708"/>
    <w:rsid w:val="00AA4DCA"/>
    <w:rsid w:val="00AA78A3"/>
    <w:rsid w:val="00AB0E6A"/>
    <w:rsid w:val="00AB44F8"/>
    <w:rsid w:val="00AB5720"/>
    <w:rsid w:val="00AB7741"/>
    <w:rsid w:val="00AD57C4"/>
    <w:rsid w:val="00AD6C85"/>
    <w:rsid w:val="00AD770D"/>
    <w:rsid w:val="00AE0BC0"/>
    <w:rsid w:val="00AE7889"/>
    <w:rsid w:val="00AF261D"/>
    <w:rsid w:val="00AF3AD5"/>
    <w:rsid w:val="00B03B04"/>
    <w:rsid w:val="00B04FC4"/>
    <w:rsid w:val="00B06201"/>
    <w:rsid w:val="00B07B6B"/>
    <w:rsid w:val="00B16212"/>
    <w:rsid w:val="00B23B47"/>
    <w:rsid w:val="00B26CC4"/>
    <w:rsid w:val="00B35B96"/>
    <w:rsid w:val="00B405E0"/>
    <w:rsid w:val="00B461EF"/>
    <w:rsid w:val="00B46722"/>
    <w:rsid w:val="00B57E94"/>
    <w:rsid w:val="00B66951"/>
    <w:rsid w:val="00B70DE0"/>
    <w:rsid w:val="00B71D4F"/>
    <w:rsid w:val="00B7429A"/>
    <w:rsid w:val="00B77996"/>
    <w:rsid w:val="00B83A4C"/>
    <w:rsid w:val="00B845D6"/>
    <w:rsid w:val="00B86F29"/>
    <w:rsid w:val="00B87118"/>
    <w:rsid w:val="00B91321"/>
    <w:rsid w:val="00B9172A"/>
    <w:rsid w:val="00B91F43"/>
    <w:rsid w:val="00B92A4F"/>
    <w:rsid w:val="00B92EAD"/>
    <w:rsid w:val="00B93964"/>
    <w:rsid w:val="00B95BAA"/>
    <w:rsid w:val="00B95CB9"/>
    <w:rsid w:val="00B96E8D"/>
    <w:rsid w:val="00BA0387"/>
    <w:rsid w:val="00BA0BBA"/>
    <w:rsid w:val="00BA73F8"/>
    <w:rsid w:val="00BB1758"/>
    <w:rsid w:val="00BB31DD"/>
    <w:rsid w:val="00BB65E0"/>
    <w:rsid w:val="00BB69B2"/>
    <w:rsid w:val="00BB70B1"/>
    <w:rsid w:val="00BC00C0"/>
    <w:rsid w:val="00BC027C"/>
    <w:rsid w:val="00BC4428"/>
    <w:rsid w:val="00BC544C"/>
    <w:rsid w:val="00BC5CE3"/>
    <w:rsid w:val="00BD635A"/>
    <w:rsid w:val="00BD7BAC"/>
    <w:rsid w:val="00BE05C9"/>
    <w:rsid w:val="00BE566A"/>
    <w:rsid w:val="00BF2044"/>
    <w:rsid w:val="00BF356C"/>
    <w:rsid w:val="00BF38CB"/>
    <w:rsid w:val="00BF4D5D"/>
    <w:rsid w:val="00C05C64"/>
    <w:rsid w:val="00C13B67"/>
    <w:rsid w:val="00C1485F"/>
    <w:rsid w:val="00C14AB6"/>
    <w:rsid w:val="00C15A69"/>
    <w:rsid w:val="00C16A44"/>
    <w:rsid w:val="00C20425"/>
    <w:rsid w:val="00C20F1E"/>
    <w:rsid w:val="00C217D8"/>
    <w:rsid w:val="00C23CC1"/>
    <w:rsid w:val="00C27492"/>
    <w:rsid w:val="00C27846"/>
    <w:rsid w:val="00C35A99"/>
    <w:rsid w:val="00C36611"/>
    <w:rsid w:val="00C36619"/>
    <w:rsid w:val="00C366A6"/>
    <w:rsid w:val="00C36939"/>
    <w:rsid w:val="00C41F00"/>
    <w:rsid w:val="00C46290"/>
    <w:rsid w:val="00C50450"/>
    <w:rsid w:val="00C50F07"/>
    <w:rsid w:val="00C621E8"/>
    <w:rsid w:val="00C62560"/>
    <w:rsid w:val="00C64CF5"/>
    <w:rsid w:val="00C66A86"/>
    <w:rsid w:val="00C70998"/>
    <w:rsid w:val="00C71372"/>
    <w:rsid w:val="00C73817"/>
    <w:rsid w:val="00C756B3"/>
    <w:rsid w:val="00C76927"/>
    <w:rsid w:val="00C77353"/>
    <w:rsid w:val="00C840DD"/>
    <w:rsid w:val="00C86060"/>
    <w:rsid w:val="00C86B1E"/>
    <w:rsid w:val="00C9581A"/>
    <w:rsid w:val="00C97DE4"/>
    <w:rsid w:val="00CA4904"/>
    <w:rsid w:val="00CA4BFB"/>
    <w:rsid w:val="00CB13B6"/>
    <w:rsid w:val="00CB3103"/>
    <w:rsid w:val="00CB6A02"/>
    <w:rsid w:val="00CC0294"/>
    <w:rsid w:val="00CC1024"/>
    <w:rsid w:val="00CC16B5"/>
    <w:rsid w:val="00CC2C89"/>
    <w:rsid w:val="00CC3790"/>
    <w:rsid w:val="00CC5755"/>
    <w:rsid w:val="00CC7036"/>
    <w:rsid w:val="00CD11B7"/>
    <w:rsid w:val="00CD15E0"/>
    <w:rsid w:val="00CD16A5"/>
    <w:rsid w:val="00CD3AD4"/>
    <w:rsid w:val="00CD7975"/>
    <w:rsid w:val="00CE14C9"/>
    <w:rsid w:val="00CE499D"/>
    <w:rsid w:val="00CE4F8C"/>
    <w:rsid w:val="00CF0B22"/>
    <w:rsid w:val="00CF0ED6"/>
    <w:rsid w:val="00CF3B7E"/>
    <w:rsid w:val="00CF6ED5"/>
    <w:rsid w:val="00D019F8"/>
    <w:rsid w:val="00D05A6D"/>
    <w:rsid w:val="00D10D5E"/>
    <w:rsid w:val="00D11C93"/>
    <w:rsid w:val="00D12400"/>
    <w:rsid w:val="00D1386E"/>
    <w:rsid w:val="00D13BB0"/>
    <w:rsid w:val="00D16906"/>
    <w:rsid w:val="00D20024"/>
    <w:rsid w:val="00D20989"/>
    <w:rsid w:val="00D2217F"/>
    <w:rsid w:val="00D22EDB"/>
    <w:rsid w:val="00D23923"/>
    <w:rsid w:val="00D239E5"/>
    <w:rsid w:val="00D262BE"/>
    <w:rsid w:val="00D347D4"/>
    <w:rsid w:val="00D3526B"/>
    <w:rsid w:val="00D409C5"/>
    <w:rsid w:val="00D43DAA"/>
    <w:rsid w:val="00D44BEE"/>
    <w:rsid w:val="00D45B95"/>
    <w:rsid w:val="00D5111D"/>
    <w:rsid w:val="00D56E42"/>
    <w:rsid w:val="00D606C7"/>
    <w:rsid w:val="00D62F4E"/>
    <w:rsid w:val="00D65456"/>
    <w:rsid w:val="00D7167B"/>
    <w:rsid w:val="00D76656"/>
    <w:rsid w:val="00D772EE"/>
    <w:rsid w:val="00D80946"/>
    <w:rsid w:val="00D85CD4"/>
    <w:rsid w:val="00D86069"/>
    <w:rsid w:val="00D86A2B"/>
    <w:rsid w:val="00D92E25"/>
    <w:rsid w:val="00D97C74"/>
    <w:rsid w:val="00DA28C4"/>
    <w:rsid w:val="00DB0AC0"/>
    <w:rsid w:val="00DB7B28"/>
    <w:rsid w:val="00DC15D6"/>
    <w:rsid w:val="00DC1FF1"/>
    <w:rsid w:val="00DC3C49"/>
    <w:rsid w:val="00DC3EBF"/>
    <w:rsid w:val="00DC52AB"/>
    <w:rsid w:val="00DD031D"/>
    <w:rsid w:val="00DD2B48"/>
    <w:rsid w:val="00DD3BF5"/>
    <w:rsid w:val="00DD6948"/>
    <w:rsid w:val="00DD78B3"/>
    <w:rsid w:val="00DD7B4D"/>
    <w:rsid w:val="00DE053F"/>
    <w:rsid w:val="00DE2A80"/>
    <w:rsid w:val="00DE5B94"/>
    <w:rsid w:val="00DE766B"/>
    <w:rsid w:val="00DF251B"/>
    <w:rsid w:val="00DF33A3"/>
    <w:rsid w:val="00DF3B97"/>
    <w:rsid w:val="00DF49C8"/>
    <w:rsid w:val="00DF49EF"/>
    <w:rsid w:val="00DF77AF"/>
    <w:rsid w:val="00DF7C67"/>
    <w:rsid w:val="00E01C1F"/>
    <w:rsid w:val="00E01EF1"/>
    <w:rsid w:val="00E03B3D"/>
    <w:rsid w:val="00E105DA"/>
    <w:rsid w:val="00E11559"/>
    <w:rsid w:val="00E11DA0"/>
    <w:rsid w:val="00E21259"/>
    <w:rsid w:val="00E2172B"/>
    <w:rsid w:val="00E2456A"/>
    <w:rsid w:val="00E253F9"/>
    <w:rsid w:val="00E27203"/>
    <w:rsid w:val="00E31259"/>
    <w:rsid w:val="00E31DDD"/>
    <w:rsid w:val="00E31EFD"/>
    <w:rsid w:val="00E33673"/>
    <w:rsid w:val="00E33C2E"/>
    <w:rsid w:val="00E51AD8"/>
    <w:rsid w:val="00E520E8"/>
    <w:rsid w:val="00E548ED"/>
    <w:rsid w:val="00E55CFA"/>
    <w:rsid w:val="00E56B89"/>
    <w:rsid w:val="00E6078E"/>
    <w:rsid w:val="00E6238D"/>
    <w:rsid w:val="00E62844"/>
    <w:rsid w:val="00E648FA"/>
    <w:rsid w:val="00E64F4F"/>
    <w:rsid w:val="00E66FE6"/>
    <w:rsid w:val="00E71083"/>
    <w:rsid w:val="00E7361B"/>
    <w:rsid w:val="00E73B8E"/>
    <w:rsid w:val="00E84B01"/>
    <w:rsid w:val="00E852BA"/>
    <w:rsid w:val="00E86F44"/>
    <w:rsid w:val="00E93274"/>
    <w:rsid w:val="00E9574F"/>
    <w:rsid w:val="00E95BC8"/>
    <w:rsid w:val="00EA1A6E"/>
    <w:rsid w:val="00EA3244"/>
    <w:rsid w:val="00EA3379"/>
    <w:rsid w:val="00EA442C"/>
    <w:rsid w:val="00EB0125"/>
    <w:rsid w:val="00EB0296"/>
    <w:rsid w:val="00EB4957"/>
    <w:rsid w:val="00EB7435"/>
    <w:rsid w:val="00EC1731"/>
    <w:rsid w:val="00EC20BE"/>
    <w:rsid w:val="00EC51CC"/>
    <w:rsid w:val="00EC7634"/>
    <w:rsid w:val="00ED119B"/>
    <w:rsid w:val="00ED1BBC"/>
    <w:rsid w:val="00ED5F3C"/>
    <w:rsid w:val="00ED66B3"/>
    <w:rsid w:val="00ED6702"/>
    <w:rsid w:val="00ED6C01"/>
    <w:rsid w:val="00ED7B01"/>
    <w:rsid w:val="00EE2AE0"/>
    <w:rsid w:val="00EE45AF"/>
    <w:rsid w:val="00EE7F9F"/>
    <w:rsid w:val="00EF2024"/>
    <w:rsid w:val="00F01166"/>
    <w:rsid w:val="00F123AC"/>
    <w:rsid w:val="00F163B7"/>
    <w:rsid w:val="00F212DF"/>
    <w:rsid w:val="00F2201A"/>
    <w:rsid w:val="00F30C7C"/>
    <w:rsid w:val="00F44252"/>
    <w:rsid w:val="00F46815"/>
    <w:rsid w:val="00F5705E"/>
    <w:rsid w:val="00F60179"/>
    <w:rsid w:val="00F63D43"/>
    <w:rsid w:val="00F707E6"/>
    <w:rsid w:val="00F74C68"/>
    <w:rsid w:val="00F92583"/>
    <w:rsid w:val="00F92F40"/>
    <w:rsid w:val="00F93F74"/>
    <w:rsid w:val="00FA072A"/>
    <w:rsid w:val="00FA3087"/>
    <w:rsid w:val="00FA39CF"/>
    <w:rsid w:val="00FA450F"/>
    <w:rsid w:val="00FA5319"/>
    <w:rsid w:val="00FA593C"/>
    <w:rsid w:val="00FB0C53"/>
    <w:rsid w:val="00FB387D"/>
    <w:rsid w:val="00FB38AA"/>
    <w:rsid w:val="00FB5513"/>
    <w:rsid w:val="00FB7C28"/>
    <w:rsid w:val="00FC3CB5"/>
    <w:rsid w:val="00FC3DEC"/>
    <w:rsid w:val="00FD4EA3"/>
    <w:rsid w:val="00FD7C13"/>
    <w:rsid w:val="00FE03AB"/>
    <w:rsid w:val="00FE0CEF"/>
    <w:rsid w:val="00FE1E27"/>
    <w:rsid w:val="00FE5FFB"/>
    <w:rsid w:val="00FE7D8B"/>
    <w:rsid w:val="00FE7F1C"/>
    <w:rsid w:val="00FF1B74"/>
    <w:rsid w:val="00FF23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62C75"/>
  <w15:docId w15:val="{3E1019CB-42E7-4317-B19E-66DAF924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14"/>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14"/>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14"/>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14"/>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1E64"/>
    <w:rPr>
      <w:color w:val="0000FF"/>
      <w:u w:val="single"/>
    </w:rPr>
  </w:style>
  <w:style w:type="character" w:styleId="CommentReference">
    <w:name w:val="annotation reference"/>
    <w:basedOn w:val="DefaultParagraphFont"/>
    <w:uiPriority w:val="99"/>
    <w:semiHidden/>
    <w:unhideWhenUsed/>
    <w:rsid w:val="0039746B"/>
    <w:rPr>
      <w:sz w:val="16"/>
      <w:szCs w:val="16"/>
    </w:rPr>
  </w:style>
  <w:style w:type="paragraph" w:styleId="Revision">
    <w:name w:val="Revision"/>
    <w:hidden/>
    <w:uiPriority w:val="99"/>
    <w:semiHidden/>
    <w:rsid w:val="00011A12"/>
    <w:pPr>
      <w:spacing w:after="0" w:line="240" w:lineRule="auto"/>
    </w:pPr>
    <w:rPr>
      <w:rFonts w:ascii="Arial" w:hAnsi="Arial" w:cs="Arial"/>
    </w:rPr>
  </w:style>
  <w:style w:type="table" w:styleId="TableGrid">
    <w:name w:val="Table Grid"/>
    <w:basedOn w:val="TableNormal"/>
    <w:uiPriority w:val="59"/>
    <w:rsid w:val="005D7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E01C1F"/>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hgkelc">
    <w:name w:val="hgkelc"/>
    <w:basedOn w:val="DefaultParagraphFont"/>
    <w:rsid w:val="00486653"/>
  </w:style>
  <w:style w:type="paragraph" w:customStyle="1" w:styleId="Default">
    <w:name w:val="Default"/>
    <w:rsid w:val="00293836"/>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FB7C28"/>
    <w:rPr>
      <w:i/>
      <w:iCs/>
    </w:rPr>
  </w:style>
  <w:style w:type="paragraph" w:customStyle="1" w:styleId="CM1">
    <w:name w:val="CM1"/>
    <w:basedOn w:val="Default"/>
    <w:next w:val="Default"/>
    <w:uiPriority w:val="99"/>
    <w:rsid w:val="008C44BB"/>
    <w:rPr>
      <w:rFonts w:ascii="Times New Roman" w:hAnsi="Times New Roman" w:cs="Times New Roman"/>
      <w:color w:val="auto"/>
    </w:rPr>
  </w:style>
  <w:style w:type="paragraph" w:customStyle="1" w:styleId="CM3">
    <w:name w:val="CM3"/>
    <w:basedOn w:val="Default"/>
    <w:next w:val="Default"/>
    <w:uiPriority w:val="99"/>
    <w:rsid w:val="008C44BB"/>
    <w:rPr>
      <w:rFonts w:ascii="Times New Roman" w:hAnsi="Times New Roman" w:cs="Times New Roman"/>
      <w:color w:val="auto"/>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10"/>
      </w:numPr>
      <w:spacing w:before="60" w:after="60"/>
    </w:pPr>
    <w:rPr>
      <w:sz w:val="18"/>
    </w:rPr>
  </w:style>
  <w:style w:type="paragraph" w:customStyle="1" w:styleId="TabelleListe">
    <w:name w:val="Tabelle Liste"/>
    <w:basedOn w:val="Normal"/>
    <w:rsid w:val="00CB23B3"/>
    <w:pPr>
      <w:numPr>
        <w:numId w:val="11"/>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9"/>
      </w:numPr>
      <w:tabs>
        <w:tab w:val="left" w:pos="0"/>
      </w:tabs>
    </w:pPr>
  </w:style>
  <w:style w:type="paragraph" w:customStyle="1" w:styleId="ListeFolgeabsatzStufe1">
    <w:name w:val="Liste Folgeabsatz (Stufe 1)"/>
    <w:basedOn w:val="Normal"/>
    <w:rsid w:val="00CB23B3"/>
    <w:pPr>
      <w:numPr>
        <w:ilvl w:val="1"/>
        <w:numId w:val="9"/>
      </w:numPr>
    </w:pPr>
  </w:style>
  <w:style w:type="paragraph" w:customStyle="1" w:styleId="ListeStufe2">
    <w:name w:val="Liste (Stufe 2)"/>
    <w:basedOn w:val="Normal"/>
    <w:rsid w:val="00CB23B3"/>
    <w:pPr>
      <w:numPr>
        <w:ilvl w:val="2"/>
        <w:numId w:val="9"/>
      </w:numPr>
    </w:pPr>
  </w:style>
  <w:style w:type="paragraph" w:customStyle="1" w:styleId="ListeFolgeabsatzStufe2">
    <w:name w:val="Liste Folgeabsatz (Stufe 2)"/>
    <w:basedOn w:val="Normal"/>
    <w:rsid w:val="00CB23B3"/>
    <w:pPr>
      <w:numPr>
        <w:ilvl w:val="3"/>
        <w:numId w:val="9"/>
      </w:numPr>
    </w:pPr>
  </w:style>
  <w:style w:type="paragraph" w:customStyle="1" w:styleId="ListeStufe3">
    <w:name w:val="Liste (Stufe 3)"/>
    <w:basedOn w:val="Normal"/>
    <w:rsid w:val="00CB23B3"/>
    <w:pPr>
      <w:numPr>
        <w:ilvl w:val="4"/>
        <w:numId w:val="9"/>
      </w:numPr>
    </w:pPr>
  </w:style>
  <w:style w:type="paragraph" w:customStyle="1" w:styleId="ListeFolgeabsatzStufe3">
    <w:name w:val="Liste Folgeabsatz (Stufe 3)"/>
    <w:basedOn w:val="Normal"/>
    <w:rsid w:val="00CB23B3"/>
    <w:pPr>
      <w:numPr>
        <w:ilvl w:val="5"/>
        <w:numId w:val="9"/>
      </w:numPr>
    </w:pPr>
  </w:style>
  <w:style w:type="paragraph" w:customStyle="1" w:styleId="ListeStufe4">
    <w:name w:val="Liste (Stufe 4)"/>
    <w:basedOn w:val="Normal"/>
    <w:rsid w:val="00CB23B3"/>
    <w:pPr>
      <w:numPr>
        <w:ilvl w:val="6"/>
        <w:numId w:val="9"/>
      </w:numPr>
    </w:pPr>
  </w:style>
  <w:style w:type="paragraph" w:customStyle="1" w:styleId="ListeFolgeabsatzStufe4">
    <w:name w:val="Liste Folgeabsatz (Stufe 4)"/>
    <w:basedOn w:val="Normal"/>
    <w:rsid w:val="00CB23B3"/>
    <w:pPr>
      <w:numPr>
        <w:ilvl w:val="7"/>
        <w:numId w:val="9"/>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5"/>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6"/>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7"/>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8"/>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24"/>
      </w:numPr>
      <w:outlineLvl w:val="5"/>
    </w:pPr>
  </w:style>
  <w:style w:type="paragraph" w:customStyle="1" w:styleId="NummerierungStufe2">
    <w:name w:val="Nummerierung (Stufe 2)"/>
    <w:basedOn w:val="Normal"/>
    <w:rsid w:val="00CB23B3"/>
    <w:pPr>
      <w:numPr>
        <w:ilvl w:val="4"/>
        <w:numId w:val="24"/>
      </w:numPr>
    </w:pPr>
  </w:style>
  <w:style w:type="paragraph" w:customStyle="1" w:styleId="NummerierungStufe3">
    <w:name w:val="Nummerierung (Stufe 3)"/>
    <w:basedOn w:val="Normal"/>
    <w:rsid w:val="00CB23B3"/>
    <w:pPr>
      <w:numPr>
        <w:ilvl w:val="5"/>
        <w:numId w:val="24"/>
      </w:numPr>
    </w:pPr>
  </w:style>
  <w:style w:type="paragraph" w:customStyle="1" w:styleId="NummerierungStufe4">
    <w:name w:val="Nummerierung (Stufe 4)"/>
    <w:basedOn w:val="Normal"/>
    <w:rsid w:val="00CB23B3"/>
    <w:pPr>
      <w:numPr>
        <w:ilvl w:val="6"/>
        <w:numId w:val="24"/>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12"/>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13"/>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25"/>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24"/>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24"/>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26"/>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27"/>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26"/>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27"/>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26"/>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27"/>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26"/>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27"/>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26"/>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27"/>
      </w:numPr>
      <w:spacing w:after="240"/>
      <w:jc w:val="center"/>
      <w:outlineLvl w:val="2"/>
    </w:pPr>
  </w:style>
  <w:style w:type="paragraph" w:customStyle="1" w:styleId="TitelBezeichner">
    <w:name w:val="Titel Bezeichner"/>
    <w:basedOn w:val="Normal"/>
    <w:next w:val="Titelberschrift"/>
    <w:rsid w:val="00CB23B3"/>
    <w:pPr>
      <w:keepNext/>
      <w:numPr>
        <w:ilvl w:val="5"/>
        <w:numId w:val="26"/>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27"/>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26"/>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27"/>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28"/>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28"/>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15"/>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15"/>
      </w:numPr>
    </w:pPr>
    <w:rPr>
      <w:color w:val="800000"/>
    </w:rPr>
  </w:style>
  <w:style w:type="paragraph" w:customStyle="1" w:styleId="RevisionNummerierungStufe2">
    <w:name w:val="Revision Nummerierung (Stufe 2)"/>
    <w:basedOn w:val="Normal"/>
    <w:rsid w:val="00CB23B3"/>
    <w:pPr>
      <w:numPr>
        <w:ilvl w:val="4"/>
        <w:numId w:val="15"/>
      </w:numPr>
    </w:pPr>
    <w:rPr>
      <w:color w:val="800000"/>
    </w:rPr>
  </w:style>
  <w:style w:type="paragraph" w:customStyle="1" w:styleId="RevisionNummerierungStufe3">
    <w:name w:val="Revision Nummerierung (Stufe 3)"/>
    <w:basedOn w:val="Normal"/>
    <w:rsid w:val="00CB23B3"/>
    <w:pPr>
      <w:numPr>
        <w:ilvl w:val="5"/>
        <w:numId w:val="15"/>
      </w:numPr>
    </w:pPr>
    <w:rPr>
      <w:color w:val="800000"/>
    </w:rPr>
  </w:style>
  <w:style w:type="paragraph" w:customStyle="1" w:styleId="RevisionNummerierungStufe4">
    <w:name w:val="Revision Nummerierung (Stufe 4)"/>
    <w:basedOn w:val="Normal"/>
    <w:rsid w:val="00CB23B3"/>
    <w:pPr>
      <w:numPr>
        <w:ilvl w:val="6"/>
        <w:numId w:val="15"/>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15"/>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15"/>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22"/>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16"/>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16"/>
      </w:numPr>
    </w:pPr>
    <w:rPr>
      <w:color w:val="800000"/>
    </w:rPr>
  </w:style>
  <w:style w:type="paragraph" w:customStyle="1" w:styleId="RevisionListeStufe2">
    <w:name w:val="Revision Liste (Stufe 2)"/>
    <w:basedOn w:val="Normal"/>
    <w:rsid w:val="00CB23B3"/>
    <w:pPr>
      <w:numPr>
        <w:ilvl w:val="2"/>
        <w:numId w:val="16"/>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16"/>
      </w:numPr>
    </w:pPr>
    <w:rPr>
      <w:color w:val="800000"/>
    </w:rPr>
  </w:style>
  <w:style w:type="paragraph" w:customStyle="1" w:styleId="RevisionListeStufe3">
    <w:name w:val="Revision Liste (Stufe 3)"/>
    <w:basedOn w:val="Normal"/>
    <w:rsid w:val="00CB23B3"/>
    <w:pPr>
      <w:numPr>
        <w:ilvl w:val="4"/>
        <w:numId w:val="16"/>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16"/>
      </w:numPr>
    </w:pPr>
    <w:rPr>
      <w:color w:val="800000"/>
    </w:rPr>
  </w:style>
  <w:style w:type="paragraph" w:customStyle="1" w:styleId="RevisionListeStufe4">
    <w:name w:val="Revision Liste (Stufe 4)"/>
    <w:basedOn w:val="Normal"/>
    <w:rsid w:val="00CB23B3"/>
    <w:pPr>
      <w:numPr>
        <w:ilvl w:val="6"/>
        <w:numId w:val="16"/>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16"/>
      </w:numPr>
    </w:pPr>
    <w:rPr>
      <w:color w:val="800000"/>
    </w:rPr>
  </w:style>
  <w:style w:type="paragraph" w:customStyle="1" w:styleId="RevisionAufzhlungStufe1">
    <w:name w:val="Revision Aufzählung (Stufe 1)"/>
    <w:basedOn w:val="Normal"/>
    <w:rsid w:val="00CB23B3"/>
    <w:pPr>
      <w:numPr>
        <w:numId w:val="17"/>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18"/>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19"/>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20"/>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21"/>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23"/>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24"/>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29"/>
      </w:numPr>
      <w:contextualSpacing/>
    </w:pPr>
  </w:style>
  <w:style w:type="paragraph" w:styleId="ListBullet2">
    <w:name w:val="List Bullet 2"/>
    <w:basedOn w:val="Normal"/>
    <w:uiPriority w:val="99"/>
    <w:semiHidden/>
    <w:unhideWhenUsed/>
    <w:rsid w:val="00635B49"/>
    <w:pPr>
      <w:numPr>
        <w:numId w:val="30"/>
      </w:numPr>
      <w:contextualSpacing/>
    </w:pPr>
  </w:style>
  <w:style w:type="paragraph" w:styleId="ListBullet3">
    <w:name w:val="List Bullet 3"/>
    <w:basedOn w:val="Normal"/>
    <w:uiPriority w:val="99"/>
    <w:semiHidden/>
    <w:unhideWhenUsed/>
    <w:rsid w:val="00635B49"/>
    <w:pPr>
      <w:numPr>
        <w:numId w:val="31"/>
      </w:numPr>
      <w:contextualSpacing/>
    </w:pPr>
  </w:style>
  <w:style w:type="paragraph" w:styleId="ListBullet4">
    <w:name w:val="List Bullet 4"/>
    <w:basedOn w:val="Normal"/>
    <w:uiPriority w:val="99"/>
    <w:semiHidden/>
    <w:unhideWhenUsed/>
    <w:rsid w:val="00635B49"/>
    <w:pPr>
      <w:numPr>
        <w:numId w:val="32"/>
      </w:numPr>
      <w:contextualSpacing/>
    </w:pPr>
  </w:style>
  <w:style w:type="paragraph" w:styleId="ListBullet5">
    <w:name w:val="List Bullet 5"/>
    <w:basedOn w:val="Normal"/>
    <w:uiPriority w:val="99"/>
    <w:semiHidden/>
    <w:unhideWhenUsed/>
    <w:rsid w:val="00635B49"/>
    <w:pPr>
      <w:numPr>
        <w:numId w:val="33"/>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3"/>
      </w:numPr>
      <w:spacing w:after="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semiHidden/>
    <w:unhideWhenUsed/>
    <w:rsid w:val="00635B49"/>
    <w:rPr>
      <w:sz w:val="20"/>
      <w:szCs w:val="20"/>
    </w:rPr>
  </w:style>
  <w:style w:type="character" w:customStyle="1" w:styleId="CommentTextChar">
    <w:name w:val="Comment Text Char"/>
    <w:basedOn w:val="DefaultParagraphFont"/>
    <w:link w:val="CommentText"/>
    <w:uiPriority w:val="99"/>
    <w:semiHidden/>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34"/>
      </w:numPr>
      <w:contextualSpacing/>
    </w:pPr>
  </w:style>
  <w:style w:type="paragraph" w:styleId="ListNumber2">
    <w:name w:val="List Number 2"/>
    <w:basedOn w:val="Normal"/>
    <w:uiPriority w:val="99"/>
    <w:semiHidden/>
    <w:unhideWhenUsed/>
    <w:rsid w:val="00635B49"/>
    <w:pPr>
      <w:numPr>
        <w:numId w:val="35"/>
      </w:numPr>
      <w:contextualSpacing/>
    </w:pPr>
  </w:style>
  <w:style w:type="paragraph" w:styleId="ListNumber3">
    <w:name w:val="List Number 3"/>
    <w:basedOn w:val="Normal"/>
    <w:uiPriority w:val="99"/>
    <w:semiHidden/>
    <w:unhideWhenUsed/>
    <w:rsid w:val="00635B49"/>
    <w:pPr>
      <w:numPr>
        <w:numId w:val="36"/>
      </w:numPr>
      <w:contextualSpacing/>
    </w:pPr>
  </w:style>
  <w:style w:type="paragraph" w:styleId="ListNumber4">
    <w:name w:val="List Number 4"/>
    <w:basedOn w:val="Normal"/>
    <w:uiPriority w:val="99"/>
    <w:semiHidden/>
    <w:unhideWhenUsed/>
    <w:rsid w:val="00635B49"/>
    <w:pPr>
      <w:numPr>
        <w:numId w:val="37"/>
      </w:numPr>
      <w:contextualSpacing/>
    </w:pPr>
  </w:style>
  <w:style w:type="paragraph" w:styleId="ListNumber5">
    <w:name w:val="List Number 5"/>
    <w:basedOn w:val="Normal"/>
    <w:uiPriority w:val="99"/>
    <w:semiHidden/>
    <w:unhideWhenUsed/>
    <w:rsid w:val="00635B49"/>
    <w:pPr>
      <w:numPr>
        <w:numId w:val="38"/>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semiHidden/>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171">
      <w:bodyDiv w:val="1"/>
      <w:marLeft w:val="0"/>
      <w:marRight w:val="0"/>
      <w:marTop w:val="0"/>
      <w:marBottom w:val="0"/>
      <w:divBdr>
        <w:top w:val="none" w:sz="0" w:space="0" w:color="auto"/>
        <w:left w:val="none" w:sz="0" w:space="0" w:color="auto"/>
        <w:bottom w:val="none" w:sz="0" w:space="0" w:color="auto"/>
        <w:right w:val="none" w:sz="0" w:space="0" w:color="auto"/>
      </w:divBdr>
    </w:div>
    <w:div w:id="215555678">
      <w:bodyDiv w:val="1"/>
      <w:marLeft w:val="0"/>
      <w:marRight w:val="0"/>
      <w:marTop w:val="0"/>
      <w:marBottom w:val="0"/>
      <w:divBdr>
        <w:top w:val="none" w:sz="0" w:space="0" w:color="auto"/>
        <w:left w:val="none" w:sz="0" w:space="0" w:color="auto"/>
        <w:bottom w:val="none" w:sz="0" w:space="0" w:color="auto"/>
        <w:right w:val="none" w:sz="0" w:space="0" w:color="auto"/>
      </w:divBdr>
    </w:div>
    <w:div w:id="282538889">
      <w:bodyDiv w:val="1"/>
      <w:marLeft w:val="0"/>
      <w:marRight w:val="0"/>
      <w:marTop w:val="0"/>
      <w:marBottom w:val="0"/>
      <w:divBdr>
        <w:top w:val="none" w:sz="0" w:space="0" w:color="auto"/>
        <w:left w:val="none" w:sz="0" w:space="0" w:color="auto"/>
        <w:bottom w:val="none" w:sz="0" w:space="0" w:color="auto"/>
        <w:right w:val="none" w:sz="0" w:space="0" w:color="auto"/>
      </w:divBdr>
    </w:div>
    <w:div w:id="373189949">
      <w:bodyDiv w:val="1"/>
      <w:marLeft w:val="0"/>
      <w:marRight w:val="0"/>
      <w:marTop w:val="0"/>
      <w:marBottom w:val="0"/>
      <w:divBdr>
        <w:top w:val="none" w:sz="0" w:space="0" w:color="auto"/>
        <w:left w:val="none" w:sz="0" w:space="0" w:color="auto"/>
        <w:bottom w:val="none" w:sz="0" w:space="0" w:color="auto"/>
        <w:right w:val="none" w:sz="0" w:space="0" w:color="auto"/>
      </w:divBdr>
      <w:divsChild>
        <w:div w:id="459539954">
          <w:marLeft w:val="0"/>
          <w:marRight w:val="0"/>
          <w:marTop w:val="0"/>
          <w:marBottom w:val="0"/>
          <w:divBdr>
            <w:top w:val="none" w:sz="0" w:space="0" w:color="auto"/>
            <w:left w:val="none" w:sz="0" w:space="0" w:color="auto"/>
            <w:bottom w:val="none" w:sz="0" w:space="0" w:color="auto"/>
            <w:right w:val="none" w:sz="0" w:space="0" w:color="auto"/>
          </w:divBdr>
          <w:divsChild>
            <w:div w:id="630672236">
              <w:marLeft w:val="0"/>
              <w:marRight w:val="0"/>
              <w:marTop w:val="0"/>
              <w:marBottom w:val="0"/>
              <w:divBdr>
                <w:top w:val="none" w:sz="0" w:space="0" w:color="auto"/>
                <w:left w:val="none" w:sz="0" w:space="0" w:color="auto"/>
                <w:bottom w:val="none" w:sz="0" w:space="0" w:color="auto"/>
                <w:right w:val="none" w:sz="0" w:space="0" w:color="auto"/>
              </w:divBdr>
              <w:divsChild>
                <w:div w:id="1508448732">
                  <w:marLeft w:val="0"/>
                  <w:marRight w:val="0"/>
                  <w:marTop w:val="0"/>
                  <w:marBottom w:val="0"/>
                  <w:divBdr>
                    <w:top w:val="none" w:sz="0" w:space="0" w:color="auto"/>
                    <w:left w:val="none" w:sz="0" w:space="0" w:color="auto"/>
                    <w:bottom w:val="none" w:sz="0" w:space="0" w:color="auto"/>
                    <w:right w:val="none" w:sz="0" w:space="0" w:color="auto"/>
                  </w:divBdr>
                  <w:divsChild>
                    <w:div w:id="970326355">
                      <w:marLeft w:val="-150"/>
                      <w:marRight w:val="-150"/>
                      <w:marTop w:val="0"/>
                      <w:marBottom w:val="0"/>
                      <w:divBdr>
                        <w:top w:val="none" w:sz="0" w:space="0" w:color="auto"/>
                        <w:left w:val="none" w:sz="0" w:space="0" w:color="auto"/>
                        <w:bottom w:val="none" w:sz="0" w:space="0" w:color="auto"/>
                        <w:right w:val="none" w:sz="0" w:space="0" w:color="auto"/>
                      </w:divBdr>
                      <w:divsChild>
                        <w:div w:id="801310879">
                          <w:marLeft w:val="0"/>
                          <w:marRight w:val="0"/>
                          <w:marTop w:val="0"/>
                          <w:marBottom w:val="0"/>
                          <w:divBdr>
                            <w:top w:val="none" w:sz="0" w:space="0" w:color="auto"/>
                            <w:left w:val="none" w:sz="0" w:space="0" w:color="auto"/>
                            <w:bottom w:val="none" w:sz="0" w:space="0" w:color="auto"/>
                            <w:right w:val="none" w:sz="0" w:space="0" w:color="auto"/>
                          </w:divBdr>
                          <w:divsChild>
                            <w:div w:id="863708337">
                              <w:marLeft w:val="0"/>
                              <w:marRight w:val="0"/>
                              <w:marTop w:val="0"/>
                              <w:marBottom w:val="0"/>
                              <w:divBdr>
                                <w:top w:val="none" w:sz="0" w:space="0" w:color="auto"/>
                                <w:left w:val="none" w:sz="0" w:space="0" w:color="auto"/>
                                <w:bottom w:val="none" w:sz="0" w:space="0" w:color="auto"/>
                                <w:right w:val="none" w:sz="0" w:space="0" w:color="auto"/>
                              </w:divBdr>
                              <w:divsChild>
                                <w:div w:id="618486438">
                                  <w:marLeft w:val="0"/>
                                  <w:marRight w:val="0"/>
                                  <w:marTop w:val="0"/>
                                  <w:marBottom w:val="3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6502770">
                                          <w:marLeft w:val="0"/>
                                          <w:marRight w:val="0"/>
                                          <w:marTop w:val="0"/>
                                          <w:marBottom w:val="0"/>
                                          <w:divBdr>
                                            <w:top w:val="none" w:sz="0" w:space="0" w:color="auto"/>
                                            <w:left w:val="none" w:sz="0" w:space="0" w:color="auto"/>
                                            <w:bottom w:val="none" w:sz="0" w:space="0" w:color="auto"/>
                                            <w:right w:val="none" w:sz="0" w:space="0" w:color="auto"/>
                                          </w:divBdr>
                                          <w:divsChild>
                                            <w:div w:id="1397123319">
                                              <w:marLeft w:val="0"/>
                                              <w:marRight w:val="0"/>
                                              <w:marTop w:val="0"/>
                                              <w:marBottom w:val="0"/>
                                              <w:divBdr>
                                                <w:top w:val="none" w:sz="0" w:space="0" w:color="auto"/>
                                                <w:left w:val="none" w:sz="0" w:space="0" w:color="auto"/>
                                                <w:bottom w:val="none" w:sz="0" w:space="0" w:color="auto"/>
                                                <w:right w:val="none" w:sz="0" w:space="0" w:color="auto"/>
                                              </w:divBdr>
                                              <w:divsChild>
                                                <w:div w:id="2078697304">
                                                  <w:marLeft w:val="0"/>
                                                  <w:marRight w:val="0"/>
                                                  <w:marTop w:val="0"/>
                                                  <w:marBottom w:val="0"/>
                                                  <w:divBdr>
                                                    <w:top w:val="none" w:sz="0" w:space="0" w:color="auto"/>
                                                    <w:left w:val="none" w:sz="0" w:space="0" w:color="auto"/>
                                                    <w:bottom w:val="none" w:sz="0" w:space="0" w:color="auto"/>
                                                    <w:right w:val="none" w:sz="0" w:space="0" w:color="auto"/>
                                                  </w:divBdr>
                                                  <w:divsChild>
                                                    <w:div w:id="866138336">
                                                      <w:marLeft w:val="0"/>
                                                      <w:marRight w:val="0"/>
                                                      <w:marTop w:val="0"/>
                                                      <w:marBottom w:val="0"/>
                                                      <w:divBdr>
                                                        <w:top w:val="none" w:sz="0" w:space="0" w:color="auto"/>
                                                        <w:left w:val="none" w:sz="0" w:space="0" w:color="auto"/>
                                                        <w:bottom w:val="none" w:sz="0" w:space="0" w:color="auto"/>
                                                        <w:right w:val="none" w:sz="0" w:space="0" w:color="auto"/>
                                                      </w:divBdr>
                                                      <w:divsChild>
                                                        <w:div w:id="1844122597">
                                                          <w:marLeft w:val="0"/>
                                                          <w:marRight w:val="0"/>
                                                          <w:marTop w:val="0"/>
                                                          <w:marBottom w:val="0"/>
                                                          <w:divBdr>
                                                            <w:top w:val="none" w:sz="0" w:space="0" w:color="auto"/>
                                                            <w:left w:val="none" w:sz="0" w:space="0" w:color="auto"/>
                                                            <w:bottom w:val="none" w:sz="0" w:space="0" w:color="auto"/>
                                                            <w:right w:val="none" w:sz="0" w:space="0" w:color="auto"/>
                                                          </w:divBdr>
                                                          <w:divsChild>
                                                            <w:div w:id="51310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7649697">
      <w:bodyDiv w:val="1"/>
      <w:marLeft w:val="0"/>
      <w:marRight w:val="0"/>
      <w:marTop w:val="0"/>
      <w:marBottom w:val="0"/>
      <w:divBdr>
        <w:top w:val="none" w:sz="0" w:space="0" w:color="auto"/>
        <w:left w:val="none" w:sz="0" w:space="0" w:color="auto"/>
        <w:bottom w:val="none" w:sz="0" w:space="0" w:color="auto"/>
        <w:right w:val="none" w:sz="0" w:space="0" w:color="auto"/>
      </w:divBdr>
    </w:div>
    <w:div w:id="550308890">
      <w:bodyDiv w:val="1"/>
      <w:marLeft w:val="0"/>
      <w:marRight w:val="0"/>
      <w:marTop w:val="0"/>
      <w:marBottom w:val="0"/>
      <w:divBdr>
        <w:top w:val="none" w:sz="0" w:space="0" w:color="auto"/>
        <w:left w:val="none" w:sz="0" w:space="0" w:color="auto"/>
        <w:bottom w:val="none" w:sz="0" w:space="0" w:color="auto"/>
        <w:right w:val="none" w:sz="0" w:space="0" w:color="auto"/>
      </w:divBdr>
      <w:divsChild>
        <w:div w:id="1488787982">
          <w:marLeft w:val="0"/>
          <w:marRight w:val="0"/>
          <w:marTop w:val="0"/>
          <w:marBottom w:val="0"/>
          <w:divBdr>
            <w:top w:val="none" w:sz="0" w:space="0" w:color="auto"/>
            <w:left w:val="none" w:sz="0" w:space="0" w:color="auto"/>
            <w:bottom w:val="none" w:sz="0" w:space="0" w:color="auto"/>
            <w:right w:val="none" w:sz="0" w:space="0" w:color="auto"/>
          </w:divBdr>
        </w:div>
        <w:div w:id="1572547623">
          <w:marLeft w:val="0"/>
          <w:marRight w:val="0"/>
          <w:marTop w:val="0"/>
          <w:marBottom w:val="0"/>
          <w:divBdr>
            <w:top w:val="none" w:sz="0" w:space="0" w:color="auto"/>
            <w:left w:val="none" w:sz="0" w:space="0" w:color="auto"/>
            <w:bottom w:val="none" w:sz="0" w:space="0" w:color="auto"/>
            <w:right w:val="none" w:sz="0" w:space="0" w:color="auto"/>
          </w:divBdr>
        </w:div>
      </w:divsChild>
    </w:div>
    <w:div w:id="622469761">
      <w:bodyDiv w:val="1"/>
      <w:marLeft w:val="0"/>
      <w:marRight w:val="0"/>
      <w:marTop w:val="0"/>
      <w:marBottom w:val="0"/>
      <w:divBdr>
        <w:top w:val="none" w:sz="0" w:space="0" w:color="auto"/>
        <w:left w:val="none" w:sz="0" w:space="0" w:color="auto"/>
        <w:bottom w:val="none" w:sz="0" w:space="0" w:color="auto"/>
        <w:right w:val="none" w:sz="0" w:space="0" w:color="auto"/>
      </w:divBdr>
    </w:div>
    <w:div w:id="686517999">
      <w:bodyDiv w:val="1"/>
      <w:marLeft w:val="0"/>
      <w:marRight w:val="0"/>
      <w:marTop w:val="0"/>
      <w:marBottom w:val="0"/>
      <w:divBdr>
        <w:top w:val="none" w:sz="0" w:space="0" w:color="auto"/>
        <w:left w:val="none" w:sz="0" w:space="0" w:color="auto"/>
        <w:bottom w:val="none" w:sz="0" w:space="0" w:color="auto"/>
        <w:right w:val="none" w:sz="0" w:space="0" w:color="auto"/>
      </w:divBdr>
    </w:div>
    <w:div w:id="735511610">
      <w:bodyDiv w:val="1"/>
      <w:marLeft w:val="0"/>
      <w:marRight w:val="0"/>
      <w:marTop w:val="0"/>
      <w:marBottom w:val="0"/>
      <w:divBdr>
        <w:top w:val="none" w:sz="0" w:space="0" w:color="auto"/>
        <w:left w:val="none" w:sz="0" w:space="0" w:color="auto"/>
        <w:bottom w:val="none" w:sz="0" w:space="0" w:color="auto"/>
        <w:right w:val="none" w:sz="0" w:space="0" w:color="auto"/>
      </w:divBdr>
    </w:div>
    <w:div w:id="925649994">
      <w:bodyDiv w:val="1"/>
      <w:marLeft w:val="0"/>
      <w:marRight w:val="0"/>
      <w:marTop w:val="0"/>
      <w:marBottom w:val="0"/>
      <w:divBdr>
        <w:top w:val="none" w:sz="0" w:space="0" w:color="auto"/>
        <w:left w:val="none" w:sz="0" w:space="0" w:color="auto"/>
        <w:bottom w:val="none" w:sz="0" w:space="0" w:color="auto"/>
        <w:right w:val="none" w:sz="0" w:space="0" w:color="auto"/>
      </w:divBdr>
    </w:div>
    <w:div w:id="1022055573">
      <w:bodyDiv w:val="1"/>
      <w:marLeft w:val="0"/>
      <w:marRight w:val="0"/>
      <w:marTop w:val="0"/>
      <w:marBottom w:val="0"/>
      <w:divBdr>
        <w:top w:val="none" w:sz="0" w:space="0" w:color="auto"/>
        <w:left w:val="none" w:sz="0" w:space="0" w:color="auto"/>
        <w:bottom w:val="none" w:sz="0" w:space="0" w:color="auto"/>
        <w:right w:val="none" w:sz="0" w:space="0" w:color="auto"/>
      </w:divBdr>
    </w:div>
    <w:div w:id="1175463465">
      <w:bodyDiv w:val="1"/>
      <w:marLeft w:val="0"/>
      <w:marRight w:val="0"/>
      <w:marTop w:val="0"/>
      <w:marBottom w:val="0"/>
      <w:divBdr>
        <w:top w:val="none" w:sz="0" w:space="0" w:color="auto"/>
        <w:left w:val="none" w:sz="0" w:space="0" w:color="auto"/>
        <w:bottom w:val="none" w:sz="0" w:space="0" w:color="auto"/>
        <w:right w:val="none" w:sz="0" w:space="0" w:color="auto"/>
      </w:divBdr>
    </w:div>
    <w:div w:id="1183209278">
      <w:bodyDiv w:val="1"/>
      <w:marLeft w:val="0"/>
      <w:marRight w:val="0"/>
      <w:marTop w:val="0"/>
      <w:marBottom w:val="0"/>
      <w:divBdr>
        <w:top w:val="none" w:sz="0" w:space="0" w:color="auto"/>
        <w:left w:val="none" w:sz="0" w:space="0" w:color="auto"/>
        <w:bottom w:val="none" w:sz="0" w:space="0" w:color="auto"/>
        <w:right w:val="none" w:sz="0" w:space="0" w:color="auto"/>
      </w:divBdr>
      <w:divsChild>
        <w:div w:id="1477381600">
          <w:marLeft w:val="0"/>
          <w:marRight w:val="0"/>
          <w:marTop w:val="0"/>
          <w:marBottom w:val="0"/>
          <w:divBdr>
            <w:top w:val="none" w:sz="0" w:space="0" w:color="auto"/>
            <w:left w:val="none" w:sz="0" w:space="0" w:color="auto"/>
            <w:bottom w:val="none" w:sz="0" w:space="0" w:color="auto"/>
            <w:right w:val="none" w:sz="0" w:space="0" w:color="auto"/>
          </w:divBdr>
          <w:divsChild>
            <w:div w:id="185488792">
              <w:marLeft w:val="0"/>
              <w:marRight w:val="0"/>
              <w:marTop w:val="0"/>
              <w:marBottom w:val="0"/>
              <w:divBdr>
                <w:top w:val="none" w:sz="0" w:space="0" w:color="auto"/>
                <w:left w:val="none" w:sz="0" w:space="0" w:color="auto"/>
                <w:bottom w:val="none" w:sz="0" w:space="0" w:color="auto"/>
                <w:right w:val="none" w:sz="0" w:space="0" w:color="auto"/>
              </w:divBdr>
              <w:divsChild>
                <w:div w:id="1830705722">
                  <w:marLeft w:val="0"/>
                  <w:marRight w:val="0"/>
                  <w:marTop w:val="0"/>
                  <w:marBottom w:val="0"/>
                  <w:divBdr>
                    <w:top w:val="none" w:sz="0" w:space="0" w:color="auto"/>
                    <w:left w:val="none" w:sz="0" w:space="0" w:color="auto"/>
                    <w:bottom w:val="none" w:sz="0" w:space="0" w:color="auto"/>
                    <w:right w:val="none" w:sz="0" w:space="0" w:color="auto"/>
                  </w:divBdr>
                  <w:divsChild>
                    <w:div w:id="16999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1513">
      <w:bodyDiv w:val="1"/>
      <w:marLeft w:val="0"/>
      <w:marRight w:val="0"/>
      <w:marTop w:val="0"/>
      <w:marBottom w:val="0"/>
      <w:divBdr>
        <w:top w:val="none" w:sz="0" w:space="0" w:color="auto"/>
        <w:left w:val="none" w:sz="0" w:space="0" w:color="auto"/>
        <w:bottom w:val="none" w:sz="0" w:space="0" w:color="auto"/>
        <w:right w:val="none" w:sz="0" w:space="0" w:color="auto"/>
      </w:divBdr>
    </w:div>
    <w:div w:id="1407722556">
      <w:bodyDiv w:val="1"/>
      <w:marLeft w:val="0"/>
      <w:marRight w:val="0"/>
      <w:marTop w:val="0"/>
      <w:marBottom w:val="0"/>
      <w:divBdr>
        <w:top w:val="none" w:sz="0" w:space="0" w:color="auto"/>
        <w:left w:val="none" w:sz="0" w:space="0" w:color="auto"/>
        <w:bottom w:val="none" w:sz="0" w:space="0" w:color="auto"/>
        <w:right w:val="none" w:sz="0" w:space="0" w:color="auto"/>
      </w:divBdr>
      <w:divsChild>
        <w:div w:id="1957367357">
          <w:marLeft w:val="0"/>
          <w:marRight w:val="0"/>
          <w:marTop w:val="0"/>
          <w:marBottom w:val="0"/>
          <w:divBdr>
            <w:top w:val="none" w:sz="0" w:space="0" w:color="auto"/>
            <w:left w:val="none" w:sz="0" w:space="0" w:color="auto"/>
            <w:bottom w:val="none" w:sz="0" w:space="0" w:color="auto"/>
            <w:right w:val="none" w:sz="0" w:space="0" w:color="auto"/>
          </w:divBdr>
        </w:div>
      </w:divsChild>
    </w:div>
    <w:div w:id="1536775053">
      <w:bodyDiv w:val="1"/>
      <w:marLeft w:val="0"/>
      <w:marRight w:val="0"/>
      <w:marTop w:val="0"/>
      <w:marBottom w:val="0"/>
      <w:divBdr>
        <w:top w:val="none" w:sz="0" w:space="0" w:color="auto"/>
        <w:left w:val="none" w:sz="0" w:space="0" w:color="auto"/>
        <w:bottom w:val="none" w:sz="0" w:space="0" w:color="auto"/>
        <w:right w:val="none" w:sz="0" w:space="0" w:color="auto"/>
      </w:divBdr>
    </w:div>
    <w:div w:id="1555776937">
      <w:bodyDiv w:val="1"/>
      <w:marLeft w:val="0"/>
      <w:marRight w:val="0"/>
      <w:marTop w:val="0"/>
      <w:marBottom w:val="0"/>
      <w:divBdr>
        <w:top w:val="none" w:sz="0" w:space="0" w:color="auto"/>
        <w:left w:val="none" w:sz="0" w:space="0" w:color="auto"/>
        <w:bottom w:val="none" w:sz="0" w:space="0" w:color="auto"/>
        <w:right w:val="none" w:sz="0" w:space="0" w:color="auto"/>
      </w:divBdr>
    </w:div>
    <w:div w:id="1602562769">
      <w:bodyDiv w:val="1"/>
      <w:marLeft w:val="0"/>
      <w:marRight w:val="0"/>
      <w:marTop w:val="0"/>
      <w:marBottom w:val="0"/>
      <w:divBdr>
        <w:top w:val="none" w:sz="0" w:space="0" w:color="auto"/>
        <w:left w:val="none" w:sz="0" w:space="0" w:color="auto"/>
        <w:bottom w:val="none" w:sz="0" w:space="0" w:color="auto"/>
        <w:right w:val="none" w:sz="0" w:space="0" w:color="auto"/>
      </w:divBdr>
    </w:div>
    <w:div w:id="1647734940">
      <w:bodyDiv w:val="1"/>
      <w:marLeft w:val="0"/>
      <w:marRight w:val="0"/>
      <w:marTop w:val="0"/>
      <w:marBottom w:val="0"/>
      <w:divBdr>
        <w:top w:val="none" w:sz="0" w:space="0" w:color="auto"/>
        <w:left w:val="none" w:sz="0" w:space="0" w:color="auto"/>
        <w:bottom w:val="none" w:sz="0" w:space="0" w:color="auto"/>
        <w:right w:val="none" w:sz="0" w:space="0" w:color="auto"/>
      </w:divBdr>
    </w:div>
    <w:div w:id="1697732922">
      <w:bodyDiv w:val="1"/>
      <w:marLeft w:val="0"/>
      <w:marRight w:val="0"/>
      <w:marTop w:val="0"/>
      <w:marBottom w:val="0"/>
      <w:divBdr>
        <w:top w:val="none" w:sz="0" w:space="0" w:color="auto"/>
        <w:left w:val="none" w:sz="0" w:space="0" w:color="auto"/>
        <w:bottom w:val="none" w:sz="0" w:space="0" w:color="auto"/>
        <w:right w:val="none" w:sz="0" w:space="0" w:color="auto"/>
      </w:divBdr>
    </w:div>
    <w:div w:id="1699889596">
      <w:bodyDiv w:val="1"/>
      <w:marLeft w:val="0"/>
      <w:marRight w:val="0"/>
      <w:marTop w:val="0"/>
      <w:marBottom w:val="0"/>
      <w:divBdr>
        <w:top w:val="none" w:sz="0" w:space="0" w:color="auto"/>
        <w:left w:val="none" w:sz="0" w:space="0" w:color="auto"/>
        <w:bottom w:val="none" w:sz="0" w:space="0" w:color="auto"/>
        <w:right w:val="none" w:sz="0" w:space="0" w:color="auto"/>
      </w:divBdr>
      <w:divsChild>
        <w:div w:id="2099910600">
          <w:marLeft w:val="0"/>
          <w:marRight w:val="0"/>
          <w:marTop w:val="0"/>
          <w:marBottom w:val="0"/>
          <w:divBdr>
            <w:top w:val="none" w:sz="0" w:space="0" w:color="auto"/>
            <w:left w:val="none" w:sz="0" w:space="0" w:color="auto"/>
            <w:bottom w:val="none" w:sz="0" w:space="0" w:color="auto"/>
            <w:right w:val="none" w:sz="0" w:space="0" w:color="auto"/>
          </w:divBdr>
        </w:div>
      </w:divsChild>
    </w:div>
    <w:div w:id="1762682475">
      <w:bodyDiv w:val="1"/>
      <w:marLeft w:val="0"/>
      <w:marRight w:val="0"/>
      <w:marTop w:val="0"/>
      <w:marBottom w:val="0"/>
      <w:divBdr>
        <w:top w:val="none" w:sz="0" w:space="0" w:color="auto"/>
        <w:left w:val="none" w:sz="0" w:space="0" w:color="auto"/>
        <w:bottom w:val="none" w:sz="0" w:space="0" w:color="auto"/>
        <w:right w:val="none" w:sz="0" w:space="0" w:color="auto"/>
      </w:divBdr>
    </w:div>
    <w:div w:id="1781141067">
      <w:bodyDiv w:val="1"/>
      <w:marLeft w:val="0"/>
      <w:marRight w:val="0"/>
      <w:marTop w:val="0"/>
      <w:marBottom w:val="0"/>
      <w:divBdr>
        <w:top w:val="none" w:sz="0" w:space="0" w:color="auto"/>
        <w:left w:val="none" w:sz="0" w:space="0" w:color="auto"/>
        <w:bottom w:val="none" w:sz="0" w:space="0" w:color="auto"/>
        <w:right w:val="none" w:sz="0" w:space="0" w:color="auto"/>
      </w:divBdr>
      <w:divsChild>
        <w:div w:id="718013760">
          <w:marLeft w:val="0"/>
          <w:marRight w:val="0"/>
          <w:marTop w:val="0"/>
          <w:marBottom w:val="0"/>
          <w:divBdr>
            <w:top w:val="none" w:sz="0" w:space="0" w:color="auto"/>
            <w:left w:val="none" w:sz="0" w:space="0" w:color="auto"/>
            <w:bottom w:val="none" w:sz="0" w:space="0" w:color="auto"/>
            <w:right w:val="none" w:sz="0" w:space="0" w:color="auto"/>
          </w:divBdr>
          <w:divsChild>
            <w:div w:id="1437602755">
              <w:marLeft w:val="0"/>
              <w:marRight w:val="0"/>
              <w:marTop w:val="0"/>
              <w:marBottom w:val="0"/>
              <w:divBdr>
                <w:top w:val="none" w:sz="0" w:space="0" w:color="auto"/>
                <w:left w:val="none" w:sz="0" w:space="0" w:color="auto"/>
                <w:bottom w:val="none" w:sz="0" w:space="0" w:color="auto"/>
                <w:right w:val="none" w:sz="0" w:space="0" w:color="auto"/>
              </w:divBdr>
              <w:divsChild>
                <w:div w:id="1684550325">
                  <w:marLeft w:val="0"/>
                  <w:marRight w:val="0"/>
                  <w:marTop w:val="0"/>
                  <w:marBottom w:val="0"/>
                  <w:divBdr>
                    <w:top w:val="none" w:sz="0" w:space="0" w:color="auto"/>
                    <w:left w:val="none" w:sz="0" w:space="0" w:color="auto"/>
                    <w:bottom w:val="none" w:sz="0" w:space="0" w:color="auto"/>
                    <w:right w:val="none" w:sz="0" w:space="0" w:color="auto"/>
                  </w:divBdr>
                  <w:divsChild>
                    <w:div w:id="971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2518">
      <w:bodyDiv w:val="1"/>
      <w:marLeft w:val="0"/>
      <w:marRight w:val="0"/>
      <w:marTop w:val="0"/>
      <w:marBottom w:val="0"/>
      <w:divBdr>
        <w:top w:val="none" w:sz="0" w:space="0" w:color="auto"/>
        <w:left w:val="none" w:sz="0" w:space="0" w:color="auto"/>
        <w:bottom w:val="none" w:sz="0" w:space="0" w:color="auto"/>
        <w:right w:val="none" w:sz="0" w:space="0" w:color="auto"/>
      </w:divBdr>
    </w:div>
    <w:div w:id="2018455674">
      <w:bodyDiv w:val="1"/>
      <w:marLeft w:val="0"/>
      <w:marRight w:val="0"/>
      <w:marTop w:val="0"/>
      <w:marBottom w:val="0"/>
      <w:divBdr>
        <w:top w:val="none" w:sz="0" w:space="0" w:color="auto"/>
        <w:left w:val="none" w:sz="0" w:space="0" w:color="auto"/>
        <w:bottom w:val="none" w:sz="0" w:space="0" w:color="auto"/>
        <w:right w:val="none" w:sz="0" w:space="0" w:color="auto"/>
      </w:divBdr>
      <w:divsChild>
        <w:div w:id="2018732096">
          <w:marLeft w:val="0"/>
          <w:marRight w:val="0"/>
          <w:marTop w:val="0"/>
          <w:marBottom w:val="0"/>
          <w:divBdr>
            <w:top w:val="none" w:sz="0" w:space="0" w:color="auto"/>
            <w:left w:val="none" w:sz="0" w:space="0" w:color="auto"/>
            <w:bottom w:val="none" w:sz="0" w:space="0" w:color="auto"/>
            <w:right w:val="none" w:sz="0" w:space="0" w:color="auto"/>
          </w:divBdr>
        </w:div>
      </w:divsChild>
    </w:div>
    <w:div w:id="213643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D7215-B1AA-466C-B3DC-9B676B75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2044</Words>
  <Characters>10344</Characters>
  <Application>Microsoft Office Word</Application>
  <DocSecurity>0</DocSecurity>
  <Lines>202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Alina</dc:creator>
  <cp:keywords>class='Internal'</cp:keywords>
  <dc:description/>
  <cp:lastModifiedBy>Ines Varvodic</cp:lastModifiedBy>
  <cp:revision>2</cp:revision>
  <cp:lastPrinted>2021-01-13T10:56:00Z</cp:lastPrinted>
  <dcterms:created xsi:type="dcterms:W3CDTF">2022-03-22T11:10:00Z</dcterms:created>
  <dcterms:modified xsi:type="dcterms:W3CDTF">2022-03-22T11:10:00Z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11.10.2021  12:12</vt:lpwstr>
  </property>
  <property fmtid="{D5CDD505-2E9C-101B-9397-08002B2CF9AE}" pid="4" name="DQP-Ergebnis für Version 4">
    <vt:lpwstr>23 Fehler, 26 Warnungen</vt:lpwstr>
  </property>
  <property fmtid="{D5CDD505-2E9C-101B-9397-08002B2CF9AE}" pid="5" name="Meta_Bezeichnung">
    <vt:lpwstr>Verordnung zur Anpassung nationaler Rechtsvorschriften an unionsrechtliche Vorschriften über Aromen und Aromen enthaltende Lebensmittel</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Artikelverordnung</vt:lpwstr>
  </property>
  <property fmtid="{D5CDD505-2E9C-101B-9397-08002B2CF9AE}" pid="9" name="Meta_Federführung">
    <vt:lpwstr>zu Durchführungsverordnung über Aromen und Aromen enthaltende Lebensmittel: </vt:lpwstr>
  </property>
  <property fmtid="{D5CDD505-2E9C-101B-9397-08002B2CF9AE}" pid="10" name="Meta_Umsetzung von EU-Recht">
    <vt:lpwstr>e Verpflichtungen aus der Richtlinie (EU) 2015/1535 des Europäischen Parlaments und des Rates vom 9. September 2015 über ein Informationsverfahren auf dem Gebiet der technischen Vorschriften und der Vorschriften für die Dienste der Informationsgesellschaf</vt:lpwstr>
  </property>
  <property fmtid="{D5CDD505-2E9C-101B-9397-08002B2CF9AE}" pid="11" name="Meta_Umsetzung von EU-Recht_2">
    <vt:lpwstr>t (ABl. L 241 vom 17.9.2015, S. 1) sind beachtet worden.</vt:lpwstr>
  </property>
  <property fmtid="{D5CDD505-2E9C-101B-9397-08002B2CF9AE}" pid="12" name="Meta_Anlagen">
    <vt:lpwstr/>
  </property>
</Properties>
</file>