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B99" w:rsidRPr="00281A6A" w:rsidRDefault="00930B99" w:rsidP="00A358E1">
      <w:pPr>
        <w:spacing w:line="276" w:lineRule="auto"/>
        <w:ind w:right="30"/>
        <w:jc w:val="center"/>
        <w:rPr>
          <w:sz w:val="56"/>
          <w:szCs w:val="20"/>
          <w:lang w:val="da-DK"/>
        </w:rPr>
      </w:pPr>
      <w:r w:rsidRPr="00281A6A">
        <w:rPr>
          <w:rFonts w:ascii="Courier New" w:hAnsi="Courier New"/>
          <w:sz w:val="20"/>
          <w:szCs w:val="20"/>
          <w:lang w:val="da-DK"/>
        </w:rPr>
        <w:t>1. ---</w:t>
      </w:r>
      <w:r w:rsidR="00281A6A">
        <w:rPr>
          <w:rFonts w:ascii="Courier New" w:hAnsi="Courier New"/>
          <w:sz w:val="20"/>
          <w:szCs w:val="20"/>
          <w:lang w:val="da-DK"/>
        </w:rPr>
        <w:t>-</w:t>
      </w:r>
      <w:r w:rsidRPr="00281A6A">
        <w:rPr>
          <w:rFonts w:ascii="Courier New" w:hAnsi="Courier New"/>
          <w:sz w:val="20"/>
          <w:szCs w:val="20"/>
          <w:lang w:val="da-DK"/>
        </w:rPr>
        <w:t>--IND- 2019 0472 SK- DE- ------ 20200804 --- --- FINAL</w:t>
      </w:r>
    </w:p>
    <w:p w:rsidR="009A7616" w:rsidRPr="00281A6A" w:rsidRDefault="00F72AF9" w:rsidP="00A358E1">
      <w:pPr>
        <w:spacing w:line="276" w:lineRule="auto"/>
        <w:ind w:right="30"/>
        <w:jc w:val="center"/>
        <w:rPr>
          <w:sz w:val="56"/>
          <w:szCs w:val="20"/>
          <w:lang w:val="da-DK"/>
        </w:rPr>
      </w:pPr>
      <w:r w:rsidRPr="00281A6A">
        <w:rPr>
          <w:sz w:val="56"/>
          <w:szCs w:val="20"/>
          <w:lang w:val="da-DK"/>
        </w:rPr>
        <w:t>GESETZ-</w:t>
      </w:r>
      <w:r>
        <w:rPr>
          <w:noProof/>
          <w:lang w:val="en-US" w:eastAsia="en-US" w:bidi="ar-SA"/>
        </w:rPr>
        <w:drawing>
          <wp:inline distT="0" distB="0" distL="0" distR="0">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sidRPr="00281A6A">
        <w:rPr>
          <w:sz w:val="56"/>
          <w:szCs w:val="20"/>
          <w:lang w:val="da-DK"/>
        </w:rPr>
        <w:t>BLATT</w:t>
      </w:r>
    </w:p>
    <w:p w:rsidR="009A7616" w:rsidRPr="004363D5" w:rsidRDefault="00F72AF9" w:rsidP="00A358E1">
      <w:pPr>
        <w:spacing w:line="276" w:lineRule="auto"/>
        <w:ind w:right="30"/>
        <w:jc w:val="center"/>
        <w:rPr>
          <w:sz w:val="40"/>
          <w:szCs w:val="20"/>
        </w:rPr>
      </w:pPr>
      <w:r>
        <w:rPr>
          <w:sz w:val="40"/>
          <w:szCs w:val="20"/>
        </w:rPr>
        <w:t>DER SLOWAKISCHEN REPUBLIK</w:t>
      </w:r>
    </w:p>
    <w:p w:rsidR="009A7616" w:rsidRPr="004363D5" w:rsidRDefault="00F72AF9" w:rsidP="00A358E1">
      <w:pPr>
        <w:spacing w:line="276" w:lineRule="auto"/>
        <w:ind w:right="30"/>
        <w:jc w:val="center"/>
        <w:rPr>
          <w:sz w:val="36"/>
          <w:szCs w:val="20"/>
        </w:rPr>
      </w:pPr>
      <w:r>
        <w:rPr>
          <w:sz w:val="36"/>
          <w:szCs w:val="20"/>
        </w:rPr>
        <w:t>Jahrgang 2020</w:t>
      </w:r>
    </w:p>
    <w:p w:rsidR="00FF785C" w:rsidRPr="004363D5" w:rsidRDefault="00F72AF9" w:rsidP="00A358E1">
      <w:pPr>
        <w:pBdr>
          <w:top w:val="single" w:sz="4" w:space="1" w:color="auto"/>
        </w:pBdr>
        <w:tabs>
          <w:tab w:val="right" w:pos="9000"/>
        </w:tabs>
        <w:spacing w:line="276" w:lineRule="auto"/>
        <w:ind w:right="30"/>
        <w:jc w:val="both"/>
        <w:rPr>
          <w:sz w:val="20"/>
          <w:szCs w:val="20"/>
        </w:rPr>
      </w:pPr>
      <w:r>
        <w:rPr>
          <w:sz w:val="20"/>
          <w:szCs w:val="20"/>
        </w:rPr>
        <w:t>Verkündet: 24. 1. 2020</w:t>
      </w:r>
      <w:r>
        <w:rPr>
          <w:sz w:val="20"/>
          <w:szCs w:val="20"/>
        </w:rPr>
        <w:tab/>
        <w:t xml:space="preserve">Verkündete Version im Gesetzblatt der Slowakischen Republik </w:t>
      </w:r>
    </w:p>
    <w:p w:rsidR="00A6117D" w:rsidRPr="004363D5" w:rsidRDefault="00A6117D" w:rsidP="00A358E1">
      <w:pPr>
        <w:pBdr>
          <w:top w:val="single" w:sz="4" w:space="1" w:color="auto"/>
        </w:pBdr>
        <w:tabs>
          <w:tab w:val="left" w:pos="3680"/>
        </w:tabs>
        <w:spacing w:line="276" w:lineRule="auto"/>
        <w:ind w:right="30"/>
        <w:jc w:val="center"/>
        <w:rPr>
          <w:sz w:val="20"/>
          <w:szCs w:val="20"/>
        </w:rPr>
      </w:pPr>
    </w:p>
    <w:p w:rsidR="009A7616" w:rsidRPr="004363D5" w:rsidRDefault="00F72AF9" w:rsidP="00A358E1">
      <w:pPr>
        <w:pBdr>
          <w:top w:val="single" w:sz="4" w:space="1" w:color="auto"/>
        </w:pBdr>
        <w:tabs>
          <w:tab w:val="left" w:pos="3680"/>
        </w:tabs>
        <w:spacing w:line="276" w:lineRule="auto"/>
        <w:ind w:right="30"/>
        <w:jc w:val="center"/>
        <w:rPr>
          <w:sz w:val="20"/>
          <w:szCs w:val="20"/>
        </w:rPr>
      </w:pPr>
      <w:r>
        <w:rPr>
          <w:sz w:val="20"/>
          <w:szCs w:val="20"/>
        </w:rPr>
        <w:t>Der Inhalt des Dokuments ist rechtsverbindlich.</w:t>
      </w:r>
    </w:p>
    <w:p w:rsidR="00FF785C" w:rsidRPr="004363D5" w:rsidRDefault="00FF785C" w:rsidP="00A358E1">
      <w:pPr>
        <w:pStyle w:val="Heading1"/>
        <w:spacing w:before="0" w:line="276" w:lineRule="auto"/>
        <w:ind w:left="0" w:right="30"/>
        <w:jc w:val="center"/>
        <w:rPr>
          <w:rFonts w:ascii="Times New Roman" w:hAnsi="Times New Roman" w:cs="Times New Roman"/>
          <w:b/>
        </w:rPr>
      </w:pPr>
    </w:p>
    <w:p w:rsidR="009A7616" w:rsidRPr="004363D5" w:rsidRDefault="00F72AF9" w:rsidP="00A358E1">
      <w:pPr>
        <w:pStyle w:val="Heading1"/>
        <w:spacing w:before="0" w:line="276" w:lineRule="auto"/>
        <w:ind w:left="0" w:right="30"/>
        <w:jc w:val="center"/>
        <w:rPr>
          <w:rFonts w:ascii="Times New Roman" w:hAnsi="Times New Roman" w:cs="Times New Roman"/>
          <w:b/>
        </w:rPr>
      </w:pPr>
      <w:r>
        <w:rPr>
          <w:rFonts w:ascii="Times New Roman" w:hAnsi="Times New Roman"/>
          <w:b/>
        </w:rPr>
        <w:t>17</w:t>
      </w:r>
    </w:p>
    <w:p w:rsidR="009A7616" w:rsidRPr="004363D5" w:rsidRDefault="00F72AF9" w:rsidP="00A358E1">
      <w:pPr>
        <w:spacing w:line="276" w:lineRule="auto"/>
        <w:ind w:right="30"/>
        <w:jc w:val="center"/>
        <w:rPr>
          <w:b/>
          <w:sz w:val="20"/>
          <w:szCs w:val="20"/>
        </w:rPr>
      </w:pPr>
      <w:r>
        <w:rPr>
          <w:b/>
          <w:sz w:val="20"/>
          <w:szCs w:val="20"/>
        </w:rPr>
        <w:t>V E R O R D N U N G</w:t>
      </w:r>
    </w:p>
    <w:p w:rsidR="009A7616" w:rsidRPr="004363D5" w:rsidRDefault="00F72AF9" w:rsidP="00A358E1">
      <w:pPr>
        <w:spacing w:line="276" w:lineRule="auto"/>
        <w:ind w:right="30"/>
        <w:jc w:val="center"/>
        <w:rPr>
          <w:b/>
          <w:sz w:val="20"/>
          <w:szCs w:val="20"/>
        </w:rPr>
      </w:pPr>
      <w:r>
        <w:rPr>
          <w:b/>
          <w:sz w:val="20"/>
          <w:szCs w:val="20"/>
        </w:rPr>
        <w:t>des Ministeriums für Verkehr und Bauwesen der Slowakischen Republik</w:t>
      </w:r>
    </w:p>
    <w:p w:rsidR="009A7616" w:rsidRPr="004363D5" w:rsidRDefault="00F72AF9" w:rsidP="00A358E1">
      <w:pPr>
        <w:spacing w:line="276" w:lineRule="auto"/>
        <w:ind w:right="30"/>
        <w:jc w:val="center"/>
        <w:rPr>
          <w:sz w:val="20"/>
          <w:szCs w:val="20"/>
        </w:rPr>
      </w:pPr>
      <w:r>
        <w:rPr>
          <w:sz w:val="20"/>
          <w:szCs w:val="20"/>
        </w:rPr>
        <w:t>vom 14. Januar 2020</w:t>
      </w:r>
    </w:p>
    <w:p w:rsidR="009A7616" w:rsidRPr="004363D5" w:rsidRDefault="00F72AF9" w:rsidP="00A358E1">
      <w:pPr>
        <w:spacing w:line="276" w:lineRule="auto"/>
        <w:ind w:right="30"/>
        <w:jc w:val="center"/>
        <w:rPr>
          <w:b/>
          <w:sz w:val="20"/>
          <w:szCs w:val="20"/>
        </w:rPr>
      </w:pPr>
      <w:r>
        <w:rPr>
          <w:b/>
          <w:sz w:val="20"/>
          <w:szCs w:val="20"/>
        </w:rPr>
        <w:t>zur Änderung und Ergänzung der Verordnung des Ministeriums für Verkehr, Bauwesen und Regionalentwicklung der Slowakischen Republik GBl. Nr. 162/2013 zur Festlegung der Liste der Bauproduktgruppen und zur Festlegung von Systemen für die Leistungsbewertung in der Fassung der Verordnung GBl. Nr. 177/2016</w:t>
      </w: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F72AF9" w:rsidP="00A358E1">
      <w:pPr>
        <w:spacing w:line="276" w:lineRule="auto"/>
        <w:ind w:right="30" w:firstLine="270"/>
        <w:rPr>
          <w:sz w:val="20"/>
          <w:szCs w:val="20"/>
        </w:rPr>
      </w:pPr>
      <w:r>
        <w:rPr>
          <w:sz w:val="20"/>
          <w:szCs w:val="20"/>
        </w:rPr>
        <w:t>Das Ministerium für Verkehr und Bauwesen der Slowakischen Republik legt gemäß § 13 Absatz 2 des Gesetzes GBl. Nr. 133/2013 über Bauprodukte und die Änderung und Ergänzung einiger Gesetze Folgendes fest:</w:t>
      </w:r>
    </w:p>
    <w:p w:rsidR="00FF785C" w:rsidRPr="004363D5" w:rsidRDefault="00FF785C" w:rsidP="00A358E1">
      <w:pPr>
        <w:spacing w:line="276" w:lineRule="auto"/>
        <w:ind w:right="30"/>
        <w:jc w:val="center"/>
        <w:rPr>
          <w:b/>
          <w:sz w:val="20"/>
          <w:szCs w:val="20"/>
        </w:rPr>
      </w:pPr>
    </w:p>
    <w:p w:rsidR="009A7616" w:rsidRPr="004363D5" w:rsidRDefault="00F72AF9" w:rsidP="00A358E1">
      <w:pPr>
        <w:spacing w:line="276" w:lineRule="auto"/>
        <w:ind w:right="30"/>
        <w:jc w:val="center"/>
        <w:rPr>
          <w:b/>
          <w:sz w:val="20"/>
          <w:szCs w:val="20"/>
        </w:rPr>
      </w:pPr>
      <w:r>
        <w:rPr>
          <w:b/>
          <w:sz w:val="20"/>
          <w:szCs w:val="20"/>
        </w:rPr>
        <w:t>Artikel I</w:t>
      </w:r>
    </w:p>
    <w:p w:rsidR="00FF785C" w:rsidRPr="004363D5" w:rsidRDefault="00FF785C" w:rsidP="00A358E1">
      <w:pPr>
        <w:spacing w:line="276" w:lineRule="auto"/>
        <w:ind w:right="30"/>
        <w:jc w:val="center"/>
        <w:rPr>
          <w:b/>
          <w:sz w:val="20"/>
          <w:szCs w:val="20"/>
        </w:rPr>
      </w:pPr>
    </w:p>
    <w:p w:rsidR="009A7616" w:rsidRPr="004363D5" w:rsidRDefault="00F72AF9" w:rsidP="00A358E1">
      <w:pPr>
        <w:spacing w:line="276" w:lineRule="auto"/>
        <w:ind w:right="30" w:firstLine="270"/>
        <w:jc w:val="both"/>
        <w:rPr>
          <w:sz w:val="20"/>
          <w:szCs w:val="20"/>
        </w:rPr>
      </w:pPr>
      <w:r>
        <w:rPr>
          <w:sz w:val="20"/>
          <w:szCs w:val="20"/>
        </w:rPr>
        <w:t>Die Verordnung des Ministeriums für Verkehr, Bauwesen und Regionalentwicklung der Slowakischen Republik GBl. Nr. 162/2013 zur Festlegung der Liste der Bauproduktgruppen und zur Festlegung von Systemen für die Leistungsbewertung in der Fassung der Verordnung GBl. Nr. 177/2016 wird wie folgt geändert und ergänzt:</w:t>
      </w:r>
    </w:p>
    <w:p w:rsidR="009A7616" w:rsidRPr="004363D5"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szCs w:val="20"/>
        </w:rPr>
        <w:t>Hinter § 7a wird ein § 7b eingefügt, welcher wie folgt lautet:</w:t>
      </w:r>
    </w:p>
    <w:p w:rsidR="009A7616" w:rsidRPr="004363D5" w:rsidRDefault="009A7616" w:rsidP="00A358E1">
      <w:pPr>
        <w:pStyle w:val="BodyText"/>
        <w:spacing w:line="276" w:lineRule="auto"/>
        <w:ind w:right="30"/>
        <w:rPr>
          <w:sz w:val="20"/>
          <w:szCs w:val="20"/>
        </w:rPr>
      </w:pPr>
    </w:p>
    <w:p w:rsidR="009A7616" w:rsidRPr="004363D5" w:rsidRDefault="00F72AF9" w:rsidP="00A358E1">
      <w:pPr>
        <w:spacing w:line="276" w:lineRule="auto"/>
        <w:ind w:right="30"/>
        <w:jc w:val="center"/>
        <w:rPr>
          <w:b/>
          <w:sz w:val="20"/>
          <w:szCs w:val="20"/>
        </w:rPr>
      </w:pPr>
      <w:r>
        <w:rPr>
          <w:b/>
          <w:sz w:val="20"/>
          <w:szCs w:val="20"/>
        </w:rPr>
        <w:t>„§ 7b</w:t>
      </w:r>
    </w:p>
    <w:p w:rsidR="009A7616" w:rsidRPr="004363D5" w:rsidRDefault="00F72AF9" w:rsidP="00A358E1">
      <w:pPr>
        <w:spacing w:line="276" w:lineRule="auto"/>
        <w:ind w:right="30"/>
        <w:jc w:val="center"/>
        <w:rPr>
          <w:b/>
          <w:sz w:val="20"/>
          <w:szCs w:val="20"/>
        </w:rPr>
      </w:pPr>
      <w:r>
        <w:rPr>
          <w:b/>
          <w:sz w:val="20"/>
          <w:szCs w:val="20"/>
        </w:rPr>
        <w:t>Übergangsbestimmung zu den ab 1. März 2020 in Kraft tretenden Regelungen</w:t>
      </w:r>
    </w:p>
    <w:p w:rsidR="00FC2E47" w:rsidRPr="004363D5" w:rsidRDefault="00FC2E47" w:rsidP="00A358E1">
      <w:pPr>
        <w:spacing w:line="276" w:lineRule="auto"/>
        <w:ind w:right="30"/>
        <w:jc w:val="center"/>
        <w:rPr>
          <w:b/>
          <w:sz w:val="20"/>
          <w:szCs w:val="20"/>
        </w:rPr>
      </w:pPr>
    </w:p>
    <w:p w:rsidR="009A7616" w:rsidRPr="004363D5"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szCs w:val="20"/>
        </w:rPr>
        <w:t>Die Leistungsbewertung von Bauprodukten, die begonnen, jedoch bis zum 29. Februar 2020 nicht abgeschlossen wurde, erfolgt gemäß den bisherigen Vorschriften höchstens bis zum 31. August 2020.</w:t>
      </w:r>
    </w:p>
    <w:p w:rsidR="00FC2E47" w:rsidRPr="004363D5"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rsidR="009A7616" w:rsidRPr="004363D5"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szCs w:val="20"/>
        </w:rPr>
        <w:t>Die Leistungsbewertung der Bauprodukte der Gruppen 0409, 0410, 0511, 0517, 0522, 0523, 0524, 0525, 0702, 0716, 1005, 1201, 1607, 1901, 2205, 2206, 3101, 3311, 3314, 3805, 4106, 4601, 4611, 4614 erfolgt mit dem vorgeschriebenen Verfahren bis zum 31. August 2020.“.</w:t>
      </w:r>
    </w:p>
    <w:p w:rsidR="009A7616" w:rsidRPr="004363D5"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szCs w:val="20"/>
        </w:rPr>
        <w:t>Anhang 1 lautet:</w:t>
      </w:r>
    </w:p>
    <w:p w:rsidR="009A7616" w:rsidRPr="004363D5" w:rsidRDefault="00F72AF9" w:rsidP="00A358E1">
      <w:pPr>
        <w:pageBreakBefore/>
        <w:spacing w:line="276" w:lineRule="auto"/>
        <w:ind w:right="29"/>
        <w:jc w:val="right"/>
        <w:rPr>
          <w:b/>
          <w:sz w:val="20"/>
          <w:szCs w:val="20"/>
        </w:rPr>
      </w:pPr>
      <w:r>
        <w:rPr>
          <w:sz w:val="20"/>
          <w:szCs w:val="20"/>
        </w:rPr>
        <w:lastRenderedPageBreak/>
        <w:t>„Anhang 1</w:t>
      </w:r>
    </w:p>
    <w:p w:rsidR="009A7616" w:rsidRPr="004363D5" w:rsidRDefault="00F72AF9" w:rsidP="00A358E1">
      <w:pPr>
        <w:spacing w:line="276" w:lineRule="auto"/>
        <w:ind w:right="30"/>
        <w:jc w:val="right"/>
        <w:rPr>
          <w:b/>
          <w:sz w:val="20"/>
          <w:szCs w:val="20"/>
        </w:rPr>
      </w:pPr>
      <w:r>
        <w:rPr>
          <w:b/>
          <w:sz w:val="20"/>
          <w:szCs w:val="20"/>
        </w:rPr>
        <w:t>zur Verordnung GBl. Nr. 162/2013</w:t>
      </w:r>
    </w:p>
    <w:p w:rsidR="009A7616" w:rsidRPr="004363D5" w:rsidRDefault="009A7616" w:rsidP="00A358E1">
      <w:pPr>
        <w:pStyle w:val="BodyText"/>
        <w:spacing w:line="276" w:lineRule="auto"/>
        <w:ind w:right="30"/>
        <w:rPr>
          <w:b/>
          <w:sz w:val="20"/>
          <w:szCs w:val="20"/>
        </w:rPr>
      </w:pPr>
    </w:p>
    <w:p w:rsidR="009A7616" w:rsidRPr="004363D5" w:rsidRDefault="00F72AF9" w:rsidP="00A358E1">
      <w:pPr>
        <w:spacing w:line="276" w:lineRule="auto"/>
        <w:ind w:right="30"/>
        <w:jc w:val="center"/>
        <w:rPr>
          <w:b/>
          <w:sz w:val="20"/>
          <w:szCs w:val="20"/>
        </w:rPr>
      </w:pPr>
      <w:r>
        <w:rPr>
          <w:b/>
          <w:sz w:val="20"/>
          <w:szCs w:val="20"/>
        </w:rPr>
        <w:t>BAUPRODUKTEGRUPPEN MIT FESTGELEGTEN SYSTEMEN DES KONFORMITÄTSNACHWEISES</w:t>
      </w:r>
    </w:p>
    <w:p w:rsidR="009A7616" w:rsidRPr="004363D5"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4363D5" w:rsidTr="00F90EC5">
        <w:trPr>
          <w:jc w:val="center"/>
        </w:trPr>
        <w:tc>
          <w:tcPr>
            <w:tcW w:w="8185" w:type="dxa"/>
            <w:gridSpan w:val="4"/>
          </w:tcPr>
          <w:p w:rsidR="009A7616" w:rsidRPr="004363D5" w:rsidRDefault="00F72AF9" w:rsidP="00A358E1">
            <w:pPr>
              <w:pStyle w:val="TableParagraph"/>
              <w:spacing w:before="0" w:line="276" w:lineRule="auto"/>
              <w:ind w:left="0" w:right="30"/>
              <w:jc w:val="center"/>
              <w:rPr>
                <w:b/>
                <w:sz w:val="20"/>
                <w:szCs w:val="20"/>
              </w:rPr>
            </w:pPr>
            <w:r>
              <w:rPr>
                <w:b/>
                <w:sz w:val="20"/>
                <w:szCs w:val="20"/>
              </w:rPr>
              <w:t>Einsatzbereich der Produkte</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Nr.</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Bezeichnung der Produktgruppe</w:t>
            </w: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Gruppengliederung</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SPP</w:t>
            </w:r>
            <w:r>
              <w:rPr>
                <w:sz w:val="20"/>
                <w:szCs w:val="20"/>
                <w:vertAlign w:val="superscript"/>
              </w:rPr>
              <w:t>a</w:t>
            </w:r>
            <w:r>
              <w:rPr>
                <w:sz w:val="20"/>
                <w:szCs w:val="20"/>
              </w:rPr>
              <w:t>)</w:t>
            </w:r>
          </w:p>
        </w:tc>
      </w:tr>
      <w:tr w:rsidR="009A7616" w:rsidRPr="004363D5" w:rsidTr="00F90EC5">
        <w:trPr>
          <w:jc w:val="center"/>
        </w:trPr>
        <w:tc>
          <w:tcPr>
            <w:tcW w:w="8185" w:type="dxa"/>
            <w:gridSpan w:val="4"/>
          </w:tcPr>
          <w:p w:rsidR="009A7616" w:rsidRPr="004363D5" w:rsidRDefault="00F72AF9" w:rsidP="00A358E1">
            <w:pPr>
              <w:pStyle w:val="TableParagraph"/>
              <w:spacing w:before="0" w:line="276" w:lineRule="auto"/>
              <w:ind w:left="0" w:right="30"/>
              <w:rPr>
                <w:b/>
                <w:sz w:val="20"/>
                <w:szCs w:val="20"/>
              </w:rPr>
            </w:pPr>
            <w:r>
              <w:rPr>
                <w:b/>
                <w:sz w:val="20"/>
                <w:szCs w:val="20"/>
              </w:rPr>
              <w:t>Produkte zur Untergrundverbesserung von Bauwerken und Erdkonstruktionen sowie für Gründungskörper</w:t>
            </w:r>
          </w:p>
        </w:tc>
      </w:tr>
      <w:tr w:rsidR="009A7616" w:rsidRPr="004363D5" w:rsidTr="008E04D0">
        <w:trPr>
          <w:jc w:val="center"/>
        </w:trPr>
        <w:tc>
          <w:tcPr>
            <w:tcW w:w="478" w:type="dxa"/>
            <w:vMerge w:val="restart"/>
          </w:tcPr>
          <w:p w:rsidR="009A7616" w:rsidRPr="004363D5" w:rsidRDefault="00F72AF9" w:rsidP="00A358E1">
            <w:pPr>
              <w:pStyle w:val="TableParagraph"/>
              <w:spacing w:before="0" w:line="276" w:lineRule="auto"/>
              <w:ind w:left="0" w:right="30"/>
              <w:rPr>
                <w:sz w:val="20"/>
                <w:szCs w:val="20"/>
              </w:rPr>
            </w:pPr>
            <w:r>
              <w:rPr>
                <w:sz w:val="20"/>
                <w:szCs w:val="20"/>
              </w:rPr>
              <w:t>0101</w:t>
            </w:r>
          </w:p>
        </w:tc>
        <w:tc>
          <w:tcPr>
            <w:tcW w:w="5436" w:type="dxa"/>
            <w:vMerge w:val="restart"/>
          </w:tcPr>
          <w:p w:rsidR="009A7616" w:rsidRPr="004363D5" w:rsidRDefault="00F72AF9" w:rsidP="00A358E1">
            <w:pPr>
              <w:pStyle w:val="TableParagraph"/>
              <w:spacing w:before="0" w:line="276" w:lineRule="auto"/>
              <w:ind w:left="0" w:right="30"/>
              <w:rPr>
                <w:sz w:val="20"/>
                <w:szCs w:val="20"/>
              </w:rPr>
            </w:pPr>
            <w:r>
              <w:rPr>
                <w:sz w:val="20"/>
                <w:szCs w:val="20"/>
              </w:rPr>
              <w:t>Geosynthetische Materialien (Membranen und Textilien) und Geokompositmaterialien, Geogitter, Geomembranen und Geonetze zum Trennen, Schützen, Dränen, Filtrieren und Bewehren des Bodens</w:t>
            </w: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II+ (2+)</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2271" w:type="dxa"/>
            <w:gridSpan w:val="2"/>
          </w:tcPr>
          <w:p w:rsidR="009A7616" w:rsidRPr="004363D5" w:rsidRDefault="00F72AF9" w:rsidP="00A358E1">
            <w:pPr>
              <w:pStyle w:val="TableParagraph"/>
              <w:spacing w:before="0" w:line="276" w:lineRule="auto"/>
              <w:ind w:left="0" w:right="30"/>
              <w:rPr>
                <w:sz w:val="20"/>
                <w:szCs w:val="20"/>
              </w:rPr>
            </w:pPr>
            <w:r>
              <w:rPr>
                <w:sz w:val="20"/>
                <w:szCs w:val="20"/>
              </w:rPr>
              <w:t>Für den Zweck, auf den sich die Brandsicherheitsvorschriften (PPB) beziehen, mit Gliederung nach Art der Brandverhaltensklasse (TRO):</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TRO, anfällig für Änderung im Herstellungsverfahren gemäß § 4 Absatz 2 Buchstabe a</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1</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TRO, eingestuft ohne Prüfung gemäß § 4 Absatz 1</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4</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TRO mit anderem Charakter als oben gemäß § 4 Absatz 2 Buchstabe b</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3</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0104</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Gemische zur Stabilisierung und Hydroisolierung für Bauuntergründe einschließlich Dammuntergründen von Verkehrsstraßen oder Bahnkörpern</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II+</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0105</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Fertigpfähle und damit verbundene Konstruktionselemente</w:t>
            </w:r>
            <w:r>
              <w:rPr>
                <w:sz w:val="20"/>
                <w:szCs w:val="20"/>
                <w:vertAlign w:val="superscript"/>
              </w:rPr>
              <w:t>b</w:t>
            </w:r>
            <w:r>
              <w:rPr>
                <w:sz w:val="20"/>
                <w:szCs w:val="20"/>
              </w:rPr>
              <w:t>)</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II+ (2+)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0106</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Fundamentbalken und -füße</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II+ (2+)</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szCs w:val="20"/>
              </w:rPr>
              <w:t>Produkte zur Verankerung im Gestein und in tragenden Schichten des Erdmaterials</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0201</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Erd- und Gesteinsanker</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III</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szCs w:val="20"/>
              </w:rPr>
              <w:t>Produkte für Stützmauern und Wasserbauwerke</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0301</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Stützmauerelemente aus Beton</w:t>
            </w:r>
            <w:r>
              <w:rPr>
                <w:sz w:val="20"/>
                <w:szCs w:val="20"/>
                <w:vertAlign w:val="superscript"/>
              </w:rPr>
              <w:t>c</w:t>
            </w:r>
            <w:r>
              <w:rPr>
                <w:sz w:val="20"/>
                <w:szCs w:val="20"/>
              </w:rPr>
              <w:t>)</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0302</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Steine für Gabionen</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0303</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Netze für Gabionen</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III</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0304</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Gabionenblöcke</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II+ (2+)</w:t>
            </w:r>
          </w:p>
        </w:tc>
      </w:tr>
      <w:tr w:rsidR="009A7616" w:rsidRPr="004363D5" w:rsidTr="008E04D0">
        <w:trPr>
          <w:jc w:val="center"/>
        </w:trPr>
        <w:tc>
          <w:tcPr>
            <w:tcW w:w="478" w:type="dxa"/>
            <w:vMerge w:val="restart"/>
          </w:tcPr>
          <w:p w:rsidR="009A7616" w:rsidRPr="004363D5" w:rsidRDefault="00F72AF9" w:rsidP="00A358E1">
            <w:pPr>
              <w:pStyle w:val="TableParagraph"/>
              <w:spacing w:before="0" w:line="276" w:lineRule="auto"/>
              <w:ind w:left="0" w:right="30"/>
              <w:rPr>
                <w:sz w:val="20"/>
                <w:szCs w:val="20"/>
              </w:rPr>
            </w:pPr>
            <w:r>
              <w:rPr>
                <w:sz w:val="20"/>
                <w:szCs w:val="20"/>
              </w:rPr>
              <w:t>0305</w:t>
            </w:r>
          </w:p>
        </w:tc>
        <w:tc>
          <w:tcPr>
            <w:tcW w:w="5436" w:type="dxa"/>
            <w:vMerge w:val="restart"/>
          </w:tcPr>
          <w:p w:rsidR="009A7616" w:rsidRPr="004363D5" w:rsidRDefault="00F72AF9" w:rsidP="00A358E1">
            <w:pPr>
              <w:pStyle w:val="TableParagraph"/>
              <w:spacing w:before="0" w:line="276" w:lineRule="auto"/>
              <w:ind w:left="0" w:right="30"/>
              <w:rPr>
                <w:sz w:val="20"/>
                <w:szCs w:val="20"/>
              </w:rPr>
            </w:pPr>
            <w:r>
              <w:rPr>
                <w:sz w:val="20"/>
                <w:szCs w:val="20"/>
              </w:rPr>
              <w:t>Steine für Wasserbauwerke</w:t>
            </w:r>
          </w:p>
        </w:tc>
        <w:tc>
          <w:tcPr>
            <w:tcW w:w="2271" w:type="dxa"/>
            <w:gridSpan w:val="2"/>
          </w:tcPr>
          <w:p w:rsidR="009A7616" w:rsidRPr="004363D5" w:rsidRDefault="00F72AF9" w:rsidP="00A358E1">
            <w:pPr>
              <w:pStyle w:val="TableParagraph"/>
              <w:spacing w:before="0" w:line="276" w:lineRule="auto"/>
              <w:ind w:left="0" w:right="30"/>
              <w:rPr>
                <w:sz w:val="20"/>
                <w:szCs w:val="20"/>
              </w:rPr>
            </w:pPr>
            <w:r>
              <w:rPr>
                <w:sz w:val="20"/>
                <w:szCs w:val="20"/>
              </w:rPr>
              <w:t>Nach Kategorie des Wasserbauwerks:9)</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I., II. und III. Kategorie</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2+</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IV. Kategorie</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4</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szCs w:val="20"/>
              </w:rPr>
              <w:t>Membranen gegen Feuchtigkeit, Wasser und Radon</w:t>
            </w:r>
          </w:p>
        </w:tc>
      </w:tr>
      <w:tr w:rsidR="00A065E5" w:rsidRPr="004363D5" w:rsidTr="002F5637">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0401</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0402</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szCs w:val="20"/>
              </w:rPr>
              <w:t>0403</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0404</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0405</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0406</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Hydroisolierungsstreifen und Anti-Radon-Barrieren und Folien für oberirdische Geschosse (nicht unterkellert) und für unterirdische (Keller-)Räume</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Hydroisolierungsstreifen für Mauerwände</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szCs w:val="20"/>
              </w:rPr>
              <w:t>Dampfsperren und dampfdurchlässige Schichten für Wände und Dächer</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szCs w:val="20"/>
              </w:rPr>
              <w:t>Beschichtete Dachfolien und andere Membranbeschichtungen für Dächer</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Dachunterschichten</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Hydroisolierende Anstrichstoffe für oberirdische Geschosse, für unterirdische Räume von Bauwerken und unter Pflaster und Verkleidungen</w:t>
            </w: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III (3) II+ (2+)e)</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szCs w:val="20"/>
              </w:rPr>
              <w:t>Für einen Zweck, auf den sich die PPB mit der Gliederung gemäß TRO oder die Prüferfordernisse RVO beziehen:</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I (1)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(A1 bis E) gemäß § 4 Absatz 1, F</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IV (4)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Produkte mit RVO-Prüferfordernis</w:t>
            </w:r>
            <w:r>
              <w:rPr>
                <w:sz w:val="20"/>
                <w:szCs w:val="20"/>
                <w:vertAlign w:val="superscript"/>
              </w:rPr>
              <w:t>f</w:t>
            </w:r>
            <w:r>
              <w:rPr>
                <w:sz w:val="20"/>
                <w:szCs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Produkte ohne RVO-Prüferfordernis</w:t>
            </w:r>
            <w:r>
              <w:rPr>
                <w:sz w:val="20"/>
                <w:szCs w:val="20"/>
                <w:vertAlign w:val="superscript"/>
              </w:rPr>
              <w:t>f</w:t>
            </w:r>
            <w:r>
              <w:rPr>
                <w:sz w:val="20"/>
                <w:szCs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0407</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Hydroisolierungsstreifen für Brückenfahrbahnen aus Beton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2+</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0408</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Wasserdichte Verbände / Systeme für Brückenfahrbahnen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II+ (2+)</w:t>
            </w:r>
          </w:p>
        </w:tc>
      </w:tr>
      <w:tr w:rsidR="008E04D0" w:rsidRPr="004363D5" w:rsidTr="008E04D0">
        <w:trPr>
          <w:jc w:val="center"/>
        </w:trPr>
        <w:tc>
          <w:tcPr>
            <w:tcW w:w="478" w:type="dxa"/>
            <w:vMerge w:val="restart"/>
          </w:tcPr>
          <w:p w:rsidR="008E04D0" w:rsidRPr="004363D5" w:rsidRDefault="008E04D0" w:rsidP="00A358E1">
            <w:pPr>
              <w:pStyle w:val="TableParagraph"/>
              <w:spacing w:before="0" w:line="276" w:lineRule="auto"/>
              <w:ind w:left="0" w:right="30"/>
              <w:rPr>
                <w:sz w:val="20"/>
                <w:szCs w:val="20"/>
              </w:rPr>
            </w:pPr>
            <w:r>
              <w:rPr>
                <w:sz w:val="20"/>
                <w:szCs w:val="20"/>
              </w:rPr>
              <w:t>0409</w:t>
            </w:r>
          </w:p>
        </w:tc>
        <w:tc>
          <w:tcPr>
            <w:tcW w:w="5436" w:type="dxa"/>
            <w:vMerge w:val="restart"/>
          </w:tcPr>
          <w:p w:rsidR="008E04D0" w:rsidRPr="004363D5" w:rsidRDefault="008E04D0" w:rsidP="00A358E1">
            <w:pPr>
              <w:pStyle w:val="TableParagraph"/>
              <w:spacing w:before="0" w:line="276" w:lineRule="auto"/>
              <w:ind w:left="0" w:right="30"/>
              <w:rPr>
                <w:sz w:val="20"/>
                <w:szCs w:val="20"/>
              </w:rPr>
            </w:pPr>
            <w:r>
              <w:rPr>
                <w:sz w:val="20"/>
                <w:szCs w:val="20"/>
              </w:rPr>
              <w:t>Hydroisolierungsstreifen und Ausdehnungsstreifen</w:t>
            </w:r>
          </w:p>
        </w:tc>
        <w:tc>
          <w:tcPr>
            <w:tcW w:w="1674" w:type="dxa"/>
          </w:tcPr>
          <w:p w:rsidR="008E04D0" w:rsidRPr="004363D5" w:rsidRDefault="008E04D0"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8E04D0" w:rsidRPr="004363D5" w:rsidRDefault="008E04D0" w:rsidP="00A358E1">
            <w:pPr>
              <w:pStyle w:val="TableParagraph"/>
              <w:spacing w:before="0" w:line="276" w:lineRule="auto"/>
              <w:ind w:left="0" w:right="30"/>
              <w:rPr>
                <w:sz w:val="20"/>
                <w:szCs w:val="20"/>
              </w:rPr>
            </w:pPr>
            <w:r>
              <w:rPr>
                <w:sz w:val="20"/>
                <w:szCs w:val="20"/>
              </w:rPr>
              <w:t>III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2271" w:type="dxa"/>
            <w:gridSpan w:val="2"/>
          </w:tcPr>
          <w:p w:rsidR="008E04D0" w:rsidRPr="004363D5" w:rsidRDefault="008E04D0" w:rsidP="00A358E1">
            <w:pPr>
              <w:pStyle w:val="TableParagraph"/>
              <w:spacing w:before="0" w:line="276" w:lineRule="auto"/>
              <w:ind w:left="0" w:right="30"/>
              <w:rPr>
                <w:sz w:val="20"/>
                <w:szCs w:val="20"/>
              </w:rPr>
            </w:pPr>
            <w:r>
              <w:rPr>
                <w:sz w:val="20"/>
                <w:szCs w:val="20"/>
              </w:rPr>
              <w:t>Für einen Zweck, auf den sich die PPB mit der Gliederung gemäß TRO oder die Prüferfordernisse RVO beziehen:</w:t>
            </w:r>
          </w:p>
        </w:tc>
      </w:tr>
      <w:tr w:rsidR="008E04D0" w:rsidRPr="004363D5" w:rsidTr="008E04D0">
        <w:trPr>
          <w:jc w:val="center"/>
        </w:trPr>
        <w:tc>
          <w:tcPr>
            <w:tcW w:w="478" w:type="dxa"/>
            <w:vMerge/>
          </w:tcPr>
          <w:p w:rsidR="008E04D0" w:rsidRPr="004363D5" w:rsidRDefault="008E04D0" w:rsidP="00A358E1">
            <w:pPr>
              <w:pStyle w:val="TableParagraph"/>
              <w:spacing w:before="0" w:line="276" w:lineRule="auto"/>
              <w:ind w:left="0" w:right="30"/>
              <w:rPr>
                <w:sz w:val="20"/>
                <w:szCs w:val="20"/>
              </w:rPr>
            </w:pPr>
          </w:p>
        </w:tc>
        <w:tc>
          <w:tcPr>
            <w:tcW w:w="5436" w:type="dxa"/>
            <w:vMerge/>
          </w:tcPr>
          <w:p w:rsidR="008E04D0" w:rsidRPr="004363D5" w:rsidRDefault="008E04D0" w:rsidP="00A358E1">
            <w:pPr>
              <w:pStyle w:val="TableParagraph"/>
              <w:spacing w:before="0" w:line="276" w:lineRule="auto"/>
              <w:ind w:left="0"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8E04D0" w:rsidRPr="004363D5" w:rsidRDefault="008E04D0" w:rsidP="00A358E1">
            <w:pPr>
              <w:pStyle w:val="TableParagraph"/>
              <w:spacing w:before="0" w:line="276" w:lineRule="auto"/>
              <w:ind w:left="0" w:right="30"/>
              <w:rPr>
                <w:sz w:val="20"/>
                <w:szCs w:val="20"/>
              </w:rPr>
            </w:pPr>
            <w:r>
              <w:rPr>
                <w:sz w:val="20"/>
                <w:szCs w:val="20"/>
              </w:rPr>
              <w:t>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8E04D0" w:rsidRPr="004363D5" w:rsidRDefault="008E04D0" w:rsidP="00A358E1">
            <w:pPr>
              <w:pStyle w:val="TableParagraph"/>
              <w:spacing w:before="0" w:line="276" w:lineRule="auto"/>
              <w:ind w:left="0" w:right="30"/>
              <w:rPr>
                <w:sz w:val="20"/>
                <w:szCs w:val="20"/>
              </w:rPr>
            </w:pPr>
            <w:r>
              <w:rPr>
                <w:sz w:val="20"/>
                <w:szCs w:val="20"/>
              </w:rPr>
              <w:t>III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szCs w:val="20"/>
              </w:rPr>
              <w:t>(A1 bis E) gemäß § 4 Absatz 1, F</w:t>
            </w:r>
          </w:p>
        </w:tc>
        <w:tc>
          <w:tcPr>
            <w:tcW w:w="597" w:type="dxa"/>
          </w:tcPr>
          <w:p w:rsidR="008E04D0" w:rsidRPr="004363D5" w:rsidRDefault="008E04D0" w:rsidP="00A358E1">
            <w:pPr>
              <w:pStyle w:val="TableParagraph"/>
              <w:spacing w:before="0" w:line="276" w:lineRule="auto"/>
              <w:ind w:left="0" w:right="30"/>
              <w:rPr>
                <w:sz w:val="20"/>
                <w:szCs w:val="20"/>
              </w:rPr>
            </w:pPr>
            <w:r>
              <w:rPr>
                <w:sz w:val="20"/>
                <w:szCs w:val="20"/>
              </w:rPr>
              <w:t>IV</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0410</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Streifen, Folien, Anstrichstoffe oder Systeme für die Hydroisolierung von Innenbecken (im Innenbereich befindlichen Becken)</w:t>
            </w: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Für Grundzweckd)</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szCs w:val="20"/>
              </w:rPr>
              <w:t>Für einen Zweck, auf den sich die PPB mit der Gliederung gemäß TRO oder die Prüferfordernisse RVO beziehen:</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 A2, B, C) gemäß § 4 Absatz 2 </w:t>
            </w:r>
            <w:r>
              <w:rPr>
                <w:sz w:val="20"/>
                <w:szCs w:val="20"/>
              </w:rPr>
              <w:lastRenderedPageBreak/>
              <w:t>Buchstabe b, D, E</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lastRenderedPageBreak/>
              <w:t>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(A1 bis E) gemäß § 4 Absatz 1, F</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IV</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szCs w:val="20"/>
              </w:rPr>
              <w:t>Produkte für Straßen, Gehwege und andere Verkehrsflächen</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0501</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Naturbitumen und modifizierter Bitumen und Bitumenemulsionen für Straßenkonstruktionen und zur Oberflächengestaltung von Straßen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II+ (2+)</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0502</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Bitumengemische für den Bau von Straßen und die Oberflächengestaltung von Verkehrsflächen</w:t>
            </w: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Für Grundzweckd)</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II+ (2+)</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281A6A" w:rsidRDefault="00F90EC5" w:rsidP="00A358E1">
            <w:pPr>
              <w:pStyle w:val="TableParagraph"/>
              <w:spacing w:before="0" w:line="276" w:lineRule="auto"/>
              <w:ind w:left="0" w:right="30"/>
              <w:rPr>
                <w:sz w:val="20"/>
                <w:szCs w:val="20"/>
                <w:lang w:val="pt-PT"/>
              </w:rPr>
            </w:pPr>
            <w:r w:rsidRPr="00281A6A">
              <w:rPr>
                <w:sz w:val="20"/>
                <w:szCs w:val="20"/>
                <w:lang w:val="pt-PT"/>
              </w:rPr>
              <w:t>(A1FL, A2FL, BFL, CFL) gemäß § 4 Absatz 2 Buchstabe a</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 (1)</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(A1FL, A2FL, BFL, CFL) gemäß § 4 Absatz 2 Buchstabe b, DFL, EFL</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III (3)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(A1FL bis EFL) gemäß § 4 Absatz 1, FFL</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0503</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Dübel und Vergussmassen für Betonfahrbahnen</w:t>
            </w:r>
            <w:r>
              <w:rPr>
                <w:sz w:val="20"/>
                <w:szCs w:val="20"/>
                <w:vertAlign w:val="superscript"/>
              </w:rPr>
              <w:t>c</w:t>
            </w:r>
            <w:r>
              <w:rPr>
                <w:sz w:val="20"/>
                <w:szCs w:val="20"/>
              </w:rPr>
              <w:t>)</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0504</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Brückendehnungsfugen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0505</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Vorgefertigte Teile für Brückensimse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0506</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Verkehrsflächenübergänge mit Ausnahme von Brücken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III</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0507</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Verguss- und Dichtungsmassen für Gehwege, ausgenommen Gehwege in Chemiebetrieben, für Straßen und andere Verkehrsflächen, Flughafenpisten und Abwasserkläranlagen</w:t>
            </w: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1</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(A1 bis E) gemäß § 4 Absatz 1, F</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0508</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Platten, Pflastersteine und Bordsteine aus Naturstein für Außenpflasterungen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0509</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Pflasterformsteine, Platten und Bordsteine aus Beton für Außenpflasterungen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0510</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Pflasterziegel</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0511</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Pflasterelemente, zu denen Pflastersteine, Platten und Bordsteine (unter Ausnahme der Produkte der Gruppen 0508 und 0509) gehören, Glasbeton-Oberlichter, Fußböden aus Metallplatten, Platten aus Gitterblech oder aus Rosten, Fußbodenroste und Treppenhausstufen, feste Matten, Schiefer, Mosaiken und Terrazzoplatten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lastRenderedPageBreak/>
              <w:t>0512</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Vegetationselemente für wenig belastete Verkehrsflächen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IV</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0513</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Auffangsysteme an Straßen - Schutzplanken, Anpralldämpfer, ortsveränderliche Barrieren, Seile und Gesimse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0514</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Fußgängerrückhaltesysteme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0515</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Verkehrslichtsignalanlagen, Dauerwarnlichter und Rundumlichter</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0516</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Vertikale Verkehrszeichen, Wechselverkehrszeichen, Verkehrszeichensäulen und Ampelsäulen, Leitsäulen, Absperrsäulen und Dauerleiteinrichtungen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0517</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Vorgefertigte Fahrbahnmarkierungen und Markierungsknöpfe, rückstrahlende und optische Elemente für Fahrbahnmarkierungen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0518</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Anstrichstoffe für Fahrbahnmarkierungen, warm aufgetragene Thermokunststoffe, kalt aufgetragene Kunststoffe mit/ohne Antirutschzusätze(n) und mit/ohne Glasperlen oder Inverkehrbringen mit Angabe von Typ und Anteil der Glasperlen oder der Antirutschzusätze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0519</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Reflexperlen, Antirutschzusätze und ihre Gemische, verwendet als Abstreumaterial bei Fahrbahnmarkierungen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0520</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Lärmschutzwände und -einrichtungen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3</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0521</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Schutzeinrichtungen gegen Blenden durch Fahrzeuge im Gegenverkehr und durch externe Lichtquellen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3</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0522</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Reflektierende Elemente, die das Betreten der Straße durch Tiere einschränken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III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0523</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Erzeugnisse für die Erstellung von Leit-, Warn- und Signalstreifen für Blinde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IV</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0524</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Klebstoffe und Massen zum Kleben von Sperr- und Leiteinrichtungen für dauerhaften Einbau, vorgefertigten Fahrbahnmarkierungen und Kennzeichnungen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III</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0525</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Spezielle Erzeugnisse für Oberflächengestaltungen von Verkehrsflächen</w:t>
            </w: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Für Grundzweckd)</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281A6A" w:rsidRDefault="00F90EC5" w:rsidP="00A358E1">
            <w:pPr>
              <w:pStyle w:val="TableParagraph"/>
              <w:spacing w:before="0" w:line="276" w:lineRule="auto"/>
              <w:ind w:left="0" w:right="30"/>
              <w:rPr>
                <w:sz w:val="20"/>
                <w:szCs w:val="20"/>
                <w:lang w:val="pt-PT"/>
              </w:rPr>
            </w:pPr>
            <w:r w:rsidRPr="00281A6A">
              <w:rPr>
                <w:sz w:val="20"/>
                <w:szCs w:val="20"/>
                <w:lang w:val="pt-PT"/>
              </w:rPr>
              <w:t>(A1FL, A2FL, BFL, CFL) gemäß § 4 Absatz 2 Buchstabe a</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(A1FL, A2FL, BFL, CFL) gemäß § 4 Absatz 2 Buchstabe b, DFL, EFL</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(A1FL bis EFL) gemäß § 4 Absatz 1, FFL</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IV</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szCs w:val="20"/>
              </w:rPr>
              <w:t>Masten</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0601</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Lichtmasten aus Stahl, Aluminium und aus faserverstärktem Polymerverbundstoff</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0602</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Lichtmasten aus Stahlbeton und aus Spannbeton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0603</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Holzmasten für Stromfreileitungen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2+</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0604</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Sonstige vorgefertigte Masten oder vorgefertigte Konstruktionsteile von Masten für Stromfreileitungen, Fahrleitungen, Telekommunikationseinrichtungen, </w:t>
            </w:r>
            <w:r>
              <w:rPr>
                <w:sz w:val="20"/>
                <w:szCs w:val="20"/>
              </w:rPr>
              <w:lastRenderedPageBreak/>
              <w:t>Windkraftanlagen und ähnliche Einrichtungen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2+</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szCs w:val="20"/>
              </w:rPr>
              <w:t>Produkte für die Abwassertechnik</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0701</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Rohre und Formstücke aus unbewehrtem Beton, aus stahlfaserbewehrtem Beton und aus Stahlbeton, mit/ohne Dichtung, für Abwasserleitungen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0702</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Sonstige Rohre und Formstücke und Dichtungen, Durchflussregler, Einsteller und Wirbelstromventile für Abwasserleitungen</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4</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0703</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szCs w:val="20"/>
              </w:rPr>
              <w:t>0704</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0705</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0706</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0707</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Rohre und Formstücke für Gebäude-Abwasserleitungen</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Mannlöcher und Reinigungsschächte von Kanalisationsröhren</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Steigeisen, Steigleitern und Handläufe für Mannlöcher und Reinigungsschächte</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Belüftungsventile für Lüftungsrohre von Gebäude-Abwasserleitungen</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Abwasserauffang- und -trennvorrichtungen (Separatoren) für Gebäude und Tiefbauanlagen</w:t>
            </w: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IV (4)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szCs w:val="20"/>
              </w:rPr>
              <w:t>Für den Zweck, auf den sich die Brandsicherheitsvorschriften (PPB) beziehen, mit Gliederung nach Art der Brandverhaltensklasse (TRO):</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TRO, anfällig für Änderung im Herstellungsverfahren gemäß § 4 Absatz 2 Buchstabe a</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TRO, eingestuft ohne Prüfung gemäß § 4 Absatz 1</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TRO mit anderem Charakter als oben gemäß § 4 Absatz 2 Buchstabe b</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3</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0708</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0709</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0710</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0711</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Systeme für Abwasserpumpstationen und Abwasserhebeanlagen</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Systeme und Elemente von Hauskläranlagen und Baustellenreinigungsanlagen</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Faulbecken</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Entwässerungskanäle (Rinnen) als Fertigteile für Verkehrsflächen</w:t>
            </w: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Für Grundzweckd)</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szCs w:val="20"/>
              </w:rPr>
              <w:t>Für den Zweck, auf den sich die Brandsicherheitsvorschriften (PPB) beziehen, mit Gliederung nach Art der Brandverhaltensklasse (TRO):</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TRO, anfällig für Änderung im Herstellungsverfahren gemäß § 4 Absatz 2 Buchstabe a</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TRO, eingestuft ohne Prüfung gemäß § 4 Absatz 1</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TRO mit anderem Charakter als oben gemäß § 4 Absatz 2 Buchstabe b</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0712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Abdeckungen von Mannlöchern und Aufsätze für Straßenabläufe</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Für den Zweck, auf den </w:t>
            </w:r>
            <w:r>
              <w:rPr>
                <w:sz w:val="20"/>
                <w:szCs w:val="20"/>
              </w:rPr>
              <w:lastRenderedPageBreak/>
              <w:t>sich die Brandsicherheitsvorschriften (PPB) beziehen, mit Gliederung nach Art der Brandverhaltensklasse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anfällig für Änderung im Herstellungsverfahren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eingestuft ohne Prüfung gemäß § 4 Absatz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mit anderem Charakter als oben gemäß § 4 Absatz 2 Buchstabe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0713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Klärbecken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den Zweck, auf den sich die Brandsicherheitsvorschriften (PPB) beziehen, mit Gliederung nach Art der Brandverhaltensklasse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anfällig für Änderung im Herstellungsverfahren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eingestuft ohne Prüfung gemäß § 4 Absatz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mit anderem Charakter als oben gemäß § 4 Absatz 2 Buchstabe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0714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Deckensinkkästen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den Zweck, auf den sich die Brandsicherheitsvorschriften (PPB) beziehen, mit Gliederung nach Art der Brandverhaltensklasse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anfällig für Änderung im Herstellungsverfahren gemäß § 4 </w:t>
            </w:r>
            <w:r>
              <w:rPr>
                <w:sz w:val="20"/>
                <w:szCs w:val="20"/>
              </w:rPr>
              <w:lastRenderedPageBreak/>
              <w:t>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lastRenderedPageBreak/>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eingestuft ohne Prüfung gemäß § 4 Absatz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mit anderem Charakter als oben gemäß § 4 Absatz 2 Buchstabe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0715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Kasten-Durchlässe aus Beton</w:t>
            </w:r>
            <w:r>
              <w:rPr>
                <w:sz w:val="20"/>
                <w:szCs w:val="20"/>
                <w:vertAlign w:val="superscript"/>
              </w:rPr>
              <w:t>c</w:t>
            </w:r>
            <w:r>
              <w:rPr>
                <w:sz w:val="20"/>
                <w:szCs w:val="20"/>
              </w:rPr>
              <w:t>)</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dem Zweck:</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baulich</w:t>
            </w:r>
            <w:r>
              <w:rPr>
                <w:sz w:val="20"/>
                <w:szCs w:val="20"/>
                <w:vertAlign w:val="superscript"/>
              </w:rPr>
              <w:t>b</w:t>
            </w:r>
            <w:r>
              <w:rPr>
                <w:sz w:val="20"/>
                <w:szCs w:val="20"/>
              </w:rPr>
              <w:t>) – große Durchlässe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nicht tragend - kleine Durchlässe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0716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Drainagerohre und Sickerblöcke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Lagerungen für Bauwerke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0801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Kugel- und Rollenlagerungen mit PTFE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0802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Sonstige Lagerungen für Gebäudekonstruktionen und Tiefbauanlagen, bei denen im Fall eines Versagens der Lagerung Bauwerke oder Teile davon in einen Zustand gelangen, der nicht mehr der Gebrauchstauglichkeit und den Grenzzuständen der Bauwerke entspricht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0803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Lagerungen für sonstige Baukonstruktionen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0804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Erdbebenvorrichtungen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Zuschlagstoffe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0901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Betonzuschlag</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0902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Mörtelzuschlag</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dem Zweck:</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Mauermörtel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sonstige Mörtel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0903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Leichter Zuschlag für Beton, Mörtel und Einpressmörtel</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dem Zweck:</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Beton und Mauer- und Einpressmörtel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sonstige Mörtel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0904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Steingemisch für Tragschichten des Schwellenunterbaus und des Schienenbettes</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Streckenart: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Schnellstrecken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übrige Strecken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0905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Gesteinskörnungen für ungebundene und hydraulisch gebundene Gemische für den Straßenbau</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dem Zweck:</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den Bau von Straßen mit einer Verkehrsbelastung der Klassen I, II, III und IV</w:t>
            </w:r>
            <w:r>
              <w:rPr>
                <w:sz w:val="20"/>
                <w:szCs w:val="20"/>
                <w:vertAlign w:val="superscript"/>
              </w:rPr>
              <w:t>10</w:t>
            </w:r>
            <w:r>
              <w:rPr>
                <w:sz w:val="20"/>
                <w:szCs w:val="20"/>
              </w:rPr>
              <w:t>) und für den Bau von Rollbahnen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den Bau von Straßen mit einer Verkehrsbelastung der Klassen V und VI</w:t>
            </w:r>
            <w:r>
              <w:rPr>
                <w:sz w:val="20"/>
                <w:szCs w:val="20"/>
                <w:vertAlign w:val="superscript"/>
              </w:rPr>
              <w:t>10</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lastRenderedPageBreak/>
              <w:t>0906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Hydraulisch gebundene und ungebundene Gemische für den Bau von Straßen und anderen Verkehrsflächen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dem Zweck:</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den Bau von Straßen mit einer Verkehrsbelastung der Klassen I, II, III und IV</w:t>
            </w:r>
            <w:r>
              <w:rPr>
                <w:sz w:val="20"/>
                <w:szCs w:val="20"/>
                <w:vertAlign w:val="superscript"/>
              </w:rPr>
              <w:t>10</w:t>
            </w:r>
            <w:r>
              <w:rPr>
                <w:sz w:val="20"/>
                <w:szCs w:val="20"/>
              </w:rPr>
              <w:t>) und für den Bau von Rollbahnen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den Bau von Straßen mit einer Verkehrsbelastung der Klassen V und VI</w:t>
            </w:r>
            <w:r>
              <w:rPr>
                <w:sz w:val="20"/>
                <w:szCs w:val="20"/>
                <w:vertAlign w:val="superscript"/>
              </w:rPr>
              <w:t>10</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jc w:val="center"/>
              <w:rPr>
                <w:sz w:val="20"/>
                <w:szCs w:val="20"/>
              </w:rPr>
            </w:pPr>
            <w:r>
              <w:rPr>
                <w:sz w:val="20"/>
                <w:szCs w:val="20"/>
              </w:rPr>
              <w:t>0907</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Gestein für Asphaltmischgut und zur Oberflächengestaltung von Straßen, Flugplätzen und anderen Verkehrsflächen</w:t>
            </w: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szCs w:val="20"/>
              </w:rPr>
              <w:t>Nach dem Zweck:</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für Verschleißschichten</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für sonstige Schichten</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Zement-, Kalksorten und andere Bindemittel</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1001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Zementsorten und übliche Mischzementsorten zur Herstellung von Beton, Mörtel, Einpress-(Verguss-)Mörtel und anderer Gemische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1002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Spezielle tieftemperaturbeständige Zementsorten, weiße Zementsorten, schwefel- und meerwasserbeständige Zementsorten, niedrigalkalische Zementsorten, Tonerde-Kalkzementsorten mit sehr niedriger Hydratationswärme, Hochofenzementsorten mit niedriger Anfangsfestigkeit, Mauerzementsorten und Straßenzement zur Herstellung von Beton, Mörtel, Einpress-(Verguss-)Mörtel und anderer Gemische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1003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Baukalk einschließlich Branntkalk, Dolomitkalk und Magerkalk zur Herstellung von Beton, Mörtel, Einpress-(Verguss-)Mörtel und anderer Gemische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1004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Hydraulische Bindemittel zur Herstellung von Gemischen für Verkehrsflächen-Tragschichten und hydraulische Bindemittel zur Mörtelherstellung</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1005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Hybridzement zur Herstellung von Beton, Mörtel, Einpress-(Verguss-)Mörtel und anderer Gemische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Beton, Mörtel, Einpressgemisch, Zuschläge und Beimischungen</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1101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Beton, hergestellt in ortsfesten oder ortsveränderlichen Betonanlagen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1102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Spritzbeton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1103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Gemische für Einpress-(Verguss-)Mörtel</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1104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Industriell hergestellte Mauermörtel und sonstige Mauermassen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Art: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Entwurfsmörtel</w:t>
            </w:r>
            <w:r>
              <w:rPr>
                <w:sz w:val="20"/>
                <w:szCs w:val="20"/>
                <w:vertAlign w:val="superscript"/>
              </w:rPr>
              <w:t>g</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Mörtel mit vorgeschriebener Zusammensetzung</w:t>
            </w:r>
            <w:r>
              <w:rPr>
                <w:sz w:val="20"/>
                <w:szCs w:val="20"/>
                <w:vertAlign w:val="superscript"/>
              </w:rPr>
              <w:t>g</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sonstige Stoffe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1105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Industriell gefertigte Mörtel für Innen- und Außenputz auf Basis von anorganischen Bindemitteln einschließlich Wärmedämmmörtel</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lastRenderedPageBreak/>
              <w:t>1106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Industriell gefertigte Mauermörtel für sonstigen Putz</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1107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Zuschlagstoffe für Beton und Mörtel einschließlich Einpressmörtel</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Art:</w:t>
            </w:r>
            <w:r>
              <w:rPr>
                <w:sz w:val="20"/>
                <w:szCs w:val="20"/>
                <w:vertAlign w:val="superscript"/>
              </w:rPr>
              <w:t>h</w:t>
            </w:r>
            <w:r>
              <w:rPr>
                <w:sz w:val="20"/>
                <w:szCs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Art I</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Art II</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1108</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Zuschlagstoffe für Beton, Mörtel und Vergussmassen und Zuschlagstoffe für Einpressmörtel zur vorgespannten Bewehrung</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Produkte zur Bewehrung und Vorspannung von Beton</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1201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Stangen, Stäbe, gekerbter Bandstahl, Matten und räumliche (Fachwerk-)Bewehrung oder Kompositmaterialien und industriell durch Formung hergestellte Erzeugnisse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1202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Fasern zur Erhöhung der Beton- und Mörtelfestigkeit einschließlich Einpressmörteln (Streubewehrung)</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dem Zweck:</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Konstruktionsbeton</w:t>
            </w:r>
            <w:r>
              <w:rPr>
                <w:sz w:val="20"/>
                <w:szCs w:val="20"/>
                <w:vertAlign w:val="superscript"/>
              </w:rPr>
              <w:t>b</w:t>
            </w:r>
            <w:r>
              <w:rPr>
                <w:sz w:val="20"/>
                <w:szCs w:val="20"/>
              </w:rPr>
              <w:t>) und -mörtel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sonstigen Beton und Mörtel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1203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Vorspannprodukte, insbesondere Draht, Seile, Gewindestangen gerippt, flach oder glatt und Vorspannkabel</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1204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Systeme zum Nachspannen von Konstruktionen mit Ausnahme von Rohren und Hülsen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1205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Schutz- und Führungsrohre und -hülsen für Vorspannprodukte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Metallprofile, flache Metallprodukte, Gusstücke und Schmiedeteile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1301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Warmgewalzte, kaltgeformte oder anderweitig gefertigte Metallquerschnitte (-profile) unterschiedlicher Formen (T, L, H, U, Z, I), Rinnen, Hohlprofile, Rohre, Flachmaterial (Platten, Bleche, Bänder), Stangen (ausgenommen solche zur Bewehrung und Vorspannung), Gussstücke und Schmiedeteile, ohne oder mit Korrosionsschutz durch Anstrich, zur Verwendung in Baukonstruktionen aus Metall oder in Baukonstruktionen in Kombination von Metall und anderen Werkstoffen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Mauerelemente und Ergänzungsprodukte</w:t>
            </w:r>
          </w:p>
        </w:tc>
      </w:tr>
      <w:tr w:rsidR="00F43CFB" w:rsidRPr="004363D5" w:rsidTr="008E04D0">
        <w:trPr>
          <w:jc w:val="center"/>
        </w:trPr>
        <w:tc>
          <w:tcPr>
            <w:tcW w:w="478" w:type="dxa"/>
            <w:vMerge w:val="restart"/>
          </w:tcPr>
          <w:p w:rsidR="00F43CFB" w:rsidRPr="004363D5" w:rsidRDefault="00F43CFB" w:rsidP="00A358E1">
            <w:pPr>
              <w:pStyle w:val="TableParagraph"/>
              <w:spacing w:before="0" w:line="276" w:lineRule="auto"/>
              <w:ind w:left="0" w:right="30"/>
              <w:rPr>
                <w:sz w:val="20"/>
                <w:szCs w:val="20"/>
              </w:rPr>
            </w:pPr>
            <w:r>
              <w:rPr>
                <w:sz w:val="20"/>
                <w:szCs w:val="20"/>
              </w:rPr>
              <w:t>1401</w:t>
            </w:r>
          </w:p>
        </w:tc>
        <w:tc>
          <w:tcPr>
            <w:tcW w:w="5436" w:type="dxa"/>
            <w:vMerge w:val="restart"/>
          </w:tcPr>
          <w:p w:rsidR="00F43CFB" w:rsidRPr="004363D5" w:rsidRDefault="00F43CFB" w:rsidP="00A358E1">
            <w:pPr>
              <w:pStyle w:val="TableParagraph"/>
              <w:spacing w:before="0" w:line="276" w:lineRule="auto"/>
              <w:ind w:left="0" w:right="30"/>
              <w:rPr>
                <w:sz w:val="20"/>
                <w:szCs w:val="20"/>
              </w:rPr>
            </w:pPr>
            <w:r>
              <w:rPr>
                <w:sz w:val="20"/>
                <w:szCs w:val="20"/>
              </w:rPr>
              <w:t>Mauerelemente, gegebenenfalls mit integrierten, inneren oder äußeren Wärmedämmstoffen, ausgenommen Schalungsformsteine, Pflasterelemente, Formsteine für Schornsteineinsatzrohre und -platten in einfacher Geschosshöhe</w:t>
            </w:r>
          </w:p>
        </w:tc>
        <w:tc>
          <w:tcPr>
            <w:tcW w:w="2271" w:type="dxa"/>
            <w:gridSpan w:val="2"/>
          </w:tcPr>
          <w:p w:rsidR="00F43CFB" w:rsidRPr="004363D5" w:rsidRDefault="00F43CFB" w:rsidP="00A358E1">
            <w:pPr>
              <w:pStyle w:val="TableParagraph"/>
              <w:spacing w:before="0" w:line="276" w:lineRule="auto"/>
              <w:ind w:left="0" w:right="30"/>
              <w:rPr>
                <w:sz w:val="20"/>
                <w:szCs w:val="20"/>
              </w:rPr>
            </w:pPr>
            <w:r>
              <w:rPr>
                <w:sz w:val="20"/>
                <w:szCs w:val="20"/>
              </w:rPr>
              <w:t>Nach Kategorie:</w:t>
            </w:r>
            <w:r>
              <w:rPr>
                <w:sz w:val="20"/>
                <w:szCs w:val="20"/>
                <w:vertAlign w:val="superscript"/>
              </w:rPr>
              <w:t>i</w:t>
            </w:r>
            <w:r>
              <w:rPr>
                <w:sz w:val="20"/>
                <w:szCs w:val="20"/>
              </w:rPr>
              <w:t>)</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szCs w:val="20"/>
              </w:rPr>
              <w:t>Kategorie I</w:t>
            </w:r>
          </w:p>
        </w:tc>
        <w:tc>
          <w:tcPr>
            <w:tcW w:w="597" w:type="dxa"/>
          </w:tcPr>
          <w:p w:rsidR="00F43CFB" w:rsidRPr="004363D5" w:rsidRDefault="00F43CFB" w:rsidP="00A358E1">
            <w:pPr>
              <w:pStyle w:val="TableParagraph"/>
              <w:spacing w:before="0" w:line="276" w:lineRule="auto"/>
              <w:ind w:left="0" w:right="30"/>
              <w:rPr>
                <w:sz w:val="20"/>
                <w:szCs w:val="20"/>
              </w:rPr>
            </w:pPr>
            <w:r>
              <w:rPr>
                <w:sz w:val="20"/>
                <w:szCs w:val="20"/>
              </w:rPr>
              <w:t>2+</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szCs w:val="20"/>
              </w:rPr>
              <w:t>Kategorie II</w:t>
            </w:r>
          </w:p>
        </w:tc>
        <w:tc>
          <w:tcPr>
            <w:tcW w:w="597" w:type="dxa"/>
          </w:tcPr>
          <w:p w:rsidR="00F43CFB" w:rsidRPr="004363D5" w:rsidRDefault="00F43CFB" w:rsidP="00A358E1">
            <w:pPr>
              <w:pStyle w:val="TableParagraph"/>
              <w:spacing w:before="0" w:line="276" w:lineRule="auto"/>
              <w:ind w:left="0" w:right="30"/>
              <w:rPr>
                <w:sz w:val="20"/>
                <w:szCs w:val="20"/>
              </w:rPr>
            </w:pPr>
            <w:r>
              <w:rPr>
                <w:sz w:val="20"/>
                <w:szCs w:val="20"/>
              </w:rPr>
              <w:t>4</w:t>
            </w:r>
          </w:p>
        </w:tc>
      </w:tr>
      <w:tr w:rsidR="00F43CFB" w:rsidRPr="004363D5" w:rsidTr="008E04D0">
        <w:trPr>
          <w:jc w:val="center"/>
        </w:trPr>
        <w:tc>
          <w:tcPr>
            <w:tcW w:w="478" w:type="dxa"/>
            <w:vMerge/>
          </w:tcPr>
          <w:p w:rsidR="00F43CFB" w:rsidRPr="004363D5" w:rsidRDefault="00F43CFB" w:rsidP="00A358E1">
            <w:pPr>
              <w:pStyle w:val="TableParagraph"/>
              <w:spacing w:before="0" w:line="276" w:lineRule="auto"/>
              <w:ind w:left="0"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2271" w:type="dxa"/>
            <w:gridSpan w:val="2"/>
          </w:tcPr>
          <w:p w:rsidR="00F43CFB" w:rsidRPr="004363D5" w:rsidRDefault="00F43CFB" w:rsidP="00A358E1">
            <w:pPr>
              <w:pStyle w:val="TableParagraph"/>
              <w:spacing w:before="0" w:line="276" w:lineRule="auto"/>
              <w:ind w:left="0" w:right="30"/>
              <w:rPr>
                <w:sz w:val="20"/>
                <w:szCs w:val="20"/>
              </w:rPr>
            </w:pPr>
            <w:r>
              <w:rPr>
                <w:sz w:val="20"/>
                <w:szCs w:val="20"/>
              </w:rPr>
              <w:t>Für einen Zweck, für den die PPB mit der Gliederung gemäß TRO:</w:t>
            </w:r>
            <w:r>
              <w:rPr>
                <w:sz w:val="20"/>
                <w:szCs w:val="20"/>
                <w:vertAlign w:val="superscript"/>
              </w:rPr>
              <w:t>j</w:t>
            </w:r>
            <w:r>
              <w:rPr>
                <w:sz w:val="20"/>
                <w:szCs w:val="20"/>
              </w:rPr>
              <w:t>) gelten</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F43CFB" w:rsidRPr="004363D5" w:rsidRDefault="00F43CFB" w:rsidP="00A358E1">
            <w:pPr>
              <w:pStyle w:val="TableParagraph"/>
              <w:spacing w:before="0" w:line="276" w:lineRule="auto"/>
              <w:ind w:left="0" w:right="30"/>
              <w:rPr>
                <w:sz w:val="20"/>
                <w:szCs w:val="20"/>
              </w:rPr>
            </w:pPr>
            <w:r>
              <w:rPr>
                <w:sz w:val="20"/>
                <w:szCs w:val="20"/>
              </w:rPr>
              <w:t>1</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F43CFB" w:rsidRPr="004363D5" w:rsidRDefault="00F43CFB" w:rsidP="00A358E1">
            <w:pPr>
              <w:pStyle w:val="TableParagraph"/>
              <w:spacing w:before="0" w:line="276" w:lineRule="auto"/>
              <w:ind w:left="0" w:right="30"/>
              <w:rPr>
                <w:sz w:val="20"/>
                <w:szCs w:val="20"/>
              </w:rPr>
            </w:pPr>
            <w:r>
              <w:rPr>
                <w:sz w:val="20"/>
                <w:szCs w:val="20"/>
              </w:rPr>
              <w:t>3</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szCs w:val="20"/>
              </w:rPr>
              <w:t>(A1 bis E) gemäß § 4 Absatz 1, F</w:t>
            </w:r>
          </w:p>
        </w:tc>
        <w:tc>
          <w:tcPr>
            <w:tcW w:w="597" w:type="dxa"/>
          </w:tcPr>
          <w:p w:rsidR="00F43CFB" w:rsidRPr="004363D5" w:rsidRDefault="00F43CF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1402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Zusätzliche Mauerwerksbauteile, insbesondere Zangen, Zugstangen, Bänder, stützende Winkel, Konsolen, Stürze und Stahlbewehrung für Lager- und Stoßfugen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lastRenderedPageBreak/>
              <w:t>Einbauschalungssysteme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1501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Schalungssysteme auf Basis von Hohlblöcken (Schalungsformsteine) oder Platten, verbunden mit Spreizen aus Isolierwerkstoff oder einer Kombination von Isolier- und anderem Werkstoff, ausgefüllt mit Beton, gegebenenfalls mit bewehrtem Beton, für nichttragende oder tragende Innen- und auch Außenwände bestimmt</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 (A1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1502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Schalungssysteme auf Basis von Beton-Schalungsformsteinen oder von Betonplatten, verbunden mit Spreizen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Tragfähigkeit: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tragende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nichttragende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Tragende Elemente der Konstruktion von Gebäuden und Tiefbauten</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1601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Konstruktiveb) vorgefertigte Träger, Binder, Säulen und Platten aus Betonc) oder aus gemauerten Elementen und aus Metall, ohne oder mit Korrosionsschutz durch Anstrich, verschweißt oder nicht verschweißt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1602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Konstruktiveb) Träger, Binder, Säulen und Platten aus Leimholz</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1603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Konstruktiveb) Träger, Binder, Säulen und Platten aus Naturholz</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Brandverhaltensklasse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 (A1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1604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Leichte Verbundträger und Stützen aus Holz mit mindestens einem Konstruktionsbestandteil aus Holz</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1605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Vorgefertigte Konstruktionsplatten</w:t>
            </w:r>
            <w:r>
              <w:rPr>
                <w:sz w:val="20"/>
                <w:szCs w:val="20"/>
                <w:vertAlign w:val="superscript"/>
              </w:rPr>
              <w:t>b</w:t>
            </w:r>
            <w:r>
              <w:rPr>
                <w:sz w:val="20"/>
                <w:szCs w:val="20"/>
              </w:rPr>
              <w:t>) aus Holz in Form von geschlossenen oder offenen Kassetten, von innen oder von außen ummantelt, gegebenenfalls mit Membran, Isolierung, Bewehrungs- und Befestigungselementen für Wand-, Fußboden-, Dachkonstruktionen u. Ä.</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1606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Betonschwellen</w:t>
            </w:r>
            <w:r>
              <w:rPr>
                <w:sz w:val="20"/>
                <w:szCs w:val="20"/>
                <w:vertAlign w:val="superscript"/>
              </w:rPr>
              <w:t>c</w:t>
            </w:r>
            <w:r>
              <w:rPr>
                <w:sz w:val="20"/>
                <w:szCs w:val="20"/>
              </w:rPr>
              <w:t>) ohne oder mit Ausstattung für Eisenbahn- und Straßenbahntrassen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1607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Bau-</w:t>
            </w:r>
            <w:r>
              <w:rPr>
                <w:sz w:val="20"/>
                <w:szCs w:val="20"/>
                <w:vertAlign w:val="superscript"/>
              </w:rPr>
              <w:t>b</w:t>
            </w:r>
            <w:r>
              <w:rPr>
                <w:sz w:val="20"/>
                <w:szCs w:val="20"/>
              </w:rPr>
              <w:t>) Sandwichplatten mit Metallumhüllung</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Sonstige Eigenschaften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Für den Zweck, auf den sich die Brandsicherheitsvorschriften (PPB) beziehen, mit Gliederung nach Art der </w:t>
            </w:r>
            <w:r>
              <w:rPr>
                <w:sz w:val="20"/>
                <w:szCs w:val="20"/>
              </w:rPr>
              <w:lastRenderedPageBreak/>
              <w:t>Brandverhaltensklasse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anfällig für Änderung im Herstellungsverfahren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eingestuft ohne Prüfung gemäß § 4 Absatz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mit anderem Charakter als oben gemäß § 4 Absatz 2 Buchstabe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Bausätze für Gebäude und Gebäudeeinheiten</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1701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Bausätze für vorgefertigte Holzrahmen- oder Blockhäuser</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1702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Bausätze für Stahlskelettbauten oder für Betonskelettbautenc)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1703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Vorgefertigte Gebäudeeinheiten mit Ausnahme von vorgefertigten Garagen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1704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Bausätze für Kühlgebäude und Bausätze für Kühlgebäudehüllen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1705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Vorgefertigte Garagen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Vorgefertigte tragende Tafeln aus Holz und leichte Verbundelemente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1801</w:t>
            </w:r>
          </w:p>
        </w:tc>
        <w:tc>
          <w:tcPr>
            <w:tcW w:w="5436" w:type="dxa"/>
            <w:vMerge w:val="restart"/>
          </w:tcPr>
          <w:p w:rsidR="00C155AB" w:rsidRPr="004363D5" w:rsidRDefault="00C155AB" w:rsidP="00A358E1">
            <w:pPr>
              <w:pStyle w:val="TableParagraph"/>
              <w:spacing w:before="0" w:line="276" w:lineRule="auto"/>
              <w:ind w:left="0" w:right="30"/>
              <w:jc w:val="both"/>
              <w:rPr>
                <w:sz w:val="20"/>
                <w:szCs w:val="20"/>
              </w:rPr>
            </w:pPr>
            <w:r>
              <w:rPr>
                <w:sz w:val="20"/>
                <w:szCs w:val="20"/>
              </w:rPr>
              <w:t>Platten aus Holz in Form von flächig verbundenem Naturholz, Furnierschichtholz (LVL), Sperrholzplatten, Platten aus gerichteten Spänen (OSB) und zement- oder harzgebundenen Spanplatten sowie von im Nass- oder Trockenverfahren gefertigten Faserplatten mit eventuellem Gehalt an chemischen Stoffen zur Verbesserung des Brandverhaltens und der Beständigkeit gegenüber Einwirkungen biotischer Faktoren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Zweck und Brandverhalten: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Bauelementeb)</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 (A1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nichttragende Elemente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1802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Selbsttragende (Sandwich-)Isolierplatten mit beidseitiger Metallumhüllung</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auf den sich die PPB mit der Gliederung gemäß TRO oder die RVO-Prüferfordernisse beziehen: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281A6A" w:rsidRDefault="00C155AB" w:rsidP="00A358E1">
            <w:pPr>
              <w:pStyle w:val="TableParagraph"/>
              <w:spacing w:before="0" w:line="276" w:lineRule="auto"/>
              <w:ind w:left="0" w:right="30"/>
              <w:rPr>
                <w:sz w:val="20"/>
                <w:szCs w:val="20"/>
                <w:lang w:val="pt-PT"/>
              </w:rPr>
            </w:pPr>
            <w:r w:rsidRPr="00281A6A">
              <w:rPr>
                <w:sz w:val="20"/>
                <w:szCs w:val="20"/>
                <w:lang w:val="pt-PT"/>
              </w:rPr>
              <w:t xml:space="preserve">(A1, A2, B, C) gemäß § 4 Absatz 2 </w:t>
            </w:r>
            <w:r w:rsidRPr="00281A6A">
              <w:rPr>
                <w:sz w:val="20"/>
                <w:szCs w:val="20"/>
                <w:lang w:val="pt-PT"/>
              </w:rPr>
              <w:lastRenderedPageBreak/>
              <w:t>Buchstabe a, (A1FL, A2FL, BFL, CFL)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lastRenderedPageBreak/>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 (A1FL, A2FL, BFL, CFL) gemäß § 4 Absatz 2 Buchstabe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 (A1FL bis EFL) gemäß § 4 Absatz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Produkte mit Prüferfordernis auf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Abtrennung von Brandabschnitten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Verwendung gemäß Gefahrstoffvorschriften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1803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Selbsttragende leichte Verbundelemente (außer Produkten der Gruppe 1802), bestehend aus einer Ummantelung (aus verschiedenen organischen, mineralischen oder metallischen Werkstoffen), die von außen oder auch von innen mit einem eventuellen Innenrahmen oder auch mit einem Dämmkern verbunden ist, und die für Innenwand- und Außenwand-, Decken- und Dachkonstruktionen und Wandverkleidungen vorgesehen sind</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auf den sich die PPB mit der Gliederung gemäß TRO oder die RVO-Prüferfordernisse beziehen: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281A6A" w:rsidRDefault="00C155AB" w:rsidP="00A358E1">
            <w:pPr>
              <w:pStyle w:val="TableParagraph"/>
              <w:spacing w:before="0" w:line="276" w:lineRule="auto"/>
              <w:ind w:left="0" w:right="30"/>
              <w:rPr>
                <w:sz w:val="20"/>
                <w:szCs w:val="20"/>
                <w:lang w:val="pt-PT"/>
              </w:rPr>
            </w:pPr>
            <w:r w:rsidRPr="00281A6A">
              <w:rPr>
                <w:sz w:val="20"/>
                <w:szCs w:val="20"/>
                <w:lang w:val="pt-PT"/>
              </w:rPr>
              <w:t>(A1, A2, B, C) gemäß § 4 Absatz 2 Buchstabe a, (A1FL, A2FL, BFL, CFL)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 (A1FL, A2FL, BFL, CFL) gemäß § 4 Absatz 2 Buchstabe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bis E) gemäß § 4 Absatz 1, F, (A1FL bis EFL) </w:t>
            </w:r>
            <w:r>
              <w:rPr>
                <w:sz w:val="20"/>
                <w:szCs w:val="20"/>
              </w:rPr>
              <w:lastRenderedPageBreak/>
              <w:t>gemäß § 4 Absatz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lastRenderedPageBreak/>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Produkte mit Prüferfordernis auf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Abtrennung von Brandabschnitten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Verwendung gemäß Gefahrstoffvorschriften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Wärmedämmprodukte und Systeme</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1901</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Wärmedämmsysteme zum äußeren Wärmeschutz von Wänden (ETICS) auf der Grundlage von mechanisch befestigten oder geklebten Wärmedämmplatten</w:t>
            </w: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Für Grundzweckd)</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II+ (2+)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 (1)</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(A1, A2, B, C) gemäß § 4 Absatz 2 Buchstabe b, D, E, (A1 bis E) gemäß § 4 Absatz 1, F</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1902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Wärmedämmsysteme zum äußeren Wärmeschutz von Wänden (Vetures), bestehend aus äußeren Verkleidungselementen, der Wärmedämmschicht und Befestigungselementen. Die Verkleidungselemente können bereits mit der Dämmschicht verbunden geliefert werden, oder diese Elemente werden auf der Baustelle verbunden. Sie werden so befestigt, dass zwischen Dämmschicht und Wand kein Luftspalt entsteht</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1903</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1904</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1905</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1906</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Wärmedämmerzeugnisse in Form von Platten, Matten, Rollen oder in anderer Form für Gebäude</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Wärmedämmerzeugnisse vor Ort geformt oder aufgetragen aus geschüttetem, geblasenem oder geschäumtem Material für Gebäude</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Wärmedämmerzeugnisse unterschiedlicher Formen für technische Gebäudeausrüstung und für industrielle Installationen</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Wärmedämmerzeugnisse für Straßen, Eisenbahnstrecken und andere Anwendungen im Bauwesen (leichte Füll- und Frostschutzdämmungen, Verringerung der Erdreich-Seitenpressung bei Stützmauern und Brückenpfeilern, Lastverteilung bei in Kanälen verlegter Rohrleitung u. ä.)</w:t>
            </w: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I (1)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(A1 bis E) gemäß § 4 Absatz 1, F</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IV (4)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lastRenderedPageBreak/>
              <w:t>Leichte Bauwerkshüllen und selbsttragende Dachsysteme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2001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Einhängewände</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Konstruktive</w:t>
            </w:r>
            <w:r>
              <w:rPr>
                <w:sz w:val="20"/>
                <w:szCs w:val="20"/>
                <w:vertAlign w:val="superscript"/>
              </w:rPr>
              <w:t>b</w:t>
            </w:r>
            <w:r>
              <w:rPr>
                <w:sz w:val="20"/>
                <w:szCs w:val="20"/>
              </w:rPr>
              <w:t>) geklebte Wände mit Glasfassade, oder Dächer des gleichen Systems mit einer Mindestneigung von 7°, mit mechanischer Übertragung der Eigenlast und der sonstigen Lasten (z. B. durch Wind und Schnee) in den abdichtenden Stützrahmen und nachfolgend in die Gebäudekonstruktion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Typ:k)</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Typen I und III</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Typen II und IV</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2003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Selbsttragende lichtdurchlässige Dachsysteme ausgenommen Bausätze aus Glas</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auf den sich die PPB mit der Gliederung gemäß TRO oder die RVO-Prüferfordernisse beziehen: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Produkte mit Prüferfordernis auf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Produkte ohne Prüferfordernis auf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F90EC5">
        <w:trPr>
          <w:jc w:val="center"/>
        </w:trPr>
        <w:tc>
          <w:tcPr>
            <w:tcW w:w="8185" w:type="dxa"/>
            <w:gridSpan w:val="4"/>
          </w:tcPr>
          <w:p w:rsidR="00C202C6" w:rsidRPr="004363D5" w:rsidRDefault="00C155AB" w:rsidP="0060285B">
            <w:pPr>
              <w:pStyle w:val="TableParagraph"/>
              <w:keepNext/>
              <w:spacing w:before="0" w:line="276" w:lineRule="auto"/>
              <w:ind w:left="0" w:right="29"/>
              <w:jc w:val="center"/>
              <w:rPr>
                <w:b/>
                <w:sz w:val="20"/>
                <w:szCs w:val="20"/>
              </w:rPr>
            </w:pPr>
            <w:r>
              <w:rPr>
                <w:b/>
                <w:sz w:val="20"/>
                <w:szCs w:val="20"/>
              </w:rPr>
              <w:t>Dachdeckungen, Dachfenster und Oberlichter</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2101</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2102</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2103</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2104</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Dachsteine, Platten, Dachpfannen, Schindeln und Formsteine - Keramik, Beton, Faserzement, Schiefer, Stein, Kunststoff, Bitumen u. ä.</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Flache und profilierte Tafeln aus Metallblech, Kunststoff u. ä.</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Industriell gefertigte Verbund- und Sandwich-Dachplatten mit oder ohne Dämmung</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Dachfenster und Oberlichter</w:t>
            </w: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IV (4) III (3)</w:t>
            </w:r>
            <w:r>
              <w:rPr>
                <w:sz w:val="20"/>
                <w:szCs w:val="20"/>
                <w:vertAlign w:val="superscript"/>
              </w:rPr>
              <w:t>l</w:t>
            </w:r>
            <w:r>
              <w:rPr>
                <w:sz w:val="20"/>
                <w:szCs w:val="20"/>
              </w:rPr>
              <w:t>)</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szCs w:val="20"/>
              </w:rPr>
              <w:t>Für einen Zweck, auf den sich die PPB mit der Gliederung gemäß TRO oder die RVO-Prüferfordernisse beziehen:</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 (1)</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(A1 bis E) gemäß § 4 Absatz 1, F</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IV (4)</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Produkte mit Prüferfordernis auf RVO</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Produkte ohne Prüferfordernis auf RVO</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IV (4)</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Zur Verwendung in Brandabschnitten</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Zur Verwendung zur Unterstützung der Dachsteifigkeit</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Zur Verwendung gemäß Gefahrstoffvorschriften (PNL)</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Membran- und Guss-Dacherzeugnisse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2201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Dampfsperren und dampfdurchlässige Schichten, Dachunterschichten und beschichtete Dachfolien und andere Membranbeschichtungen für Dächer</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Bemerkung: Die Produkte sind in den Gruppen 0403, 0404 und 0405 enthalten</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Flüssig aufgebrachte wasserdichte Dachsysteme</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auf den sich die PPB mit der Gliederung gemäß TRO oder die RVO-Prüferfordernisse beziehen: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Produkte mit Prüferfordernis auf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Produkte ohne Prüferfordernis auf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Verwendung gemäß Gefahrstoffvorschriften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2203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Wasserdichte Dachabdichtungssysteme, die vor Ort durch Gussasphalt oder Sprühschaum aufgebracht werden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auf den sich die PPB mit der Gliederung gemäß TRO oder die RVO-Prüferfordernisse beziehen: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w:t>
            </w:r>
            <w:r>
              <w:rPr>
                <w:sz w:val="20"/>
                <w:szCs w:val="20"/>
              </w:rPr>
              <w:lastRenderedPageBreak/>
              <w:t>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lastRenderedPageBreak/>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Produkte mit Prüferfordernis auf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Produkte ohne Prüferfordernis auf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Verwendung gemäß Gefahrstoffvorschriften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2204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Systeme von mechanisch befestigten, elastischen, wasserdichten Beschichtungsbahnen einschließlich des Systems zur Befestigung, zur Verbindung und zum Umsäumen, gegebenenfalls auch mit Wärmedämmung</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2205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Hydroisolierende und/oder wärmeisolierende geklebte Dachsysteme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2206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Umgekehrte Dachisolierverbände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Dachzubehör und andere Produkte für Dächer</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2301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Dachzugangssysteme, insbesondere Dachstege und -stufen, Trittflächen, Sicherheits-Dachhaken und Ankerelemente für Dachwartung und -reparaturen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2302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Dachfliesen, Firstziegel, Blechverkleidung der Dachkehle, Dachkrallen, Gesims- und Untersichtsplatten für Dächer</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2303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Feste flache oder profilierte Unterlagsplatten unter Dacheindeckung</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Verwendung gemäß Gefahrstoffvorschriften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Türen, Tore und Beschläge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2401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Brandschutztüren / rauchdichte Türen und Tore mit/ohne Beschläge(n) für Trennkonstruktionen von Brandabschnitten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2402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Türen und Tore mit/ohne Beschläge(n) zu Fluchtwegen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2403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Baubeschläge (Bänder, Verschlüsse, Schließvorrichtungen u. ä.) </w:t>
            </w:r>
            <w:r>
              <w:rPr>
                <w:sz w:val="20"/>
                <w:szCs w:val="20"/>
              </w:rPr>
              <w:lastRenderedPageBreak/>
              <w:t>für Brandschutztüren/rauchdichte Türen und Türen zu Fluchtwegen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2404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Türen und Tore mit/ohne Beschläge(n) mit deklarierter Verwendung nach Erfüllung spezifischer Anforderungen, insbesondere in Bezug auf Schall- und Wärmedämmung, Dichtigkeit und Gebrauchssicherheit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2405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Türen und Tore mit/ohne Beschläge(n) für Innenanwendung zwischen Räumen mit gleicher Umgebung</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Fenster</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2501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Brandschutzfenster/rauchdichte Fenster mit/ohne Beschläge(n) für Trennkonstruktionen von Brandabschnitten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2502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Fenster mit/ohne Beschläge(n) für Fluchtwege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2503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Sonstige Fenster mit/ohne Beschläge(n)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Fensterladen und Rollladen</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2601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Fensterladen und Rollladen mit/ohne Beschläge(n) für Außenverwendung</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Spezifische Produkte aus Glas, glasähnlichem Werkstoff und Material zum Verglasen</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2701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Flach- und Wölbglastafeln, Profilglas mit/ohne Drahteinlage, Isolierglaselemente, Glasbausteine und daraus gefertigte Platten für Glassysteme, Wandplatten aus Glasblöcken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spezifischen Eigenschaften oder einem spezifischen Zweck:</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brandbeständig</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durchschuss- und/oder explosionsbeständig</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sicher (Unfallrisiko)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wärmedämmend und/oder schalldämmend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auf den sich die PPB mit der Gliederung gemäß TRO oder die RVO-Prüferfordernisse beziehen: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Produkte mit Prüferfordernis auf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2702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Flach- und Wölbglastafeln aus glasähnlichem Werkstoff</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spezifischen Eigenschaften oder einem spezifischen Zweck:</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brandbeständig</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durchschuss- und/oder explosionsbeständig</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sicher (Unfallrisiko)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wärmedämmend und/oder </w:t>
            </w:r>
            <w:r>
              <w:rPr>
                <w:sz w:val="20"/>
                <w:szCs w:val="20"/>
              </w:rPr>
              <w:lastRenderedPageBreak/>
              <w:t>schalldämmend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lastRenderedPageBreak/>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auf den sich die PPB mit der Gliederung gemäß TRO oder die RVO-Prüferfordernisse beziehen: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Produkte mit Prüferfordernis auf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2703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Glaserkitt, ausgenommen Aquarienkitt, konstruktive</w:t>
            </w:r>
            <w:r>
              <w:rPr>
                <w:sz w:val="20"/>
                <w:szCs w:val="20"/>
                <w:vertAlign w:val="superscript"/>
              </w:rPr>
              <w:t>b</w:t>
            </w:r>
            <w:r>
              <w:rPr>
                <w:sz w:val="20"/>
                <w:szCs w:val="20"/>
              </w:rPr>
              <w:t>) Verglasungen, Verkitten von Isolierglas, horizontale Verglasung bis zu einer Neigung von &lt; 70 und Verkitten von organischem Glas aus Polykarbonat, Polymethylmethacrylat u. Ä.</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2704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Kitt zum Verkitten von organischem Glas aus Polykarbonat, Polymethylmethacrylat u. ä.</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Vorgefertigte Treppen und Treppensysteme</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2801</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Vorgefertigte komplette Treppensysteme (ausgenommen Balken- und Dachgeschosstreppen)</w:t>
            </w: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II+ (2+)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 (1)</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(A1 bis E) gemäß § 4 Absatz 1, F</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szCs w:val="20"/>
              </w:rPr>
              <w:t>2802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Vorgefertigte Treppen aus Betonc)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2803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Platten aus Beton, Terrazzo u. Ä. für Treppenstufen im Innen- und Außenraum</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Tragfähigkeit: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tragende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nichttragende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Trennwandsysteme und Kitt für Trenn- und Innenwände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2901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Selbsttragende Trennwandsysteme für festen oder demontierbaren Einbau</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Trennung von Brandabschnitten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Sicher (Unfallrisiko)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Zur Verwendung </w:t>
            </w:r>
            <w:r>
              <w:rPr>
                <w:sz w:val="20"/>
                <w:szCs w:val="20"/>
              </w:rPr>
              <w:lastRenderedPageBreak/>
              <w:t>gemäß Gefahrstoffvorschriften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lastRenderedPageBreak/>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2902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Kitt für Trenn- und Innenwände</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Gipsprodukte für Wände, Trennwände und Decken</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3001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Gipssteine und Gipskleber für nichttragende Trennwände, für Wandverkleidungen und Brandschutz (Formsteine sind nicht für Decken bestimmt)</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Zum Brandschutz</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Gipskarton und Deckenelemente mit dünner Oberflächengestaltung, Fasergipsplatten und Verbundplatten (Laminate) und Gipsputz einschließlich entsprechender Zusatzprodukte</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den Brandschutz von konstruktiven Elementen und zur Trennung von Brandabschnitten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Zur Verstrebung von Holzrahmenwänden und des </w:t>
            </w:r>
            <w:r>
              <w:rPr>
                <w:sz w:val="20"/>
                <w:szCs w:val="20"/>
              </w:rPr>
              <w:lastRenderedPageBreak/>
              <w:t>Holzdachstuhls</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lastRenderedPageBreak/>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Produkte für Pflasterungen und Fußböden</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3101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3102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Pflasterelemente, Matten, Mosaiken, Fries und Parkett, Deckgitter und -platten, Fußbodenroste und Treppenhausstufen, feste Laminatfußböden, Erzeugnisse aus Holz für Innenanwendung einschließlich interne öffentliche Verkehrswege</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Hohlfußbodensysteme für Innenanwendung einschließlich öffentliche Verkehrswege im Innenbereich</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Brandverhaltensklasse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281A6A" w:rsidRDefault="00C155AB" w:rsidP="00A358E1">
            <w:pPr>
              <w:pStyle w:val="TableParagraph"/>
              <w:spacing w:before="0" w:line="276" w:lineRule="auto"/>
              <w:ind w:left="0" w:right="30"/>
              <w:rPr>
                <w:sz w:val="20"/>
                <w:szCs w:val="20"/>
                <w:lang w:val="pt-PT"/>
              </w:rPr>
            </w:pPr>
            <w:r w:rsidRPr="00281A6A">
              <w:rPr>
                <w:sz w:val="20"/>
                <w:szCs w:val="20"/>
                <w:lang w:val="pt-PT"/>
              </w:rPr>
              <w:t>(A1FL, A2FL, BFL, CFL)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(A1FL, A2FL, BFL, CFL) gemäß § 4 Absatz 2 Buchstabe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(A1FL bis EFL) gemäß § 4 Absatz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Verwendung gemäß Gefahrstoffvorschriften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3103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Estrich unter Fußböden, Ausgleichsstoffe, gegossene Fußböden und Schüttungen, Estrich auf Fußböden einschließlich öffentliche Verkehrswege im Innenbereich</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Zur Innenanwendung gemäß Brandverhaltensklasse: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281A6A" w:rsidRDefault="00C155AB" w:rsidP="00A358E1">
            <w:pPr>
              <w:pStyle w:val="TableParagraph"/>
              <w:spacing w:before="0" w:line="276" w:lineRule="auto"/>
              <w:ind w:left="0" w:right="30"/>
              <w:rPr>
                <w:sz w:val="20"/>
                <w:szCs w:val="20"/>
                <w:lang w:val="pt-PT"/>
              </w:rPr>
            </w:pPr>
            <w:r w:rsidRPr="00281A6A">
              <w:rPr>
                <w:sz w:val="20"/>
                <w:szCs w:val="20"/>
                <w:lang w:val="pt-PT"/>
              </w:rPr>
              <w:t>(A1FL, A2FL, BFL, CFL)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3104</w:t>
            </w:r>
          </w:p>
        </w:tc>
        <w:tc>
          <w:tcPr>
            <w:tcW w:w="5436" w:type="dxa"/>
            <w:vMerge w:val="restart"/>
          </w:tcPr>
          <w:p w:rsidR="00C155AB" w:rsidRPr="004363D5" w:rsidRDefault="00C155AB" w:rsidP="00A358E1">
            <w:pPr>
              <w:pStyle w:val="TableParagraph"/>
              <w:spacing w:before="0" w:line="276" w:lineRule="auto"/>
              <w:ind w:left="0" w:right="30"/>
              <w:jc w:val="both"/>
              <w:rPr>
                <w:sz w:val="20"/>
                <w:szCs w:val="20"/>
              </w:rPr>
            </w:pPr>
            <w:r>
              <w:rPr>
                <w:sz w:val="20"/>
                <w:szCs w:val="20"/>
              </w:rPr>
              <w:t>Homogene und heterogene elastische Matten als Fliesen, Tafeln oder Rollen geliefert, und zwar als Textil-, Kunststoff-, Gummi-, Linoleum-, Kork-, antistatische Tafeln, elastische Laminatfußböden und elastische Fliesen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(A1FL, A2FL, BFL, CFL) gemäß § 4 Absatz 2 Buchstabe b, DFL, EFL, (A1FL bis EFL) gemäß § 4 Absatz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Außenanwendung</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3105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Anstrichstoffe für Oberflächengestaltung von Fußböden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Produkte für Wand- und Deckenverkleidungen, einschließlich abgehängte Decken und Zubehör</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3201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3202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Verkleidungen in Rollenform, Verkleidungselemente, Schindeln, Platten [ausgenommen Betonplatten</w:t>
            </w:r>
            <w:r>
              <w:rPr>
                <w:sz w:val="20"/>
                <w:szCs w:val="20"/>
                <w:vertAlign w:val="superscript"/>
              </w:rPr>
              <w:t>c</w:t>
            </w:r>
            <w:r>
              <w:rPr>
                <w:sz w:val="20"/>
                <w:szCs w:val="20"/>
              </w:rPr>
              <w:t xml:space="preserve">)], Paneele und Profile für Wand- und Deckenverkleidungen im Innen- und Außenbereich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Systeme abgehängter Decken im Innen- und Außenraum</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Zum Brandschutzm)</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Armierungn)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Sicher (Unfallrisiko)o)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Verwendung gemäß Gefahrstoffvorschriften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3203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Profile zur Befestigung von Wand- und Deckenverkleidungen und Einhängerahmen zur Befestigung abgehängter Decken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3204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Mörtel und Kleber für Verkleidungselemente im Innen- und Außenraum</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3205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Verkleidungssysteme für Außenwände zum Schutz vor Witterungseinflüssen, gegebenenfalls mit Beitrag zur Wärmedämmung von Außenwänden, ausgenommen Komponenten dieser gesondert gelieferten Systeme und ausgenommen Systeme der Gruppen 1901, 1902 und 2002</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3206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Vorgefertigte Metallrahmen zum Einhängen von schweren abgehängten Decken, ohne oder mit Korrosionsschutz durch Anstrich, verschweißt oder nicht verschweißt</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Brandverhaltensklasse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gemäß § 4 Absatz 2 </w:t>
            </w:r>
            <w:r>
              <w:rPr>
                <w:sz w:val="20"/>
                <w:szCs w:val="20"/>
              </w:rPr>
              <w:lastRenderedPageBreak/>
              <w:t>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lastRenderedPageBreak/>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 (A1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Verbindungselemente, Schweißmaterial und Kleber</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Verbindungselemente für aus Metall bestehende konstruktiveb) Teile von Bauwerken, insbesondere Nieten, Bolzen, Zapfen und Schrauben mit Muttern und Unterlegscheiben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Verbindungsmittel für Erzeugnisse aus Konstruktionsholzb), insbesondere Holzdübel, geteilte Ringdübel, Knaggen, zylindrische Verbinder aus Stahl und Holz, Holzschrauben, Gewindebolzen und -stifte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Gleitplatten und Knotenplatten mit Ausstanzungen für Erzeugnisse aus Konstruktionsholz</w:t>
            </w:r>
            <w:r>
              <w:rPr>
                <w:sz w:val="20"/>
                <w:szCs w:val="20"/>
                <w:vertAlign w:val="superscript"/>
              </w:rPr>
              <w:t>b</w:t>
            </w:r>
            <w:r>
              <w:rPr>
                <w:sz w:val="20"/>
                <w:szCs w:val="20"/>
              </w:rPr>
              <w: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Dreidimensionale Nagelplattenbinder für Erzeugnisse aus Konstruktionsholzb)</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Metallanker für Beton (Typen für leichte Systeme) zur Befestigung oder Abstützung von leichten abgehängten Decken, Installationen u. ä.</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Metallanker für Beton (hochbelastbare Typen), zur Befestigung oder Abstützung von Konstruktionselementenb) aus Beton oder von schweren Bauteilen, wie Verkleidungen und abgehängten Decken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3307</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Injektions-(Verguss-)Metallanker für Mauerwerk zur Befestigung oder Abstützung von Konstruktionselementenb) zur Stabilisierung des Bauwerks oder von schweren Bauteilen, wie Bauwerkshüllen und Installationen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3308</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Anker aus Kunststoff oder anderem Material für Beton und Mauerwerk für Systeme wie Fassadensysteme, einschließlich Wärmedämmsysteme, und zwar zur Befestigung oder Abstützung von Elementen zur Stabilisierung dieser Systeme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3309</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Werkstoffe zum Schweißen von konstruktivenb) Metallteilen von Bauten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3310</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Stift- und Schnittschrauben und Nieten aus Metall mit abdichtenden Unterlegscheiben zum Befestigen von leichten Fassadensystemen und Dacheindeckungen von Schrägdächern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3311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Fixatoren aus Kunststoffaufsätzen oder tellerförmigen Unterlegscheiben und Stift- und Schnittschrauben für wasserisolierende und wärmedämmende Schichten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3312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Dehnungszapfen, die wechselseitige Bewegungen zwischen verbundenen Platten oder zwischen Platte und Wand ermöglichen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3313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Kleber zur Verwendung in konstruktiven</w:t>
            </w:r>
            <w:r>
              <w:rPr>
                <w:sz w:val="20"/>
                <w:szCs w:val="20"/>
                <w:vertAlign w:val="superscript"/>
              </w:rPr>
              <w:t>b</w:t>
            </w:r>
            <w:r>
              <w:rPr>
                <w:sz w:val="20"/>
                <w:szCs w:val="20"/>
              </w:rPr>
              <w:t>) Teilen von Bauten und im Tiefbau</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3314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Verankerungsvorrichtungen, die in Gebäuden verwendet werden und zur Verhinderung eines Sturzes von Personen aus großer Höhe oder zum Aufhalten eines Sturzes aus großer Höhe verwendet werden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Rohre, Becken und Zubehör für Trinkwasser11)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3401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Rohrleitungs- und Speichersysteme, bestehend aus Produkten der Gruppen 3402 bis 3409</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3402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Rohre für druckbeaufschlagte und drucklose Trinkwasserverteilungen innerhalb oder außerhalb von Gebäuden, an der Oberfläche oder unterirdisch verlegt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3403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Anschlussschläuche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3404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Druckbeaufschlagte und drucklose Behälter einschließlich Warmwasserspeicher, an der Oberfläche oder unterirdisch verlegt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3405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Schutz- und Sicherheitseinrichtungen, wie Leckmelder, Kapazitätsüberwachung u. ä.</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3406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Formstücke, Kupplungen, Lötmaterial, Kleber und Dichtungen zur dichten Verbindung von festen, elastischen und formbaren Rohrleitungen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3407</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Armaturen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3408</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Pumpen und Wasseruhren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3409</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Membranen, Bitumen, Beschichtungen, Einsätze und Schmierstoffe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Rohre, Behälter und Zubehör für Nutz- und Speisewasser</w:t>
            </w:r>
            <w:r>
              <w:rPr>
                <w:b/>
                <w:sz w:val="20"/>
                <w:szCs w:val="20"/>
                <w:vertAlign w:val="superscript"/>
              </w:rPr>
              <w:t>11</w:t>
            </w:r>
            <w:r>
              <w:rPr>
                <w:b/>
                <w:sz w:val="20"/>
                <w:szCs w:val="20"/>
              </w:rPr>
              <w:t>), Gas und flüssige Brennstoffe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3501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Erzeugnisse für Transport, Verteilung und Lagerung von Nutzwasser, wie Rohre, Anschlussschläuche, Behälter, Leckmelder, Kapazitätsüberwachung, Formstücke, Kupplungen, Lötmaterial, Kleber, Dichtungen, Rohrleitungshalter (ohne Anker), Pumpen, Armaturen und Sicherheitseinrichtungen sowie Rohrleitungs- und Behältersysteme aus diesen Erzeugnissen bestehend</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Heizsysteme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w:t>
            </w:r>
            <w:r>
              <w:rPr>
                <w:sz w:val="20"/>
                <w:szCs w:val="20"/>
                <w:vertAlign w:val="superscript"/>
              </w:rPr>
              <w:t>p</w:t>
            </w:r>
            <w:r>
              <w:rPr>
                <w:sz w:val="20"/>
                <w:szCs w:val="20"/>
              </w:rPr>
              <w:t>)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3502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Erzeugnisse für Transport, Verteilung und Lagerung von Gas oder </w:t>
            </w:r>
            <w:r>
              <w:rPr>
                <w:sz w:val="20"/>
                <w:szCs w:val="20"/>
              </w:rPr>
              <w:lastRenderedPageBreak/>
              <w:t>flüssigem Brennstoff vom externen Behälter, der letzten Druckreduktionsstelle oder vom ersten Trennventil (immer außerhalb des Gebäudes) bis zum Eintritt in das System der Warmwasserbereitung, Heizung oder Gebäudekühlung, wie Rohre, Anschlussschläuche, Behälter, Leckmelder, Kapazitätsüberwachung, Formstücke, Kupplungen, Lötmaterial, Kleber, Dichtungen, Rohrleitungshalter (ohne Anker), Armaturen und Sicherheitseinrichtungen sowie Rohrleitungs- und Behältersysteme aus diesen Erzeugnissen bestehend</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lastRenderedPageBreak/>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Brandschutzvorschriften (PPB) gelten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Installationen in Räumen, in denen Brandbeständigkeit gefordert wird</w:t>
            </w:r>
            <w:r>
              <w:rPr>
                <w:sz w:val="20"/>
                <w:szCs w:val="20"/>
                <w:vertAlign w:val="superscript"/>
              </w:rPr>
              <w:t>q</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Produkte zur Stromverteilung, Steuerung und Kommunikation</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3601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Kabel zur Stromverteilung, Steuerung und Kommunikation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Aca, B1ca, B2ca, Cca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Dca, Eca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Fca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(Brandschutzvorschriften) für Brandbeständigkeit gelten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Zur Verwendung gemäß Gefahrstoffvorschriften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szCs w:val="20"/>
              </w:rPr>
              <w:t>3602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3603</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3604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Roste, Rinnen, Kanäle, Ausleger, Stege und Aufhängungen zur Ablage von Kabeln und Produkte zur Befestigung von Kabeln zur Stromverteilung, Steuerung und Kommunikation</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Produkte zum Verlöten von Kabeln (Dosen und Gehäuse) zur Stromverteilung, Steuerung und Kommunikation</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Elektrische Niederspannungs-Schaltanlagen zur Stromverteilung sowie zur Steuerung und Kommunikation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(Brandschutzvorschriften) für Brandbeständigkeit gelten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3605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Kabelzubehör (Kabel-Elektroinstallationsrohre, -leisten, -kanäle, -dosen u. ä.)</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Zwecke, für die die Brandschutzvorschriften (PPB) für die Brandausbreitung und für einen verringerten Gehalt an Halogenen gelten</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Schornsteine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3701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Metallprodukte für Schornsteinsysteme (ausgenommen Rauchkappen), gebrannte/keramische oder Beton-Schornsteineinsätze, Formsteine und -elemente der Außenhülle, Werkstoffe für gemauerte Einsätze und Stahl-Fertigteile und Einsätze von frei stehenden Schornsteinen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3702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Schornsteinsysteme mit Kunststoffeinsätzen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w:t>
            </w:r>
            <w:r>
              <w:rPr>
                <w:sz w:val="20"/>
                <w:szCs w:val="20"/>
              </w:rPr>
              <w:lastRenderedPageBreak/>
              <w:t>(2+) IV (4)</w:t>
            </w:r>
            <w:r>
              <w:rPr>
                <w:sz w:val="20"/>
                <w:szCs w:val="20"/>
                <w:vertAlign w:val="superscript"/>
              </w:rPr>
              <w:t>r</w:t>
            </w:r>
            <w:r>
              <w:rPr>
                <w:sz w:val="20"/>
                <w:szCs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3703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Rauchkappen, ausgenommen Kunststoffaufsätze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Heizeinrichtungen und hitzebeständige Elemente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3801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3802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3803</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3804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Feuerungsanlagen für Festbrennstoffe zum Beheizen von Wohnräumen, wie Kachelöfen, Öfen und Einbausätze (Kamineinsätze u. Ä.)</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Festbrennstoffgeräte zum Kochen im Haushalt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Heizkörper für flüssige oder gasförmige Brennstoffe</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Heizkörper ohne eigene Energiequelle, insbesondere Radiatoren, Konvektoren, Warmluftkonvektoren einschließlich Ventilatoren, Heizleisten und -schlitze, Deckenheizstrahler und weitere ortsfeste Heizkörper, Wand- und Fußbodenheizsysteme</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3805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Hitzebeständige Elemente, Mörtel und Auskleidungselemente zur Errichtung von Einbaueinsätzen für Festbrennstoffe zum Beheizen von Wohnräumen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F90EC5">
        <w:trPr>
          <w:jc w:val="center"/>
        </w:trPr>
        <w:tc>
          <w:tcPr>
            <w:tcW w:w="8185" w:type="dxa"/>
            <w:gridSpan w:val="4"/>
          </w:tcPr>
          <w:p w:rsidR="00C155AB" w:rsidRPr="004363D5" w:rsidRDefault="00C155AB" w:rsidP="00A358E1">
            <w:pPr>
              <w:pStyle w:val="TableParagraph"/>
              <w:spacing w:before="0" w:line="276" w:lineRule="auto"/>
              <w:ind w:left="0" w:right="30"/>
              <w:jc w:val="center"/>
              <w:rPr>
                <w:b/>
                <w:sz w:val="20"/>
                <w:szCs w:val="20"/>
              </w:rPr>
            </w:pPr>
            <w:r>
              <w:rPr>
                <w:b/>
                <w:sz w:val="20"/>
                <w:szCs w:val="20"/>
              </w:rPr>
              <w:t>Sanitäreinrichtungen und -material</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3901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Spülbecken, Waschbecken, Abflussrinnen, Bidets, Badewannen, Wirbelwannen und Duschtassen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3902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Dusch- und Wannenvorhänge und Schutzverkleidungen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3903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Bausätze von Toilettenmodulen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3904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Urinale, Toilettenpfannen, Trocken-, Chemikalien- und Humusklosetts, Klosetts mit einer Fäkalienzerkleinerungseinrichtung, Hockklosetts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3905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Spülkästen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3906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Öffentliche Toiletten in Modulbauweise und vorgefertigte Toiletten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Brandverhaltensklasse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lastRenderedPageBreak/>
              <w:t>3907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Kitt zum Verbinden von Elementen von Sanitäreinrichtungen, ausgenommen Kitt bei industriellen Anwendungen, in Trinkwasserverteilungen, bei Kontakt mit Lebensmitteln und bei Unterwasseranwendungen, wie Schwimmbecken, Abwasserleitungen u. Ä.</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Produkte für den Brandschutz und zur Explosionsunterdrückung</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4001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4002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Produkte für den Brandschutz oder zur Verbesserung der Brandbeständigkeit, insbesondere Anstriche, Beschichtungen oder Bekleidungen, ausgenommen Gipsprodukte, Produkte aus Mineralwolle und Stahlbeton-Fertigteile</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Produkte zur Verhinderung oder zur Eindämmung einer Brandausbreitung, wie Kitt, Dichtungen, Schaum, Elastomere u. ä., vor Ort angewandt, oder in Form von Fertigerzeugnissen, wie Platten, Blöcke, Kissen, Taschen, Wundverbände, Ärmel u. ä., Brandschutzdichtungen an Durchgängen, Dichtungen von Linearverbindungen, Rohrleitungen mit Brandbeständigkeit und Brandsperren</w:t>
            </w:r>
            <w:r>
              <w:rPr>
                <w:sz w:val="20"/>
                <w:szCs w:val="20"/>
                <w:vertAlign w:val="superscript"/>
              </w:rPr>
              <w:t>12</w:t>
            </w:r>
            <w:r>
              <w:rPr>
                <w:sz w:val="20"/>
                <w:szCs w:val="20"/>
              </w:rPr>
              <w:t>) wie Brandschutzklappen, Hauben und Förderbandverschlüsse</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4003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Ventilationsgeräte für natürliche oder Zwangsableitung von Wärme und Verbrennungsgasen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4004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Ventilationssysteme und Druckdifferenzsysteme zur Ableitung von Verbrennungsprodukten und Hitze oder ihre Komponenten, wie Rauchvorhänge, Klappen, Lüftungsleitungen, Detektoren, Pulte zur Betätigung und Notschaltung einschließlich Energiequelle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4005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Systeme zur Explosionsunterdrückung und ihre Komponenten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Ortsfeste Löschanlagen</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4101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Hydranten und Löschanlagen - Schlauchanlagen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4102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Komponenten von Sprinkleranlagen und ähnlichen Löschanlagen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4103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Komponenten von Gas-Löschanlagen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4104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Komponenten von Pulver-Löschanlagen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4105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Komponenten von Schaum-Löschanlagen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4106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Komponenten von Aerosol-Löschanlagen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Brandmelde-Komponenten und -einrichtungen</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4201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Elektrische Brandmeldung - Einrichtungen der akustischen Alarm-Brandmeldung</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4202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Elektrische Brandmeldung - Stromversorgungsgeräte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4203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Elektrische Brandmeldung - punktuelle Thermomeldungsgeber</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4204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Elektrische Brandmeldung - punktuelle Rauchmelder auf der Basis von Lichtstreuung, Lichtdurchdringung oder Ionisierung</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4205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Elektrische Brandmeldung - linienförmige Rauchmelder auf Basis des Lichtstrahls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4206</w:t>
            </w:r>
          </w:p>
        </w:tc>
        <w:tc>
          <w:tcPr>
            <w:tcW w:w="5436" w:type="dxa"/>
          </w:tcPr>
          <w:p w:rsidR="00C155AB" w:rsidRPr="004363D5" w:rsidRDefault="00C155AB" w:rsidP="00A358E1">
            <w:pPr>
              <w:pStyle w:val="TableParagraph"/>
              <w:spacing w:before="0" w:line="276" w:lineRule="auto"/>
              <w:ind w:left="0" w:right="30"/>
              <w:jc w:val="both"/>
              <w:rPr>
                <w:sz w:val="20"/>
                <w:szCs w:val="20"/>
              </w:rPr>
            </w:pPr>
            <w:r>
              <w:rPr>
                <w:sz w:val="20"/>
                <w:szCs w:val="20"/>
              </w:rPr>
              <w:t xml:space="preserve">Komponenten von Brandmeldeeinrichtungen, die nicht in den Gruppen 4201 bis 4205 enthalten sind - Rauch- Hitze- und </w:t>
            </w:r>
            <w:r>
              <w:rPr>
                <w:sz w:val="20"/>
                <w:szCs w:val="20"/>
              </w:rPr>
              <w:lastRenderedPageBreak/>
              <w:t>Flammenmelder, Brandmeldezentralen, Einrichtungen zur Übertragung des Alarmsignals einschließlich Kurzschlussschutz von Übertragungswegen, Alarmeinrichtungen, I/O-Einrichtungen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Druckknopfmelder und zusammenhängende Stromversorgungseinrichtungen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4207</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Kombinierte Brand- und Alarmmeldeeinrichtungen, Brandmeldesysteme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Anstrich- und Penetrierstoffe und -systeme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4301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4302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4303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Anstrich- und Penetrierstoffe und -systeme zum Korrosions- und Alterungsschutz von Konstruktionsteilen von Bauten ausgenommen Schutz von Betonbauten und Brandschutz</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Anstrichsysteme zum Korrosionsschutz von Rohrleitungssystemen und Behältern aus Metall</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Anstrichsysteme zum Alterungsschutz von Wärmedämmungen und Anstrichsysteme zum Feuchteschutz</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Schalldämmungs- und Antivibrationsprodukte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4401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4402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Systeme für Schwimmfußböden zur Vibrations- und Schalldämmung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Systeme für Wände zur Vibrations- und Schalldämmung</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Grundzweckd)</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4403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Antivibrationselemente zur Befestigung von Installationen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Produkte für die Reparatur und den Schutz von Betonkonstruktionen</w:t>
            </w:r>
            <w:r>
              <w:rPr>
                <w:b/>
                <w:sz w:val="20"/>
                <w:szCs w:val="20"/>
                <w:vertAlign w:val="superscript"/>
              </w:rPr>
              <w:t>c</w:t>
            </w:r>
            <w:r>
              <w:rPr>
                <w:b/>
                <w:sz w:val="20"/>
                <w:szCs w:val="20"/>
              </w:rPr>
              <w:t>)</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4501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4502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4503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Produkte für die Reparatur von Betonkonstruktionenc), z. B. zur Ausfüllung von Hohlräumen, zum Kitten von Rissen u. Ä.</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Produkte zur zusätzlichen Verstärkung von Betonkonstruktionenc), z. B. Metall- oder Verbundlamellen, die auf die behandelte Oberfläche von Trägern u. Ä. geklebt werden</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Produkte für die Reparatur von Betonkonstruktionen</w:t>
            </w:r>
            <w:r>
              <w:rPr>
                <w:sz w:val="20"/>
                <w:szCs w:val="20"/>
                <w:vertAlign w:val="superscript"/>
              </w:rPr>
              <w:t>c</w:t>
            </w:r>
            <w:r>
              <w:rPr>
                <w:sz w:val="20"/>
                <w:szCs w:val="20"/>
              </w:rPr>
              <w:t>), z. B. zum Imprägnieren der Betonoberfläche, zum Korrosionsschutz der Bewehrung u. Ä.</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dem Zweck:</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konstruktive</w:t>
            </w:r>
            <w:r>
              <w:rPr>
                <w:sz w:val="20"/>
                <w:szCs w:val="20"/>
                <w:vertAlign w:val="superscript"/>
              </w:rPr>
              <w:t>b</w:t>
            </w:r>
            <w:r>
              <w:rPr>
                <w:sz w:val="20"/>
                <w:szCs w:val="20"/>
              </w:rPr>
              <w:t>) Teile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übrige Teile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Nach Brandverhaltensklasse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lastRenderedPageBreak/>
              <w:t>Spezielle Produkte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4601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Fertigsilos aus Beton</w:t>
            </w:r>
            <w:r>
              <w:rPr>
                <w:sz w:val="20"/>
                <w:szCs w:val="20"/>
                <w:vertAlign w:val="superscript"/>
              </w:rPr>
              <w:t>c</w:t>
            </w:r>
            <w:r>
              <w:rPr>
                <w:sz w:val="20"/>
                <w:szCs w:val="20"/>
              </w:rPr>
              <w:t>) für Schüttgut und auf der Erdoberfläche stehende oder in den Erdboden eingelassene Container für feste Abfälle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4602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Fertigteile aus Beton</w:t>
            </w:r>
            <w:r>
              <w:rPr>
                <w:sz w:val="20"/>
                <w:szCs w:val="20"/>
                <w:vertAlign w:val="superscript"/>
              </w:rPr>
              <w:t>c</w:t>
            </w:r>
            <w:r>
              <w:rPr>
                <w:sz w:val="20"/>
                <w:szCs w:val="20"/>
              </w:rPr>
              <w:t>) für wenig beanspruchte und nichttragende Bauteile ausgenommen Rohre, Behälter und Zaunelemente, z. B. Fernmeldeschränke, kleine Einlasskästen, Elemente nichttragender Wände, Verkleidungsplatten u. Ä.</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4603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Fertigteilelemente aus Beton</w:t>
            </w:r>
            <w:r>
              <w:rPr>
                <w:sz w:val="20"/>
                <w:szCs w:val="20"/>
                <w:vertAlign w:val="superscript"/>
              </w:rPr>
              <w:t>c</w:t>
            </w:r>
            <w:r>
              <w:rPr>
                <w:sz w:val="20"/>
                <w:szCs w:val="20"/>
              </w:rPr>
              <w:t>) für Zäune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4604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Fertigteil-Nasszellen mit Brandsperre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4605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Systeme zum Schutz gegen Steinschlag für den Tiefbau</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4606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Feuerwehraufzüge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4607</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Systeme zur Sanierung von feuchtem Mauerwerk</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4608</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Systeme zur Verglasung von Balkonen und Loggien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4609</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Produkte für Oberflächen von Kinderspielplätzen</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Zur Innenanwendung gemäß Brandverhaltensklasse: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281A6A" w:rsidRDefault="00C155AB" w:rsidP="00A358E1">
            <w:pPr>
              <w:pStyle w:val="TableParagraph"/>
              <w:spacing w:before="0" w:line="276" w:lineRule="auto"/>
              <w:ind w:left="0" w:right="30"/>
              <w:rPr>
                <w:sz w:val="20"/>
                <w:szCs w:val="20"/>
                <w:lang w:val="pt-PT"/>
              </w:rPr>
            </w:pPr>
            <w:r w:rsidRPr="00281A6A">
              <w:rPr>
                <w:sz w:val="20"/>
                <w:szCs w:val="20"/>
                <w:lang w:val="pt-PT"/>
              </w:rPr>
              <w:t>(A1FL, A2FL, BFL, CFL)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(A1FL, A2FL, BFL, CFL) gemäß § 4 Absatz 2 Buchstabe b, DFL, EFL, (A1FL bis EFL) gemäß § 4 Absatz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Außenanwendung</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4610</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Systeme wasserdichter Fußboden- und Wandbeschichtungen oder -verkleidungen in Feuchträumen, z. B. Bäder, Waschräume und Waschhäuser</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4611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Kitte und Erzeugnisse für die Wärmeausdehnung von Gebäudeaußenwänden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einen Zweck, für den die PPB mit der Gliederung gemäß TRO gelten:</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A2, B, C) gemäß § 4 Absatz 2 Buchstabe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p>
        </w:tc>
        <w:tc>
          <w:tcPr>
            <w:tcW w:w="5436" w:type="dxa"/>
          </w:tcPr>
          <w:p w:rsidR="00C155AB" w:rsidRPr="004363D5" w:rsidRDefault="00C155AB" w:rsidP="00A358E1">
            <w:pPr>
              <w:pStyle w:val="TableParagraph"/>
              <w:spacing w:before="0" w:line="276" w:lineRule="auto"/>
              <w:ind w:left="0"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(A1 bis E) gemäß § 4 Absatz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szCs w:val="20"/>
              </w:rPr>
              <w:t>4612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Schutzgeländer für Gebäude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4613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Feuchtigkeits- und wärmeisolierende Systeme für Bau und Sanierung von Balkonen, Loggien und Terrassen (Balkonsysteme)</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Für den Zweck, auf den sich die Brandsicherheitsvorschriften (PPB) beziehen, mit </w:t>
            </w:r>
            <w:r>
              <w:rPr>
                <w:sz w:val="20"/>
                <w:szCs w:val="20"/>
              </w:rPr>
              <w:lastRenderedPageBreak/>
              <w:t>Gliederung nach Art der Brandverhaltensklasse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anfällig für Änderung im Herstellungsverfahren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eingestuft ohne Prüfung gemäß § 4 Absatz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mit anderem Charakter als oben gemäß § 4 Absatz 2 Buchstabe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4614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Lüftungsleitungen und -rohre für die Belüftung von Bauten und Vorrichtungen zur Wärmerückgewinnung</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Für Grundzweck</w:t>
            </w:r>
            <w:r>
              <w:rPr>
                <w:sz w:val="20"/>
                <w:szCs w:val="20"/>
                <w:vertAlign w:val="superscript"/>
              </w:rPr>
              <w:t>d</w:t>
            </w:r>
            <w:r>
              <w:rPr>
                <w:sz w:val="20"/>
                <w:szCs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Für den Zweck, auf den sich die Brandsicherheitsvorschriften (PPB) beziehen, mit Gliederung nach Art der Brandverhaltensklasse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anfällig für Änderung im Herstellungsverfahren gemäß § 4 Absatz 2 Buchstabe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eingestuft ohne Prüfung gemäß § 4 Absatz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TRO mit anderem Charakter als oben gemäß § 4 Absatz 2 Buchstabe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III (3)</w:t>
            </w:r>
          </w:p>
        </w:tc>
      </w:tr>
    </w:tbl>
    <w:p w:rsidR="00C202C6" w:rsidRPr="004363D5" w:rsidRDefault="00C202C6" w:rsidP="00A358E1">
      <w:pPr>
        <w:pStyle w:val="BodyText"/>
        <w:spacing w:line="276" w:lineRule="auto"/>
        <w:ind w:right="30"/>
        <w:rPr>
          <w:sz w:val="20"/>
          <w:szCs w:val="20"/>
        </w:rPr>
      </w:pPr>
    </w:p>
    <w:p w:rsidR="009A7616" w:rsidRPr="004363D5" w:rsidRDefault="00F72AF9" w:rsidP="00A358E1">
      <w:pPr>
        <w:pStyle w:val="BodyText"/>
        <w:spacing w:line="276" w:lineRule="auto"/>
        <w:ind w:left="450" w:right="30"/>
        <w:rPr>
          <w:sz w:val="20"/>
          <w:szCs w:val="20"/>
        </w:rPr>
      </w:pPr>
      <w:r>
        <w:rPr>
          <w:sz w:val="20"/>
          <w:szCs w:val="20"/>
        </w:rPr>
        <w:t>Verwendete Abkürzungen:</w:t>
      </w:r>
    </w:p>
    <w:p w:rsidR="00814F6F" w:rsidRPr="004363D5" w:rsidRDefault="00F72AF9" w:rsidP="00A358E1">
      <w:pPr>
        <w:pStyle w:val="BodyText"/>
        <w:spacing w:line="276" w:lineRule="auto"/>
        <w:ind w:left="450" w:right="30"/>
        <w:rPr>
          <w:sz w:val="20"/>
          <w:szCs w:val="20"/>
        </w:rPr>
      </w:pPr>
      <w:r>
        <w:rPr>
          <w:sz w:val="20"/>
          <w:szCs w:val="20"/>
        </w:rPr>
        <w:t xml:space="preserve">ETICS – External Thermal Insulation Composite System (äußeres wärmeisolierendes Verbund- / Kontaktsystem); </w:t>
      </w:r>
    </w:p>
    <w:p w:rsidR="009A7616" w:rsidRPr="004363D5" w:rsidRDefault="00F72AF9" w:rsidP="00A358E1">
      <w:pPr>
        <w:pStyle w:val="BodyText"/>
        <w:spacing w:line="276" w:lineRule="auto"/>
        <w:ind w:left="450" w:right="30"/>
        <w:rPr>
          <w:sz w:val="20"/>
          <w:szCs w:val="20"/>
        </w:rPr>
      </w:pPr>
      <w:r>
        <w:rPr>
          <w:sz w:val="20"/>
          <w:szCs w:val="20"/>
        </w:rPr>
        <w:t>PNL – Gefahrstoffvorschriften;</w:t>
      </w:r>
    </w:p>
    <w:p w:rsidR="00814F6F" w:rsidRPr="004363D5" w:rsidRDefault="00F72AF9" w:rsidP="00A358E1">
      <w:pPr>
        <w:pStyle w:val="BodyText"/>
        <w:spacing w:line="276" w:lineRule="auto"/>
        <w:ind w:left="450" w:right="30"/>
        <w:rPr>
          <w:sz w:val="20"/>
          <w:szCs w:val="20"/>
        </w:rPr>
      </w:pPr>
      <w:r>
        <w:rPr>
          <w:sz w:val="20"/>
          <w:szCs w:val="20"/>
        </w:rPr>
        <w:t xml:space="preserve">PPB – Brandschutzvorschriften; </w:t>
      </w:r>
    </w:p>
    <w:p w:rsidR="009A7616" w:rsidRPr="004363D5" w:rsidRDefault="00F72AF9" w:rsidP="00A358E1">
      <w:pPr>
        <w:pStyle w:val="BodyText"/>
        <w:spacing w:line="276" w:lineRule="auto"/>
        <w:ind w:left="450" w:right="30"/>
        <w:rPr>
          <w:sz w:val="20"/>
          <w:szCs w:val="20"/>
        </w:rPr>
      </w:pPr>
      <w:r>
        <w:rPr>
          <w:sz w:val="20"/>
          <w:szCs w:val="20"/>
        </w:rPr>
        <w:t>PTFE – Polytetrafluorethylen;</w:t>
      </w:r>
    </w:p>
    <w:p w:rsidR="009A7616" w:rsidRPr="004363D5" w:rsidRDefault="00F72AF9" w:rsidP="00A358E1">
      <w:pPr>
        <w:pStyle w:val="BodyText"/>
        <w:spacing w:line="276" w:lineRule="auto"/>
        <w:ind w:left="450" w:right="30"/>
        <w:rPr>
          <w:sz w:val="20"/>
          <w:szCs w:val="20"/>
        </w:rPr>
      </w:pPr>
      <w:r>
        <w:rPr>
          <w:sz w:val="20"/>
          <w:szCs w:val="20"/>
        </w:rPr>
        <w:t>RVO – Brandverhalten bei Brandeinwirkung von außen;</w:t>
      </w:r>
    </w:p>
    <w:p w:rsidR="00814F6F" w:rsidRPr="004363D5" w:rsidRDefault="00F72AF9" w:rsidP="00A358E1">
      <w:pPr>
        <w:pStyle w:val="BodyText"/>
        <w:spacing w:line="276" w:lineRule="auto"/>
        <w:ind w:left="450" w:right="30"/>
        <w:rPr>
          <w:sz w:val="20"/>
          <w:szCs w:val="20"/>
        </w:rPr>
      </w:pPr>
      <w:r>
        <w:rPr>
          <w:sz w:val="20"/>
          <w:szCs w:val="20"/>
        </w:rPr>
        <w:t xml:space="preserve">SPP – Leistungsbewertungssystem; </w:t>
      </w:r>
    </w:p>
    <w:p w:rsidR="009A7616" w:rsidRPr="004363D5" w:rsidRDefault="00F72AF9" w:rsidP="00A358E1">
      <w:pPr>
        <w:pStyle w:val="BodyText"/>
        <w:spacing w:line="276" w:lineRule="auto"/>
        <w:ind w:left="450" w:right="30"/>
        <w:rPr>
          <w:sz w:val="20"/>
          <w:szCs w:val="20"/>
        </w:rPr>
      </w:pPr>
      <w:r>
        <w:rPr>
          <w:sz w:val="20"/>
          <w:szCs w:val="20"/>
        </w:rPr>
        <w:t>TRO – Brandverhaltensklasse,</w:t>
      </w:r>
    </w:p>
    <w:p w:rsidR="009A7616" w:rsidRPr="004363D5" w:rsidRDefault="009A7616" w:rsidP="00A358E1">
      <w:pPr>
        <w:pStyle w:val="BodyText"/>
        <w:spacing w:line="276" w:lineRule="auto"/>
        <w:ind w:left="450" w:right="30"/>
        <w:rPr>
          <w:sz w:val="20"/>
          <w:szCs w:val="20"/>
        </w:rPr>
      </w:pPr>
    </w:p>
    <w:p w:rsidR="009A7616" w:rsidRPr="004363D5" w:rsidRDefault="00F72AF9" w:rsidP="00A358E1">
      <w:pPr>
        <w:pStyle w:val="BodyText"/>
        <w:spacing w:line="276" w:lineRule="auto"/>
        <w:ind w:left="450" w:right="30"/>
        <w:rPr>
          <w:sz w:val="20"/>
          <w:szCs w:val="20"/>
        </w:rPr>
      </w:pPr>
      <w:r>
        <w:rPr>
          <w:sz w:val="20"/>
          <w:szCs w:val="20"/>
        </w:rPr>
        <w:t>Erläuterungen:</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a</w:t>
      </w:r>
      <w:r>
        <w:rPr>
          <w:sz w:val="20"/>
          <w:szCs w:val="20"/>
        </w:rPr>
        <w:t xml:space="preserve">) Die Leistungsbewertungssysteme I+, I, II+, III und IV sind Systeme gemäß § 3 Absatz 1 und werden angewandt, wenn für Produkte festgelegte Normen oder Technische Bewertungen SK gelten. Gelten für Produkte harmonisierte Normen oder Europäische Technische Bewertungen, werden die </w:t>
      </w:r>
      <w:r>
        <w:rPr>
          <w:sz w:val="20"/>
          <w:szCs w:val="20"/>
        </w:rPr>
        <w:lastRenderedPageBreak/>
        <w:t>Leistungsbewertungssysteme gemäß § 3 Absatz 4 angewandt. Für Produkte in den Gruppen, für die Europäische Bewertungsdokumente gemäß Artikel 2 Absatz 12 der Verordnung (EU) Nr. 305/2011 gelten, sind die konkreten Leistungsbewertungssysteme gemäß § 3 Absatz 4, die angewandt werden, wenn die Produkte mit der gemäß dem Europäischen Bewertungsdokument herausgegebenen Europäischen Technischen Bewertung in Übereinstimmung stehen, in Klammern angegeben. Steht jedoch ein solches Produkt mit der Technischen Bewertung SK in Übereinstimmung, werden die konkreten Leistungsbewertungssysteme gemäß § 3 Absatz 1 angewandt.</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b</w:t>
      </w:r>
      <w:r>
        <w:rPr>
          <w:sz w:val="20"/>
          <w:szCs w:val="20"/>
        </w:rPr>
        <w:t>) Der Ausdruck „konstruktiv“ charakterisiert den Verwendungszweck eines Produkts im Bauwerk als Teil der Konstruktion des Bauwerks, das die Stabilität des Bauwerks gewährleistet (tragendes Element), oder als selbstständiges Element, das auch äußere Lasten (z. B. die Windlast) überträgt.</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c</w:t>
      </w:r>
      <w:r>
        <w:rPr>
          <w:sz w:val="20"/>
          <w:szCs w:val="20"/>
        </w:rPr>
        <w:t>) Die Ausdrücke „Beton-“ oder „aus Beton“ charakterisieren Produkte, die aus verdichtetem Beton, Leichtbeton oder Porenbeton, und zwar mit oder ohne Bewehrung, hergestellt sind.</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d</w:t>
      </w:r>
      <w:r>
        <w:rPr>
          <w:sz w:val="20"/>
          <w:szCs w:val="20"/>
        </w:rPr>
        <w:t>) Grundzweck ist ein Verwendungszweck des Produkts im Bauwerk, bei dem für eine Gruppe oder Gruppen von Produkten kein spezifischer Zweck oder keine spezifische Verwendung in solchen Bauwerken oder solchen Teilen von Bauwerken angegeben wird, für die spezielle Vorschriften, Anforderungen oder Eigenschaften gelten, die im Text unter dem Grundzweck angegeben werden. Werden ein oder mehrere Systeme der Leistungsbewertung, die unter Beachtung der Spezifika verlangt werden, angewendet, so werden dieses System oder diese Systeme zusammen mit dem für den Grundzweck festgelegten System angewendet; hierbei erteilt der Hersteller nur eine einzige Leistungserklärung.</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e</w:t>
      </w:r>
      <w:r>
        <w:rPr>
          <w:sz w:val="20"/>
          <w:szCs w:val="20"/>
        </w:rPr>
        <w:t>) Gilt für die Gruppen 0401 und 0404.</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f</w:t>
      </w:r>
      <w:r>
        <w:rPr>
          <w:sz w:val="20"/>
          <w:szCs w:val="20"/>
        </w:rPr>
        <w:t>) Gilt für die Gruppen 0404 und 0405.</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g</w:t>
      </w:r>
      <w:r>
        <w:rPr>
          <w:sz w:val="20"/>
          <w:szCs w:val="20"/>
        </w:rPr>
        <w:t>) Die Zusammensetzung des Entwurfsmörtels und das Herstellungsverfahren werden mit dem Ziel gewählt, die spezifizierten Eigenschaften zu erreichen (Qualitätskonzept). Mörtel mit vorgeschriebener Zusammensetzung wird nach der vorgeschriebenen Rezeptur hergestellt (Rezepturkonzept).</w:t>
      </w:r>
    </w:p>
    <w:p w:rsidR="009A7616" w:rsidRPr="004363D5" w:rsidRDefault="00F72AF9" w:rsidP="003C4EEE">
      <w:pPr>
        <w:pStyle w:val="BodyText"/>
        <w:spacing w:line="276" w:lineRule="auto"/>
        <w:ind w:left="450" w:right="30"/>
        <w:jc w:val="both"/>
        <w:rPr>
          <w:sz w:val="20"/>
          <w:szCs w:val="20"/>
        </w:rPr>
      </w:pPr>
      <w:r>
        <w:rPr>
          <w:sz w:val="20"/>
          <w:szCs w:val="20"/>
          <w:vertAlign w:val="superscript"/>
        </w:rPr>
        <w:t>h</w:t>
      </w:r>
      <w:r>
        <w:rPr>
          <w:sz w:val="20"/>
          <w:szCs w:val="20"/>
        </w:rPr>
        <w:t>) Die Art I umfasst Beimischungen aus inerten oder fast inerten Werkstoffen. Die Art II umfasst Beimischungen aus aktiven</w:t>
      </w:r>
      <w:r w:rsidR="003C4EEE">
        <w:rPr>
          <w:sz w:val="20"/>
          <w:szCs w:val="20"/>
        </w:rPr>
        <w:t xml:space="preserve"> </w:t>
      </w:r>
      <w:bookmarkStart w:id="0" w:name="_GoBack"/>
      <w:bookmarkEnd w:id="0"/>
      <w:r>
        <w:rPr>
          <w:sz w:val="20"/>
          <w:szCs w:val="20"/>
        </w:rPr>
        <w:t>Werkstoffen.</w:t>
      </w:r>
    </w:p>
    <w:p w:rsidR="009A7616" w:rsidRPr="004363D5" w:rsidRDefault="00F72AF9" w:rsidP="00A358E1">
      <w:pPr>
        <w:pStyle w:val="BodyText"/>
        <w:spacing w:line="276" w:lineRule="auto"/>
        <w:ind w:left="450" w:right="30"/>
        <w:rPr>
          <w:sz w:val="20"/>
          <w:szCs w:val="20"/>
        </w:rPr>
      </w:pPr>
      <w:r>
        <w:rPr>
          <w:sz w:val="20"/>
          <w:szCs w:val="20"/>
          <w:vertAlign w:val="superscript"/>
        </w:rPr>
        <w:t>i</w:t>
      </w:r>
      <w:r>
        <w:rPr>
          <w:sz w:val="20"/>
          <w:szCs w:val="20"/>
        </w:rPr>
        <w:t>) Mauerelemente der Kategorie I haben eine garantierte Festigkeit auf Druck mit einer Beschädigungswahrscheinlichkeit von nicht mehr als 5 %, im Unterschied zur Kategorie II mit einem nicht garantierten Maß an Zuverlässigkeit.</w:t>
      </w:r>
    </w:p>
    <w:p w:rsidR="009A7616" w:rsidRPr="004363D5" w:rsidRDefault="00F72AF9" w:rsidP="00A358E1">
      <w:pPr>
        <w:pStyle w:val="BodyText"/>
        <w:spacing w:line="276" w:lineRule="auto"/>
        <w:ind w:left="450" w:right="30"/>
        <w:rPr>
          <w:sz w:val="20"/>
          <w:szCs w:val="20"/>
        </w:rPr>
      </w:pPr>
      <w:r>
        <w:rPr>
          <w:sz w:val="20"/>
          <w:szCs w:val="20"/>
          <w:vertAlign w:val="superscript"/>
        </w:rPr>
        <w:t>j</w:t>
      </w:r>
      <w:r>
        <w:rPr>
          <w:sz w:val="20"/>
          <w:szCs w:val="20"/>
        </w:rPr>
        <w:t>) Gilt nur für Elemente mit integrierten Wärmedämmstoffen, hierbei wird auch das System der Leistungsbewertung</w:t>
      </w:r>
      <w:r w:rsidR="003C4EEE">
        <w:rPr>
          <w:sz w:val="20"/>
          <w:szCs w:val="20"/>
        </w:rPr>
        <w:t xml:space="preserve"> </w:t>
      </w:r>
      <w:r>
        <w:rPr>
          <w:sz w:val="20"/>
          <w:szCs w:val="20"/>
        </w:rPr>
        <w:t>gemäß der Kategorie des Elements angewendet.</w:t>
      </w:r>
    </w:p>
    <w:p w:rsidR="009A7616" w:rsidRPr="004363D5" w:rsidRDefault="00F72AF9" w:rsidP="00A358E1">
      <w:pPr>
        <w:pStyle w:val="BodyText"/>
        <w:spacing w:line="276" w:lineRule="auto"/>
        <w:ind w:left="450" w:right="30"/>
        <w:rPr>
          <w:sz w:val="20"/>
          <w:szCs w:val="20"/>
        </w:rPr>
      </w:pPr>
      <w:r>
        <w:rPr>
          <w:sz w:val="20"/>
          <w:szCs w:val="20"/>
          <w:vertAlign w:val="superscript"/>
        </w:rPr>
        <w:t>k</w:t>
      </w:r>
      <w:r>
        <w:rPr>
          <w:sz w:val="20"/>
          <w:szCs w:val="20"/>
        </w:rPr>
        <w:t>) Systeme der Typen I und III enthalten im Unterschied zu Systemen der Typen II und IV Elemente, die das Risiko bei Versagen der Klebeverbindungen verringern.</w:t>
      </w:r>
    </w:p>
    <w:p w:rsidR="009A7616" w:rsidRPr="004363D5" w:rsidRDefault="00F72AF9" w:rsidP="00A358E1">
      <w:pPr>
        <w:pStyle w:val="BodyText"/>
        <w:spacing w:line="276" w:lineRule="auto"/>
        <w:ind w:left="450" w:right="30"/>
        <w:rPr>
          <w:sz w:val="20"/>
          <w:szCs w:val="20"/>
        </w:rPr>
      </w:pPr>
      <w:r>
        <w:rPr>
          <w:sz w:val="20"/>
          <w:szCs w:val="20"/>
          <w:vertAlign w:val="superscript"/>
        </w:rPr>
        <w:t>l</w:t>
      </w:r>
      <w:r>
        <w:rPr>
          <w:sz w:val="20"/>
          <w:szCs w:val="20"/>
        </w:rPr>
        <w:t>) Gilt für die Gruppe 2104.</w:t>
      </w:r>
    </w:p>
    <w:p w:rsidR="009A7616" w:rsidRPr="004363D5" w:rsidRDefault="00F72AF9" w:rsidP="00A358E1">
      <w:pPr>
        <w:pStyle w:val="BodyText"/>
        <w:spacing w:line="276" w:lineRule="auto"/>
        <w:ind w:left="450" w:right="30"/>
        <w:rPr>
          <w:sz w:val="20"/>
          <w:szCs w:val="20"/>
        </w:rPr>
      </w:pPr>
      <w:r>
        <w:rPr>
          <w:sz w:val="20"/>
          <w:szCs w:val="20"/>
          <w:vertAlign w:val="superscript"/>
        </w:rPr>
        <w:t>m</w:t>
      </w:r>
      <w:r>
        <w:rPr>
          <w:sz w:val="20"/>
          <w:szCs w:val="20"/>
        </w:rPr>
        <w:t>) Gilt nur für Platten und abgehängte Decken.</w:t>
      </w:r>
    </w:p>
    <w:p w:rsidR="009A7616" w:rsidRPr="004363D5" w:rsidRDefault="00F72AF9" w:rsidP="00A358E1">
      <w:pPr>
        <w:pStyle w:val="BodyText"/>
        <w:spacing w:line="276" w:lineRule="auto"/>
        <w:ind w:left="450" w:right="30"/>
        <w:rPr>
          <w:sz w:val="20"/>
          <w:szCs w:val="20"/>
        </w:rPr>
      </w:pPr>
      <w:r>
        <w:rPr>
          <w:sz w:val="20"/>
          <w:szCs w:val="20"/>
          <w:vertAlign w:val="superscript"/>
        </w:rPr>
        <w:t>n</w:t>
      </w:r>
      <w:r>
        <w:rPr>
          <w:sz w:val="20"/>
          <w:szCs w:val="20"/>
        </w:rPr>
        <w:t>) Gilt nur für Platten, die gleichzeitig auch als Versteifungselemente von Wänden oder Decken wirken.</w:t>
      </w:r>
    </w:p>
    <w:p w:rsidR="009A7616" w:rsidRPr="004363D5" w:rsidRDefault="00F72AF9" w:rsidP="00A358E1">
      <w:pPr>
        <w:pStyle w:val="BodyText"/>
        <w:spacing w:line="276" w:lineRule="auto"/>
        <w:ind w:left="450" w:right="30"/>
        <w:rPr>
          <w:sz w:val="20"/>
          <w:szCs w:val="20"/>
        </w:rPr>
      </w:pPr>
      <w:r>
        <w:rPr>
          <w:sz w:val="20"/>
          <w:szCs w:val="20"/>
          <w:vertAlign w:val="superscript"/>
        </w:rPr>
        <w:t>o</w:t>
      </w:r>
      <w:r>
        <w:rPr>
          <w:sz w:val="20"/>
          <w:szCs w:val="20"/>
        </w:rPr>
        <w:t>) Gilt nur für Fliesen und Platten aus spröden Werkstoffen und für Fliesen und Platten für abgehängte Decken.</w:t>
      </w:r>
    </w:p>
    <w:p w:rsidR="009A7616" w:rsidRPr="004363D5" w:rsidRDefault="00F72AF9" w:rsidP="00A358E1">
      <w:pPr>
        <w:pStyle w:val="BodyText"/>
        <w:spacing w:line="276" w:lineRule="auto"/>
        <w:ind w:left="450" w:right="30"/>
        <w:rPr>
          <w:sz w:val="20"/>
          <w:szCs w:val="20"/>
        </w:rPr>
      </w:pPr>
      <w:r>
        <w:rPr>
          <w:sz w:val="20"/>
          <w:szCs w:val="20"/>
          <w:vertAlign w:val="superscript"/>
        </w:rPr>
        <w:t>p</w:t>
      </w:r>
      <w:r>
        <w:rPr>
          <w:sz w:val="20"/>
          <w:szCs w:val="20"/>
        </w:rPr>
        <w:t>) Gilt nur für Rohrhalter, Armaturen und Sicherheitseinrichtungen.</w:t>
      </w:r>
    </w:p>
    <w:p w:rsidR="009A7616" w:rsidRPr="004363D5" w:rsidRDefault="00F72AF9" w:rsidP="00A358E1">
      <w:pPr>
        <w:pStyle w:val="BodyText"/>
        <w:spacing w:line="276" w:lineRule="auto"/>
        <w:ind w:left="450" w:right="30"/>
        <w:rPr>
          <w:sz w:val="20"/>
          <w:szCs w:val="20"/>
        </w:rPr>
      </w:pPr>
      <w:r>
        <w:rPr>
          <w:sz w:val="20"/>
          <w:szCs w:val="20"/>
          <w:vertAlign w:val="superscript"/>
        </w:rPr>
        <w:t>q</w:t>
      </w:r>
      <w:r>
        <w:rPr>
          <w:sz w:val="20"/>
          <w:szCs w:val="20"/>
        </w:rPr>
        <w:t>) Gilt nur für Behälter.</w:t>
      </w:r>
    </w:p>
    <w:p w:rsidR="009A7616" w:rsidRPr="004363D5" w:rsidRDefault="00F72AF9" w:rsidP="00A358E1">
      <w:pPr>
        <w:pStyle w:val="BodyText"/>
        <w:spacing w:line="276" w:lineRule="auto"/>
        <w:ind w:left="450" w:right="30"/>
        <w:rPr>
          <w:sz w:val="20"/>
          <w:szCs w:val="20"/>
        </w:rPr>
      </w:pPr>
      <w:r>
        <w:rPr>
          <w:sz w:val="20"/>
          <w:szCs w:val="20"/>
          <w:vertAlign w:val="superscript"/>
        </w:rPr>
        <w:t>r</w:t>
      </w:r>
      <w:r>
        <w:rPr>
          <w:sz w:val="20"/>
          <w:szCs w:val="20"/>
        </w:rPr>
        <w:t>) Gilt für Schornsteinaufsätze.“.</w:t>
      </w:r>
    </w:p>
    <w:p w:rsidR="0026606D" w:rsidRPr="004363D5" w:rsidRDefault="0026606D" w:rsidP="00A358E1">
      <w:pPr>
        <w:spacing w:line="276" w:lineRule="auto"/>
        <w:ind w:right="30"/>
        <w:rPr>
          <w:sz w:val="20"/>
          <w:szCs w:val="20"/>
        </w:rPr>
      </w:pPr>
    </w:p>
    <w:p w:rsidR="009A7616" w:rsidRPr="004363D5"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Die Fußnoten 9 bis 12 lauten:</w:t>
      </w:r>
    </w:p>
    <w:p w:rsidR="009A7616" w:rsidRPr="004363D5" w:rsidRDefault="00F72AF9" w:rsidP="00A358E1">
      <w:pPr>
        <w:spacing w:line="276" w:lineRule="auto"/>
        <w:ind w:right="30"/>
        <w:jc w:val="both"/>
        <w:rPr>
          <w:sz w:val="20"/>
          <w:szCs w:val="20"/>
        </w:rPr>
      </w:pPr>
      <w:r>
        <w:rPr>
          <w:sz w:val="20"/>
          <w:szCs w:val="20"/>
        </w:rPr>
        <w:t>„</w:t>
      </w:r>
      <w:r>
        <w:rPr>
          <w:sz w:val="20"/>
          <w:szCs w:val="20"/>
          <w:vertAlign w:val="superscript"/>
        </w:rPr>
        <w:t>9</w:t>
      </w:r>
      <w:r>
        <w:rPr>
          <w:sz w:val="20"/>
          <w:szCs w:val="20"/>
        </w:rPr>
        <w:t>) Verordnung des Umweltministeriums der Slowakischen Republik GBl. Nr. 119/2016 zur Festlegung der Einzelheiten für die Ausübung der sicherheitstechnischen Fachaufsicht über Wasserbauten und für die Ausübung der sicherheitstechnischen Aufsicht.</w:t>
      </w:r>
    </w:p>
    <w:p w:rsidR="009A7616" w:rsidRPr="004363D5" w:rsidRDefault="00F72AF9" w:rsidP="00A358E1">
      <w:pPr>
        <w:spacing w:line="276" w:lineRule="auto"/>
        <w:ind w:right="30"/>
        <w:rPr>
          <w:sz w:val="20"/>
          <w:szCs w:val="20"/>
        </w:rPr>
      </w:pPr>
      <w:r>
        <w:rPr>
          <w:sz w:val="20"/>
          <w:szCs w:val="20"/>
          <w:vertAlign w:val="superscript"/>
        </w:rPr>
        <w:t>10</w:t>
      </w:r>
      <w:r>
        <w:rPr>
          <w:sz w:val="20"/>
          <w:szCs w:val="20"/>
        </w:rPr>
        <w:t>) STN 73 6114 Fahrbahnen von Verkehrsstraßen. Grundlegende Bestimmungen für das Entwurfsverfahren (73 6114).</w:t>
      </w:r>
    </w:p>
    <w:p w:rsidR="009A7616" w:rsidRPr="004363D5" w:rsidRDefault="00F72AF9" w:rsidP="00A358E1">
      <w:pPr>
        <w:spacing w:line="276" w:lineRule="auto"/>
        <w:ind w:right="30"/>
        <w:rPr>
          <w:sz w:val="20"/>
          <w:szCs w:val="20"/>
        </w:rPr>
      </w:pPr>
      <w:r>
        <w:rPr>
          <w:sz w:val="20"/>
          <w:szCs w:val="20"/>
          <w:vertAlign w:val="superscript"/>
        </w:rPr>
        <w:t>11</w:t>
      </w:r>
      <w:r>
        <w:rPr>
          <w:sz w:val="20"/>
          <w:szCs w:val="20"/>
        </w:rPr>
        <w:t>) STN 75 0150 Wasserwirtschaft. Terminologie der Wasserwirtschaft (75 0150).</w:t>
      </w:r>
    </w:p>
    <w:p w:rsidR="009A7616" w:rsidRPr="004363D5" w:rsidRDefault="00F72AF9" w:rsidP="00A358E1">
      <w:pPr>
        <w:spacing w:line="276" w:lineRule="auto"/>
        <w:ind w:right="30"/>
        <w:rPr>
          <w:sz w:val="20"/>
          <w:szCs w:val="20"/>
        </w:rPr>
      </w:pPr>
      <w:r>
        <w:rPr>
          <w:sz w:val="20"/>
          <w:szCs w:val="20"/>
          <w:vertAlign w:val="superscript"/>
        </w:rPr>
        <w:t>12</w:t>
      </w:r>
      <w:r>
        <w:rPr>
          <w:sz w:val="20"/>
          <w:szCs w:val="20"/>
        </w:rPr>
        <w:t>) Verordnung des Innenministeriums der Slowakischen Republik GBl. Nr. 478/2008 über die Eigenschaften, konkreten Betriebsbedingungen und die Gewährleistung der regelmäßigen Kontrolle von Brandverschlüssen.“.</w:t>
      </w:r>
    </w:p>
    <w:p w:rsidR="00814F6F" w:rsidRPr="004363D5" w:rsidRDefault="00814F6F" w:rsidP="00A358E1">
      <w:pPr>
        <w:spacing w:line="276" w:lineRule="auto"/>
        <w:ind w:right="30"/>
        <w:jc w:val="center"/>
        <w:rPr>
          <w:b/>
          <w:sz w:val="20"/>
          <w:szCs w:val="20"/>
        </w:rPr>
      </w:pPr>
    </w:p>
    <w:p w:rsidR="009A7616" w:rsidRPr="004363D5" w:rsidRDefault="00F72AF9" w:rsidP="00A358E1">
      <w:pPr>
        <w:spacing w:line="276" w:lineRule="auto"/>
        <w:ind w:right="30"/>
        <w:jc w:val="center"/>
        <w:rPr>
          <w:b/>
          <w:sz w:val="20"/>
          <w:szCs w:val="20"/>
        </w:rPr>
      </w:pPr>
      <w:r>
        <w:rPr>
          <w:b/>
          <w:sz w:val="20"/>
          <w:szCs w:val="20"/>
        </w:rPr>
        <w:t>Artikel II</w:t>
      </w:r>
    </w:p>
    <w:p w:rsidR="009A7616" w:rsidRPr="004363D5" w:rsidRDefault="00F72AF9" w:rsidP="00A358E1">
      <w:pPr>
        <w:spacing w:line="276" w:lineRule="auto"/>
        <w:ind w:right="30"/>
        <w:rPr>
          <w:sz w:val="20"/>
          <w:szCs w:val="20"/>
        </w:rPr>
      </w:pPr>
      <w:r>
        <w:rPr>
          <w:sz w:val="20"/>
          <w:szCs w:val="20"/>
        </w:rPr>
        <w:t>Diese Verordnung tritt am 1. März 2020 in Kraft.</w:t>
      </w:r>
    </w:p>
    <w:p w:rsidR="009A7616" w:rsidRPr="004363D5" w:rsidRDefault="009A7616" w:rsidP="00A358E1">
      <w:pPr>
        <w:pStyle w:val="BodyText"/>
        <w:spacing w:line="276" w:lineRule="auto"/>
        <w:ind w:right="30"/>
        <w:rPr>
          <w:sz w:val="20"/>
          <w:szCs w:val="20"/>
        </w:rPr>
      </w:pPr>
    </w:p>
    <w:p w:rsidR="009A7616" w:rsidRPr="004363D5" w:rsidRDefault="00F72AF9" w:rsidP="00A358E1">
      <w:pPr>
        <w:spacing w:line="276" w:lineRule="auto"/>
        <w:ind w:right="30"/>
        <w:jc w:val="center"/>
        <w:rPr>
          <w:b/>
          <w:sz w:val="20"/>
          <w:szCs w:val="20"/>
        </w:rPr>
      </w:pPr>
      <w:r>
        <w:rPr>
          <w:b/>
          <w:sz w:val="20"/>
          <w:szCs w:val="20"/>
        </w:rPr>
        <w:t>Arpád Érsek eigenhändig</w:t>
      </w:r>
    </w:p>
    <w:p w:rsidR="0026606D" w:rsidRPr="004363D5" w:rsidRDefault="0026606D" w:rsidP="00A358E1">
      <w:pPr>
        <w:spacing w:line="276" w:lineRule="auto"/>
        <w:ind w:right="30"/>
        <w:jc w:val="center"/>
        <w:rPr>
          <w:sz w:val="20"/>
          <w:szCs w:val="20"/>
        </w:rPr>
      </w:pPr>
    </w:p>
    <w:p w:rsidR="009A7616" w:rsidRPr="004363D5" w:rsidRDefault="009A7616" w:rsidP="00A358E1">
      <w:pPr>
        <w:pStyle w:val="BodyText"/>
        <w:spacing w:line="276" w:lineRule="auto"/>
        <w:ind w:right="30"/>
        <w:rPr>
          <w:b/>
          <w:sz w:val="20"/>
          <w:szCs w:val="20"/>
        </w:rPr>
      </w:pPr>
    </w:p>
    <w:p w:rsidR="00814F6F" w:rsidRPr="004363D5" w:rsidRDefault="00814F6F" w:rsidP="00A358E1">
      <w:pPr>
        <w:pStyle w:val="BodyText"/>
        <w:spacing w:line="276" w:lineRule="auto"/>
        <w:ind w:right="30"/>
        <w:rPr>
          <w:b/>
          <w:sz w:val="20"/>
          <w:szCs w:val="20"/>
        </w:rPr>
      </w:pPr>
      <w:r>
        <w:br w:type="page"/>
      </w: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F05B04" w:rsidP="00A358E1">
      <w:pPr>
        <w:pStyle w:val="BodyText"/>
        <w:spacing w:line="276" w:lineRule="auto"/>
        <w:ind w:right="30"/>
        <w:rPr>
          <w:b/>
          <w:sz w:val="20"/>
          <w:szCs w:val="20"/>
        </w:rPr>
      </w:pPr>
      <w:r>
        <w:rPr>
          <w:sz w:val="20"/>
          <w:szCs w:val="20"/>
        </w:rPr>
        <w:pict>
          <v:shape id="_x0000_s1026" style="position:absolute;margin-left:55.25pt;margin-top:11.85pt;width:484.7pt;height:.1pt;z-index:-251658752;mso-wrap-distance-left:0;mso-wrap-distance-right:0;mso-position-horizontal-relative:page" coordorigin="1105,237" coordsize="9694,0" path="m1105,237r9694,e" filled="f" strokeweight=".39969mm">
            <v:path arrowok="t"/>
            <w10:wrap type="topAndBottom" anchorx="page"/>
          </v:shape>
        </w:pict>
      </w:r>
    </w:p>
    <w:p w:rsidR="009A7616" w:rsidRPr="004363D5" w:rsidRDefault="009A7616" w:rsidP="00A358E1">
      <w:pPr>
        <w:pStyle w:val="BodyText"/>
        <w:spacing w:line="276" w:lineRule="auto"/>
        <w:ind w:right="30"/>
        <w:rPr>
          <w:b/>
          <w:sz w:val="20"/>
          <w:szCs w:val="20"/>
        </w:rPr>
      </w:pPr>
    </w:p>
    <w:p w:rsidR="009A7616" w:rsidRPr="004363D5" w:rsidRDefault="00F72AF9" w:rsidP="00A358E1">
      <w:pPr>
        <w:spacing w:line="276" w:lineRule="auto"/>
        <w:ind w:right="30"/>
        <w:jc w:val="center"/>
        <w:rPr>
          <w:sz w:val="20"/>
          <w:szCs w:val="20"/>
        </w:rPr>
      </w:pPr>
      <w:r>
        <w:rPr>
          <w:sz w:val="20"/>
          <w:szCs w:val="20"/>
        </w:rPr>
        <w:t xml:space="preserve">Herausgeber des Gesetzblatts der Slowakischen Republik, Verwalter des Inhalts und Betreiber des auf der Internetseite </w:t>
      </w:r>
      <w:hyperlink r:id="rId11">
        <w:r>
          <w:rPr>
            <w:sz w:val="20"/>
            <w:szCs w:val="20"/>
          </w:rPr>
          <w:t xml:space="preserve">www.slov-lex.sk </w:t>
        </w:r>
      </w:hyperlink>
      <w:r>
        <w:rPr>
          <w:sz w:val="20"/>
          <w:szCs w:val="20"/>
        </w:rPr>
        <w:t>verfügbaren Rechts- und Informationsportals ist</w:t>
      </w:r>
    </w:p>
    <w:p w:rsidR="009A7616" w:rsidRPr="004363D5" w:rsidRDefault="00F72AF9" w:rsidP="00A358E1">
      <w:pPr>
        <w:spacing w:line="276" w:lineRule="auto"/>
        <w:ind w:right="30"/>
        <w:jc w:val="center"/>
        <w:rPr>
          <w:sz w:val="20"/>
          <w:szCs w:val="20"/>
        </w:rPr>
      </w:pPr>
      <w:r>
        <w:rPr>
          <w:sz w:val="20"/>
          <w:szCs w:val="20"/>
        </w:rPr>
        <w:t xml:space="preserve">das Justizministerium der Slowakischen Republik, Župné námestie 13, 813 11 Bratislava, Tel.: 02 888 91 131, E-Mail: </w:t>
      </w:r>
      <w:hyperlink r:id="rId12">
        <w:r>
          <w:rPr>
            <w:sz w:val="20"/>
            <w:szCs w:val="20"/>
          </w:rPr>
          <w:t>helpdesk@slov-lex.sk.</w:t>
        </w:r>
      </w:hyperlink>
    </w:p>
    <w:sectPr w:rsidR="009A7616" w:rsidRPr="004363D5" w:rsidSect="003E0348">
      <w:headerReference w:type="even" r:id="rId13"/>
      <w:headerReference w:type="default" r:id="rId14"/>
      <w:footerReference w:type="even" r:id="rId15"/>
      <w:footerReference w:type="default" r:id="rId16"/>
      <w:headerReference w:type="first" r:id="rId17"/>
      <w:footerReference w:type="first" r:id="rId18"/>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04" w:rsidRDefault="00F05B04">
      <w:r>
        <w:separator/>
      </w:r>
    </w:p>
  </w:endnote>
  <w:endnote w:type="continuationSeparator" w:id="0">
    <w:p w:rsidR="00F05B04" w:rsidRDefault="00F0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04" w:rsidRDefault="00F05B04">
      <w:r>
        <w:separator/>
      </w:r>
    </w:p>
  </w:footnote>
  <w:footnote w:type="continuationSeparator" w:id="0">
    <w:p w:rsidR="00F05B04" w:rsidRDefault="00F0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2F5637" w:rsidTr="001800E3">
      <w:tc>
        <w:tcPr>
          <w:tcW w:w="1728" w:type="dxa"/>
        </w:tcPr>
        <w:p w:rsidR="002F5637" w:rsidRPr="003703E1" w:rsidRDefault="002F5637" w:rsidP="003E0348">
          <w:pPr>
            <w:spacing w:before="24"/>
            <w:ind w:left="20"/>
            <w:rPr>
              <w:rFonts w:ascii="Palatino Linotype" w:hAnsi="Palatino Linotype"/>
              <w:w w:val="110"/>
              <w:sz w:val="20"/>
            </w:rPr>
          </w:pPr>
          <w:r>
            <w:rPr>
              <w:rFonts w:ascii="Palatino Linotype" w:hAnsi="Palatino Linotype"/>
              <w:sz w:val="20"/>
            </w:rPr>
            <w:t xml:space="preserve">Seite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3C4EEE">
            <w:rPr>
              <w:rFonts w:ascii="Palatino Linotype" w:hAnsi="Palatino Linotype"/>
              <w:noProof/>
              <w:sz w:val="20"/>
            </w:rPr>
            <w:t>32</w:t>
          </w:r>
          <w:r w:rsidRPr="003703E1">
            <w:rPr>
              <w:rFonts w:ascii="Palatino Linotype" w:hAnsi="Palatino Linotype"/>
              <w:sz w:val="20"/>
            </w:rPr>
            <w:fldChar w:fldCharType="end"/>
          </w:r>
        </w:p>
      </w:tc>
      <w:tc>
        <w:tcPr>
          <w:tcW w:w="5310" w:type="dxa"/>
        </w:tcPr>
        <w:p w:rsidR="002F5637" w:rsidRPr="003703E1" w:rsidRDefault="002F5637" w:rsidP="003E0348">
          <w:pPr>
            <w:spacing w:before="24"/>
            <w:ind w:left="20"/>
            <w:jc w:val="center"/>
            <w:rPr>
              <w:rFonts w:ascii="Palatino Linotype" w:hAnsi="Palatino Linotype"/>
              <w:w w:val="110"/>
              <w:sz w:val="20"/>
            </w:rPr>
          </w:pPr>
          <w:r>
            <w:rPr>
              <w:rFonts w:ascii="Palatino Linotype" w:hAnsi="Palatino Linotype"/>
              <w:sz w:val="20"/>
            </w:rPr>
            <w:t>Gesetzblatt der Slowakischen Republik</w:t>
          </w:r>
        </w:p>
      </w:tc>
      <w:tc>
        <w:tcPr>
          <w:tcW w:w="2208" w:type="dxa"/>
        </w:tcPr>
        <w:p w:rsidR="002F5637" w:rsidRPr="003E0348" w:rsidRDefault="002F5637" w:rsidP="003E0348">
          <w:pPr>
            <w:spacing w:before="60"/>
            <w:ind w:left="20"/>
            <w:jc w:val="right"/>
            <w:rPr>
              <w:b/>
              <w:sz w:val="20"/>
            </w:rPr>
          </w:pPr>
          <w:r>
            <w:rPr>
              <w:b/>
              <w:sz w:val="20"/>
            </w:rPr>
            <w:t>GBl. Nr. 17/2020</w:t>
          </w:r>
        </w:p>
      </w:tc>
    </w:tr>
  </w:tbl>
  <w:p w:rsidR="002F5637" w:rsidRDefault="002F5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2F5637" w:rsidTr="001800E3">
      <w:tc>
        <w:tcPr>
          <w:tcW w:w="2538" w:type="dxa"/>
        </w:tcPr>
        <w:p w:rsidR="002F5637" w:rsidRPr="003E0348" w:rsidRDefault="002F5637" w:rsidP="003E0348">
          <w:pPr>
            <w:spacing w:before="24"/>
            <w:ind w:left="20"/>
            <w:rPr>
              <w:rFonts w:ascii="Palatino Linotype"/>
              <w:sz w:val="20"/>
            </w:rPr>
          </w:pPr>
          <w:r>
            <w:rPr>
              <w:b/>
              <w:sz w:val="20"/>
            </w:rPr>
            <w:t>GBl. Nr. 17/2020</w:t>
          </w:r>
        </w:p>
      </w:tc>
      <w:tc>
        <w:tcPr>
          <w:tcW w:w="4500" w:type="dxa"/>
        </w:tcPr>
        <w:p w:rsidR="002F5637" w:rsidRPr="003703E1" w:rsidRDefault="002F5637" w:rsidP="003E0348">
          <w:pPr>
            <w:spacing w:before="24"/>
            <w:ind w:left="20"/>
            <w:jc w:val="center"/>
            <w:rPr>
              <w:rFonts w:ascii="Palatino Linotype" w:hAnsi="Palatino Linotype"/>
              <w:w w:val="110"/>
              <w:sz w:val="20"/>
            </w:rPr>
          </w:pPr>
          <w:r>
            <w:rPr>
              <w:rFonts w:ascii="Palatino Linotype" w:hAnsi="Palatino Linotype"/>
              <w:sz w:val="20"/>
            </w:rPr>
            <w:t>Gesetzblatt der Slowakischen Republik</w:t>
          </w:r>
        </w:p>
      </w:tc>
      <w:tc>
        <w:tcPr>
          <w:tcW w:w="2208" w:type="dxa"/>
        </w:tcPr>
        <w:p w:rsidR="002F5637" w:rsidRPr="003703E1" w:rsidRDefault="002F5637" w:rsidP="003E0348">
          <w:pPr>
            <w:spacing w:before="60"/>
            <w:ind w:left="20"/>
            <w:jc w:val="right"/>
            <w:rPr>
              <w:rFonts w:ascii="Palatino Linotype" w:hAnsi="Palatino Linotype"/>
              <w:w w:val="110"/>
              <w:sz w:val="20"/>
            </w:rPr>
          </w:pPr>
          <w:r>
            <w:rPr>
              <w:rFonts w:ascii="Palatino Linotype" w:hAnsi="Palatino Linotype"/>
              <w:sz w:val="20"/>
            </w:rPr>
            <w:t xml:space="preserve">Seite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3C4EEE">
            <w:rPr>
              <w:rFonts w:ascii="Palatino Linotype" w:hAnsi="Palatino Linotype"/>
              <w:noProof/>
              <w:sz w:val="20"/>
            </w:rPr>
            <w:t>31</w:t>
          </w:r>
          <w:r w:rsidRPr="003703E1">
            <w:rPr>
              <w:rFonts w:ascii="Palatino Linotype" w:hAnsi="Palatino Linotype"/>
              <w:sz w:val="20"/>
            </w:rPr>
            <w:fldChar w:fldCharType="end"/>
          </w:r>
        </w:p>
      </w:tc>
    </w:tr>
  </w:tbl>
  <w:p w:rsidR="002F5637" w:rsidRDefault="002F5637" w:rsidP="003E03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de-DE" w:vendorID="64" w:dllVersion="131078" w:nlCheck="1" w:checkStyle="1"/>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A7616"/>
    <w:rsid w:val="000E3FFC"/>
    <w:rsid w:val="00111869"/>
    <w:rsid w:val="001800E3"/>
    <w:rsid w:val="002266FA"/>
    <w:rsid w:val="0026606D"/>
    <w:rsid w:val="00281A6A"/>
    <w:rsid w:val="00285C62"/>
    <w:rsid w:val="002954D2"/>
    <w:rsid w:val="002F5637"/>
    <w:rsid w:val="003173AE"/>
    <w:rsid w:val="003703E1"/>
    <w:rsid w:val="003C4EEE"/>
    <w:rsid w:val="003D70E5"/>
    <w:rsid w:val="003E0348"/>
    <w:rsid w:val="004363D5"/>
    <w:rsid w:val="0060285B"/>
    <w:rsid w:val="00814F6F"/>
    <w:rsid w:val="00856642"/>
    <w:rsid w:val="008C0386"/>
    <w:rsid w:val="008E04D0"/>
    <w:rsid w:val="00930B99"/>
    <w:rsid w:val="009A7616"/>
    <w:rsid w:val="00A065E5"/>
    <w:rsid w:val="00A358E1"/>
    <w:rsid w:val="00A6117D"/>
    <w:rsid w:val="00A628A8"/>
    <w:rsid w:val="00AD3858"/>
    <w:rsid w:val="00B76517"/>
    <w:rsid w:val="00BE0393"/>
    <w:rsid w:val="00C155AB"/>
    <w:rsid w:val="00C202C6"/>
    <w:rsid w:val="00CB0C3B"/>
    <w:rsid w:val="00E73EEB"/>
    <w:rsid w:val="00E74E1E"/>
    <w:rsid w:val="00E75EBA"/>
    <w:rsid w:val="00F05B04"/>
    <w:rsid w:val="00F43CFB"/>
    <w:rsid w:val="00F72AF9"/>
    <w:rsid w:val="00F90EC5"/>
    <w:rsid w:val="00FC2E47"/>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E8B791-298B-42DD-A307-F421F557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de-DE"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de-DE"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2.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33</Pages>
  <Words>8778</Words>
  <Characters>50037</Characters>
  <Application>Microsoft Office Word</Application>
  <DocSecurity>0</DocSecurity>
  <Lines>416</Lines>
  <Paragraphs>117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17</vt:lpstr>
      <vt:lpstr>Poznámky pod čiarou k odkazom 9 až 12 znejú:</vt:lpstr>
    </vt:vector>
  </TitlesOfParts>
  <Company>Microsoft</Company>
  <LinksUpToDate>false</LinksUpToDate>
  <CharactersWithSpaces>58698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Ke, Tingting</cp:lastModifiedBy>
  <cp:revision>33</cp:revision>
  <dcterms:created xsi:type="dcterms:W3CDTF">2020-01-30T05:27:00Z</dcterms:created>
  <dcterms:modified xsi:type="dcterms:W3CDTF">2020-08-03T09:58:00Z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