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BC8E4" w14:textId="77777777" w:rsidR="00FF1A38" w:rsidRPr="00FF1A38" w:rsidRDefault="00FF1A38" w:rsidP="00FF1A38">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Dekret av den 20 november 2021</w:t>
      </w:r>
      <w:r>
        <w:rPr>
          <w:rFonts w:ascii="Times New Roman" w:hAnsi="Times New Roman"/>
          <w:b/>
          <w:sz w:val="36"/>
        </w:rPr>
        <w:br/>
        <w:t>om skydd av bin och andra pollinerande insekter och om bevarande av pollineringstjänster vid användning av växtskyddsmedel</w:t>
      </w:r>
    </w:p>
    <w:p w14:paraId="6496B0C9" w14:textId="27851F37" w:rsidR="00FF1A38" w:rsidRPr="00FF1A38" w:rsidRDefault="00FF1A38" w:rsidP="00FF1A38">
      <w:pPr>
        <w:spacing w:after="0" w:line="240" w:lineRule="auto"/>
        <w:rPr>
          <w:rFonts w:ascii="Times New Roman" w:eastAsia="Times New Roman" w:hAnsi="Times New Roman" w:cs="Times New Roman"/>
          <w:sz w:val="24"/>
          <w:szCs w:val="24"/>
        </w:rPr>
      </w:pPr>
      <w:r>
        <w:rPr>
          <w:rFonts w:ascii="Times New Roman" w:hAnsi="Times New Roman"/>
          <w:sz w:val="24"/>
        </w:rPr>
        <w:t xml:space="preserve">NOR: AGRG2134356A ELI: https://www.legifrance.gouv.fr/eli/arrete/2021/11/20/AGRG2134356A/jo/texte </w:t>
      </w:r>
      <w:r w:rsidR="00752C77">
        <w:rPr>
          <w:rFonts w:ascii="Times New Roman" w:hAnsi="Times New Roman"/>
          <w:sz w:val="24"/>
        </w:rPr>
        <w:br/>
      </w:r>
      <w:r>
        <w:rPr>
          <w:rFonts w:ascii="Times New Roman" w:hAnsi="Times New Roman"/>
          <w:sz w:val="24"/>
        </w:rPr>
        <w:t xml:space="preserve">JORF nr 0271 av den 21 november 2021 </w:t>
      </w:r>
      <w:r w:rsidR="00752C77">
        <w:rPr>
          <w:rFonts w:ascii="Times New Roman" w:hAnsi="Times New Roman"/>
          <w:sz w:val="24"/>
        </w:rPr>
        <w:br/>
      </w:r>
      <w:r>
        <w:rPr>
          <w:rFonts w:ascii="Times New Roman" w:hAnsi="Times New Roman"/>
          <w:sz w:val="24"/>
        </w:rPr>
        <w:t>Text nr 17</w:t>
      </w:r>
    </w:p>
    <w:p w14:paraId="040906AF" w14:textId="77777777" w:rsidR="00FF1A38" w:rsidRPr="00FF1A38" w:rsidRDefault="00FF1A38" w:rsidP="00FF1A38">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Avdelning I: RAM FÖR GODKÄNNANDE AV VÄXTSKYDDSMEDEL UNDER BLOMNINGSPERIODERNA (artikel 2)</w:t>
      </w:r>
    </w:p>
    <w:p w14:paraId="69521E1F" w14:textId="77777777" w:rsidR="00FF1A38" w:rsidRPr="00FF1A38" w:rsidRDefault="00FF1A38" w:rsidP="00FF1A38">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Avdelning II: ÖVERVAKNING AV ANVÄNDNINGEN AV VÄXTSKYDDSMEDEL UNDER BLOMNINGSPERIODERNA (artikel 3 till 7)</w:t>
      </w:r>
    </w:p>
    <w:p w14:paraId="0E5A6E18" w14:textId="77777777" w:rsidR="00FF1A38" w:rsidRPr="00FF1A38" w:rsidRDefault="00FF1A38" w:rsidP="00FF1A38">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Avdelning III: ÖVERGÅNGSBESTÄMMELSER (artiklarna 8 till 11)</w:t>
      </w:r>
    </w:p>
    <w:p w14:paraId="3E3E5899" w14:textId="77777777" w:rsidR="00FF1A38" w:rsidRPr="00FF1A38" w:rsidRDefault="00FF1A38" w:rsidP="00FF1A38">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Bilaga</w:t>
      </w:r>
    </w:p>
    <w:p w14:paraId="78D9C32A" w14:textId="22149B94" w:rsidR="00FF1A38" w:rsidRPr="00FF1A38" w:rsidRDefault="00FF1A38" w:rsidP="00FF1A3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Målgrupp: Sökande och innehavare av godkännande för försäljning, användare av växtskyddsmedel och mottagare av pollineringstjänster. </w:t>
      </w:r>
      <w:r>
        <w:rPr>
          <w:rFonts w:ascii="Times New Roman" w:hAnsi="Times New Roman"/>
          <w:sz w:val="24"/>
        </w:rPr>
        <w:br/>
        <w:t xml:space="preserve">Ämne: I denna förordning fastställs åtgärder för att skydda pollinerande insekter och jordbruks- och ekosystemtjänster från de risker som är förknippade med användningen av växtskyddsmedel. </w:t>
      </w:r>
      <w:r>
        <w:rPr>
          <w:rFonts w:ascii="Times New Roman" w:hAnsi="Times New Roman"/>
          <w:sz w:val="24"/>
        </w:rPr>
        <w:br/>
        <w:t>Ikraftträdande : Detta dekret träder i kraft den 1 januari 2022.</w:t>
      </w:r>
      <w:r>
        <w:rPr>
          <w:rFonts w:ascii="Times New Roman" w:hAnsi="Times New Roman"/>
          <w:sz w:val="24"/>
        </w:rPr>
        <w:br/>
        <w:t xml:space="preserve">Anmärkning: I dekretet utsträcks principen om bedömning av möjligheten att under blomningsperioden använda ett växtskyddsmedel till alla växtskyddsmedel på grödor som är attraktiva för pollinatörer och på födosöksområden med avseende på risken för pollinatörer. Om produkten är godkänd av Anses för blomning ska behandlingen, utom i särskilda fall, utföras inom 2 timmar före solnedgången och inom 3 timmar efter solnedgången. I dekretet föreskrivs övergångsbestämmelser och en tidsplan för genomförandet av dessa nya bestämmelser. </w:t>
      </w:r>
      <w:r>
        <w:rPr>
          <w:rFonts w:ascii="Times New Roman" w:hAnsi="Times New Roman"/>
          <w:sz w:val="24"/>
        </w:rPr>
        <w:br/>
        <w:t xml:space="preserve">Referenser: Detta dekret utfärdas i enlighet med artikel L. 253-7 i lagen om landsbygds- och havsfiske. Den finns på Légifrances webbplats: https://www.legifrance.gouv.fr/. </w:t>
      </w:r>
    </w:p>
    <w:p w14:paraId="55211D70" w14:textId="77777777" w:rsidR="00FF1A38" w:rsidRPr="00FF1A38" w:rsidRDefault="00FF1A38" w:rsidP="00FF1A3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Ministern för ekologisk omställning, ministern för ekonomi, finanser och återhämtning, ministern för solidaritet och hälsa samt ministern för jordbruk och livsmedel,</w:t>
      </w:r>
      <w:r>
        <w:rPr>
          <w:rFonts w:ascii="Times New Roman" w:hAnsi="Times New Roman"/>
          <w:sz w:val="24"/>
        </w:rPr>
        <w:br/>
        <w:t>Med beaktande av Europaparlamentets och rådets förordning (EG) nr 1107/2009 av den 21 oktober 2009, i dess ändrade lydelse, om utsläppande av växtskyddsmedel på marknaden och om upphävande av rådets direktiv 79/117/EEG och 91/414/EEG;</w:t>
      </w:r>
      <w:r>
        <w:rPr>
          <w:rFonts w:ascii="Times New Roman" w:hAnsi="Times New Roman"/>
          <w:sz w:val="24"/>
        </w:rPr>
        <w:br/>
        <w:t>Med beaktande av kommissionens förordning (EU) nr 547/2011 av den 8 juni 2011 om tillämpning av Europaparlamentets och rådets förordning (EG) nr 1107/2009 vad gäller märkningskrav för växtskyddsmedel;</w:t>
      </w:r>
      <w:r>
        <w:rPr>
          <w:rFonts w:ascii="Times New Roman" w:hAnsi="Times New Roman"/>
          <w:sz w:val="24"/>
        </w:rPr>
        <w:br/>
        <w:t>Med beaktande av Europaparlamentets och rådets direktiv (EU) 2015/1535 av den 9 september 2015 om ett informationsförfarande beträffande tekniska föreskrifter och beträffande föreskrifter för informationssamhällets tjänster;</w:t>
      </w:r>
      <w:r>
        <w:rPr>
          <w:rFonts w:ascii="Times New Roman" w:hAnsi="Times New Roman"/>
          <w:sz w:val="24"/>
        </w:rPr>
        <w:br/>
        <w:t>Med beaktande av lagen om landsbygds- och havsfiske, särskilt artiklarna L. 201-4, L. 251-3, L. 253-1, L. 253-7, D. 253-8, R. 253-43 och R. 253-45;</w:t>
      </w:r>
      <w:r>
        <w:rPr>
          <w:rFonts w:ascii="Times New Roman" w:hAnsi="Times New Roman"/>
          <w:sz w:val="24"/>
        </w:rPr>
        <w:br/>
      </w:r>
      <w:r>
        <w:rPr>
          <w:rFonts w:ascii="Times New Roman" w:hAnsi="Times New Roman"/>
          <w:sz w:val="24"/>
        </w:rPr>
        <w:lastRenderedPageBreak/>
        <w:t>Med beaktande av dekretet av den 16 juni 2009 om villkoren för de aktörer som avses i artikel L. 257-1 att föra det register som avses i artikel L. 257-3 i landsbygdslagen;</w:t>
      </w:r>
      <w:r>
        <w:rPr>
          <w:rFonts w:ascii="Times New Roman" w:hAnsi="Times New Roman"/>
          <w:sz w:val="24"/>
        </w:rPr>
        <w:br/>
        <w:t>Med beaktande av anmälan nr 2021/448/F;</w:t>
      </w:r>
      <w:r>
        <w:rPr>
          <w:rFonts w:ascii="Times New Roman" w:hAnsi="Times New Roman"/>
          <w:sz w:val="24"/>
        </w:rPr>
        <w:br/>
        <w:t>Med beaktande av de synpunkter som lämnades under det offentliga samrådet mellan den 28 juni 2021 och den 20 juli 2021 i enlighet med artikel L. 123-19-1 i miljöbalken,</w:t>
      </w:r>
      <w:r>
        <w:rPr>
          <w:rFonts w:ascii="Times New Roman" w:hAnsi="Times New Roman"/>
          <w:sz w:val="24"/>
        </w:rPr>
        <w:br/>
        <w:t>föreskrivs härigenom följande:</w:t>
      </w:r>
    </w:p>
    <w:p w14:paraId="72734333" w14:textId="77777777" w:rsidR="00FF1A38" w:rsidRPr="00FF1A38" w:rsidRDefault="00FF1A38" w:rsidP="00FF1A38">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Artikel 1</w:t>
      </w:r>
    </w:p>
    <w:p w14:paraId="4AE602D9" w14:textId="77777777" w:rsidR="00FF1A38" w:rsidRPr="00FF1A38" w:rsidRDefault="00FF1A38" w:rsidP="00FF1A3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I detta dekret gäller följande definitioner:</w:t>
      </w:r>
      <w:r>
        <w:rPr>
          <w:rFonts w:ascii="Times New Roman" w:hAnsi="Times New Roman"/>
          <w:sz w:val="24"/>
        </w:rPr>
        <w:br/>
        <w:t>“Bin”: Tambin, vilda bin och humlor;</w:t>
      </w:r>
      <w:r>
        <w:rPr>
          <w:rFonts w:ascii="Times New Roman" w:hAnsi="Times New Roman"/>
          <w:sz w:val="24"/>
        </w:rPr>
        <w:br/>
        <w:t>”Solnedgång”: Tid som definieras av efemer på den plats som ligger närmast implantationen av behandlingsstället;</w:t>
      </w:r>
      <w:r>
        <w:rPr>
          <w:rFonts w:ascii="Times New Roman" w:hAnsi="Times New Roman"/>
          <w:sz w:val="24"/>
        </w:rPr>
        <w:br/>
        <w:t>“Attraktiv kultur”: En attraktiv gröda är en gröda som till sin natur är attraktiv för bin eller andra pollinerande insekter. Grödor som anges i jordbruksministeriets officiella tidning ska inte anses vara attraktiva i den mening som avses i detta dekret;</w:t>
      </w:r>
      <w:r>
        <w:rPr>
          <w:rFonts w:ascii="Times New Roman" w:hAnsi="Times New Roman"/>
          <w:sz w:val="24"/>
        </w:rPr>
        <w:br/>
        <w:t>“Exsudera”: Honungsdagg, sött sekret från växter och extra blomnektar från växter som skördas av bin eller andra pollinerande insekter;</w:t>
      </w:r>
      <w:r>
        <w:rPr>
          <w:rFonts w:ascii="Times New Roman" w:hAnsi="Times New Roman"/>
          <w:sz w:val="24"/>
        </w:rPr>
        <w:br/>
        <w:t>“Blommande”: Vegetativ period som sträcker sig från öppnandet av de första blommorna till att de sista kronbladet i blommorna faller;</w:t>
      </w:r>
      <w:r>
        <w:rPr>
          <w:rFonts w:ascii="Times New Roman" w:hAnsi="Times New Roman"/>
          <w:sz w:val="24"/>
        </w:rPr>
        <w:br/>
        <w:t>“Produkter”: Växtskyddsmedel, med undantag för gallringsprodukter, och tillsatser av dessa som avses i artikel L.253-1 i landsbygdslagen och havsfiske;</w:t>
      </w:r>
      <w:r>
        <w:rPr>
          <w:rFonts w:ascii="Times New Roman" w:hAnsi="Times New Roman"/>
          <w:sz w:val="24"/>
        </w:rPr>
        <w:br/>
        <w:t>“Register”: Register över användning av växtskyddsmedel i enlighet med förordningen av den 16 juni 2009 om villkoren under vilka de aktörer som avses i artikel L. 257-1 i lagen om landsbygds- och havsfiske för det register som avses i artikel 67 i förordningen (EG) nr 1107/2009 av den 21 oktober 2009 om utsläppande av växtskyddsmedel på marknaden;</w:t>
      </w:r>
      <w:r>
        <w:rPr>
          <w:rFonts w:ascii="Times New Roman" w:hAnsi="Times New Roman"/>
          <w:sz w:val="24"/>
        </w:rPr>
        <w:br/>
        <w:t>“Användning” innebär att: Användning av ett växtskyddsmedel eller ett adjuvans på en växt, en växtprodukt eller en växtfamilj för att bekämpa en skadegörare, en grupp av skadegörare, en sjukdom eller en grupp sjukdomar, i enlighet med en väldefinierad funktion och tillämpningsföreskrifter, enligt förteckningen i artikel D.253-8 i artikel D.253-8 i lagen om landsbygds- och havsfiske;</w:t>
      </w:r>
      <w:r>
        <w:rPr>
          <w:rFonts w:ascii="Times New Roman" w:hAnsi="Times New Roman"/>
          <w:sz w:val="24"/>
        </w:rPr>
        <w:br/>
        <w:t>“Produktanvändning”: All spridning av ett växtskyddsmedel eller ett adjuvans till en vegetativ cykel i enlighet med en godkänd användning, oavsett appliceringsmetod och den del av växten som behandlas, med undantag för användningar enligt definitionen i bilaga 1 som utesluter exponering av pollinerande insekter under blomningen;</w:t>
      </w:r>
      <w:r>
        <w:rPr>
          <w:rFonts w:ascii="Times New Roman" w:hAnsi="Times New Roman"/>
          <w:sz w:val="24"/>
        </w:rPr>
        <w:br/>
        <w:t>“Foderområde”: Med undantag för grödor i produktion avses med foderområde ett jordbruksområde eller annat område än jordbruksområde som upptas av en odlad eller spontan växtgrupp och som är av uppenbart intresse för bin eller andra pollinerande insekter på grund av förekomst av blommor eller exsudater. I denna förordning avses med användning av produkter i födosöksarealer sådana som är avsedda att specifikt behandla dessa områden oberoende av användningen på grödor i produktionen.</w:t>
      </w:r>
    </w:p>
    <w:p w14:paraId="75081A77" w14:textId="77777777" w:rsidR="00FF1A38" w:rsidRPr="00FF1A38" w:rsidRDefault="00FF1A38" w:rsidP="00752C77">
      <w:pPr>
        <w:pageBreakBefore/>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lastRenderedPageBreak/>
        <w:t>Avdelning I: RAM FÖR GODKÄNNANDE AV VÄXTSKYDDSMEDEL UNDER BLOMNINGSPERIODERNA (artikel 2)</w:t>
      </w:r>
    </w:p>
    <w:p w14:paraId="52EC4D0D"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Artikel 2</w:t>
      </w:r>
    </w:p>
    <w:p w14:paraId="4E54D572" w14:textId="77777777"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Vid utfärdande eller förnyelse av det tillstånd som avses i artikel L. 253-1 i lagen om landsbygds- och havsfiske, ska Anses bedöma riskerna med användningen av produkten på attraktiva grödor under blomningen.</w:t>
      </w:r>
      <w:r>
        <w:rPr>
          <w:rFonts w:ascii="Times New Roman" w:hAnsi="Times New Roman"/>
          <w:sz w:val="24"/>
        </w:rPr>
        <w:br/>
        <w:t>I detta syfte ska sökanden till sin akt bifoga de tester och riskbedömningar som krävs enligt gällande bestämmelser och de uppgifter som krävs för att Anses ska kunna fatta beslut om den bedömning som avses i första underparagrafen.</w:t>
      </w:r>
      <w:r>
        <w:rPr>
          <w:rFonts w:ascii="Times New Roman" w:hAnsi="Times New Roman"/>
          <w:sz w:val="24"/>
        </w:rPr>
        <w:br/>
        <w:t>Om riskbedömningen som utförts av Anses leder till slutsatsen att användningen resulterar i försumbar exponering av bin eller inte orsakar oacceptabel, akut eller kronisk effekt på bin eller effekter på koloniöverlevnad och -utveckling, kan användningen av produkten tillåtas på motsvarande attraktiv gröda under blomning samt på födosöksområden. Sådan användning ska ske under förutsättning att de åtgärder som fastställs i artikel 3 iakttas.</w:t>
      </w:r>
      <w:r>
        <w:rPr>
          <w:rFonts w:ascii="Times New Roman" w:hAnsi="Times New Roman"/>
          <w:sz w:val="24"/>
        </w:rPr>
        <w:br/>
        <w:t>I annat fall är det förbjudet att använda produkten på motsvarande attraktiv gröda när den blommar och på foderområdena.</w:t>
      </w:r>
    </w:p>
    <w:p w14:paraId="278D5B92" w14:textId="77777777" w:rsidR="00FF1A38" w:rsidRPr="00FF1A38" w:rsidRDefault="00FF1A38" w:rsidP="00FF1A38">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Avdelning II: ÖVERVAKNING AV ANVÄNDNINGEN AV VÄXTSKYDDSMEDEL UNDER BLOMNINGSPERIODERNA (artikel 3 till 7)</w:t>
      </w:r>
    </w:p>
    <w:p w14:paraId="74FEABC1"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Artikel 3</w:t>
      </w:r>
    </w:p>
    <w:p w14:paraId="69100266" w14:textId="77777777"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En produkt som godkänts enligt artikel 2 ska användas på en attraktiv gröda under blomningen eller på ett födosöksområde inom 2 timmar före solnedgången och inom 3 timmar efter solnedgången.</w:t>
      </w:r>
      <w:r>
        <w:rPr>
          <w:rFonts w:ascii="Times New Roman" w:hAnsi="Times New Roman"/>
          <w:sz w:val="24"/>
        </w:rPr>
        <w:br/>
        <w:t>Denna period kan justeras eller avskaffas vid förfaranden som ger likvärdiga garantier avseende exponering av bin och andra pollinatörer. Dessa förfaranden kommer att anges i bilagan efter Anses yttrande, särskilt i syfte att tillåta behandlingar på morgonen eller under en temperaturtröskel.</w:t>
      </w:r>
      <w:r>
        <w:rPr>
          <w:rFonts w:ascii="Times New Roman" w:hAnsi="Times New Roman"/>
          <w:sz w:val="24"/>
        </w:rPr>
        <w:br/>
        <w:t>Genom undantag från första paragrafen utförs försök med användning av växtskyddsmedel efter den angivna tidsperioden för att identifiera de beslutsstödjande verktygen eller annan teknik vars användning skulle ge likvärdiga garantier när det gäller exponering av bin och andra pollinatörer . Detta experiment på högst tre år, som är föremål för en utvärdering av Anses, genomförs på de villkor och på de villkor som fastställs i ett gemensamt dekret av ministrarna med ansvar för miljö och jordbruk.</w:t>
      </w:r>
    </w:p>
    <w:p w14:paraId="2638E37D"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Artikel 4</w:t>
      </w:r>
    </w:p>
    <w:p w14:paraId="6F7C037B" w14:textId="77777777"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Om ett växttäcke som förekommer under en flerårig gröda utgör ett födosöksområde ska det göras oattraktivt för pollinatörer före någon behandling av insekticider eller akaricider.</w:t>
      </w:r>
    </w:p>
    <w:p w14:paraId="00398D46" w14:textId="77777777" w:rsidR="00752C77" w:rsidRDefault="00752C77" w:rsidP="00FF1A38">
      <w:pPr>
        <w:spacing w:before="100" w:beforeAutospacing="1" w:after="100" w:afterAutospacing="1" w:line="240" w:lineRule="auto"/>
        <w:ind w:left="750"/>
        <w:outlineLvl w:val="3"/>
        <w:rPr>
          <w:rFonts w:ascii="Times New Roman" w:hAnsi="Times New Roman"/>
          <w:b/>
          <w:sz w:val="24"/>
        </w:rPr>
      </w:pPr>
    </w:p>
    <w:p w14:paraId="039E740F" w14:textId="5C108134"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lastRenderedPageBreak/>
        <w:t>Artikel 5</w:t>
      </w:r>
    </w:p>
    <w:p w14:paraId="70D705FD" w14:textId="77777777"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Den tillämpningsperiod som avses i artikel 3 får ändras i följande fall:</w:t>
      </w:r>
    </w:p>
    <w:p w14:paraId="040DB100" w14:textId="4F904F48"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r>
      <w:r w:rsidR="00706D0B">
        <w:rPr>
          <w:rFonts w:ascii="Times New Roman" w:hAnsi="Times New Roman"/>
          <w:sz w:val="24"/>
        </w:rPr>
        <w:t>-</w:t>
      </w:r>
      <w:r>
        <w:rPr>
          <w:rFonts w:ascii="Times New Roman" w:hAnsi="Times New Roman"/>
          <w:sz w:val="24"/>
        </w:rPr>
        <w:t xml:space="preserve"> om den behandling som utförts under den period som anges i artikel 3 inte säkerställer ett effektivt skydd av den behandlade kulturen på grund av bioaggressors uteslutande dygnsaktivitet;</w:t>
      </w:r>
      <w:r>
        <w:rPr>
          <w:rFonts w:ascii="Times New Roman" w:hAnsi="Times New Roman"/>
          <w:sz w:val="24"/>
        </w:rPr>
        <w:br/>
        <w:t>- om, med hänsyn till en sjukdoms utveckling, effektiviteten av en svampbehandling villkoras av att den avslutas inom en begränsad tid som inte är förenlig med den tidsfrist som anges i artikel 3.</w:t>
      </w:r>
    </w:p>
    <w:p w14:paraId="1C4C0AAB" w14:textId="77777777"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I båda fallen kan applikationen utföras utan tidsbegränsningar.</w:t>
      </w:r>
      <w:r>
        <w:rPr>
          <w:rFonts w:ascii="Times New Roman" w:hAnsi="Times New Roman"/>
          <w:sz w:val="24"/>
        </w:rPr>
        <w:br/>
        <w:t>Under en period av åtta månader från och med dagen för offentliggörandet av detta dekret får ansökan göras utan tidsbegränsning, förutsatt att temperaturen är tillräckligt låg för att undvika förekomst av bin.</w:t>
      </w:r>
      <w:r>
        <w:rPr>
          <w:rFonts w:ascii="Times New Roman" w:hAnsi="Times New Roman"/>
          <w:sz w:val="24"/>
        </w:rPr>
        <w:br/>
        <w:t>Behandlingens starttid och sluttid samt skälet till ändringen av den period som avses i artikel 3 ska registreras i registret.</w:t>
      </w:r>
    </w:p>
    <w:p w14:paraId="2C420868"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Artikel 6</w:t>
      </w:r>
    </w:p>
    <w:p w14:paraId="7C493FCA" w14:textId="77777777"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Undantag får göras från förbudet i artikel 2 fjärde paragrafen och från de förvaltningsåtgärder som föreskrivs i artikel 3 genom dekret som utfärdats med stöd av artikel L. 201-4 II i lagen om landsbygds- och havsfiske för organ som regleras enligt artikel L. 251-3 i samma lag.</w:t>
      </w:r>
    </w:p>
    <w:p w14:paraId="21212990"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Artikel 7</w:t>
      </w:r>
    </w:p>
    <w:p w14:paraId="1044327C" w14:textId="1BE0637D"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I. - Märkningen av produkter för vilka användning inte är tillåten på blommande gröda i enlighet med artikel 2 ska innehålla frasen ”Farligt för bin. För att skydda bin och andra pollinerande insekter, använd inte under blomning och använd inte på foderområden.</w:t>
      </w:r>
      <w:r>
        <w:rPr>
          <w:rFonts w:ascii="Times New Roman" w:hAnsi="Times New Roman"/>
          <w:sz w:val="24"/>
        </w:rPr>
        <w:br/>
        <w:t>II</w:t>
      </w:r>
      <w:r w:rsidR="00706D0B">
        <w:rPr>
          <w:rFonts w:ascii="Times New Roman" w:hAnsi="Times New Roman"/>
          <w:sz w:val="24"/>
        </w:rPr>
        <w:t>. -</w:t>
      </w:r>
      <w:r>
        <w:rPr>
          <w:rFonts w:ascii="Times New Roman" w:hAnsi="Times New Roman"/>
          <w:sz w:val="24"/>
        </w:rPr>
        <w:t xml:space="preserve"> Märkningen av produkter för vilka minst en användning är tillåten på en blommande gröda i enlighet med artikel 2 ska innehålla frasen ”Kan vara farlig för bin. Möjlig applicering under blomning och på foderområden inom 2 timmar före solnedgången eller 3 timmar efter solnedgången, endast för följande användning(ar): […] Tidsbegränsningar kan anpassas i enlighet med dekretet av den 20 november 2021 om skydd av bin och andra pollinerande insekter och om bevarande av pollineringstjänster vid användning av växtskyddsmedel.”</w:t>
      </w:r>
    </w:p>
    <w:p w14:paraId="2351893A" w14:textId="77777777" w:rsidR="00FF1A38" w:rsidRPr="00FF1A38" w:rsidRDefault="00FF1A38" w:rsidP="00752C77">
      <w:pPr>
        <w:pageBreakBefore/>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lastRenderedPageBreak/>
        <w:t>Avdelning III: ÖVERGÅNGSBESTÄMMELSER (artiklarna 8 till 11)</w:t>
      </w:r>
    </w:p>
    <w:p w14:paraId="0A0A492B"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Artikel 8</w:t>
      </w:r>
    </w:p>
    <w:p w14:paraId="47A5BAF5" w14:textId="09328724"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 xml:space="preserve">I. </w:t>
      </w:r>
      <w:r w:rsidR="00706D0B">
        <w:rPr>
          <w:rFonts w:ascii="Times New Roman" w:hAnsi="Times New Roman"/>
          <w:sz w:val="24"/>
        </w:rPr>
        <w:t xml:space="preserve">- </w:t>
      </w:r>
      <w:r>
        <w:rPr>
          <w:rFonts w:ascii="Times New Roman" w:hAnsi="Times New Roman"/>
          <w:sz w:val="24"/>
        </w:rPr>
        <w:t>Som en övergångsåtgärd innehåller insekticider och akaricider vilkas godkännande för försäljning vid tidpunkten för ikraftträdandet av detta dekret innehåller en av följande uppgifter:</w:t>
      </w:r>
    </w:p>
    <w:p w14:paraId="3C0215A8" w14:textId="59E29607"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w:t>
      </w:r>
      <w:r w:rsidR="00706D0B">
        <w:rPr>
          <w:rFonts w:ascii="Times New Roman" w:hAnsi="Times New Roman"/>
          <w:sz w:val="24"/>
        </w:rPr>
        <w:t xml:space="preserve">- </w:t>
      </w:r>
      <w:r>
        <w:rPr>
          <w:rFonts w:ascii="Times New Roman" w:hAnsi="Times New Roman"/>
          <w:sz w:val="24"/>
        </w:rPr>
        <w:t>godkänd användning under blomningen, på annat sätt än i närvaro av bin”;</w:t>
      </w:r>
      <w:r>
        <w:rPr>
          <w:rFonts w:ascii="Times New Roman" w:hAnsi="Times New Roman"/>
          <w:sz w:val="24"/>
        </w:rPr>
        <w:br/>
        <w:t>”</w:t>
      </w:r>
      <w:r w:rsidR="00706D0B">
        <w:rPr>
          <w:rFonts w:ascii="Times New Roman" w:hAnsi="Times New Roman"/>
          <w:sz w:val="24"/>
        </w:rPr>
        <w:t xml:space="preserve">- </w:t>
      </w:r>
      <w:r>
        <w:rPr>
          <w:rFonts w:ascii="Times New Roman" w:hAnsi="Times New Roman"/>
          <w:sz w:val="24"/>
        </w:rPr>
        <w:t>godkänd användning under perioder av exsudatproduktion, på annat sätt än i närvaro av bin”;</w:t>
      </w:r>
      <w:r>
        <w:rPr>
          <w:rFonts w:ascii="Times New Roman" w:hAnsi="Times New Roman"/>
          <w:sz w:val="24"/>
        </w:rPr>
        <w:br/>
        <w:t>”</w:t>
      </w:r>
      <w:r w:rsidR="00706D0B">
        <w:rPr>
          <w:rFonts w:ascii="Times New Roman" w:hAnsi="Times New Roman"/>
          <w:sz w:val="24"/>
        </w:rPr>
        <w:t xml:space="preserve">- </w:t>
      </w:r>
      <w:r>
        <w:rPr>
          <w:rFonts w:ascii="Times New Roman" w:hAnsi="Times New Roman"/>
          <w:sz w:val="24"/>
        </w:rPr>
        <w:t>godkänd användning under blomning och under perioder av exsudatproduktion på annat sätt än i närvaro av bin”;</w:t>
      </w:r>
    </w:p>
    <w:p w14:paraId="3705A0E7" w14:textId="2FCED3C1"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får användas för de berörda användningarna på attraktiva grödor under blomning eller på födosöksområden, på de villkor som anges i artiklarna 3 och 5, till dess att godkännandet för försäljning har förnyats.</w:t>
      </w:r>
      <w:r>
        <w:rPr>
          <w:rFonts w:ascii="Times New Roman" w:hAnsi="Times New Roman"/>
          <w:sz w:val="24"/>
        </w:rPr>
        <w:br/>
        <w:t>II. - Som en övergångsåtgärd gäller att om förnyande av godkännandet för försäljning av en produkt som inte är en insekticid och akaricid sker inom mindre än 30 månader efter ikraftträdandet av detta dekret, får produkten användas på attraktiva grödor under blomning och på födosöksområden på de villkor som anges i artiklarna 3 till 5 till dess att Anses har fattat beslut om den riskbedömning som avses i artikel 2, under förutsättning att de ytterligare uppgifterna lämnats in inom 30 månader från ikraftträdandet av detta dekret.</w:t>
      </w:r>
      <w:r>
        <w:rPr>
          <w:rFonts w:ascii="Times New Roman" w:hAnsi="Times New Roman"/>
          <w:sz w:val="24"/>
        </w:rPr>
        <w:br/>
        <w:t xml:space="preserve">III. </w:t>
      </w:r>
      <w:r w:rsidR="00706D0B">
        <w:rPr>
          <w:rFonts w:ascii="Times New Roman" w:hAnsi="Times New Roman"/>
          <w:sz w:val="24"/>
        </w:rPr>
        <w:t xml:space="preserve">- </w:t>
      </w:r>
      <w:r>
        <w:rPr>
          <w:rFonts w:ascii="Times New Roman" w:hAnsi="Times New Roman"/>
          <w:sz w:val="24"/>
        </w:rPr>
        <w:t>Som en övergångsåtgärd, om förnyande av godkännandet för försäljning för en produkt som inte är en insekticid och akaricid sker mer än 30 månader efter ikraftträdandet av detta dekret, får produkten användas på attraktiva grödor under blomning och på födosöksområden under de villkor som anges i artiklarna 3 till 5 till dess att Anses har fattat beslut om den riskbedömning som avses i 2, med förbehåll för att de ytterligare uppgifterna har lämnats in inom 48 månader från ikraftträdandet av detta dekret.</w:t>
      </w:r>
      <w:r>
        <w:rPr>
          <w:rFonts w:ascii="Times New Roman" w:hAnsi="Times New Roman"/>
          <w:sz w:val="24"/>
        </w:rPr>
        <w:br/>
        <w:t>IV. - Om ytterligare uppgifter inte lämnas in inom de tidsfrister som fastställs i II och III i denna artikel, ska det vara förbjudet att använda produkten på attraktiva grödor under blomning och på födosöksområden och märkningen av de berörda produkterna ska uppdateras i enlighet med paragraf I i artikel 7.</w:t>
      </w:r>
      <w:r>
        <w:rPr>
          <w:rFonts w:ascii="Times New Roman" w:hAnsi="Times New Roman"/>
          <w:sz w:val="24"/>
        </w:rPr>
        <w:br/>
        <w:t xml:space="preserve">V. </w:t>
      </w:r>
      <w:r w:rsidR="00706D0B">
        <w:rPr>
          <w:rFonts w:ascii="Times New Roman" w:hAnsi="Times New Roman"/>
          <w:sz w:val="24"/>
        </w:rPr>
        <w:t xml:space="preserve">- </w:t>
      </w:r>
      <w:r>
        <w:rPr>
          <w:rFonts w:ascii="Times New Roman" w:hAnsi="Times New Roman"/>
          <w:sz w:val="24"/>
        </w:rPr>
        <w:t>Sökande ska senast 18 månader före inlämnandet av de ytterligare uppgifter som anges i II och III i denna artikel underrätta Anses om sin avsikt att lämna in dessa ytterligare uppgifter, med angivande av de berörda användningarna.</w:t>
      </w:r>
      <w:r>
        <w:rPr>
          <w:rFonts w:ascii="Times New Roman" w:hAnsi="Times New Roman"/>
          <w:sz w:val="24"/>
        </w:rPr>
        <w:br/>
        <w:t xml:space="preserve">VI. </w:t>
      </w:r>
      <w:r w:rsidR="00706D0B">
        <w:rPr>
          <w:rFonts w:ascii="Times New Roman" w:hAnsi="Times New Roman"/>
          <w:sz w:val="24"/>
        </w:rPr>
        <w:t xml:space="preserve">- </w:t>
      </w:r>
      <w:r>
        <w:rPr>
          <w:rFonts w:ascii="Times New Roman" w:hAnsi="Times New Roman"/>
          <w:sz w:val="24"/>
        </w:rPr>
        <w:t>Bestämmelserna i paragraferna III-V ska inte tillämpas på grödor som enligt den förteckning över användningsområden som avses i artikel D. 253-8 i landsbygdslagen och havsfiske inte anses vara av särskild betydelse i något av de norra eller södra områdena i Frankrike. För dessa grödor begärs de tester och riskbedömningar för pollinatörer som krävs enligt gällande bestämmelser vid tidpunkten för förnyelse av godkännandet för försäljning och de berörda produkterna får användas på attraktiva grödor under blomningen eller på födosöksområden under de villkor som anges i artiklarna 3 till 5 tills Anses har tagit ställning till den riskbedömning som föreskrivs i artikel 2.</w:t>
      </w:r>
      <w:r>
        <w:rPr>
          <w:rFonts w:ascii="Times New Roman" w:hAnsi="Times New Roman"/>
          <w:sz w:val="24"/>
        </w:rPr>
        <w:br/>
      </w:r>
      <w:r>
        <w:rPr>
          <w:rFonts w:ascii="Times New Roman" w:hAnsi="Times New Roman"/>
          <w:sz w:val="24"/>
        </w:rPr>
        <w:lastRenderedPageBreak/>
        <w:t xml:space="preserve">VII. </w:t>
      </w:r>
      <w:r w:rsidR="00706D0B">
        <w:rPr>
          <w:rFonts w:ascii="Times New Roman" w:hAnsi="Times New Roman"/>
          <w:sz w:val="24"/>
        </w:rPr>
        <w:t xml:space="preserve">- </w:t>
      </w:r>
      <w:r>
        <w:rPr>
          <w:rFonts w:ascii="Times New Roman" w:hAnsi="Times New Roman"/>
          <w:sz w:val="24"/>
        </w:rPr>
        <w:t>ANSES offentliggör och uppdaterar regelbundet förteckningen över användningar av godkända produkter enligt villkoren i artikel 2.</w:t>
      </w:r>
    </w:p>
    <w:p w14:paraId="6DFA93B5"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Artikel 9</w:t>
      </w:r>
    </w:p>
    <w:p w14:paraId="41018622" w14:textId="2C9E5161" w:rsidR="00FF1A38" w:rsidRDefault="00FF1A38" w:rsidP="00FF1A38">
      <w:pPr>
        <w:spacing w:before="100" w:beforeAutospacing="1" w:after="100" w:afterAutospacing="1" w:line="240" w:lineRule="auto"/>
        <w:ind w:left="750"/>
        <w:rPr>
          <w:rFonts w:ascii="Times New Roman" w:hAnsi="Times New Roman"/>
          <w:sz w:val="24"/>
        </w:rPr>
      </w:pPr>
      <w:r>
        <w:rPr>
          <w:rFonts w:ascii="Times New Roman" w:hAnsi="Times New Roman"/>
          <w:sz w:val="24"/>
        </w:rPr>
        <w:br/>
        <w:t>Förordningen av den 28 november 2003 om villkoren för användning av insekticider och akaricider inom jordbruket för skydd av bin och andra pollinerande insekter upphävs.</w:t>
      </w:r>
    </w:p>
    <w:p w14:paraId="50A4CDE7" w14:textId="5D7C04B0" w:rsidR="00706D0B" w:rsidRDefault="00706D0B" w:rsidP="00FF1A38">
      <w:pPr>
        <w:spacing w:before="100" w:beforeAutospacing="1" w:after="100" w:afterAutospacing="1" w:line="240" w:lineRule="auto"/>
        <w:ind w:left="750"/>
        <w:rPr>
          <w:rFonts w:ascii="Times New Roman" w:hAnsi="Times New Roman"/>
          <w:sz w:val="24"/>
        </w:rPr>
      </w:pPr>
    </w:p>
    <w:p w14:paraId="79CCB1BF" w14:textId="77777777" w:rsidR="00706D0B" w:rsidRPr="00FF1A38" w:rsidRDefault="00706D0B" w:rsidP="00FF1A38">
      <w:pPr>
        <w:spacing w:before="100" w:beforeAutospacing="1" w:after="100" w:afterAutospacing="1" w:line="240" w:lineRule="auto"/>
        <w:ind w:left="750"/>
        <w:rPr>
          <w:rFonts w:ascii="Times New Roman" w:eastAsia="Times New Roman" w:hAnsi="Times New Roman" w:cs="Times New Roman"/>
          <w:sz w:val="24"/>
          <w:szCs w:val="24"/>
        </w:rPr>
      </w:pPr>
    </w:p>
    <w:p w14:paraId="72839818"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Artikel 10</w:t>
      </w:r>
    </w:p>
    <w:p w14:paraId="3D6ED771" w14:textId="405850D3"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Denna förordning träder i kraft den 1 januari 2022.</w:t>
      </w:r>
    </w:p>
    <w:p w14:paraId="604BD44E"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Artikel 11</w:t>
      </w:r>
    </w:p>
    <w:p w14:paraId="581C8E66" w14:textId="77777777"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Generaldirektören för livsmedel, generaldirektören för riskförebyggande, generaldirektören för konkurrens, konsumentfrågor och bedrägerikontroll och generaldirektören för hälsa ska, var och en inom sitt behörighetsområde, ansvara för genomförandet av detta dekret, som kommer att offentliggöras i Republiken Frankrikes officiella tidning.</w:t>
      </w:r>
    </w:p>
    <w:p w14:paraId="5A8FC5A1" w14:textId="77777777" w:rsidR="00FF1A38" w:rsidRPr="00FF1A38" w:rsidRDefault="00FF1A38" w:rsidP="00FF1A38">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Bilaga</w:t>
      </w:r>
    </w:p>
    <w:p w14:paraId="589DA4E0"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Artikel</w:t>
      </w:r>
    </w:p>
    <w:p w14:paraId="32CB1B17" w14:textId="58BA4218" w:rsidR="00FF1A38" w:rsidRPr="00462526" w:rsidRDefault="00FF1A38" w:rsidP="00FF1A38">
      <w:pPr>
        <w:spacing w:before="100" w:beforeAutospacing="1" w:after="100" w:afterAutospacing="1" w:line="240" w:lineRule="auto"/>
        <w:ind w:left="750"/>
        <w:rPr>
          <w:rFonts w:ascii="Times New Roman" w:eastAsia="Times New Roman" w:hAnsi="Times New Roman" w:cs="Times New Roman"/>
          <w:caps/>
          <w:sz w:val="24"/>
          <w:szCs w:val="24"/>
        </w:rPr>
      </w:pPr>
      <w:r>
        <w:rPr>
          <w:rFonts w:ascii="Times New Roman" w:hAnsi="Times New Roman"/>
          <w:sz w:val="24"/>
        </w:rPr>
        <w:br/>
      </w:r>
      <w:r>
        <w:rPr>
          <w:rFonts w:ascii="Times New Roman" w:hAnsi="Times New Roman"/>
          <w:caps/>
          <w:sz w:val="24"/>
        </w:rPr>
        <w:t>Bilaga 1</w:t>
      </w:r>
      <w:r w:rsidR="00752C77">
        <w:rPr>
          <w:rFonts w:ascii="Times New Roman" w:hAnsi="Times New Roman"/>
          <w:caps/>
          <w:sz w:val="24"/>
        </w:rPr>
        <w:br/>
      </w:r>
      <w:r>
        <w:rPr>
          <w:rFonts w:ascii="Times New Roman" w:hAnsi="Times New Roman"/>
          <w:caps/>
          <w:sz w:val="24"/>
        </w:rPr>
        <w:t>Förteckning över tillämpningar som utesluter exponering av pollinatörer under blomningssäsongen</w:t>
      </w:r>
    </w:p>
    <w:p w14:paraId="34DB028B" w14:textId="77777777"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Ansökningar som görs på växthusgrödor och skyddade grödor, eftersom de görs otillgängliga för pollinatörer under blomningen.</w:t>
      </w:r>
    </w:p>
    <w:p w14:paraId="50FD6962" w14:textId="77777777" w:rsidR="00FF1A38" w:rsidRPr="00FF1A38" w:rsidRDefault="00FF1A38" w:rsidP="00FF1A3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Utfärdad den 20 november 2021.</w:t>
      </w:r>
    </w:p>
    <w:p w14:paraId="24C0BB1B" w14:textId="7C867DA3" w:rsidR="00FF1A38" w:rsidRPr="00FF1A38" w:rsidRDefault="00FF1A38" w:rsidP="00FF1A3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Ministern för jordbruk och livsmedel, för ministern och på ministerns vägnar:</w:t>
      </w:r>
      <w:r>
        <w:rPr>
          <w:rFonts w:ascii="Times New Roman" w:hAnsi="Times New Roman"/>
          <w:sz w:val="24"/>
        </w:rPr>
        <w:br/>
        <w:t xml:space="preserve">Generaldirektören för livsmedel, </w:t>
      </w:r>
      <w:r w:rsidR="00752C77">
        <w:rPr>
          <w:rFonts w:ascii="Times New Roman" w:hAnsi="Times New Roman"/>
          <w:sz w:val="24"/>
        </w:rPr>
        <w:br/>
      </w:r>
      <w:r>
        <w:rPr>
          <w:rFonts w:ascii="Times New Roman" w:hAnsi="Times New Roman"/>
          <w:sz w:val="24"/>
        </w:rPr>
        <w:t>B. Ferreira</w:t>
      </w:r>
    </w:p>
    <w:p w14:paraId="10D6C0DF" w14:textId="4E8EDE22" w:rsidR="00FF1A38" w:rsidRPr="00FF1A38" w:rsidRDefault="00FF1A38" w:rsidP="00FF1A3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lastRenderedPageBreak/>
        <w:br/>
        <w:t>Ministern för ekologisk omställning, för ministern och på ministerns vägnar:</w:t>
      </w:r>
      <w:r>
        <w:rPr>
          <w:rFonts w:ascii="Times New Roman" w:hAnsi="Times New Roman"/>
          <w:sz w:val="24"/>
        </w:rPr>
        <w:br/>
        <w:t xml:space="preserve">Generaldirektören för riskförebyggande, </w:t>
      </w:r>
      <w:r w:rsidR="00752C77">
        <w:rPr>
          <w:rFonts w:ascii="Times New Roman" w:hAnsi="Times New Roman"/>
          <w:sz w:val="24"/>
        </w:rPr>
        <w:br/>
      </w:r>
      <w:r>
        <w:rPr>
          <w:rFonts w:ascii="Times New Roman" w:hAnsi="Times New Roman"/>
          <w:sz w:val="24"/>
        </w:rPr>
        <w:t>C. Bourillet</w:t>
      </w:r>
    </w:p>
    <w:p w14:paraId="19B1D81F" w14:textId="59ECAB5F" w:rsidR="00FF1A38" w:rsidRPr="00FF1A38" w:rsidRDefault="00FF1A38" w:rsidP="00FF1A3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Ministern för ekonomi, finanser och återhämtning,</w:t>
      </w:r>
      <w:r>
        <w:rPr>
          <w:rFonts w:ascii="Times New Roman" w:hAnsi="Times New Roman"/>
          <w:sz w:val="24"/>
        </w:rPr>
        <w:br/>
        <w:t>för ministern och på ministerns vägnar:</w:t>
      </w:r>
      <w:r>
        <w:rPr>
          <w:rFonts w:ascii="Times New Roman" w:hAnsi="Times New Roman"/>
          <w:sz w:val="24"/>
        </w:rPr>
        <w:br/>
        <w:t xml:space="preserve">Generaldirektören för konkurrens, konsumentfrågor och bedrägeribekämpning, </w:t>
      </w:r>
      <w:r w:rsidR="00752C77">
        <w:rPr>
          <w:rFonts w:ascii="Times New Roman" w:hAnsi="Times New Roman"/>
          <w:sz w:val="24"/>
        </w:rPr>
        <w:br/>
      </w:r>
      <w:r>
        <w:rPr>
          <w:rFonts w:ascii="Times New Roman" w:hAnsi="Times New Roman"/>
          <w:sz w:val="24"/>
        </w:rPr>
        <w:t>V. Beaumeunier</w:t>
      </w:r>
    </w:p>
    <w:p w14:paraId="56BCDE13" w14:textId="77777777" w:rsidR="00FF1A38" w:rsidRPr="00FF1A38" w:rsidRDefault="00FF1A38" w:rsidP="00FF1A3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Ministern för solidaritet och hälsa, för ministern och på ministerns vägnar:</w:t>
      </w:r>
      <w:r>
        <w:rPr>
          <w:rFonts w:ascii="Times New Roman" w:hAnsi="Times New Roman"/>
          <w:sz w:val="24"/>
        </w:rPr>
        <w:br/>
        <w:t>Generaldirektören för hälsofrågor,</w:t>
      </w:r>
      <w:r>
        <w:rPr>
          <w:rFonts w:ascii="Times New Roman" w:hAnsi="Times New Roman"/>
          <w:sz w:val="24"/>
        </w:rPr>
        <w:br/>
        <w:t>J. Salomon</w:t>
      </w:r>
    </w:p>
    <w:p w14:paraId="26A05D50" w14:textId="77777777" w:rsidR="00C74177" w:rsidRDefault="00C74177"/>
    <w:sectPr w:rsidR="00C741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3A2779"/>
    <w:multiLevelType w:val="multilevel"/>
    <w:tmpl w:val="FFACF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A38"/>
    <w:rsid w:val="00462526"/>
    <w:rsid w:val="00706D0B"/>
    <w:rsid w:val="00752C77"/>
    <w:rsid w:val="007A2F67"/>
    <w:rsid w:val="00906B70"/>
    <w:rsid w:val="00C74177"/>
    <w:rsid w:val="00FF1A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7BB62"/>
  <w15:chartTrackingRefBased/>
  <w15:docId w15:val="{A5F8F7E5-8A34-4C24-8DDC-26EB8C4D0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580119">
      <w:bodyDiv w:val="1"/>
      <w:marLeft w:val="0"/>
      <w:marRight w:val="0"/>
      <w:marTop w:val="0"/>
      <w:marBottom w:val="0"/>
      <w:divBdr>
        <w:top w:val="none" w:sz="0" w:space="0" w:color="auto"/>
        <w:left w:val="none" w:sz="0" w:space="0" w:color="auto"/>
        <w:bottom w:val="none" w:sz="0" w:space="0" w:color="auto"/>
        <w:right w:val="none" w:sz="0" w:space="0" w:color="auto"/>
      </w:divBdr>
      <w:divsChild>
        <w:div w:id="318073816">
          <w:marLeft w:val="0"/>
          <w:marRight w:val="0"/>
          <w:marTop w:val="0"/>
          <w:marBottom w:val="0"/>
          <w:divBdr>
            <w:top w:val="none" w:sz="0" w:space="0" w:color="auto"/>
            <w:left w:val="none" w:sz="0" w:space="0" w:color="auto"/>
            <w:bottom w:val="none" w:sz="0" w:space="0" w:color="auto"/>
            <w:right w:val="none" w:sz="0" w:space="0" w:color="auto"/>
          </w:divBdr>
          <w:divsChild>
            <w:div w:id="181541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2159</Words>
  <Characters>12308</Characters>
  <Application>Microsoft Office Word</Application>
  <DocSecurity>0</DocSecurity>
  <Lines>102</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Secrétariat Général</Company>
  <LinksUpToDate>false</LinksUpToDate>
  <CharactersWithSpaces>14439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Liana Brili</cp:lastModifiedBy>
  <cp:revision>3</cp:revision>
  <dcterms:created xsi:type="dcterms:W3CDTF">2022-03-04T13:12:00Z</dcterms:created>
  <dcterms:modified xsi:type="dcterms:W3CDTF">2022-03-06T16:17:00Z</dcterms:modified>
</cp:coreProperties>
</file>