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Ministro įsakymas, kuriuo nustatomi kriterijai, pagal kuriuos nustatoma, kada mechaniškai apdorojamos plastiko atliekos, skirtos plastikinių gaminių gamybai, nebelaikomos atliekomis pagal 2022 m. balandžio 8 d. Įstatymą Nr. 7/2022 dėl atliekų ir užteršto dirvožemio žiedinei ekonomikai</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2008 m. lapkričio 19 d. Europos Parlamento ir Tarybos direktyva 2008/98/EB dėl atliekų ir panaikinančia kai kurias direktyvas (toliau – Pagrindų direktyva dėl atliekų) ir 2022 m. balandžio 8 d. Įstatymu Nr. 7/2022 dėl atliekų ir užteršto dirvožemio žiedinei ekonomikai,</w:t>
      </w:r>
      <w:r>
        <w:t xml:space="preserve"> </w:t>
      </w:r>
      <w:r>
        <w:rPr>
          <w:rFonts w:ascii="Arial" w:hAnsi="Arial"/>
          <w:sz w:val="20"/>
        </w:rPr>
        <w:t>kuriuo ji perkeliama į Ispanijos teisę, nustatomi tam tikri reikalavimai, kurie turi būti įvykdyti, kad tam tikros rūšies atliekos</w:t>
      </w:r>
      <w:r>
        <w:rPr>
          <w:rFonts w:ascii="Arial" w:hAnsi="Arial"/>
          <w:color w:val="FF0000"/>
          <w:sz w:val="20"/>
        </w:rPr>
        <w:t xml:space="preserve"> </w:t>
      </w:r>
      <w:r>
        <w:rPr>
          <w:rFonts w:ascii="Arial" w:hAnsi="Arial"/>
          <w:sz w:val="20"/>
        </w:rPr>
        <w:t xml:space="preserve">po panaudojimo nebebūtų laikomas atliekomis.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Keturi reikalavimai, kuriuos reikia įvykdyti norint pakeisti šį teisinį statusą, yra tokie: gauta medžiaga ar objektas turi naudojami konkretiems tikslams, turi būti šios medžiagos ar objekto rinka arba paklausa; gauta medžiaga ar objektas turi atitikti konkretiems tikslams keliamus techninius reikalavimus, galiojančius gaminiams taikomus teisės aktus ir standartus; galiausiai gautos medžiagos ar objekto naudojimas negali turėti neigiamo poveikio aplinkai ar sveikatai.</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Pagrindų direktyvos dėl atliekų su pakeitimais, padarytais 2018 m. gegužės 30 d. Europos Parlamento ir Tarybos direktyva (ES) 2018/851, 6 straipsnyje nustatyta, kad teisinė nebelaikymo atliekomis statuso sąvoka gali būti taikoma Europos Sąjungos ar valstybės narės lygmeniu arba kiekvienu konkrečiu atveju.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Pirmuoju atveju Europos Komisija gali įvertinti poreikį nustatyti šiuos kriterijus tam tikriems atliekų srautams, priimdama įgyvendinimo aktus visos Europos Sąjungos lygmeniu. Antruoju atveju, jei kriterijai nebuvo nustatyti Bendrijos lygmeniu, juos turi nustatyti valstybės narės tam tikrų rūšių</w:t>
      </w:r>
      <w:r>
        <w:rPr>
          <w:rFonts w:ascii="Arial" w:hAnsi="Arial"/>
          <w:color w:val="FF0000"/>
          <w:sz w:val="20"/>
        </w:rPr>
        <w:t xml:space="preserve"> </w:t>
      </w:r>
      <w:r>
        <w:rPr>
          <w:rFonts w:ascii="Arial" w:hAnsi="Arial"/>
          <w:sz w:val="20"/>
        </w:rPr>
        <w:t>atliekoms. Abiem atvejais atliekų nebelaikymo atliekomis reikalavimai, nustatyti direktyvoje, taikomi atliekoms, kurias leidžiama naudoti kaip žaliavas naudojimo operacijai; leistinos apdorojimo procedūros ir metodai; kokybės kriterijai, kurių turi būti laikomasi atliekų nebelaikant atliekomis po naudojimo operacijos, laikantis taikomų produktų standartų, įskaitant, jei reikia, teršalų ribines vertes; valdymo sistemos, kuriomis įrodoma atitiktis nustatytiems kriterijams, ypač kokybės kontrolei ir savikontrolei, ir, kai tinkama, akreditavimui; ir galiausiai atitikties deklaracijos pristatymui.</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Trečiuoju atveju, vadinamuoju konkrečiu atveju, kai nei Europos Sąjungos, nei nacionaliniu lygmenimis nėra nustatytų kriterijų, būtent valstybės narės gali kiekvienu atveju atskirai nuspręsti dėl tam tikrų atliekų srautų. 2018 m. gegužės 30 d. Direktyvoje 2018/851 nustatyta, kad kiekvienu atveju prireikus pateikiami tie patys reikalavimai, kokie nustatyti dviem pirmiau aprašytoms galimybėms. Be to, šiuo pastaruoju atveju taip pat bus atsižvelgiama į ribines teršalų vertes ir bet kokį neigiamą poveikį aplinkai ir žmonių sveikatai.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2022 m. balandžio 8 d. Įstatymo Nr. 7/2022 5 straipsnyje numatyta, kad konkretūs kriterijai, taikomi tam tikroms atliekoms, kurios buvo panaudotos, įskaitant perdirbimą, gali būti nustatyti ministro įsakymu, kad jos nebebūtų laikomos atliekomis. Šiuo tikslu Europos Sąjungos įsteigtos Atliekų koordinavimo komisijos atliktame preliminariame tyrime, taikomoje teismų praktikoje, atitinkamais atvejais atsižvelgiama į atsargumo ir prevencijos principus ir bet kokį su tuo susijusios medžiagos neigiamą poveikį.</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Pažymėtina, kad tas pats požiūris, kurio laikomasi naujojoje direktyvoje dėl pokyčių Europos Sąjungos ir nacionaliniu lygmeniu, yra tas, kuris buvo taikomas Ispanijoje įgyvendinant 2022 m. balandžio 8 d. Įstatymo Nr. 7/2022 5 straipsnį, priimant ministrų įsakymus dėl nebelaikymo atliekomis statuso.</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Kalbant apie pasiūlymą dėl tam tikroms plastiko atliekoms taikomų nebelaikymo atliekomis kriterijų, Europos Sąjungos lygmeniu Europos Komisija paskyrė Jungtinį tyrimų centrą (toliau – JTC), kad jis išnagrinėtų siūlomus tam tikrų plastiko atliekų nebelaikymo atliekomis kriterijus ir įtrauktų visą pagrindinę informaciją, būtiną siekiant užtikrinti, kad būtų laikomasi 2008 m. lapkričio 19 d. Direktyvos 2008/98/EB 6 straipsnyje nustatytų sąlygų. Šis tyrimas paskelbtas 2014 m., jame dalyvavo valstybių narių </w:t>
      </w:r>
      <w:r>
        <w:rPr>
          <w:rFonts w:ascii="Arial" w:hAnsi="Arial"/>
          <w:sz w:val="20"/>
        </w:rPr>
        <w:lastRenderedPageBreak/>
        <w:t>ekspertai ir suinteresuotieji subjektai.</w:t>
      </w:r>
      <w:r>
        <w:rPr>
          <w:rFonts w:ascii="Arial" w:hAnsi="Arial"/>
          <w:sz w:val="20"/>
          <w:shd w:val="clear" w:color="auto" w:fill="FFFFFF"/>
        </w:rPr>
        <w:t xml:space="preserve"> Šio dokumento VI priede</w:t>
      </w:r>
      <w:r>
        <w:rPr>
          <w:rFonts w:ascii="Arial" w:hAnsi="Arial"/>
          <w:sz w:val="20"/>
        </w:rPr>
        <w:t xml:space="preserve"> apibendrinami vadinamojo termoplastiko (išskyrus termoreceptorių) atliekų nebelaikymo atliekomis kriterijai, suskirstyti į keletą dalių. Nepaisant šio tyrimo paskelbimo, Europos Komisija dar nerengė teisėkūros iniciatyvos nustatyti šiuos kriterijus plastiko atliekų srautui Europos lygmeniu.</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Vėliau, įgyvendindama pirmąjį žiedinės ekonomikos veiksmų planą, 2018 m. pradžioje Komisija priėmė </w:t>
      </w:r>
      <w:r>
        <w:rPr>
          <w:rFonts w:ascii="Arial" w:hAnsi="Arial"/>
          <w:i/>
          <w:sz w:val="20"/>
        </w:rPr>
        <w:t>Europinę plastiko žiedinėje ekonomikoje strategiją</w:t>
      </w:r>
      <w:r>
        <w:rPr>
          <w:rFonts w:ascii="Arial" w:hAnsi="Arial"/>
          <w:sz w:val="20"/>
        </w:rPr>
        <w:t>, kurioje konkrečiai nagrinėjami plastiko projektavimo, gamybos ir naudojimo aspektai, taip pat atskiras surinkimas ir dabartinės galimybės tinkamai apdoroti šios rūšies atliekas. Strategijoje ne tik pateikiamas konkrečių priemonių sąrašas, bet ir pabrėžiama, kad reikia mažinti nepageidaujamą plastiko ir plastiko atliekų naudojimo poveikį visuomenei ir aplinkai, taip pat įtrauktas tikslas nuo dabar iki 2025 m. kasmet naudoti 10 mln. tonų perdirbto plastiko naujų produktų gamybai, taip skatinant plastiko atliekų perdirbimą Europos Sąjungoje.</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Terminas „plastikas“ apima įvairias medžiagas, kurios dalijasi struktūrų, vadinamų monomerais, pasikartojimu ilgų grandinių pavidalu. Remiantis šiuo pagrindiniu vienetu, kiekvieno plastiko bazinis pagrindas yra polimeras (monomerų grandinė) ir visos cheminės medžiagos, kurios pridedamos, kad suteiktų įvairių savybių. Priklausomai nuo šių savybių, plastikai, be kita ko, gali būti naudojami kaip izoliacija, šiluminė, konstrukcinė , apšvietimo ir apsauginė medžiaga. Dėl savo pripažinto funkcionalumo, universalumo ir kainos plastikai pritaikomi daugeliu atvejų įvairiose srityse – nuo kasdienio ir buitinio talpyklų ir pakuočių naudojimo iki naudojimo statybose, automobiliams, mašinoms, elektronikos ir žemės ūkio srityse, audiniams, baldams ir kt. Kalbant apie tūrį, pakuotėse naudojamų plastikų paklausa yra didžiausia nei kitoms reikmėms.</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Būtent dėl to, kad jis pasižymi tokiomis įvairiomis savybėmis ir yra naudojamas tiek daug skirtingų paskirčių, plastikų naudojimas yra toks plačiai paplitęs, todėl plastiko atliekų kiekis yra labai svarbus, o pastaraisiais metais pastebima kiekio didėjimo tendencija. Be jų įvairovės, plastikams būdingas labai įvairus kiekvieno gaminio naudojimo laikas, kuris gali svyruoti nuo minučių tam tikruose vartojimo gaminiuose iki daugelio metų gaminiuose, naudojamuose, pavyzdžiui, statybose ar mašinose. Šis aspektas taip pat daro didelę įtaką atliekų srautui, taip pat tam tikrų cheminių medžiagų ar mišinių buvimui kai kuriose iš jų.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Cheminių medžiagų ar mišinių plastiko atliekose klausimas neabejotinai yra labai svarbus siekiant apsaugoti aplinką ir žmonių sveikatą. Dėl šios priežasties neseniai buvo nustatytas vis didėjantis visuomenės poreikis spręsti problemą, susijusią su tiesiogine tarša, ir tinkamiausius šio atliekų srauto tvarkymo būdus. Šiuo atžvilgiu 2019 m. birželio 20 d. Europos Parlamento ir Tarybos reglamente (ES) 2019/1021 dėl patvariųjų organinių teršalų (POT) reikalaujama, kad atliekos, kurias sudaro to reglamento IV priede išvardytos medžiagos, kurių koncentracija yra didesnė nei nustatyta tame priede arba kurios yra jomis užterštos, būtų šalinamos arba panaudojamos atliekant tam tikras apdorojimo operacijas, kuriomis užtikrinamas POT turinio sunaikinimas arba negrįžtamas transformavimas, jei neįmanomas perdirbimas. Be to, taikomos nuostatos dėl šių medžiagų gamybos, pateikimo rinkai ir naudojimo gaminiuose, pagamintuose iš plastikų, kurie įgyja nebelaikymo atliekomis statusą.</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Bazelio konvencijoje ir keliose valstybėse narėse parengtos tinkamo POT turinčių atliekų srautų tvarkymo gairės. 2019 m. Europos Komisija paskelbė plataus užmojo tyrimą, kuriame daugiausia dėmesio skiriama 2019 m. birželio 20 d. Europos Parlamento ir Tarybos reglamento (ES) 2019/1021 IV ir V prieduose nustatytų ribų peržiūrai. Šiame tyrime pabrėžiama, kad apskritai išardymą ir mechaninį atskyrimą galima įgyvendinti kaip veiksmingą pirmąjį žingsnį siekiant sumažinti į gamybos ciklus grįžtančių POT turinčių atliekų kiekį. Šie elektros ir elektroninės įrangos atliekų apdorojimo būdai yra labiau taikomi, o kitiems srautams, pvz., nenaudojamoms transporto priemonėms ir statybos bei griovimo atliekoms, yra daugiau praktinių kliūčių. Idealiu atveju atliekos su POT turėtų būti atskirtos nuo likusių pogrupių kuo greičiau atliekų apdorojimo grandinėje.</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Kai srautas tampa atliekomis, jo perdirbimo sėkmė labai skiriasi priklausomai nuo atliekų rūšies ir jų kilmės. Šiuo metu, remiantis pačios Komisijos duomenimis, Europoje kasmet surenkama daugiau </w:t>
      </w:r>
      <w:r>
        <w:rPr>
          <w:rFonts w:ascii="Arial" w:hAnsi="Arial"/>
          <w:sz w:val="20"/>
        </w:rPr>
        <w:lastRenderedPageBreak/>
        <w:t xml:space="preserve">kaip 27 mln. tonų plastiko atliekų. Mažiau nei trečdalis šio metinio kiekio yra skirtas perdirbimo įmonėms, o dideli kiekiai patenka į sąvartynus, deginami arba yra eksportuojami. Europos Komisija nustatė, kad iki 2030 m. kiekviena valstybė narė turi pasiekti 55 % plastiko pakuočių atliekų perdirbimo.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Viena vertus, plastikų arba plastikų gamybos pramonę, vadinamą perdirbimo pramone, reikia atskirti nuo kitų subjektų, dalyvaujančių šių medžiagų cikle, kai jos tampa atliekomis, – plastiko atliekų tvarkytojų. Atsižvelgiant į šį nebelaikymo atliekomis statusą, pateikus rinkai plastikinius gaminius, nepriklausomai nuo to, kiek skiriasi jų naudojimo laikas, jie bet kuriuo metu taps atliekomis. Tada jie turi būti apdorojami plastiko atliekų tvarkytojų, turinčių specialų leidimą tokiam apdorojimui, įrenginiuose pagal 2022 m. balandžio 8 d. Įstatymą Nr. 7/2022. Šiame sraute įprasta, kad plastiko atliekos, prieš jas apdorojant galutiniam naudojimui, perduodamos per kitus valdytojus, kurie paprastai atlieka bent vieną klasifikaciją. Galiausiai tinkamai apdorotos atliekos gali būti tiesiogiai naudojamos kaip žaliava, perdirbimo pramonės panaudota gaminant naujus gatavus plastikinius gaminius ar pusgaminius – taigi tai yra žiedinės ekonomikos modelis.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Gali būti pridėtas būtinas niuansas, o šio įsakymo taikymo sritis apima tik pirmesnėje dalyje aprašytą srautą: plastiko atliekos, kurios patenka į vieną ar daugiau atliekų apdorojimo įrenginių prieš pasiekiant galutinį atliekų panaudojimo įrenginį. Pramonės srityje viskas, kas susidaro gaminant plastikinius gaminius (likučius, laužus, reikalavimų neatitinkančius gaminius ir t. t.), kurie gaunami pačioje gamykloje ir yra tiesiogiai įtraukti į perdirbimo pramonę, patenka į šalutinių produktų sąvoką, o ne nebelaikymo atliekomis statusą, nes jis nepereina per atliekų tvarkytoją. Šis aspektas, kuris atitinka tik atliekas pramoninėje aplinkoje, kurios nepasiekė nė vieno vartotojo ir kurios vadinamos postindustrinėmis atliekomis, šiuo standartu nereglamentuojamas.</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Ši sistema dar neturi bendros reguliavimo sistemos Europos lygmeniu. Tik Portugalija paskelbė nebelaikymo atliekomis kriterijus, atitinkančius JTC techniniame tyrime nustatytus kriterijus. Atsižvelgiant į šio atliekų srauto svarbą ir į tai, kad Europos Sąjungos lygmeniu nėra reguliavimo, laikoma, kad labai svarbu, kad mūsų šalyje būtų taikoma ministrų tvarka. Tai duoda tiesioginės naudos, nes skatina didinti atskiro ir veiksmingo šios rūšies atliekų surinkimo apimtis; perdirbimo lygio didėjimas; geresnio atliekų apdorojimo ir geresnės žaliavų, gautų vykdant atitinkamas apdorojimo operacijas, kokybės kontrolės įgyvendinimas. Be to, atliekų nebelaikymo atliekomis statusas sumažins su atliekų vežimu susijusius administracinius formalumus, tačiau jis nėra būtinas medžiagoms, susijusioms su aplinka ir žmonių sveikata, kitaip nei atliekų srityje, kurioje vežimo kontrolė yra būtina.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Šiuo įsakymu siekiama nustatyti konkrečiai mechaniškai apdorotų termoplastinių atliekų nebelaikymo atliekomis kriterijus, kurie galios visoje valstybės teritorijoje, kaip numatyta 2022 m. balandžio 8 d. Įstatymo Nr. 7/2022 5 straipsnyje. Tai – kriterijai, pagrįsti pirmiau minėtu JTC parengtu techniniu dokumentu.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Taigi šio įsakymo tikslas – nustatyti, kokius reikalavimus turi atitikti mechaninio apdorojimo reikalavimus atitinkančios termoplastinės atliekos, atliekų tvarkytojams keliami reikalavimai, kokybės kriterijai, kuriuos turi atitikti gauta medžiaga po naudojimo operacijos pagal taikomus produktų standartus, taip pat atitikties nebelaikymo atliekomis kriterijams patikrinimo procedūra taikant tvarkymo sistemas.</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Taip pat reikėtų pažymėti, kad šis standartas taikomas tik mechaniniam apdorojimui, o ne kitam apdorojimui, pvz., įvairiems cheminiams apdorojimams, kurie gali būti atliekami tame pačiame atliekų sraute.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Siekiant užtikrinti sudėtingą patvariųjų organinių teršalų (POT) problemą tam tikruose plastiko atliekų srautuose, siūloma diferencijuoti du lygius. Viena vertus, tiems srautams, kuriuose yra daugiau tikrumo dėl POT ir pavojingų medžiagų nebuvimo, palengvinti atsekamumą, užtikrinant gautų atliekų kilmę ir užtikrinant, kad jos būtų apdorojamos atskirai ir nesumaišytų su atliekomis iš kitų visų susijusių tarpinių valdytojų šaltinių. Galiausiai, kai šios identifikuojamos ir atsekamos kilmės betono atliekos pasiekia </w:t>
      </w:r>
      <w:r>
        <w:rPr>
          <w:rFonts w:ascii="Arial" w:hAnsi="Arial"/>
          <w:sz w:val="20"/>
        </w:rPr>
        <w:lastRenderedPageBreak/>
        <w:t xml:space="preserve">galutinę atliekų naudojimo įmonę, toks atsekamumas užtikrinamas paprasčiausiai pateikiant kiekvienoje jos įrenginyje gautos medžiagos siuntos atitikties deklaraciją.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Kita vertus, šių srautų atliekoms, be kita ko, pavojingos atliekos, elektros ir elektroninės įrangos atliekos, nenaudojamos transporto priemonės ir statybos bei griovimo atliekos, kuriose yra pavojingų medžiagų ir POT, taip pat turi vienareikšmiškai užtikrinti atliekų kilmę, o visų grandinėje dalyvaujančių valdytojų veikla turėtų būti atskirta nuo pirmiau nurodytų atliekų tol, kol jos pasieks galutinę atliekų naudojimo įmonę. Tai nedaro poveikio konkrečiam šių atliekų nukenksminimui laikantis 2019 m. birželio 20 d. Europos Parlamento ir Tarybos reglamento (ES) 2019/1021 nuostatų. Šio reglamento poveikio plastiko atliekoms ir plastiko pogrupiams, o kiekvienu konkrečiu atveju – naudotinų operacijų aprašymas įtrauktas į IV priedą kaip gairės.</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Prie kiekvienos perdirbtos plastikinės medžiagos, atitinkančios šiuos nebelaikymo atliekomis kriterijus ir dėl to nebelaikomos atliekomis, vežimo pridedama atitinkama atitikties deklaracija pagal III priede pateiktą turinį ir nuorodas, atsižvelgiant į tos medžiagos paskesnę paskirties vietą. Taigi, be atsekamumo užtikrinimo, šis reikalavimas pateikti dokumentus kiekvienai siuntai atitinka 2008 m. kovo 27 d. Komisijos reglamente (EB) Nr. 282/2008 dėl perdirbto plastiko medžiagų ir gaminių, skirtų liestis su maistu, ir iš dalies keičiančiame Reglamentą (EB) Nr. 2023/2006, nustatytus įpareigojimus. Kadangi šioje konkrečioje su maistu besiliečiančių medžiagų srityje atliekų rinkėjas turėtų pateikti perdirbėjui informaciją, kad perdirbtas plastikas pagamintas taikant leidžiamą procesą, ir nurodyti jo taikymo sritį, prie bet kurios perdirbto plastiko medžiagos, atitinkančios šį įsakymą ir skirtos su maistu besiliečiančioms medžiagoms ar gaminiams gaminti, turėtų būti pridėta atitikties deklaracija, kurioje taip pat turi būti pateikta tam tikra papildoma informacija, nustatyta 2008 m. kovo 27 d. Komisijos reglamento (EB) Nr. 282/2008 12 straipsnio 2 dalyje, įskaitant šio reglamento I priedo B dalyje nurodytą informaciją, pateiktą šio įsakymo III priedo 1 dalyje.</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Galiausiai plastiko atliekos, apdorotos pagal šio įsakymo nuostatas, po galutinio panaudojimo turi būti tiesiogiai naudojamos perdirbimo pramonėje. Pagrindinis klausimas dėl susidariusios medžiagos nebelaikymo atliekomis statuso kyla ne dėl gautų medžiagų fizinio formato, bet dėl jos galimybės tiesiogiai naudoti ir pakeisti pirmines plastikines žaliavas įvairių plastikinių gaminių gamybos pramonėje.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Kadangi su maistu besiliečiančių medžiagų naudojimas jau apribotas ir reglamentuojamas Europos teisės aktais, šiuo konkrečiu tikslu skirtoms apdorotoms plastiko atliekoms, be kitų nuostatų, nustatytų kituose Europos standartuose šiuo klausimu, bus taikomos konkrečios 2008 m. kovo 27 d. Komisijos reglamento (EB) Nr. 282/2008 nuostatos. Dėl šios priežasties šiame ministro įsakyme turi būti išskiriamos dvi vėlesnės paskirties vietos, nors abi medžiagų rūšys taip pat gali įgyti atitinkamą atliekų nebelaikymo atliekomis statusą. Viena vertus, tie, kurie skirti liestis su maistu ir kurie turi atitikti galiojančiuose Europos reglamentuose nustatytus reikalavimus taip pat nacionaliniu lygmeniu – 2011 m. birželio 17 d. Karališkąjį dekretą Nr. 846/2011, kuriuo nustatomos sąlygos, kurias turi atitikti iš perdirbtų polimerinių medžiagų pagamintos žaliavos, naudojamos medžiagose ir gaminiuose, skirtuose liestis su maistu. Ir, kita vertus, visoms kitoms mechaniškai apdorotoms plastikinėms medžiagoms, skirtoms perdirbimo pramonei bet kokios kitos rūšies plastikiniams gaminiams, kurie turi atitikti atitinkamą jo standartą arba naudotojo reikalaujamas technines specifikacijas, gaminti.</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Todėl kitos į I priedą neįtrauktos plastiko atliekos, taip pat mechaniškai apdorotos plastiko atliekos, kurios neatitinka kitų nustatytų kriterijų, ir toliau bus laikomos atliekomis pagal 2022 m. balandžio 8 d. Įstatymą Nr. 7/2022, todėl jos turi būti tvarkomos laikantis šiame įstatyme nustatytos teisinės tvarkos. Arba, jei jos yra skirtos energijos panaudojimo įrenginiams, šie įrenginiai turi atitikti 2013 m. spalio 18 d. Karališkojo dekreto Nr. 815/2013, kuriuo patvirtinamas Pramoninių išmetamųjų teršalų reglamentas ir įgyvendinamas ir 2002 m. liepos 1 d. Įstatymas Nr. 16/2002 dėl taršos integruotos prevencijos ir kontrolės, IV skyriaus nuostatas, siekiant užtikrinti šiose taisyklėse numatytą aplinkos apsaugą.</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Įsigaliojus šiam įsakymui, plastiko atliekų tvarkytojų pasirinkimas yra savanoriškas, tačiau, jei galutinis valdytojas nori parduoti apdorotas plastiko atliekas kaip gaminį, jis privalo laikytis šio standarto. Tam, kad būtų galima patikrinti, ar plastiko atliekų tvarkytojas laikosi standarto, būtina, kad apie tai būtų </w:t>
      </w:r>
      <w:r>
        <w:rPr>
          <w:rFonts w:ascii="Arial" w:hAnsi="Arial"/>
          <w:sz w:val="20"/>
        </w:rPr>
        <w:lastRenderedPageBreak/>
        <w:t xml:space="preserve">pranešta atitinkamai regioninei administracijai. Todėl jos turi nusiųsti pranešimą regioninei administracijai, suteikusiai įrenginio patvirtinimą pagal įstatymą, kad galėtų naudoti II priede pateiktą pavyzdį.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Atsižvelgiant į tai, kad atliekų nebelaikymo atliekomis kriterijai bus privalomi tik juos nustačiusioje valstybėje narėje, kaip nurodė Europos Komisija, kai medžiagos perkeliamos į kitą valstybę narę, paskirties šalis neprivalo pripažinti medžiagos priskyrimo prie atliekų kilmės šalyje remiantis atliekų nebelaikymo atliekomis kriterijais. Todėl, jeigu paskirties šalis aiškiai nenurodo, kad sutinka su tokia gaminio klasifikacija, vežama bus vadovaujantis 2006 m. birželio 14 d. Europos Parlamento ir Tarybos reglamentu (ES) Nr. 1013/2006 dėl atliekų vežimo. Bet kuriuo atveju, jei kilmės arba paskirties šalis yra trečioji šalis, t. y. šalis, kuri nėra Europos Sąjungos narė, vežimas vykdomas pagal pirmiau minėtą reglamentą.</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Šis standartas atitinka patikimo reguliavimo principus, išdėstytus 2015 m. spalio 1 d. Įstatymo Nr. 39/2015 dėl bendrosios administracinės viešojo administravimo procedūros 129 straipsnyje. Vadovaujantis būtinumo ir veiksmingumo principais, šis įsakymas yra grindžiamas tinkama žmonių sveikatos ir aplinkos apsauga, palengvinančia plastikinių gaminių grįžimą į gamybos ciklą tik toms saugioms medžiagoms, kurios atitinka vėlesniam naudojimui reikalingas specifikacijas. Jis taip pat grindžiamas aiškiu siekiamų tikslų nustatymu ir, atsižvelgiant į aukštą nustatomų reikalavimų techninį pobūdį, jis laikomas tinkama priemone jį įgyvendinti.</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Ši taisyklė atitinka proporcingumo principą, nes ja reglamentuojami esminiai jos siekiamo tikslo aspektai, t. y. nustatoma, kada tam tikros mechaniškai ir tinkamai apdorotos plastiko atliekos nebegali būti laikomos atliekomis pagal 2022 m. balandžio 8 d. Įstatymą Nr. 7/2022.</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Pagal teisinio saugumo principą ši taisyklė atitinka likusią nacionalinės ir Europos Sąjungos teisės sistemą, kuria užtikrinamas didesnis teisinis tikrumas, nes sukuriama stabili, nuspėjama, integruota ir tam tikra reguliavimo sistema, kuri palengvina jų žinias ir supratimą, taigi ir atitinkamų sektorių veiksmus bei sprendimų priėmimą.</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Ji taip pat laikosi skaidrumo principo, nes skrupulingai laikomasi visų visuomenės informavimo ir klausymo procedūrų.</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Galiausiai, taikant veiksmingumo principą, šis standartas užtikrina maksimalų efektyvumą siekiant tikslų mažiausiomis įmanomomis jo taikymo sąnaudomis.</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Šiam ministro įsakymui pritaikyta informacijos apie reglamentus teikimo tvarka, nustatyta 1999 m. liepos 31 d. Karališkuoju dekretu Nr. 1337/1999, kuriuo nustatoma informacijos apie techninius standartus ir informacinės visuomenės paslaugų reglamentus teikimo tvarka, siekiant, kad būtų laikomasi 2015 m. rugsėjo 9 d. Europos Parlamento ir Tarybos direktyvos (ES) 2015/1535, kuria nustatoma informacijos apie techninius reglamentus ir informacinės visuomenės paslaugų taisykles teikimo tvarka, nuostatų.</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Įgaliojimas įgyvendinti šį įsakymą numatytas balandžio 8 d. Įstatymo Nr. 7/2022 5 straipsnyje, o jo konstitucinis pagrindas – Konstitucijos 149 straipsnio 1 dalies 23 punkte, pagal kurį valstybei suteikiama išimtinė kompetencija pagrindinių aplinkos apsaugos teisės aktų klausimais, nepažeidžiant autonominių bendruomenių įgaliojimų nustatyti papildomus apsaugos standartus.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Rengiant šį įsakymą buvo konsultuojamasi su autonominėmis bendruomenėmis ir atitinkamiems sektoriams atstovaujančiais subjektais; jam taip pat taikoma visuomenės informavimo tvarka ir jis pateiktas Atliekų koordinavimo komisijai bei Aplinkos konsultacinei tarybai, taikant 2006 m. liepos 18 d. Įstatymo Nr. 27/2006, kuriuo reglamentuojama teisė gauti informaciją, visuomenės dalyvavimas ir teisė kreiptis į teismus aplinkosaugos klausimais, nuostatas.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Atsižvelgdamas į tai, gavęs išankstinį finansų ir valstybės tarnybos ministro pritarimą, Valstybės Tarybos pritarimu ir (arba) išklausymu, nurodau:</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1 straipsnis </w:t>
      </w:r>
      <w:r>
        <w:rPr>
          <w:rFonts w:ascii="Arial" w:hAnsi="Arial"/>
          <w:b/>
          <w:i/>
          <w:sz w:val="20"/>
          <w:shd w:val="clear" w:color="auto" w:fill="FFFFFF"/>
        </w:rPr>
        <w:t>Tikslas ir taikymo sritis.</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Šiuo įsakymu siekiama nustatyti kriterijus, pagal kuriuos nustatoma, kada plastiko atliekos, kurios yra mechaniškai apdorojamos ir vėliau yra skirtos plastikinių gaminių gamybai, pagal 2022 m. balandžio 8 d. Įstatymą Nr. 7/2022 dėl atliekų ir užteršto dirvožemio žiedinei ekonomikai nebelaikomos atliekomis.</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Plastiko atliekos, kurios neatitinka šio įsakymo nuostatų, bus laikomos atliekomis ir bus panaudotos arba šalinamos pagal 2022 m. balandžio 8 d. Įstatymą Nr. 7/2022 ir visas kitas joms taikomas taisykles.</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Šiame įsakyme išdėstyti kriterijai yra taikomi visai Ispanijos teritorijai.</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2 straipsnis </w:t>
      </w:r>
      <w:r>
        <w:rPr>
          <w:rFonts w:ascii="Arial" w:hAnsi="Arial"/>
          <w:b/>
          <w:i/>
          <w:sz w:val="20"/>
        </w:rPr>
        <w:t>Apibrėžtys</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Šiame įsakyme, be apibrėžčių, pateiktų 2022 m. balandžio 8 d. Įstatyme Nr. 7/2022, vartojamos šios apibrėžtys:</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a) </w:t>
      </w:r>
      <w:r>
        <w:rPr>
          <w:rFonts w:ascii="Arial" w:hAnsi="Arial"/>
          <w:sz w:val="20"/>
        </w:rPr>
        <w:t>plastikas – medžiaga, pagaminta iš polimero, kaip apibrėžta 2006 m. gruodžio 18 d. Europos Parlamento ir Tarybos reglamento (EB) Nr. 1907/2006 dėl cheminių medžiagų registracijos, įvertinimo, autorizacijos ir apribojimų (REACH), įsteigiantis Europos cheminių medžiagų agentūrą, iš dalies keičiančio Direktyvą 1999/45/EB bei panaikinančio Tarybos reglamentą (EEB) Nr. 793/93, Komisijos reglamentą (EB) Nr. 1488/94, Tarybos direktyvą 76/769/EEB ir Komisijos direktyvas 91/155/EEB, 93/67/EEB, 93/105/EB bei 2000/21/EB, 3 straipsnio 5 dalyje, kurioje gali būti priedų arba kitų medžiagų priedų ir kuri gali būti galutinių produktų pagrindinė struktūrinė sudedamoji dalis, išskyrus chemiškai modifikuotus gamtinius polimerus;</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plastiko atliekos – gaminys, pagamintas iš plastiko arba kurio sudėtyje yra plastiko, kuris yra išmetamas arba skirtas šalinti arba turi būti pašalintas. Šis terminas apima po pramoninių procesų ir po naudojimo likusias atliekas – tiek neapdorotas, tiek apdorotas;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grąžinamojo perdirbimo plastikinės medžiagos – medžiagos, gautos iš plastiko atliekų, mechaniškai apdorojamų patvirtintuose tvarkymo įrenginiuose, kurios laikomos galutinai apdorotomis, kurios atitinka šio standarto nuostatas ir nebelaikomos atliekomis pagal </w:t>
      </w:r>
      <w:bookmarkEnd w:id="0"/>
      <w:r>
        <w:t xml:space="preserve"> </w:t>
      </w:r>
      <w:r>
        <w:rPr>
          <w:rFonts w:ascii="Arial" w:hAnsi="Arial"/>
          <w:sz w:val="20"/>
        </w:rPr>
        <w:t>2022 m. balandžio 8 d. Įstatymą Nr. 7/2022;</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neplastikinė sudedamoji dalis – bet kokios gamtinės medžiagos, išskyrus polimerus ir cheminius priedus, kurios yra kai kurių plastiko atliekų arba </w:t>
      </w:r>
      <w:r>
        <w:rPr>
          <w:rFonts w:ascii="Arial" w:hAnsi="Arial"/>
          <w:sz w:val="20"/>
        </w:rPr>
        <w:t>grąžinamojo perdirbimo plastikinės medžiagos dalis</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gamintojas – </w:t>
      </w:r>
      <w:r>
        <w:rPr>
          <w:rFonts w:ascii="Arial" w:hAnsi="Arial"/>
          <w:sz w:val="20"/>
        </w:rPr>
        <w:t>įgaliotasis atliekų tvarkytojas, kuris atlieka galutinio apdorojimo operacijas tam tikromis savybėmis pasižyminčioms medžiagoms gauti ir kuris pirmą kartą jas perduoda kaip grąžinamojo perdirbimo plastikines medžiagas, kurios nustojo būti atliekomis;</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turėtojas – fizinis arba juridinis asmuo, turintis grąžinamojo perdirbimo plastikines medžiagas;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importuotojas – bet kuris fizinis ar juridinis asmuo, iš Europos Sąjungos valstybės narės arba iš trečiosios šalies į Ispaniją atgabenantis</w:t>
      </w:r>
      <w:r>
        <w:rPr>
          <w:rFonts w:ascii="Arial" w:hAnsi="Arial"/>
          <w:color w:val="FF0000"/>
          <w:sz w:val="20"/>
          <w:shd w:val="clear" w:color="auto" w:fill="FFFFFF"/>
        </w:rPr>
        <w:t xml:space="preserve"> </w:t>
      </w:r>
      <w:r>
        <w:rPr>
          <w:rFonts w:ascii="Arial" w:hAnsi="Arial"/>
          <w:sz w:val="20"/>
          <w:shd w:val="clear" w:color="auto" w:fill="FFFFFF"/>
        </w:rPr>
        <w:t xml:space="preserve">grąžinamojo perdirbimo plastikines medžiagas, </w:t>
      </w:r>
      <w:r>
        <w:rPr>
          <w:rFonts w:ascii="Arial" w:hAnsi="Arial"/>
          <w:sz w:val="20"/>
        </w:rPr>
        <w:t>kurios pagal šį įsakymą nebelaikomos atliekomis</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prekiautojas – bet kuris fizinis ar juridinis asmuo, dalyvaujantis perkant grąžinamojo perdirbimo plastikines medžiagas, kurios pagal šį įsakymą nebelaikomos atliekomis, ir vėliau parduodamos plastiko gaminių gamybos įmonėms, net jei fiziškai jų neturi;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lastRenderedPageBreak/>
        <w:t>i) kvalifikuoti darbuotojai – asmenys, kurie, naudodamiesi patirtimi ar išėję mokymus, gali tinkamai ištirti ir įvertinti tiek plastiko atliekų, tiek grąžinamojo perdirbimo plastikinių medžiagų savybes;</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vizualinis patikrinimas – visų plastiko atliekų arba grąžinamojo perdirbimo plastikinių medžiagų tikrinimas naudojantis regos ar kitais pojūčiais arba bet kokia nespecializuota įranga;</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partija – tos pačios kokybės grąžinamojo perdirbimo plastikinių medžiagų vienetas, pagamintas tame pačiame atliekų apdorojimo įrenginyje ir patikrinus, ar laikomasi I priedo 3 dalyje nustatytų reikalavimų;</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krovinys – grąžinamojo perdirbimo plastikinių medžiagų partija, kurią gamintojas skiria kitam turėtojui ir kuri gali būti viename ar daugiau gabenimo vienetų, pavyzdžiui, konteineriuose.</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3 straipsnis. </w:t>
      </w:r>
      <w:r>
        <w:rPr>
          <w:rFonts w:ascii="Arial" w:hAnsi="Arial"/>
          <w:b/>
          <w:i/>
          <w:sz w:val="20"/>
        </w:rPr>
        <w:t>Atliekų nebelaikymo atliekomis kriterijai.</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Grąžinamojo perdirbimo plastikinės medžiagos, skirtos plastikiniams gaminiams gaminti, nebelaikomos atliekomis, kai jos išvežamas iš gamintojo patalpų į turėtojo patalpas ir atitinka toliau nurodytus reikalavimus.</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Apdoroti skirtos plastiko atliekos yra tik tos, kurios atitinka I priedo 1 skirsnio kriterijus.</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Su plastiko atliekomis buvo atlikta viena ar daugiau naudojimo operacijų </w:t>
      </w:r>
      <w:r>
        <w:rPr>
          <w:rFonts w:ascii="Arial" w:hAnsi="Arial"/>
          <w:color w:val="000000"/>
          <w:sz w:val="20"/>
          <w:shd w:val="clear" w:color="auto" w:fill="FFFFFF"/>
        </w:rPr>
        <w:t>pagal</w:t>
      </w:r>
      <w:r>
        <w:rPr>
          <w:rFonts w:ascii="Arial" w:hAnsi="Arial"/>
          <w:sz w:val="20"/>
          <w:shd w:val="clear" w:color="auto" w:fill="FFFFFF"/>
        </w:rPr>
        <w:t xml:space="preserve"> I priedo 2 dalyje nustatytus kriterijus.</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Apdorotos plastiko atliekos atitinka I priedo 3 dalyje nustatytus kriterijus.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Kai taikytina, gamintojas arba importuotojas įvykdė 5, 6 ir 7 straipsniuose ir 4 straipsnyje nustatytas prievoles.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Fiziniai arba juridiniai asmenys, norintys gauti grąžinamojo perdirbimo plastikinių medžiagų, privalo laikytis šio standarto ir informuoti autonominę sritį, kurioje yra galutinio atliekų apdorojimo įrenginys, iš kurio gaunamos grąžinamojo perdirbimo plastikinės medžiagos, kad šie kriterijai būtų įvykdyti prieš pirmą vežimą. Toks pranešimas teikiamas pateikiant paraišką, skirtą tam įrenginiui patvirtinimą suteikusiai kompetentingai regioninei institucijai, įskaitant bent II priede nustatytą turinį.</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4 straipsnis. </w:t>
      </w:r>
      <w:r>
        <w:rPr>
          <w:rFonts w:ascii="Arial" w:hAnsi="Arial"/>
          <w:b/>
          <w:i/>
          <w:sz w:val="20"/>
        </w:rPr>
        <w:t>Grąžinamojo perdirbimo plastikinės medžiagos, skirtos su maistu besiliečiančioms medžiagoms gaminti.</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Remiantis Europos lygmeniu galiojančiomis reglamentavimo nuostatomis, tais atvejais, kai grąžinamojo perdirbimo plastikinės medžiagos naudojamos gaminant su maistu besiliečiančias medžiagas ar gaminius, atliekos įgis atliekų nebelaikymo atliekomis statusą plastiko atliekų tvarkytojų patalpose, kurie atitinka 2008 m. kovo 27 d. Komisijos reglamentą (EB) Nr. 282/2008 dėl perdirbto plastiko medžiagų ir gaminių, skirtų liestis su maistu, iš dalies keičiantį Reglamentą (EB) 2023/2006, ir visas kitas taikomas Europos nuostatas.</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5 straipsnis. </w:t>
      </w:r>
      <w:r>
        <w:rPr>
          <w:rFonts w:ascii="Arial" w:hAnsi="Arial"/>
          <w:b/>
          <w:i/>
          <w:sz w:val="20"/>
        </w:rPr>
        <w:t>Atitikties deklaracija.</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Gamintojas arba importuotojas kiekvieną kartą vežant grąžinamojo perdirbimo plastikines medžiagas, kurios nebėra atliekos, išduoda atitikties deklaraciją pagal III priede pateiktą atitinkamą pavyzdį.</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lastRenderedPageBreak/>
        <w:t>2. Gamintojas,</w:t>
      </w:r>
      <w:r>
        <w:rPr>
          <w:rFonts w:ascii="Arial" w:hAnsi="Arial"/>
          <w:color w:val="FF0000"/>
          <w:sz w:val="20"/>
        </w:rPr>
        <w:t xml:space="preserve"> </w:t>
      </w:r>
      <w:r>
        <w:rPr>
          <w:rFonts w:ascii="Arial" w:hAnsi="Arial"/>
          <w:sz w:val="20"/>
        </w:rPr>
        <w:t xml:space="preserve">importuotojas arba prekiautojas atitikties deklaraciją perduoda kitam vežamų grąžinamojo perdirbimo plastikinių medžiagų turėtojui.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Gamintojas, importuotojas ir prekiautojas saugo atitikties deklaracijos kopiją ne trumpiau kaip trejus metus po jos išdavimo dienos ir pateikia ją kompetentingoms institucijoms joms to paprašius.</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Atitikties deklaracija gali būti išduodama bet kokiomis priemonėmis, popieriniu arba elektroniniu formatu, su sąlyga, kad užtikrinamas jos autentiškumas, jos turinio vientisumas ir aiškumas nuo jos išdavimo dienos ir per visą saugojimo laikotarpį.</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Atitikties deklaracija turi būti pridedama gabenant kiekvieną siuntą. Jei siunta vežama keliomis transporto priemonėmis, kiekvienoje iš jų turi būti atitikties deklaracijos kopija.</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6 straipsnis. </w:t>
      </w:r>
      <w:r>
        <w:rPr>
          <w:rFonts w:ascii="Arial" w:hAnsi="Arial"/>
          <w:b/>
          <w:i/>
          <w:sz w:val="20"/>
        </w:rPr>
        <w:t>Valdymo sistema.</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Gamintojas įgyvendina valdymo sistemą, kuri leidžia parodyti, kad yra laikomasi 3 straipsnyje nurodytų kriterijų.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Valdymo sistemą sudaro dokumentais pagrįstų procedūrų, susijusių su kiekvienu iš šių aspektų, rinkinys:</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atliekų, kurioms taikomi panaudojimo procesai, priėmimo patikrinimas, kaip nustatyta I priedo 1 dalyje;</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proceso ir apdorojimo reikalavimų, pateiktų I priedo 2 dalyje, stebėsena;</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gautos medžiagos kokybės kontrolė, kaip nustatyta I priedo 3 dalyje (įskaitant mėginių ėmimą ir analizę);</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kito turėtojo pastabos dėl gautos medžiagos reikalavimų laikymosi;</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kontrolės, atliktos pagal a–c punktus, rezultatų registravimas;</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valdymo sistemos peržiūra ir tobulinimas; ir</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darbuotojų mokymas.</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Valdymo sistemą taip pat sudaro konkretūs kontrolės reikalavimai, atsižvelgiant į I priede išdėstytus kriterijus.</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Valdymo sistema apima po naudojimo gautų medžiagų mėginių ėmimo metodiką pagal techninius standartus UNE-CEN/TS 16011 EX. Plastikai. Perdirbtieji plastikai. Pavyzdžių ruošimas ir PD CEN/TS 16010</w:t>
      </w:r>
      <w:r>
        <w:t xml:space="preserve"> </w:t>
      </w:r>
      <w:r>
        <w:rPr>
          <w:rFonts w:ascii="Arial" w:hAnsi="Arial"/>
          <w:sz w:val="20"/>
        </w:rPr>
        <w:t>standartinis plastikas. Perdirbtieji plastikai. Šiuolaikiškiausia ir naujausia plastiko atliekų ir perdirbamų medžiagų mėginių ėmimo tvarka.</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Atitikties vertinimo įstaiga, akredituota atlikti tokį sertifikavimą pagal 2008 m. liepos 9 d. Europos Parlamento ir Tarybos reglamentą (EB) Nr. 765/2008, nustatantį akreditavimo reikalavimus ir panaikinantį Reglamentą (EEB) Nr. 339/93, patvirtina, kad gamintojo įdiegta valdymo sistema atitinka šio straipsnio reikalavimus.</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Prireikus, gamintojas leidžia kompetentingoms institucijoms susipažinti su valdymo sistema ir atitinkamais registrais.</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Jei vieną iš I priedo 2 dalyje nurodytų apdorojimo būdų atlieka ne gamintojas, o kitas atliekų tvarkytojas, gamintojas užtikrina, kad valdytojas turėtų valdymo sistemą, užtikrinančią, kad būtų laikomasi šiame straipsnyje nustatytų reikalavimų.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Importuotojas reikalauja, kad jo tiekėjai įdiegtų šio straipsnio 2, 3 ir 4 dalių reikalavimus atitinkančią valdymo sistemą. Tą valdymo sistemą sertifikuoja atitikties vertinimo įstaiga, akredituota atlikti tokį sertifikavimą pagal 2008 m. liepos 9 d. Europos Parlamento ir Tarybos reglamentą (EB) Nr. 765/2008.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7 straipsnis. </w:t>
      </w:r>
      <w:r>
        <w:rPr>
          <w:rFonts w:ascii="Arial" w:hAnsi="Arial"/>
          <w:b/>
          <w:i/>
          <w:sz w:val="20"/>
        </w:rPr>
        <w:t>Kiti gamintojo įsipareigojimai.</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Gamintojas, kaip atliekų tvarkytojas, į savo archyvą, numatytą 2022 m. balandžio 8 d. Įstatymo Nr. 7/2022 64 straipsnyje, įtrauks šią informaciją: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partijos numeris,</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partijos išsiuntimo data,</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identifikacijos duomenys ir</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parduotas kiekis.</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Be to, minėto įstatymo 65 straipsnio 1 dalyje numatytoje metinėje ataskaitoje gamintojas turi nurodyti informaciją apie apdorotos plastikinės medžiagos, kuri parduodama kaip gaminys, kiekį ir jo paskirties vietą.</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Gamintojas privalo saugoti bent trejų metų informaciją apie kiekvieną partiją, kad būtų galima patikrinti, ar laikomasi I priede nustatytų reikalavimų.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8 straipsnis. </w:t>
      </w:r>
      <w:r>
        <w:rPr>
          <w:rFonts w:ascii="Arial" w:hAnsi="Arial"/>
          <w:b/>
          <w:i/>
          <w:sz w:val="20"/>
        </w:rPr>
        <w:t>Atliekų tvarkytojų, kurie įsikiša prieš gamintoją, pareigos.</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Siekiant užtikrinti kuo didesnį atsekamumą, plastiko atliekų, susidarančių, be kita ko, iš šių srautų: pavojingos atliekos, elektros ir elektroninės įrangos atliekos, nenaudojamos transporto priemonės arba statybos ir griovimo atliekos užtikrinamos, kad jos būtų apdorojamos atskirai ir nebūtų maišomos su kitomis plastiko atliekomis, gautomis iš kitų šaltinių.</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Jei vėlesnis perdirbto plastiko, gauto gamintojo patalpose, tikslas yra su maistu besiliečiančių medžiagų arba gaminių gamyba pagal 2008 m. kovo 27 d. Komisijos reglamento (EB) Nr. 282/2008 nuostatas, atliekų tvarkytojai, dalyvavę prieš gamintoją, laikosi šiame reglamente nustatytų surinkimo ir išankstinio apdorojimo reikalavimų, įskaitant trečiosios šalies sertifikuotos tvarkymo sistemos įdiegimą.</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Vienintelė papildoma nuostata Atliekų tvarkytojų leidimų pritaikymas.</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Visų galutinių vadovų, autonominės srities kompetentingai institucijai pranešusių apie šio nurodymo laikymąsi pagal 3 straipsnio 2 dalį, įrenginių patvirtinimas apima galutinę plastiko atliekų naudojimo operaciją, kodifikuotą kaip „</w:t>
      </w:r>
      <w:r>
        <w:rPr>
          <w:rFonts w:ascii="Arial" w:hAnsi="Arial"/>
          <w:i/>
          <w:sz w:val="20"/>
        </w:rPr>
        <w:t>R0307 Organinių atliekų perdirbimas medžiagų gamybai</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Vienintelė </w:t>
      </w:r>
      <w:bookmarkStart w:id="1" w:name="_Hlk95740687"/>
      <w:r>
        <w:rPr>
          <w:rFonts w:ascii="Arial" w:hAnsi="Arial"/>
          <w:b/>
          <w:sz w:val="20"/>
        </w:rPr>
        <w:t>pereinamojo laikotarpio</w:t>
      </w:r>
      <w:bookmarkEnd w:id="1"/>
      <w:r>
        <w:rPr>
          <w:rFonts w:ascii="Arial" w:hAnsi="Arial"/>
          <w:b/>
          <w:sz w:val="20"/>
        </w:rPr>
        <w:t xml:space="preserve"> nuostata.</w:t>
      </w:r>
      <w:r>
        <w:rPr>
          <w:rFonts w:ascii="Arial" w:hAnsi="Arial"/>
          <w:sz w:val="20"/>
        </w:rPr>
        <w:t xml:space="preserve"> </w:t>
      </w:r>
      <w:r>
        <w:rPr>
          <w:rFonts w:ascii="Arial" w:hAnsi="Arial"/>
          <w:b/>
          <w:sz w:val="20"/>
        </w:rPr>
        <w:t>Pereinamojo laikotarpio tvarka.</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Jei autonominės sritys yra išdavusios leidimus vadovams ir apdorojimo įmonėms įsigyti perdirbtą plastiką kaip produktą, naudojimo operacija </w:t>
      </w:r>
      <w:r>
        <w:rPr>
          <w:rFonts w:ascii="Arial" w:hAnsi="Arial"/>
          <w:sz w:val="20"/>
          <w:highlight w:val="green"/>
        </w:rPr>
        <w:t>R03 pagal ankstesnį įstatymą</w:t>
      </w:r>
      <w:r>
        <w:rPr>
          <w:rFonts w:ascii="Arial" w:hAnsi="Arial"/>
          <w:sz w:val="20"/>
        </w:rPr>
        <w:t xml:space="preserve">, šie fiziniai ar juridiniai asmenys ir šios įmonės privalo prašyti pritaikyti leidimą per tris mėnesius nuo šio įsakymo paskelbimo. </w:t>
      </w:r>
    </w:p>
    <w:p w14:paraId="1FEB5090" w14:textId="77777777" w:rsidR="00576F73" w:rsidRPr="00045DE6"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Pirmiau nurodytais atvejais ir praėjus 18 mėnesių nuo šio įsakymo įsigaliojimo dienos, kaip gaminiu gali būti prekiaujama tik perdirbtu plastiku, atitinkančiu šio ministro įsakymo nuostatas. Šis laikotarpis sutrumpinamas iki trijų mėnesių tais atvejais, kai pirmesniame punkte nurodytiems operatoriams ir įrenginiams nereikėjo pritaikyti jų leidimo.</w:t>
      </w:r>
    </w:p>
    <w:p w14:paraId="4FD7B471" w14:textId="77777777" w:rsidR="00C942C5" w:rsidRPr="00045DE6"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045DE6"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Pirmoji baigiamoji nuostata </w:t>
      </w:r>
      <w:r>
        <w:rPr>
          <w:rFonts w:ascii="Arial" w:hAnsi="Arial"/>
          <w:b/>
          <w:i/>
          <w:sz w:val="20"/>
        </w:rPr>
        <w:t>Įgaliojimai.</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Šis įsakymas skelbiamas remiantis Ispanijos Konstitucijos 149 straipsnio 1 dalies 23 punkto nuostatomis, kuriomis suteikiama valstybei išskirtinė teisė pagrindinių aplinkos apsaugos įstatymų srityje, nepažeidžiant autonominių sričių teisių nustatyti papildomus apsaugos standartus.</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lastRenderedPageBreak/>
        <w:t xml:space="preserve">Antroji baigiamoji nuostata </w:t>
      </w:r>
      <w:r>
        <w:rPr>
          <w:rFonts w:ascii="Arial" w:hAnsi="Arial"/>
          <w:b/>
          <w:i/>
          <w:sz w:val="20"/>
        </w:rPr>
        <w:t>Įsigaliojimas.</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Šis įsakymas įsigalioja dvidešimtą dieną po jo paskelbimo Ispanijos oficialiajame leidinyje.</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I PRIEDAS </w:t>
      </w:r>
    </w:p>
    <w:p w14:paraId="3A51BB49" w14:textId="6B25274E" w:rsidR="00614996" w:rsidRDefault="00614996" w:rsidP="003361AE">
      <w:pPr>
        <w:jc w:val="center"/>
        <w:rPr>
          <w:rFonts w:ascii="Arial" w:hAnsi="Arial" w:cs="Arial"/>
          <w:b/>
          <w:bCs/>
          <w:sz w:val="20"/>
          <w:szCs w:val="20"/>
        </w:rPr>
      </w:pPr>
      <w:r>
        <w:rPr>
          <w:rFonts w:ascii="Arial" w:hAnsi="Arial"/>
          <w:b/>
          <w:sz w:val="20"/>
        </w:rPr>
        <w:t>Atliekų nebelaikymo atliekomis kriterijai</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Plastiko atliekos, kurias leidžiama galutinai perdirbti</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Plastiko atliekos, kurioms taikomas šis įsakymas, turi būti vadinamos termoplastikais ir turi atitikti toliau nurodytus reikalavimus.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Kriterijai</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Kontrolės reikalavimai</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Šiam apdorojimui kaip žaliavas leidžiama naudoti tik tas atliekas, kurių EWC kodai yra šie:</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Po pramoninių procesų likusios atliekos</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Plastiko atliekos (</w:t>
            </w:r>
            <w:r>
              <w:rPr>
                <w:rFonts w:ascii="Arial" w:hAnsi="Arial"/>
                <w:sz w:val="16"/>
              </w:rPr>
              <w:t>iš plastiko, sintetinio kaučiuko ir dirbtinio pluošto gamybos, formavimo, platinimo ir naudojimo)</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Plastiko drožlės ir atplaišos (</w:t>
            </w:r>
            <w:r>
              <w:rPr>
                <w:rFonts w:ascii="Arial" w:hAnsi="Arial"/>
                <w:sz w:val="16"/>
              </w:rPr>
              <w:t>po liejimo ir fizinio bei mechaninio metalų ir plastikų paviršiaus apdorojimo</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Per naudojimo likusios atliekos</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Plastiko atliekos, išskyrus pakuotes </w:t>
            </w:r>
            <w:r>
              <w:rPr>
                <w:rFonts w:ascii="Arial" w:hAnsi="Arial"/>
                <w:sz w:val="16"/>
              </w:rPr>
              <w:t>(iš žemės ūkio, sodininkystės, akvakultūros, miškininkystės, medžioklės ir žvejybos)</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Plastikinės pakuotės </w:t>
            </w:r>
            <w:r>
              <w:rPr>
                <w:rFonts w:ascii="Arial" w:hAnsi="Arial"/>
                <w:sz w:val="16"/>
              </w:rPr>
              <w:t>(įskaitant komunalinių selektyvaus surinkimo pakuočių atliekas)</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Pakuotės, kuriose yra pavojingų medžiagų likučių arba kurie užteršti jų likučiais</w:t>
            </w:r>
            <w:r>
              <w:rPr>
                <w:rFonts w:ascii="Arial" w:hAnsi="Arial"/>
                <w:sz w:val="16"/>
              </w:rPr>
              <w:t xml:space="preserve"> (tik tada, kai pakuotė pagaminta iš plastiko)</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Plastikas </w:t>
            </w:r>
            <w:r>
              <w:rPr>
                <w:rFonts w:ascii="Arial" w:hAnsi="Arial"/>
                <w:sz w:val="16"/>
              </w:rPr>
              <w:t>(iš savaeigių transporto priemonių apdorojimo pasibaigus gyvavimo ciklui arba techninės priežiūros ir remonto procesų)</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Plastikas </w:t>
            </w:r>
            <w:r>
              <w:rPr>
                <w:rFonts w:ascii="Arial" w:hAnsi="Arial"/>
                <w:sz w:val="16"/>
              </w:rPr>
              <w:t>(iš statybos ir griovimo atliekų)</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Plastikas ir guma </w:t>
            </w:r>
            <w:r>
              <w:rPr>
                <w:rFonts w:ascii="Arial" w:hAnsi="Arial"/>
                <w:sz w:val="16"/>
              </w:rPr>
              <w:t>(plastiko iš mechaninių atliekų apdorojimo įrenginių atveju)</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Plastikai</w:t>
            </w:r>
            <w:r>
              <w:rPr>
                <w:rFonts w:ascii="Arial" w:hAnsi="Arial"/>
                <w:sz w:val="16"/>
              </w:rPr>
              <w:t>(iš atskirai surinktų pogrupių (išskyrus nurodytus 15 01 poskyryje)</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Kalbant apie 18 01 ir 18 02 skyrius, paaiškinti, kad plastiko atliekos, kurių kodai yra EWC 18 01 03* ir 18 02 02*, taip pat EWC 18 01 02, 18 01 04 ir 18 02 03, taip pat galėtų būti laikomos reikalavimus atitinkančiomis </w:t>
            </w:r>
            <w:r>
              <w:rPr>
                <w:rFonts w:ascii="Arial" w:hAnsi="Arial"/>
                <w:sz w:val="20"/>
              </w:rPr>
              <w:lastRenderedPageBreak/>
              <w:t>atliekomis po dezinfekavimo.</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Plastiko atliekų (arba gautų plastikinių pogrupių), naudojamų prie įėjimo į įrenginį, priėmimą turi kontroliuoti kvalifikuoti darbuotojai, kurie, atlikdami apžiūrą ir pridėtus dokumentus, gali atpažinti, kurios atliekos neatitinka šių kriterijų.</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Jei būtina, laboratoriniai bandymai atliekami pagal taikomus teisės aktus atliekų pavojingoms savybėms nustatyti.</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Panaudotų asmens higienos produktų atliekos neatitinka reikalavimų.</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Atliekos, klasifikuojamos kaip pavojingos, nepriimamos, nebent įrodoma, kad atlikus būtinas apdorojimo operacijas tokios atliekos neturi jokių pavojingų savybių, kaip nurodyta tolesnės dalies 3 punkte.</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Termoreaktyvios plastiko atliekos yra neleistinos.</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Plastiko atliekos (arba iš plastiko gauti pogrupiai), kurių sudėtyje yra patvariųjų organinių teršalų, kurių koncentracija viršija teisės aktais nustatytą ribą, nustatytą pagal 2019 m. birželio 20 d. Europos Parlamento ir Tarybos reglamentą (ES) 2019/1021 dėl patvariųjų organinių teršalų, neatitinka reikalavimų.</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Dėl kontakto su maistu paskirties vietos, reikalaujama, kad nebūtų</w:t>
            </w:r>
            <w:r>
              <w:rPr>
                <w:rFonts w:ascii="Arial MT" w:hAnsi="Arial MT"/>
                <w:sz w:val="19"/>
              </w:rPr>
              <w:t xml:space="preserve"> </w:t>
            </w:r>
            <w:r>
              <w:rPr>
                <w:rFonts w:ascii="Arial MT" w:hAnsi="Arial MT"/>
                <w:sz w:val="20"/>
              </w:rPr>
              <w:t>nepatvarių organinių teršalų</w:t>
            </w:r>
            <w:r>
              <w:rPr>
                <w:rFonts w:ascii="Arial" w:hAnsi="Arial"/>
                <w:sz w:val="20"/>
              </w:rPr>
              <w:t xml:space="preserve"> ir jokių kitų teršalų, kai negarantuojama tos grąžinamojo perdirbimo plastikinės medžiagos maisto sauga.</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Reikalavimų dėl pavojingumo savybių ir POT buvimo taikymo tvarka turėtų būti dokumentuojama kaip valdymo sistemos dalis</w:t>
            </w:r>
            <w:r>
              <w:rPr>
                <w:rFonts w:ascii="Arial" w:hAnsi="Arial"/>
                <w:sz w:val="20"/>
                <w:shd w:val="clear" w:color="auto" w:fill="FFFFFF"/>
              </w:rPr>
              <w:t xml:space="preserve"> ir turėtų būti audituojama.</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Plastiko atliekų apdorojimas</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Plastiko atliekos atliekų tvarkytojų, kurie dalyvauja prieš gamintoją, patalpose ir pačių gamintojų patalpose turi atitikti šiuos reikalavimus: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Turi būti laikomi atskirai nuo bet kokios kitos rūšies atliekų. Jie taip pat neturėtų būti maišomi su kitos rūšies atliekomis.</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Turi būti mechaniškai apdorojami, siekiant užtikrinti, kad jie būtų tinkami tiesiogiai naudoti naujų plastikinių gaminių (gamintų arba pusgaminių) gamyboje, įskaitant bent jau rūšiavimą ir gniuždymą. Be to, gali būti atliekamas kitas mechaninis apdorojimas, kuris bus būtinas atsižvelgiant į plastiko atliekų rūšį ir paskesnį panaudojimą, kuriam jos skirtos, pavyzdžiui: mechaninis dydžio sumažinimas laminuojant arba mikronizuojant, plaunant, centrifuguojant, džiovinant, filtruojant, aglomeruojant, taikant ekstruziją ir sprogdinant.</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 xml:space="preserve">Jei po galutinio naudojimo ir apdorojimo vėliau paraiška patenka į lietimosi su maistu sritį, atsižvelgiama į 2008 m. kovo 27 d. Komisijos reglamento (EB) Nr. 282/2008 I priede kiekvienai </w:t>
      </w:r>
      <w:r>
        <w:rPr>
          <w:rFonts w:ascii="Arial" w:hAnsi="Arial"/>
          <w:sz w:val="20"/>
        </w:rPr>
        <w:lastRenderedPageBreak/>
        <w:t>perdirbimo technologijai nustatytus apribojimus. Jei perdirbimo technologija dar neįtraukta į I priedą, tačiau paskelbta Europos maisto saugos agentūros (EMST) mokslinė nuomonė dėl perdirbimo technologijos, atsižvelgiama į tame dokumente nustatytus apribojimus.</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Atliekoms, išvardytoms I priedo 1 dalies 3 kriterijuje, turi būti taikomi būtini nukenksminimo būdai (nustatyti, jei reikia, jų specialiose taisyklėse), kad būtų pašalintos pavojingos savybės, kuriomis jos gali pasižymėti.</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Gautoms grąžinamojo perdirbimo plastikinėms medžiagoms reikalavimai</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Kriterijai</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Kontrolės reikalavimai</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Kai taikytina, turi būti naudojama atitinkamuose UNE-EN techniniuose standartuose nustatytų standartų, taikomų grąžinamojo perdirbimo plastikinių medžiagų charakteristikoms, naujausia esama versija:</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Taikoma polistirenui: UNE-EN 15342. Plastikai. Perdirbtieji plastikai. Perdirbto polistireno (PS) apibūdinimas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Taikoma polietilenui: UNE-EN 15344. Plastikai. Perdirbtieji plastikai. Perdirbto polietileno (PE) apibūdinimas</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Taikoma polipropilenui: UNE-EN 15345. Plastikai. Perdirbtieji plastikai. Perdirbto polipropileno (PP) apibūdinimas</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Taikoma polivinilchloridui: UNE-EN 15346. Plastikai. Perdirbtieji plastikai. Perdirbto polivinilchlorido (PVC) apibūdinimas</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Taikoma polietilentereftalatui: UNE-EN 15348. Plastikai. Perdirbtieji plastikai. Perdirbto polietilentereftalato (PET) apibūdinimas</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Jei nėra techninių apibūdinimo standartų, gauta medžiaga turi atitikti kliento technines specifikacijas, skirtas tiesiogiai naudoti perdirbimo pramonėje su maistu besiliečiančioms medžiagoms ir gaminiams gaminti arba bet kuriam kitam plastikiniam gaminiui gaminti.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Kiekvienos siuntos partijos atitiktį atitinkamiems standartams arba specifikacijoms tikrina kvalifikuoti darbuotojai.</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Produkto kokybę tikrinama vykdant:</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vizualinę apžiūrą</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Fizinis ir cheminis apibūdinimas: atlikti laboratorinius tyrimus, nurodytus kiekvieno plastiko tipo standartuose arba techninėse specifikacijose ir specialiuose pramoniniuose standartuose tuo tikslu, kuriam skirtas perdirbtas plastikas. Papildomi laboratoriniai tyrimai taip pat gali būti reikalingi pagal užsakovo papildomas specifikacijas.</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Atitinkamais laiko tarpais ir peržiūrint, jei eksploatavimo procesas iš esmės pasikeičia, analizuojami kiekvienos rūšies grąžinamojo perdirbimo plastikinių medžiagų reprezentatyvūs mėginiai.</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Nustatomas tinkamas mėginių ėmimo dažnumas, atsižvelgiant į šiuos veiksnius:</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numatomas kintamumas (pvz., remiantis ankstesnių laikotarpių rezultatais).</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Būdingą plastiko atliekų kokybės pakeitimo prie įėjimo į įrenginį, kuriame atliekama mechaninio apdorojimo operacija, riziką, visų pirma didelį vidutinį plastiko, kuriame yra pavojingų medžiagų, kiekį.</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Mėginių ėmimo metodui būdingas tikslumas.</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Rezultatų artumas ribinėms vertėms, nuo kurių medžiaga laikoma pavojinga arba ribojamas jos pateikimas rinkai.</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lastRenderedPageBreak/>
              <w:t>Neplastikinės sudedamosios dalies kiekio rezultatų artumą atsižvelgiant į didžiausią 2 % visos grąžinamojo perdirbimo plastikinių medžiagų sausosios masės ribą.</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Reprezentatyvieji mėginiai imami pagal procedūrų vadove aprašytas mėginių ėmimo procedūras, kurios turi būti kuo išsamesnės (taikoma mėginio ėmimo metodika, periodiškumas, dydis, mėginių tipas ir skaičius, statistinis metodas ir t. t.).</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Neplastikinių sudedamųjų dalių kiekis turi būti ne didesnis kaip 2 % sausosios medžiagos masės.</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Kalbant apie sąlytį su maistu, konkrečiai reikalaujama, kad nebūtų neplastikinių sudedamųjų dalių, nebūtų pašalinių kūnų ir nebūtų plastikinių tekstilės pluoštų. Be to, atsižvelgiant į paraišką, kuriai jis skirtas, ir pagal kliento technines specifikacijas, jame negali būti plastikinių sudedamųjų dalių ir (arba) polimerų, išskyrus tuos, kurie gaminami, laikantis tose specifikacijose nustatytų kiekių ir (arba) ribų.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Kvalifikuoti darbuotojai turėtų būti apmokyti apie galimas plastiko atliekų srauto taršos rūšis, taip pat apie sudedamąsias dalis ar charakteristikas, pagal kurias būtų galima vizualiai atpažinti šiuos teršalus.</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Procedūra, skirta patikrinti, ar laikomasi techninių specifikacijų, taikomų medžiagai, turi būti dokumentuota valdymo sistemos </w:t>
            </w:r>
            <w:r>
              <w:rPr>
                <w:rFonts w:ascii="Arial" w:hAnsi="Arial"/>
                <w:sz w:val="20"/>
                <w:shd w:val="clear" w:color="auto" w:fill="FFFFFF"/>
              </w:rPr>
              <w:t>dalis</w:t>
            </w:r>
            <w:r>
              <w:rPr>
                <w:rFonts w:ascii="Arial" w:hAnsi="Arial"/>
                <w:color w:val="auto"/>
                <w:sz w:val="20"/>
              </w:rPr>
              <w:t xml:space="preserve"> ir turi būti galima atlikti auditą.</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Gauta medžiaga neklasifikuojama kaip pavojinga pagal 2008 m. gruodžio 16 d. Europos Parlamento ir Tarybos reglamentą (EB) Nr. 1272/2008 dėl cheminių medžiagų ir mišinių klasifikavimo, ženklinimo ir pakavimo, iš dalies keičiantį ir panaikinantį direktyvas 67/548/EEB bei 1999/45/EB ir iš dalies keičiantį Reglamentą (EB) Nr. 1907/2006 (CLP reglamentą).</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Jai taikomi labai didelį susirūpinimą keliančių cheminių medžiagų, cheminių medžiagų, atitinkančių 2006 m. gruodžio 18 d. Europos Parlamento ir Tarybos reglamento (EB) Nr. 1907/2006 (REACH reglamentas) 57 straipsnio kriterijus, pateikimo rinkai apribojimai, išskyrus atvejus, kai pagal reglamento nuostatas joms taikoma autorizacija arba išimtis.</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 xml:space="preserve">Ji turi atitikti kitas įgyvendinimo nuostatas, nustatytas 2006 m. gruodžio 18 d. Europos Parlamento ir Tarybos reglamente (EB) Nr. 1907/2006 ir 2008 m. gruodžio 16 d. </w:t>
            </w:r>
            <w:r>
              <w:rPr>
                <w:rFonts w:ascii="Arial" w:hAnsi="Arial"/>
                <w:sz w:val="20"/>
              </w:rPr>
              <w:lastRenderedPageBreak/>
              <w:t>Europos Parlamento ir Tarybos reglamente (EB) Nr. 1272/2008.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Ji turi atitikti patvariųjų organinių teršalų naudojimo ar pateikimo rinkai draudimus ar apribojimus, nustatytus 2019 m. birželio 20 d. Europos Parlamento ir Tarybos reglamente (ES) 2019/1021. Pagal galiojančius teisės aktus dėl su maistu besiliečiančios paskirties vietos reikalaujama, kad gautoje medžiagoje nebūtų patvariųjų organinių teršalų.</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Jiems taikomas kokybinis ir kiekybinis apibūdinimas, kuriuo patikrinama atitiktis šiems reikalavimams ir CLP reglamento, REACH ir POT reglamentų nuostatoms.</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Be kiekybinio apibūdinimo, visas siuntos partijas vizualiai tikrina kvalifikuoti darbuotojai.</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Kvalifikuoti darbuotojai turėtų būti apmokyti apie galimas plastiko atliekų srauto taršos rūšis, taip pat apie sudedamąsias dalis ar charakteristikas, pagal kurias būtų galima vizualiai atpažinti šiuos teršalus.</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Pavojingumo savybių pripažinimo procedūra turi būti dokumentuota kaip valdymo sistemos </w:t>
            </w:r>
            <w:r>
              <w:rPr>
                <w:rFonts w:ascii="Arial" w:hAnsi="Arial"/>
                <w:sz w:val="20"/>
                <w:shd w:val="clear" w:color="auto" w:fill="FFFFFF"/>
              </w:rPr>
              <w:t>dalis</w:t>
            </w:r>
            <w:r>
              <w:rPr>
                <w:rFonts w:ascii="Arial" w:hAnsi="Arial"/>
                <w:color w:val="auto"/>
                <w:sz w:val="20"/>
              </w:rPr>
              <w:t xml:space="preserve"> ir turi būti galima atlikti auditą.</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Gautoje medžiagoje neturi būti aliejų, tirpiklių, dažų ar vandeninių ar riebių maisto produktų pėdsakų.</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Be to, su maistu besiliečiančioje paskirties vietoje gautoje medžiagoje neturi būti jokios medžiagos, keliančios pavojų produkto, kurį ketinama laikyti talpykloje, maisto saugai.</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Kai apžiūrint aptinkama skysčių, išskyrus vandenį, absorbcijos požymių, kurie gali sukelti, pavyzdžiui, pelėsių augimą ar kvapų atsiradimą, ir šie požymiai nėra nereikšmingi, todėl ta partija turėtų būti laikoma atliekomis.</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Kvalifikuoti </w:t>
            </w:r>
            <w:r>
              <w:rPr>
                <w:rFonts w:ascii="Arial" w:hAnsi="Arial"/>
                <w:shd w:val="clear" w:color="auto" w:fill="FFFFFF"/>
              </w:rPr>
              <w:t xml:space="preserve"> darbuotojai</w:t>
            </w:r>
            <w:r>
              <w:rPr>
                <w:rFonts w:ascii="Arial" w:hAnsi="Arial"/>
              </w:rPr>
              <w:t xml:space="preserve"> turėtų būti mokomi apie šiuos galimus teršalus, taip pat apie medžiagų komponentus ar charakteristikas, leidžiančias atpažinti teršalus.</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Esama teršalų atpažinimo veikla turi būti dokumentuojama kaip valdymo sistemos </w:t>
            </w:r>
            <w:r>
              <w:rPr>
                <w:rFonts w:ascii="Arial" w:hAnsi="Arial"/>
                <w:sz w:val="20"/>
              </w:rPr>
              <w:t>dalis ir turi būti galima atlikti auditą</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II PRIEDAS</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Minimalus atitinkamai regioninei institucijai skirto pranešimo dėl šio įsakymo reikalavimų atitikimo turinys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Atliekų tvarkymo įmonė ......., įgaliota NIMA ..... [data], kurios įrenginiai yra ........., šiuo raštu, adresuotu autonominės srities (</w:t>
      </w:r>
      <w:r>
        <w:rPr>
          <w:rFonts w:ascii="Arial" w:hAnsi="Arial"/>
          <w:i/>
          <w:sz w:val="20"/>
        </w:rPr>
        <w:t>biuras... / departamentas...</w:t>
      </w:r>
      <w:r>
        <w:rPr>
          <w:rFonts w:ascii="Arial" w:hAnsi="Arial"/>
          <w:sz w:val="20"/>
        </w:rPr>
        <w:t xml:space="preserve">).......,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PRANEŠAMA</w:t>
      </w:r>
      <w:r>
        <w:rPr>
          <w:rFonts w:ascii="Arial" w:hAnsi="Arial"/>
          <w:sz w:val="20"/>
        </w:rPr>
        <w:t>:</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Bendrovė ............ atitinka visas nuostatas, išdėstytas ministro įsakyme, nustatančiame kriterijus, pagal kuriuos nustatoma, kada mechaniškai apdorojamos plastiko atliekos, skirtos plastikinių gaminių gamybai, nebelaikomos atliekomis pagal 2022 m. balandžio 8 d. Įstatymą Nr. 7/2022 dėl atliekų ir užteršto dirvožemio žiedinei ekonomikai.</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Bendrovė .............. turi valdymo sistemą pagal įsakymo 6 straipsnį.</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Bendrovė ………… atliko reikiamus pakeitimus, patobulinimus ar veiksmus, kad užtikrintų įsakymo vykdymą, ir kartu su šiuo prašymu pateikia tai įrodančius dokumentus. (</w:t>
      </w:r>
      <w:r>
        <w:rPr>
          <w:rFonts w:ascii="Arial" w:hAnsi="Arial"/>
          <w:i/>
          <w:sz w:val="20"/>
        </w:rPr>
        <w:t>jei taikoma dėl įrenginių pakeitimų</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Ir visa tai </w:t>
      </w:r>
      <w:r>
        <w:rPr>
          <w:rFonts w:ascii="Arial" w:hAnsi="Arial"/>
          <w:b/>
          <w:sz w:val="20"/>
        </w:rPr>
        <w:t>ASKS</w:t>
      </w:r>
      <w:r>
        <w:rPr>
          <w:rFonts w:ascii="Arial" w:hAnsi="Arial"/>
          <w:sz w:val="20"/>
        </w:rPr>
        <w:t xml:space="preserve"> (</w:t>
      </w:r>
      <w:r>
        <w:rPr>
          <w:rFonts w:ascii="Arial" w:hAnsi="Arial"/>
          <w:i/>
          <w:sz w:val="20"/>
        </w:rPr>
        <w:t>biuras ... / departamentas ...)</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Ši bendrovė, pateikdama atsakingą deklaraciją, informavo, kad ji laikosi ministro įsakymo nuostatų, kad jos patalpose gauta medžiaga nebebūtų laikoma atliekomis visais teisiniais tikslais; ir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peržiūri bei atnaujina galiojantį atliekų tvarkytojo leidimą pagal 2022 m. balandžio 8 d. Įstatymą Nr. 7/2022 dėl atliekų ir užteršto dirvožemio žiedinei ekonomikai, ypač pagal jo II priedą, kuriame nurodyti atliekų naudojimo operacijų kodai.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[Vieta, data, parašas]</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III PRIEDAS</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Atitikties kriterijams, pagal kuriuos nustatoma, kada apdorotos plastiko atliekos nebelaikomos atliekomis, deklaracija</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Grąžinamojo perdirbimo plastikinių medžiagų, skirtų su maistu besiliečiančioms medžiagoms arba gaminiams gaminti, atitikties deklaracija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Pagal 2008 m. kovo 27 d. Komisijos reglamentą (EB) Nr. 282/2008 to reglamento 12 straipsnio 2 dalyje nustatytais atvejais reikalaujamoje atitikties deklaracijoje papildomai pateikiama ši informacija, kaip nurodyta to reglamento I priedo B dalyje, t. y.:</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deklaracija, kad perdirbimo procesas buvo leistas, nurodant leidžiamo perdirbimo proceso EB registro numerį;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pareiškimas, kad plastiko žaliava, perdirbimo procesas ir perdirbtas plastikas atitinka specifikacijas, pagal kurias buvo išduotas leidimas;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deklaracija, kad kokybės užtikrinimo sistema įgyvendinama pagal 2006 m. gruodžio 22 d. Komisijos reglamento (EB) Nr. 2023/2006 dėl medžiagų ir gaminių, skirtų liestis su maistu, geros gamybos praktikos priedo B skirsnį.</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Grąžinamojo perdirbimo plastikinės medžiagos, skirtos kitiems gaminiams gaminti, atitikties deklaracija</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Gamintojas / medžiagų importuotojas</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Pavadinimas:</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Adresas:</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Kontaktinis asmuo:</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El. p.</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Registracijos Nr. Atliekų gamybos ir tvarkymo registre:</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Grąžinamojo perdirbimo plastikinės medžiagos rūšis (</w:t>
            </w:r>
            <w:r>
              <w:rPr>
                <w:rFonts w:ascii="Arial" w:hAnsi="Arial"/>
                <w:i/>
                <w:sz w:val="20"/>
              </w:rPr>
              <w:t>nurodyti):</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(didelio tankio polietilenas)</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(mažo tankio polietilenas)</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(polietilentereftalatas)</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(polipropilenas)</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(polistirenas)</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(polivinilchloridas)</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(išplėstas polistirenas)</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Kiti (</w:t>
            </w:r>
            <w:r>
              <w:rPr>
                <w:rFonts w:ascii="Arial" w:hAnsi="Arial"/>
                <w:i/>
                <w:sz w:val="20"/>
              </w:rPr>
              <w:t>nurodyti</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Neplastikinių sudedamųjų dalių kiekis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Partijos numeris ir kiekis (tonomis):</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Ši siunta atitinka Ministro įsakymo, nustatančio kriterijus, pagal kuriuos nustatoma, kada mechaniškai apdorojamos plastiko atliekos, skirtos plastikinių gaminių gamybai, nebelaikomos atliekomis pagal 2022 m. balandžio 8 d. Įstatymą Nr. 7/2022 dėl atliekų ir užteršto dirvožemio žiedinei ekonomikai, 3 straipsnyje nurodytus kriterijus.</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Šios siuntos atveju atsekamumas nuo šaltinio yra užtikrinamas nuo atliekų susidarymo vietos ir tai galima įrodyti bei dokumentuoti pagal ministro įsakymo, nustatančio kriterijus, pagal kuriuos nustatoma, kada mechaniškai apdorojamos plastiko atliekos, skirtos plastikinių gaminių gamybai, nustoja būti atliekomis pagal 2022 m. balandžio 8 d. Įstatymą Nr. 7/2022 dėl atliekų ir užteršto dirvožemio žiedinei ekonomikai, 8 straipsnį.</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Pagal ministro įsakymo 6 straipsnį medžiagos gamintojas įgyvendina tvarkymo sistemą, nustatančią kriterijus, pagal kuriuos nustatoma, kada mechaniškai apdorojamos plastiko atliekos, skirtos plastikinių gaminių gamybai, nebelaikomos atliekomis pagal 2022 m. balandžio 8 d. Įstatymą Nr. 7/2022 dėl atliekų ir užteršto dirvožemio žiedinei ekonomikai.</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Šios siuntos medžiagas ketinama tiesiogiai parduoti arba per prekybos agentą (platintoją) naudoti tik plastiko perdirbimo sektoriuje.</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pasirinkti vieną iš parinkčių</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Siunta atitinka šį techninį standartą: (</w:t>
            </w:r>
            <w:r>
              <w:rPr>
                <w:rFonts w:ascii="Arial" w:hAnsi="Arial"/>
                <w:i/>
                <w:sz w:val="20"/>
              </w:rPr>
              <w:t>nurodyti numerį</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Siunta atitinka tikslinės pramonės reikalaujamas technines specifikacijas.</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Šioje siuntoje esanti medžiaga neklasifikuojama kaip pavojinga, kaip nustatyta Reglamento (EB) Nr. 1272/2008</w:t>
            </w:r>
            <w:r w:rsidR="00440EB5">
              <w:rPr>
                <w:rStyle w:val="FootnoteReference"/>
                <w:rFonts w:ascii="Arial" w:hAnsi="Arial" w:cs="Arial"/>
                <w:sz w:val="20"/>
                <w:szCs w:val="20"/>
              </w:rPr>
              <w:footnoteReference w:id="2"/>
            </w:r>
            <w:r>
              <w:rPr>
                <w:rFonts w:ascii="Arial" w:hAnsi="Arial"/>
                <w:sz w:val="20"/>
              </w:rPr>
              <w:t xml:space="preserve"> (KŽP reglamentas) kriterijuose, atitinka nuostatas, susijusias su labai didelį susirūpinimą keliančių cheminių medžiagų pateikimu rinkai, taip pat Reglamento (EB) Nr. </w:t>
            </w:r>
            <w:r>
              <w:rPr>
                <w:rFonts w:ascii="Arial" w:hAnsi="Arial"/>
                <w:sz w:val="20"/>
              </w:rPr>
              <w:lastRenderedPageBreak/>
              <w:t>1907/2006</w:t>
            </w:r>
            <w:r w:rsidR="00440EB5">
              <w:rPr>
                <w:rStyle w:val="FootnoteReference"/>
                <w:rFonts w:ascii="Arial" w:hAnsi="Arial" w:cs="Arial"/>
                <w:sz w:val="20"/>
                <w:szCs w:val="20"/>
              </w:rPr>
              <w:footnoteReference w:id="3"/>
            </w:r>
            <w:r>
              <w:rPr>
                <w:rFonts w:ascii="Arial" w:hAnsi="Arial"/>
                <w:sz w:val="20"/>
              </w:rPr>
              <w:t xml:space="preserve"> (REACH reglamentas) XVII priedo apribojimus ir patvariųjų organinių teršalų naudojimo ir pateikimo rinkai draudimus arba apribojimus, nustatytus Reglamento (ES) 2019/1021</w:t>
            </w:r>
            <w:r w:rsidR="00440EB5">
              <w:rPr>
                <w:rStyle w:val="FootnoteReference"/>
                <w:rFonts w:ascii="Arial" w:hAnsi="Arial" w:cs="Arial"/>
                <w:sz w:val="20"/>
                <w:szCs w:val="20"/>
              </w:rPr>
              <w:footnoteReference w:id="4"/>
            </w:r>
            <w:r>
              <w:rPr>
                <w:rFonts w:ascii="Arial" w:hAnsi="Arial"/>
                <w:sz w:val="20"/>
              </w:rPr>
              <w:t xml:space="preserve"> (POP reglamentas) 3 straipsnyje.</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Mechaniškai apdorotų plastiko atliekų, kurios nebelaikomos atliekomis pagal 2022 m. balandžio 8 d. Įstatymą Nr. 7/2022 dėl atliekų ir užteršto dirvožemio žiedinei ekonomikai, gamintojo ir (arba) importuotojo deklaracija.</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Patvirtinu, kad, mano žiniomis, pirmiau pateikta informacija yra išsami ir tiksli.</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[Vardas, pavardė, data, parašas]</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IV PRIEDAS</w:t>
      </w:r>
    </w:p>
    <w:p w14:paraId="44AD12A1" w14:textId="28FB853F" w:rsidR="00B30FE7" w:rsidRDefault="00B30FE7" w:rsidP="003361AE">
      <w:pPr>
        <w:jc w:val="center"/>
        <w:rPr>
          <w:rFonts w:ascii="Arial" w:hAnsi="Arial" w:cs="Arial"/>
          <w:b/>
          <w:sz w:val="20"/>
          <w:szCs w:val="20"/>
        </w:rPr>
      </w:pPr>
      <w:r>
        <w:rPr>
          <w:rFonts w:ascii="Arial" w:hAnsi="Arial"/>
          <w:b/>
          <w:sz w:val="20"/>
        </w:rPr>
        <w:t>POP</w:t>
      </w:r>
      <w:r>
        <w:rPr>
          <w:rStyle w:val="Ancladenotafinal"/>
          <w:rFonts w:ascii="Arial" w:hAnsi="Arial" w:cs="Arial"/>
          <w:b/>
          <w:sz w:val="20"/>
          <w:szCs w:val="20"/>
        </w:rPr>
        <w:endnoteReference w:id="1"/>
      </w:r>
      <w:r>
        <w:rPr>
          <w:rFonts w:ascii="Arial" w:hAnsi="Arial"/>
          <w:b/>
          <w:sz w:val="20"/>
        </w:rPr>
        <w:t xml:space="preserve"> reglamento taikymo plastiko atliekoms gairės</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7C90ACAF">
                <wp:simplePos x="0" y="0"/>
                <wp:positionH relativeFrom="column">
                  <wp:posOffset>2980055</wp:posOffset>
                </wp:positionH>
                <wp:positionV relativeFrom="paragraph">
                  <wp:posOffset>2255632</wp:posOffset>
                </wp:positionV>
                <wp:extent cx="1918447" cy="291353"/>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Deginimas / energijos vertinimas </w:t>
                            </w:r>
                          </w:p>
                          <w:p w14:paraId="71F47356" w14:textId="553DA01F" w:rsidR="00906DFD" w:rsidRPr="006C161B" w:rsidRDefault="006C161B" w:rsidP="006C161B">
                            <w:pPr>
                              <w:jc w:val="center"/>
                              <w:rPr>
                                <w:sz w:val="13"/>
                                <w:szCs w:val="13"/>
                              </w:rPr>
                            </w:pPr>
                            <w:r>
                              <w:rPr>
                                <w:sz w:val="13"/>
                              </w:rPr>
                              <w:t>(POT reglamento V priedo 1 dalies įgyvendinimas)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65pt;margin-top:177.6pt;width:151.0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t9OAIAAHwEAAAOAAAAZHJzL2Uyb0RvYy54bWysVE1v2zAMvQ/YfxB0Xxzno22MOEWWIsOA&#10;oC2QFj0rspQYk0VNUmJnv36U7Hy022nYRaZE6ol8fPT0vqkUOQjrStA5TXt9SoTmUJR6m9PXl+WX&#10;O0qcZ7pgCrTI6VE4ej/7/Glam0wMYAeqEJYgiHZZbXK6895kSeL4TlTM9cAIjU4JtmIet3abFJbV&#10;iF6pZNDv3yQ12MJY4MI5PH1onXQW8aUU3D9J6YQnKqeYm4+rjesmrMlsyrKtZWZX8i4N9g9ZVKzU&#10;+OgZ6oF5Rva2/AOqKrkFB9L3OFQJSFlyEWvAatL+h2rWO2ZErAXJceZMk/t/sPzxsDbPlvjmKzTY&#10;wEBIbVzm8DDU00hbhS9mStCPFB7PtInGEx4uTdK70eiWEo6+wSQdjocBJrncNtb5bwIqEoycWmxL&#10;ZIsdVs63oaeQ8JgDVRbLUqm4CVIQC2XJgWETlY85Ivi7KKVJndOb4bgfgd/5AvT5/kYx/qNL7yoK&#10;8ZTGnC+1B8s3m6YjZAPFEXmy0ErIGb4sEXfFnH9mFjWD1OAc+CdcpAJMBjqLkh3YX387D/HYSvRS&#10;UqMGc+p+7pkVlKjvGps8SUejINq4GY1vB7ix157NtUfvqwUgQylOnOHRDPFenUxpoXrDcZmHV9HF&#10;NMe3c+pP5sK3k4HjxsV8HoNQpob5lV4bHqBDRwKfL80bs6brp0clPMJJrSz70NY2NtzUMN97kGXs&#10;eSC4ZbXjHSUeVdONY5ih632Muvw0Zr8BAAD//wMAUEsDBBQABgAIAAAAIQC6MLx63gAAAAsBAAAP&#10;AAAAZHJzL2Rvd25yZXYueG1sTI/LTsMwEEX3SPyDNUjsqJM+0xCnAlTYsKIg1tPYtS1iO7LdNPw9&#10;wwqWo3t075lmN7mejSomG7yAclYAU74L0not4OP9+a4CljJ6iX3wSsC3SrBrr68arGW4+Dc1HrJm&#10;VOJTjQJMzkPNeeqMcphmYVCeslOIDjOdUXMZ8ULlrufzolhzh9bTgsFBPRnVfR3OTsD+UW91V2E0&#10;+0paO06fp1f9IsTtzfRwDyyrKf/B8KtP6tCS0zGcvUysF7BcbxeEClisVnNgRGw25RLYkaKiLIG3&#10;Df//Q/sDAAD//wMAUEsBAi0AFAAGAAgAAAAhALaDOJL+AAAA4QEAABMAAAAAAAAAAAAAAAAAAAAA&#10;AFtDb250ZW50X1R5cGVzXS54bWxQSwECLQAUAAYACAAAACEAOP0h/9YAAACUAQAACwAAAAAAAAAA&#10;AAAAAAAvAQAAX3JlbHMvLnJlbHNQSwECLQAUAAYACAAAACEANi87fTgCAAB8BAAADgAAAAAAAAAA&#10;AAAAAAAuAgAAZHJzL2Uyb0RvYy54bWxQSwECLQAUAAYACAAAACEAujC8et4AAAALAQAADwAAAAAA&#10;AAAAAAAAAACSBAAAZHJzL2Rvd25yZXYueG1sUEsFBgAAAAAEAAQA8wAAAJ0FAAAAAA==&#10;" fillcolor="white [3201]" strokeweight=".5pt">
                <v:textbox>
                  <w:txbxContent>
                    <w:p w14:paraId="3834AA7E" w14:textId="77777777" w:rsidR="006C161B" w:rsidRDefault="00906DFD" w:rsidP="006C161B">
                      <w:pPr>
                        <w:jc w:val="center"/>
                        <w:rPr>
                          <w:sz w:val="13"/>
                          <w:szCs w:val="13"/>
                        </w:rPr>
                      </w:pPr>
                      <w:r>
                        <w:rPr>
                          <w:sz w:val="13"/>
                        </w:rPr>
                        <w:t xml:space="preserve">Deginimas / energijos vertinimas</w:t>
                      </w:r>
                      <w:r>
                        <w:rPr>
                          <w:sz w:val="13"/>
                        </w:rPr>
                        <w:t xml:space="preserve"> </w:t>
                      </w:r>
                    </w:p>
                    <w:p w14:paraId="71F47356" w14:textId="553DA01F" w:rsidR="00906DFD" w:rsidRPr="006C161B" w:rsidRDefault="006C161B" w:rsidP="006C161B">
                      <w:pPr>
                        <w:jc w:val="center"/>
                        <w:rPr>
                          <w:sz w:val="13"/>
                          <w:szCs w:val="13"/>
                        </w:rPr>
                      </w:pPr>
                      <w:r>
                        <w:rPr>
                          <w:sz w:val="13"/>
                        </w:rPr>
                        <w:t xml:space="preserve">(POT reglamento V priedo 1 dalies įgyvendinimas)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koncentracijos </w:t>
                            </w:r>
                            <w:r>
                              <w:rPr>
                                <w:sz w:val="12"/>
                              </w:rPr>
                              <w:t>negalima nustatyti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koncentracijos negalima nustatyti</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POT </w:t>
                            </w:r>
                            <w:r>
                              <w:rPr>
                                <w:sz w:val="12"/>
                              </w:rPr>
                              <w:t>&gt; IV priede nustatyta riba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POT &gt; IV priede nustatyta riba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POT </w:t>
                            </w:r>
                            <w:r>
                              <w:rPr>
                                <w:sz w:val="12"/>
                              </w:rPr>
                              <w:t>&lt; IV priede nustatyta riba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POT &lt; IV priede nustatyta riba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045DE6" w:rsidRDefault="00906DFD" w:rsidP="00906DFD">
                            <w:pPr>
                              <w:jc w:val="center"/>
                              <w:rPr>
                                <w:sz w:val="10"/>
                                <w:szCs w:val="10"/>
                              </w:rPr>
                            </w:pPr>
                            <w:r w:rsidRPr="00045DE6">
                              <w:rPr>
                                <w:sz w:val="10"/>
                                <w:szCs w:val="10"/>
                              </w:rPr>
                              <w:t xml:space="preserve">Medžiagų </w:t>
                            </w:r>
                            <w:r w:rsidRPr="00045DE6">
                              <w:rPr>
                                <w:sz w:val="10"/>
                                <w:szCs w:val="10"/>
                              </w:rPr>
                              <w:t>naudojimas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8B8A68" id="_x0000_t202" coordsize="21600,21600" o:spt="202" path="m,l,21600r21600,l21600,xe">
                <v:stroke joinstyle="miter"/>
                <v:path gradientshapeok="t" o:connecttype="rect"/>
              </v:shapetype>
              <v:shape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045DE6" w:rsidRDefault="00906DFD" w:rsidP="00906DFD">
                      <w:pPr>
                        <w:jc w:val="center"/>
                        <w:rPr>
                          <w:sz w:val="10"/>
                          <w:szCs w:val="10"/>
                        </w:rPr>
                      </w:pPr>
                      <w:r w:rsidRPr="00045DE6">
                        <w:rPr>
                          <w:sz w:val="10"/>
                          <w:szCs w:val="10"/>
                        </w:rPr>
                        <w:t xml:space="preserve">Medžiagų </w:t>
                      </w:r>
                      <w:r w:rsidRPr="00045DE6">
                        <w:rPr>
                          <w:sz w:val="10"/>
                          <w:szCs w:val="10"/>
                        </w:rPr>
                        <w:t>naudojimas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Yra </w:t>
                            </w:r>
                            <w:r>
                              <w:rPr>
                                <w:sz w:val="14"/>
                              </w:rPr>
                              <w:t>POT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Yra POT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Be </w:t>
                            </w:r>
                            <w:r>
                              <w:rPr>
                                <w:sz w:val="10"/>
                              </w:rPr>
                              <w:t>POT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98D912" id="_x0000_t202" coordsize="21600,21600" o:spt="202" path="m,l,21600r21600,l21600,xe">
                <v:stroke joinstyle="miter"/>
                <v:path gradientshapeok="t" o:connecttype="rect"/>
              </v:shapetype>
              <v:shape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Be POT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Plastiko </w:t>
                            </w:r>
                            <w:r>
                              <w:rPr>
                                <w:sz w:val="12"/>
                              </w:rPr>
                              <w:t>pogrupis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Plastiko pogrupis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PLASTIKO </w:t>
                            </w:r>
                            <w:r>
                              <w:rPr>
                                <w:rFonts w:ascii="Arial" w:hAnsi="Arial"/>
                                <w:sz w:val="12"/>
                              </w:rPr>
                              <w:t>ATLIEKOS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sz w:val="12"/>
                          <w:szCs w:val="12"/>
                          <w:rFonts w:ascii="Arial" w:hAnsi="Arial" w:cs="Arial"/>
                        </w:rPr>
                      </w:pPr>
                      <w:r>
                        <w:rPr>
                          <w:sz w:val="12"/>
                          <w:rFonts w:ascii="Arial" w:hAnsi="Arial"/>
                        </w:rPr>
                        <w:t xml:space="preserve">PLASTIKO ATLIEKOS</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31C8" w14:textId="77777777" w:rsidR="0086004C" w:rsidRDefault="0086004C">
      <w:r>
        <w:separator/>
      </w:r>
    </w:p>
  </w:endnote>
  <w:endnote w:type="continuationSeparator" w:id="0">
    <w:p w14:paraId="767DDE28" w14:textId="77777777" w:rsidR="0086004C" w:rsidRDefault="0086004C">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Apdorojimo būdai, nurodyti 2019 m. birželio 20 d. Europos Parlamento ir Tarybos reglamento (ES) 2019/1021 dėl patvariųjų organinių teršalų (POT), taikomų plastiko atliekų srautui,</w:t>
      </w:r>
      <w:r>
        <w:rPr>
          <w:rFonts w:ascii="Arial" w:hAnsi="Arial"/>
        </w:rPr>
        <w:t xml:space="preserve"> </w:t>
      </w:r>
      <w:r>
        <w:rPr>
          <w:rFonts w:ascii="Arial" w:hAnsi="Arial"/>
          <w:sz w:val="16"/>
        </w:rPr>
        <w:t xml:space="preserve">V priedo 1 dalyje: </w:t>
      </w:r>
    </w:p>
    <w:p w14:paraId="727FCC63" w14:textId="77777777" w:rsidR="0024204A" w:rsidRDefault="0024204A" w:rsidP="00B30FE7">
      <w:pPr>
        <w:rPr>
          <w:rFonts w:ascii="Arial" w:eastAsia="Calibri" w:hAnsi="Arial" w:cs="Arial"/>
          <w:sz w:val="16"/>
          <w:szCs w:val="16"/>
        </w:rPr>
      </w:pPr>
      <w:r>
        <w:rPr>
          <w:rFonts w:ascii="Arial" w:hAnsi="Arial"/>
          <w:sz w:val="16"/>
        </w:rPr>
        <w:t>D 9 Fizinis ir cheminis apdorojimas</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Deginimas ant žemės</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Pagrindinis naudojimas kaip kuras ar kitos energijos gamybos priemonės, išskyrus atliekas, kuriose yra polichlorintojo bifenilo</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24B3" w14:textId="77777777" w:rsidR="0086004C" w:rsidRDefault="0086004C">
      <w:r>
        <w:separator/>
      </w:r>
    </w:p>
  </w:footnote>
  <w:footnote w:type="continuationSeparator" w:id="0">
    <w:p w14:paraId="0C9E6EB5" w14:textId="77777777" w:rsidR="0086004C" w:rsidRDefault="0086004C">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Komisijos komunikate 2018/C 124/01 teigiama, kad EWC 19 12 04 gali būti iš EEĮ atliekų apdorojimo įrenginių bei kitų įrenginių, kuriuose atliekamas mechanizuotas apdorojimas.</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Plastiko atliekos (arba iš plastiko gauti pogrupiai), kurių sudėtyje yra patvariųjų organinių teršalų, kurių koncentracija viršija teisės aktais nustatytą ribą, nustatytą pagal Reglamento (ES) 2019/1021 dėl patvariųjų organinių teršalų (POT) nuostatas, neatitinka reikalavimų.</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Siekiant nustatyti jų pavojingumo charakteristikas, įvertinami iš mechanizuotų atliekų apdorojimo įrenginių gauti plastiko pogrupiai, kurie nebelaikomi atliekomis. EWC 19 12 04 galima priskirti plastikiniams pogrupiams tik tais atvejais, kai nebuvo patvirtintos jokios pavojingos savybės. Plastikiniams pogrupiams, gautiems įrenginiuose, kuriuose neužtikrinamas nepavojingas atliekų pobūdis, 19 12 11* kodas taikomas kitoms atliekoms (įskaitant medžiagų mišinius), susidarančioms mechaniškai apdorojant atliekas, kuriose yra pavojingų medžiagų. Šis dviejų minėtų EWC kodų diferencijavimo kriterijus taikomas visuose mechanizuoto apdorojimo įrenginiuose, neatsižvelgiant į jų tvarkomų atliekų kilmę.</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2008 </w:t>
      </w:r>
      <w:r>
        <w:rPr>
          <w:rFonts w:ascii="Arial" w:hAnsi="Arial"/>
          <w:sz w:val="14"/>
        </w:rPr>
        <w:t>m. gruodžio 16 d. Europos Parlamento ir Tarybos reglamentas (EB) Nr. 1272/2008 dėl cheminių medžiagų ir mišinių klasifikavimo, ženklinimo ir pakavimo, iš dalies keičiantis ir panaikinantis direktyvas 67/548/EEB bei 1999/45/EB ir iš dalies keičiantis Reglamentą (EB) Nr.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2006 </w:t>
      </w:r>
      <w:r>
        <w:rPr>
          <w:rFonts w:ascii="Arial" w:hAnsi="Arial"/>
          <w:sz w:val="14"/>
        </w:rPr>
        <w:t>m. gruodžio 18 d. Europos Parlamento ir Tarybos reglamentas (EB) Nr. 1907/2006 dėl cheminių medžiagų registracijos, įvertinimo, autorizacijos ir apribojimų (REACH), įsteigiantis Europos cheminių medžiagų agentūrą, iš dalies keičiantis Direktyvą 1999/45/EB bei panaikinantis Tarybos reglamentą (EEB) Nr. 793/93, Komisijos reglamentą (EB) Nr. 1488/94, Tarybos direktyvą 76/769/EEB ir Komisijos direktyvas 91/155/EEB, 93/67/EEB, 93/105/EB bei 2000/21/EB.</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2019 </w:t>
      </w:r>
      <w:r>
        <w:rPr>
          <w:rFonts w:ascii="Arial" w:hAnsi="Arial"/>
          <w:sz w:val="14"/>
        </w:rPr>
        <w:t>m. birželio 20 d. Europos Parlamento ir Tarybos reglamentas (ES) 2019/1021 dėl patvariųjų organinių teršalų.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43.4pt" filled="t">
                <v:fill opacity="0" color2="black"/>
                <v:imagedata r:id="rId1" o:title="" croptop="-11f" cropbottom="-11f" cropleft="-11f" cropright="-11f"/>
              </v:shape>
              <o:OLEObject Type="Embed" ProgID="PBrush" ShapeID="_x0000_i1025" DrawAspect="Content" ObjectID="_1717492271"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EKOLOGINĖS PERTVARKOS IR DEMOGRAFINIŲ IŠŠŪKIŲ</w:t>
          </w:r>
          <w:r>
            <w:rPr>
              <w:rFonts w:ascii="Arial" w:hAnsi="Arial"/>
              <w:sz w:val="16"/>
            </w:rPr>
            <w:br/>
            <w:t>MINISTERIJA</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APLINKOS</w:t>
          </w:r>
          <w:r>
            <w:rPr>
              <w:rFonts w:ascii="Arial" w:hAnsi="Arial"/>
              <w:sz w:val="14"/>
            </w:rPr>
            <w:br/>
            <w:t>VALSTYBĖS SEKRETORIUS</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APLINKOS KOKYBĖS IR VERTINIMO</w:t>
          </w:r>
          <w:r>
            <w:rPr>
              <w:rFonts w:ascii="Arial" w:hAnsi="Arial"/>
              <w:sz w:val="14"/>
            </w:rPr>
            <w:br/>
            <w:t xml:space="preserve">GENERALINIS DIREKTORATAS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45DE6"/>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lt-LT"/>
    </w:rPr>
  </w:style>
  <w:style w:type="character" w:customStyle="1" w:styleId="Ttulo2Car">
    <w:name w:val="Título 2 Car"/>
    <w:rPr>
      <w:rFonts w:ascii="Cambria" w:hAnsi="Cambria" w:cs="Cambria"/>
      <w:b/>
      <w:bCs/>
      <w:i/>
      <w:iCs/>
      <w:sz w:val="28"/>
      <w:szCs w:val="28"/>
      <w:lang w:val="lt-LT"/>
    </w:rPr>
  </w:style>
  <w:style w:type="character" w:customStyle="1" w:styleId="Ttulo3Car">
    <w:name w:val="Título 3 Car"/>
    <w:rPr>
      <w:rFonts w:ascii="Cambria" w:hAnsi="Cambria" w:cs="Cambria"/>
      <w:b/>
      <w:bCs/>
      <w:sz w:val="26"/>
      <w:szCs w:val="26"/>
      <w:lang w:val="lt-LT"/>
    </w:rPr>
  </w:style>
  <w:style w:type="character" w:customStyle="1" w:styleId="Ttulo4Car">
    <w:name w:val="Título 4 Car"/>
    <w:rPr>
      <w:rFonts w:ascii="Calibri" w:hAnsi="Calibri" w:cs="Calibri"/>
      <w:b/>
      <w:bCs/>
      <w:sz w:val="28"/>
      <w:szCs w:val="28"/>
      <w:lang w:val="lt-LT"/>
    </w:rPr>
  </w:style>
  <w:style w:type="character" w:customStyle="1" w:styleId="Ttulo5Car">
    <w:name w:val="Título 5 Car"/>
    <w:rPr>
      <w:rFonts w:ascii="Calibri" w:hAnsi="Calibri" w:cs="Calibri"/>
      <w:b/>
      <w:bCs/>
      <w:i/>
      <w:iCs/>
      <w:sz w:val="26"/>
      <w:szCs w:val="26"/>
      <w:lang w:val="lt-LT"/>
    </w:rPr>
  </w:style>
  <w:style w:type="character" w:customStyle="1" w:styleId="Ttulo6Car">
    <w:name w:val="Título 6 Car"/>
    <w:rPr>
      <w:rFonts w:ascii="Calibri" w:hAnsi="Calibri" w:cs="Calibri"/>
      <w:b/>
      <w:bCs/>
      <w:lang w:val="lt-LT"/>
    </w:rPr>
  </w:style>
  <w:style w:type="character" w:customStyle="1" w:styleId="Ttulo7Car">
    <w:name w:val="Título 7 Car"/>
    <w:rPr>
      <w:rFonts w:ascii="Calibri" w:hAnsi="Calibri" w:cs="Calibri"/>
      <w:sz w:val="24"/>
      <w:szCs w:val="24"/>
      <w:lang w:val="lt-LT"/>
    </w:rPr>
  </w:style>
  <w:style w:type="character" w:customStyle="1" w:styleId="Ttulo8Car">
    <w:name w:val="Título 8 Car"/>
    <w:rPr>
      <w:rFonts w:ascii="Calibri" w:hAnsi="Calibri" w:cs="Calibri"/>
      <w:i/>
      <w:iCs/>
      <w:sz w:val="24"/>
      <w:szCs w:val="24"/>
      <w:lang w:val="lt-LT"/>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lt-LT"/>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lt-LT"/>
    </w:rPr>
  </w:style>
  <w:style w:type="character" w:customStyle="1" w:styleId="AsuntodelcomentarioCar">
    <w:name w:val="Asunto del comentario Car"/>
    <w:rPr>
      <w:rFonts w:cs="Times New Roman"/>
      <w:b/>
      <w:bCs/>
      <w:sz w:val="20"/>
      <w:szCs w:val="20"/>
      <w:lang w:val="lt-LT"/>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lt-LT"/>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lt-LT" w:eastAsia="zh-CN"/>
    </w:rPr>
  </w:style>
  <w:style w:type="character" w:customStyle="1" w:styleId="CommentSubjectChar">
    <w:name w:val="Comment Subject Char"/>
    <w:rPr>
      <w:b/>
      <w:bCs/>
      <w:lang w:val="lt-LT" w:eastAsia="zh-CN"/>
    </w:rPr>
  </w:style>
  <w:style w:type="character" w:customStyle="1" w:styleId="BalloonTextChar">
    <w:name w:val="Balloon Text Char"/>
    <w:rPr>
      <w:rFonts w:ascii="Tahoma" w:hAnsi="Tahoma" w:cs="Tahoma"/>
      <w:sz w:val="16"/>
      <w:szCs w:val="16"/>
      <w:lang w:val="lt-LT"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7542</Words>
  <Characters>42993</Characters>
  <Application>Microsoft Office Word</Application>
  <DocSecurity>0</DocSecurity>
  <Lines>358</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2022-06-23T09:25:00Z</dcterms:modified>
</cp:coreProperties>
</file>