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86F4E" w14:textId="157964E8" w:rsidR="002720FF" w:rsidRPr="00683CE0" w:rsidRDefault="002720FF" w:rsidP="00EA1D8C">
      <w:pPr>
        <w:spacing w:after="240" w:line="360" w:lineRule="auto"/>
        <w:rPr>
          <w:sz w:val="26"/>
          <w:szCs w:val="26"/>
          <w:rFonts w:ascii="Arial" w:hAnsi="Arial" w:cs="Arial"/>
        </w:rPr>
      </w:pPr>
      <w:r>
        <w:rPr>
          <w:sz w:val="26"/>
          <w:rFonts w:ascii="Arial" w:hAnsi="Arial"/>
        </w:rPr>
        <w:t xml:space="preserve">Szövetségi Igazságügyi és Fogyasztóvédelmi Minisztérium</w:t>
      </w:r>
    </w:p>
    <w:p w14:paraId="4622CA11" w14:textId="77777777" w:rsidR="002720FF" w:rsidRPr="00683CE0" w:rsidRDefault="002720FF" w:rsidP="00EA1D8C">
      <w:pPr>
        <w:pStyle w:val="DokumentkopfTitel"/>
      </w:pPr>
      <w:r>
        <w:t xml:space="preserve">Módosító javaslat</w:t>
      </w:r>
    </w:p>
    <w:p w14:paraId="3FAED9FF" w14:textId="77777777" w:rsidR="002720FF" w:rsidRPr="00683CE0" w:rsidRDefault="002720FF" w:rsidP="00EA1D8C">
      <w:pPr>
        <w:pStyle w:val="DokumentkopfBezeichnung"/>
      </w:pPr>
      <w:r>
        <w:t xml:space="preserve">a szövetségi kormány törvénytervezetéről</w:t>
      </w:r>
    </w:p>
    <w:p w14:paraId="31EDF417" w14:textId="77777777" w:rsidR="002720FF" w:rsidRPr="00683CE0" w:rsidRDefault="002720FF" w:rsidP="00EA1D8C">
      <w:pPr>
        <w:pStyle w:val="DokumentkopfBezeichnung"/>
      </w:pPr>
      <w:r>
        <w:t xml:space="preserve">– 19/26915 dokumentum –</w:t>
      </w:r>
    </w:p>
    <w:p w14:paraId="10B9D1C7" w14:textId="77777777" w:rsidR="002720FF" w:rsidRPr="00683CE0" w:rsidRDefault="0021568B" w:rsidP="00EA1D8C">
      <w:pPr>
        <w:spacing w:before="240" w:after="480" w:line="360" w:lineRule="auto"/>
        <w:rPr>
          <w:b/>
          <w:sz w:val="26"/>
          <w:szCs w:val="26"/>
          <w:rFonts w:ascii="Arial" w:hAnsi="Arial" w:cs="Arial"/>
        </w:rPr>
      </w:pPr>
      <w:r>
        <w:rPr>
          <w:b/>
          <w:sz w:val="26"/>
          <w:rFonts w:ascii="Arial" w:hAnsi="Arial"/>
        </w:rPr>
        <w:t xml:space="preserve">A tisztességes fogyasztókkal kötött szerződésekről szóló törvénytervezet</w:t>
      </w:r>
    </w:p>
    <w:p w14:paraId="43B17458" w14:textId="77777777" w:rsidR="002720FF" w:rsidRDefault="002720FF" w:rsidP="00EA1D8C">
      <w:pPr>
        <w:spacing w:line="360" w:lineRule="auto"/>
        <w:rPr>
          <w:sz w:val="22"/>
          <w:rFonts w:ascii="Arial" w:hAnsi="Arial" w:cs="Arial"/>
        </w:rPr>
      </w:pPr>
      <w:r>
        <w:rPr>
          <w:sz w:val="22"/>
          <w:rFonts w:ascii="Arial" w:hAnsi="Arial"/>
        </w:rPr>
        <w:t xml:space="preserve">Javasolt, hogy a Bundestag (Parlament) döntsön</w:t>
      </w:r>
    </w:p>
    <w:p w14:paraId="09C91E87" w14:textId="77777777" w:rsidR="002720FF" w:rsidRPr="00AB4C70" w:rsidRDefault="002720FF" w:rsidP="00EA1D8C">
      <w:pPr>
        <w:spacing w:line="360" w:lineRule="auto"/>
        <w:rPr>
          <w:sz w:val="22"/>
          <w:rFonts w:ascii="Arial" w:hAnsi="Arial" w:cs="Arial"/>
        </w:rPr>
      </w:pPr>
      <w:r>
        <w:rPr>
          <w:sz w:val="22"/>
          <w:rFonts w:ascii="Arial" w:hAnsi="Arial"/>
        </w:rPr>
        <w:t xml:space="preserve">a 19/26915 dokumentumban szereplő törvénytervezet elfogadásáról a következő feltételekkel, egyébként változatlan formában:</w:t>
      </w:r>
    </w:p>
    <w:p w14:paraId="27B616A6" w14:textId="77777777" w:rsidR="00826E52" w:rsidRDefault="00826E52" w:rsidP="00826E52">
      <w:pPr>
        <w:sectPr w:rsidR="00826E52" w:rsidSect="00012A1D">
          <w:headerReference w:type="even" r:id="rId8"/>
          <w:headerReference w:type="default" r:id="rId9"/>
          <w:pgSz w:w="11907" w:h="16839"/>
          <w:pgMar w:top="1134" w:right="3883" w:bottom="1417" w:left="1219" w:header="709" w:footer="709" w:gutter="0"/>
          <w:pgNumType w:start="1"/>
          <w:cols w:space="708"/>
          <w:titlePg/>
          <w:docGrid w:linePitch="360"/>
        </w:sectPr>
      </w:pPr>
    </w:p>
    <w:p w14:paraId="33337284" w14:textId="138C0023" w:rsidR="002F6967" w:rsidRDefault="002F6967" w:rsidP="00416421">
      <w:pPr>
        <w:pStyle w:val="EmpfehlungNummerierungStufe1"/>
      </w:pPr>
      <w:r>
        <w:t xml:space="preserve">A cím a következő lábjegyzettel egészül ki:</w:t>
      </w:r>
      <w:r>
        <w:t xml:space="preserve"> </w:t>
      </w:r>
    </w:p>
    <w:p w14:paraId="7CEDE7EC" w14:textId="725FED5E" w:rsidR="002F6967" w:rsidRPr="00693751" w:rsidRDefault="002F6967" w:rsidP="009B1298">
      <w:pPr>
        <w:pStyle w:val="RevisionNummerierungStufe1manuell"/>
        <w:tabs>
          <w:tab w:val="clear" w:pos="425"/>
          <w:tab w:val="left" w:pos="940"/>
        </w:tabs>
        <w:ind w:left="940" w:hanging="515"/>
      </w:pPr>
      <w:r>
        <w:rPr>
          <w:vertAlign w:val="superscript"/>
        </w:rPr>
        <w:t xml:space="preserve">*</w:t>
      </w:r>
      <w:r>
        <w:tab/>
      </w:r>
      <w:r>
        <w:t xml:space="preserve">Az Európai Parlament és a Tanács a műszaki szabályokkal és az információs társadalom szolgáltatásaira vonatkozó szabályokkal kapcsolatos információszolgáltatási eljárás megállapításáról szóló, 2015. szeptember 9-i (EU) 2015/1535 irányelvével (AB1.L 241, 2015. szeptember 17., 1. o.) összhangban került bejelentésre.</w:t>
      </w:r>
    </w:p>
    <w:p w14:paraId="321F69E0" w14:textId="6E4A4B30" w:rsidR="00826E52" w:rsidRDefault="00826E52" w:rsidP="00416421">
      <w:pPr>
        <w:pStyle w:val="EmpfehlungNummerierungStufe1"/>
      </w:pPr>
      <w:r>
        <w:t xml:space="preserve">Az 1. cikk a következőképpen módosul:</w:t>
      </w:r>
    </w:p>
    <w:p w14:paraId="63EFF5B4" w14:textId="6CD7E956" w:rsidR="0021568B" w:rsidRPr="0021568B" w:rsidRDefault="0021568B" w:rsidP="00DA2D64">
      <w:pPr>
        <w:pStyle w:val="EmpfehlungNummerierungStufe2"/>
      </w:pPr>
      <w:r>
        <w:t xml:space="preserve">A szöveg a 3. pont után a következő 4-6. ponttal egészül ki:</w:t>
      </w:r>
    </w:p>
    <w:p w14:paraId="07B1EF48" w14:textId="67DC30C7" w:rsidR="0021568B" w:rsidRDefault="0021568B" w:rsidP="009D590D">
      <w:pPr>
        <w:pStyle w:val="RevisionNummerierungStufe1manuell"/>
        <w:tabs>
          <w:tab w:val="clear" w:pos="425"/>
          <w:tab w:val="left" w:pos="1345"/>
        </w:tabs>
        <w:ind w:left="1345" w:hanging="495"/>
      </w:pPr>
      <w:r>
        <w:t xml:space="preserve">’4.</w:t>
      </w:r>
      <w:r>
        <w:tab/>
      </w:r>
      <w:r>
        <w:t xml:space="preserve">A 312. § (7) bekezdésének 1. mondatában a „312 l §” szavak helyébe a „312 m §” szavak lépnek.</w:t>
      </w:r>
    </w:p>
    <w:p w14:paraId="50355E6B" w14:textId="6FBBEDCE" w:rsidR="00FC63C3" w:rsidRDefault="0021568B" w:rsidP="009D590D">
      <w:pPr>
        <w:pStyle w:val="RevisionNummerierungStufe1manuell"/>
        <w:tabs>
          <w:tab w:val="clear" w:pos="425"/>
          <w:tab w:val="left" w:pos="1345"/>
        </w:tabs>
        <w:ind w:left="1345"/>
      </w:pPr>
      <w:r>
        <w:t xml:space="preserve">5.</w:t>
      </w:r>
      <w:r>
        <w:tab/>
      </w:r>
      <w:r>
        <w:t xml:space="preserve">A 312j. § után a szöveg a következő 312k. §-sal egészül ki:</w:t>
      </w:r>
    </w:p>
    <w:p w14:paraId="2A7410BB" w14:textId="77777777" w:rsidR="0075168F" w:rsidRPr="00E574A2" w:rsidRDefault="0075168F" w:rsidP="009D590D">
      <w:pPr>
        <w:pStyle w:val="RevisionParagraphBezeichnermanuell"/>
        <w:spacing w:after="120"/>
        <w:ind w:left="1345" w:hanging="90"/>
        <w:outlineLvl w:val="7"/>
      </w:pPr>
      <w:r>
        <w:t xml:space="preserve">„312k §</w:t>
      </w:r>
    </w:p>
    <w:p w14:paraId="41B291F4" w14:textId="486B3F04" w:rsidR="0075168F" w:rsidRPr="00416421" w:rsidRDefault="0075168F" w:rsidP="009D590D">
      <w:pPr>
        <w:pStyle w:val="RevisionParagraphberschrift"/>
        <w:spacing w:before="120" w:after="120"/>
        <w:ind w:left="1345"/>
        <w:outlineLvl w:val="7"/>
      </w:pPr>
      <w:r>
        <w:t xml:space="preserve">Fogyasztói szerződések megszüntetése az elektronikus kereskedelemben</w:t>
      </w:r>
    </w:p>
    <w:p w14:paraId="4B99D571" w14:textId="07F42C55" w:rsidR="00C10FA1" w:rsidRDefault="00DC3B1E" w:rsidP="009D590D">
      <w:pPr>
        <w:pStyle w:val="RevisionJuristischerAbsatz"/>
        <w:numPr>
          <w:ilvl w:val="2"/>
          <w:numId w:val="1"/>
        </w:numPr>
        <w:tabs>
          <w:tab w:val="clear" w:pos="850"/>
          <w:tab w:val="num" w:pos="2195"/>
        </w:tabs>
        <w:ind w:left="1345"/>
      </w:pPr>
      <w:r>
        <w:t xml:space="preserve">Amennyiben egy weboldal lehetővé teszi a fogyasztók számára, hogy olyan elektronikus kereskedelmi szerződést kössenek, amelynek célja egy állandó adósságviszony létrehozása, és amely egy társaságot arra kötelez, hogy cserébe szolgáltatást nyújtson, a társaságnak teljesítenie kell az abban a rendelkezésben megállapított kötelezettségeket.</w:t>
      </w:r>
      <w:r>
        <w:t xml:space="preserve"> </w:t>
      </w:r>
      <w:r>
        <w:t xml:space="preserve">Ez nem vonatkozik az</w:t>
      </w:r>
    </w:p>
    <w:p w14:paraId="2FF8D6A4" w14:textId="14FBFEC6" w:rsidR="00C10FA1" w:rsidRPr="0090252A" w:rsidRDefault="0052341C" w:rsidP="009D590D">
      <w:pPr>
        <w:pStyle w:val="RevisionNummerierungStufe1"/>
        <w:tabs>
          <w:tab w:val="clear" w:pos="425"/>
          <w:tab w:val="num" w:pos="1770"/>
        </w:tabs>
        <w:ind w:left="1770"/>
      </w:pPr>
      <w:r>
        <w:t xml:space="preserve">olyan szerződésekre, amelyeknek megszüntetését a szöveges formánál szigorúbb formában írják elő; valamint</w:t>
      </w:r>
    </w:p>
    <w:p w14:paraId="3F8AA9D7" w14:textId="7C181D21" w:rsidR="00E57275" w:rsidRPr="00AE662A" w:rsidRDefault="006F7B3A" w:rsidP="009D590D">
      <w:pPr>
        <w:pStyle w:val="RevisionNummerierungStufe1"/>
        <w:tabs>
          <w:tab w:val="clear" w:pos="425"/>
          <w:tab w:val="num" w:pos="1770"/>
        </w:tabs>
        <w:ind w:left="1770"/>
      </w:pPr>
      <w:r>
        <w:t xml:space="preserve">a pénzügyi szolgáltatásokhoz kapcsolódó weboldalakra, vagy pénzügyi szolgáltatásokhoz kapcsolódó szerződésekre.</w:t>
      </w:r>
    </w:p>
    <w:p w14:paraId="45A2845B" w14:textId="6F37F124" w:rsidR="009E06E3" w:rsidRDefault="00AE3F1C" w:rsidP="009D590D">
      <w:pPr>
        <w:pStyle w:val="RevisionJuristischerAbsatz"/>
        <w:tabs>
          <w:tab w:val="clear" w:pos="850"/>
          <w:tab w:val="num" w:pos="2195"/>
        </w:tabs>
        <w:ind w:left="1345"/>
      </w:pPr>
      <w:r>
        <w:t xml:space="preserve">A társaságnak gondoskodnia kell arról, hogy a honlapon a fogyasztó az 1. § (1) bekezdése mondatának megfelelően a weboldalon kötött szerződés rendes vagy rendkívüli felmondásáról a felmondásra vonatkozó gombon keresztül nyilatkozhasson.</w:t>
      </w:r>
      <w:r>
        <w:t xml:space="preserve"> </w:t>
      </w:r>
      <w:r>
        <w:t xml:space="preserve">A felmondásra vonatkozó gombnak könnyen olvashatónak kell lennie, a „szerződés megszüntetése itt” szavakon kívül mást nem tartalmazhat, és a célnak megfelelő egyértelmű szöveggel szükséges ellátni.</w:t>
      </w:r>
      <w:r>
        <w:t xml:space="preserve"> </w:t>
      </w:r>
      <w:r>
        <w:t xml:space="preserve">A fogyasztót közvetlenül egy olyan visszaigazoló oldalra kell vezetnie, amely</w:t>
      </w:r>
    </w:p>
    <w:p w14:paraId="63A70429" w14:textId="0658A2E9" w:rsidR="002A3FE5" w:rsidRDefault="006E2F12" w:rsidP="009D590D">
      <w:pPr>
        <w:pStyle w:val="RevisionNummerierungStufe1"/>
        <w:tabs>
          <w:tab w:val="clear" w:pos="425"/>
          <w:tab w:val="num" w:pos="1770"/>
        </w:tabs>
        <w:ind w:left="1770"/>
      </w:pPr>
      <w:r>
        <w:t xml:space="preserve">megszólítja a fogyasztót, és lehetővé teszi számára, hogy tájékoztatást nyújtson</w:t>
      </w:r>
    </w:p>
    <w:p w14:paraId="1A0A97F8" w14:textId="04EE9D94" w:rsidR="006E2F12" w:rsidRDefault="002A3FE5" w:rsidP="009D590D">
      <w:pPr>
        <w:pStyle w:val="RevisionNummerierungStufe2"/>
        <w:tabs>
          <w:tab w:val="clear" w:pos="850"/>
          <w:tab w:val="num" w:pos="2195"/>
        </w:tabs>
        <w:ind w:left="2195"/>
      </w:pPr>
      <w:r>
        <w:t xml:space="preserve">a megszüntetés jellegéről és rendkívüli felmondás esetén a felmondás okáról,</w:t>
      </w:r>
    </w:p>
    <w:p w14:paraId="459452DE" w14:textId="5BCFA0A2" w:rsidR="002A3FE5" w:rsidRDefault="002A3FE5" w:rsidP="009D590D">
      <w:pPr>
        <w:pStyle w:val="RevisionNummerierungStufe2"/>
        <w:tabs>
          <w:tab w:val="clear" w:pos="850"/>
          <w:tab w:val="num" w:pos="2195"/>
        </w:tabs>
        <w:ind w:left="2195"/>
      </w:pPr>
      <w:r>
        <w:t xml:space="preserve">az egyértelmű beazonosíthatóságáról,</w:t>
      </w:r>
    </w:p>
    <w:p w14:paraId="0B7A6589" w14:textId="2A8E4FF6" w:rsidR="002A3FE5" w:rsidRDefault="002A3FE5" w:rsidP="009D590D">
      <w:pPr>
        <w:pStyle w:val="RevisionNummerierungStufe2"/>
        <w:tabs>
          <w:tab w:val="clear" w:pos="850"/>
          <w:tab w:val="num" w:pos="2195"/>
        </w:tabs>
        <w:ind w:left="2195"/>
      </w:pPr>
      <w:r>
        <w:t xml:space="preserve">a szerződés egyértelmű megnevezéséről,</w:t>
      </w:r>
    </w:p>
    <w:p w14:paraId="309E68B5" w14:textId="4790EC1D" w:rsidR="00846EFD" w:rsidRDefault="00846EFD" w:rsidP="009D590D">
      <w:pPr>
        <w:pStyle w:val="RevisionNummerierungStufe2"/>
        <w:tabs>
          <w:tab w:val="clear" w:pos="850"/>
          <w:tab w:val="num" w:pos="2195"/>
        </w:tabs>
        <w:ind w:left="2195"/>
      </w:pPr>
      <w:r>
        <w:t xml:space="preserve">abban az időpontban, amikor a felmondás a szerződéses jogviszonyt megszünteti,</w:t>
      </w:r>
    </w:p>
    <w:p w14:paraId="1E1303B1" w14:textId="2C482F67" w:rsidR="002A3FE5" w:rsidRDefault="00AE3F1C" w:rsidP="00846EFD">
      <w:pPr>
        <w:pStyle w:val="RevisionNummerierungStufe2"/>
        <w:tabs>
          <w:tab w:val="clear" w:pos="850"/>
          <w:tab w:val="num" w:pos="2195"/>
        </w:tabs>
        <w:ind w:left="2195"/>
      </w:pPr>
      <w:r>
        <w:t xml:space="preserve">a felmondás megerősítésének gyors elektronikus továbbítása érdekében, valamint</w:t>
      </w:r>
    </w:p>
    <w:p w14:paraId="4F18B29F" w14:textId="576EFA0F" w:rsidR="00222EE0" w:rsidRDefault="009E06E3" w:rsidP="009D590D">
      <w:pPr>
        <w:pStyle w:val="RevisionNummerierungStufe1"/>
        <w:tabs>
          <w:tab w:val="clear" w:pos="425"/>
          <w:tab w:val="num" w:pos="1770"/>
        </w:tabs>
        <w:ind w:left="1770"/>
      </w:pPr>
      <w:r>
        <w:t xml:space="preserve">amely tartalmaz egy megerősítés gombot, amelyen keresztül a fogyasztó benyújthatja a felmondásról szóló értesítést, és amely könnyen olvasható a „megszüntetés most” vagy megfelelő, egyértelmű szöveggel jelölve.</w:t>
      </w:r>
    </w:p>
    <w:p w14:paraId="41B87BA6" w14:textId="4412EB32" w:rsidR="00591E40" w:rsidRDefault="009F7F4E" w:rsidP="009D590D">
      <w:pPr>
        <w:pStyle w:val="RevisionJuristischerAbsatzFolgeabsatz"/>
        <w:ind w:left="1345"/>
      </w:pPr>
      <w:r>
        <w:t xml:space="preserve">A felhasználói felületeknek és a visszaigazoló oldalnak folyamatosan elérhetőnek és azonnal és könnyen hozzáférhetőnek kell lennie.</w:t>
      </w:r>
    </w:p>
    <w:p w14:paraId="01895F53" w14:textId="274AB82F" w:rsidR="00F15270" w:rsidRDefault="0075168F" w:rsidP="009D590D">
      <w:pPr>
        <w:pStyle w:val="RevisionJuristischerAbsatz"/>
        <w:tabs>
          <w:tab w:val="clear" w:pos="850"/>
          <w:tab w:val="num" w:pos="2195"/>
        </w:tabs>
        <w:ind w:left="1345"/>
      </w:pPr>
      <w:r>
        <w:t xml:space="preserve">A fogyasztó köteles tartós adathordozón tárolni a felmondási nyilatkozatot a megerősítés gomb megnyomása után a küldés dátumával és időpontjával úgy, hogy látható legyen, hogy a felmondási nyilatkozatot a megerősítés gomb megnyomásával nyújtották be.</w:t>
      </w:r>
    </w:p>
    <w:p w14:paraId="0E1A934D" w14:textId="79962F83" w:rsidR="0075168F" w:rsidRPr="004C591F" w:rsidRDefault="0075168F" w:rsidP="009D590D">
      <w:pPr>
        <w:pStyle w:val="RevisionJuristischerAbsatz"/>
        <w:tabs>
          <w:tab w:val="clear" w:pos="850"/>
          <w:tab w:val="num" w:pos="2195"/>
        </w:tabs>
        <w:ind w:left="1345"/>
      </w:pPr>
      <w:r>
        <w:t xml:space="preserve">A társaság a megszüntetésről szóló értesítés tartalmát, kézhezvételének napját és időpontját, valamint azt az időpontot, amikor a felmondás útján a szerződést felmondják, írásban, elektronikus úton, haladéktalanul visszaigazolja a fogyasztónak.</w:t>
      </w:r>
      <w:r>
        <w:t xml:space="preserve"> </w:t>
      </w:r>
      <w:r>
        <w:t xml:space="preserve">Vélelmezhető, hogy a megerősítés gomb megnyomásával benyújtott megszüntetésről szóló értesítést elküldték a társaságnak közvetlenül annak benyújtása után.</w:t>
      </w:r>
    </w:p>
    <w:p w14:paraId="2C91A187" w14:textId="77777777" w:rsidR="00852306" w:rsidRPr="000C76EB" w:rsidRDefault="00AF1427" w:rsidP="009D590D">
      <w:pPr>
        <w:pStyle w:val="RevisionJuristischerAbsatz"/>
        <w:tabs>
          <w:tab w:val="clear" w:pos="850"/>
          <w:tab w:val="left" w:pos="2195"/>
        </w:tabs>
        <w:spacing w:before="120" w:after="120"/>
        <w:ind w:left="1345"/>
        <w:outlineLvl w:val="8"/>
      </w:pPr>
      <w:r>
        <w:t xml:space="preserve">Ha a fogyasztó a megszüntetésről szóló értesítés benyújtásakor nem jelzi az időpontot, mikor szüntetendő meg a szerződéses jogviszony, akkor a felmondás a lehető legkorábbi időpontban megy végbe.</w:t>
      </w:r>
    </w:p>
    <w:p w14:paraId="0063AC95" w14:textId="2CD687CE" w:rsidR="0075168F" w:rsidRPr="000C76EB" w:rsidRDefault="003C1CD0" w:rsidP="009D590D">
      <w:pPr>
        <w:pStyle w:val="RevisionJuristischerAbsatz"/>
        <w:tabs>
          <w:tab w:val="clear" w:pos="850"/>
          <w:tab w:val="num" w:pos="2195"/>
        </w:tabs>
        <w:ind w:left="1345"/>
      </w:pPr>
      <w:r>
        <w:t xml:space="preserve">Ha a gombok és a megerősítő oldal nem áll rendelkezésre az 1. és 2. bekezdésnek megfelelően, akkor a fogyasztó felmondhatja azt a szerződést, amelynek megszüntetésére előzetes határidő nélkül és bármikor elérhetővé szükséges tenni a gombokat és a megerősítő oldalt.</w:t>
      </w:r>
      <w:r>
        <w:t xml:space="preserve"> </w:t>
      </w:r>
      <w:r>
        <w:t xml:space="preserve">Ez nem érinti a fogyasztó kivételes felmondási képességét.”</w:t>
      </w:r>
    </w:p>
    <w:p w14:paraId="0AE0901F" w14:textId="0375EB9F" w:rsidR="001B688F" w:rsidRDefault="0021568B" w:rsidP="009D590D">
      <w:pPr>
        <w:pStyle w:val="RevisionNummerierungStufe1manuell"/>
        <w:tabs>
          <w:tab w:val="clear" w:pos="425"/>
          <w:tab w:val="left" w:pos="1345"/>
        </w:tabs>
        <w:ind w:left="1345"/>
      </w:pPr>
      <w:r>
        <w:t xml:space="preserve">6.</w:t>
      </w:r>
      <w:r>
        <w:tab/>
      </w:r>
      <w:r>
        <w:t xml:space="preserve">Az előző 312k § és 312 l § lesz a 312 l § és a 312 m §.”</w:t>
      </w:r>
    </w:p>
    <w:p w14:paraId="6405AD62" w14:textId="2EED1D99" w:rsidR="0021568B" w:rsidRDefault="0021568B" w:rsidP="00DA2D64">
      <w:pPr>
        <w:pStyle w:val="EmpfehlungNummerierungStufe2"/>
      </w:pPr>
      <w:r>
        <w:t xml:space="preserve">A korábbi 4-es szám a 7-es számra változik.</w:t>
      </w:r>
    </w:p>
    <w:p w14:paraId="2D9EE4F1" w14:textId="49ED0B65" w:rsidR="00D663F5" w:rsidRDefault="00D663F5" w:rsidP="008E21D5">
      <w:pPr>
        <w:pStyle w:val="EmpfehlungNummerierungStufe1"/>
      </w:pPr>
      <w:r>
        <w:t xml:space="preserve">A 2. cikk szövege a következő:</w:t>
      </w:r>
    </w:p>
    <w:p w14:paraId="2A51C349" w14:textId="28141D5E" w:rsidR="008657B1" w:rsidRPr="008657B1" w:rsidRDefault="008657B1" w:rsidP="009D590D">
      <w:pPr>
        <w:pStyle w:val="RevisionArtikelBezeichnermanuell"/>
        <w:ind w:left="425" w:hanging="70"/>
      </w:pPr>
      <w:r>
        <w:t xml:space="preserve">„2. cikk</w:t>
      </w:r>
    </w:p>
    <w:p w14:paraId="5837AD5B" w14:textId="0C0D5684" w:rsidR="008657B1" w:rsidRPr="008657B1" w:rsidRDefault="008657B1" w:rsidP="009D590D">
      <w:pPr>
        <w:pStyle w:val="RevisionArtikelberschrift"/>
        <w:ind w:left="425"/>
      </w:pPr>
      <w:r>
        <w:t xml:space="preserve">A Polgári Törvénykönyv bevezető részének módosítása</w:t>
      </w:r>
    </w:p>
    <w:p w14:paraId="460ABE0F" w14:textId="5A512474" w:rsidR="008657B1" w:rsidRPr="004F1B81" w:rsidRDefault="007B6582" w:rsidP="009D590D">
      <w:pPr>
        <w:pStyle w:val="RevisionJuristischerAbsatzmanuell"/>
        <w:tabs>
          <w:tab w:val="clear" w:pos="850"/>
          <w:tab w:val="left" w:pos="1275"/>
        </w:tabs>
        <w:ind w:left="425"/>
      </w:pPr>
      <w:r>
        <w:t xml:space="preserve">A Polgári Törvénykönyv bevezető törvénye az 1994. szeptember 21-én közzétett változatban (Szövetségi Közlöny I. p. 2494., 1997; I p. 1061); legutóbb a 2020. december 22-i törvény (Szövetségi Közlöny I., p. 3328.) 10. cikkével módosítva a következőképpen módosul:</w:t>
      </w:r>
    </w:p>
    <w:p w14:paraId="6B027298" w14:textId="034AC32F" w:rsidR="008657B1" w:rsidRPr="004F1B81" w:rsidRDefault="008657B1" w:rsidP="009D590D">
      <w:pPr>
        <w:pStyle w:val="RevisionNummerierungStufe1"/>
        <w:tabs>
          <w:tab w:val="clear" w:pos="425"/>
          <w:tab w:val="num" w:pos="850"/>
        </w:tabs>
        <w:ind w:left="850"/>
      </w:pPr>
      <w:r>
        <w:t xml:space="preserve">A 229. cikk helyébe lép a következő §...</w:t>
      </w:r>
      <w:r>
        <w:t xml:space="preserve"> </w:t>
      </w:r>
      <w:r>
        <w:t xml:space="preserve">[bevezetés: a következő ingyenes számlálási megjelölés kihirdetésekor] kerül hozzáadásra:</w:t>
      </w:r>
    </w:p>
    <w:p w14:paraId="57F318B2" w14:textId="77777777" w:rsidR="008657B1" w:rsidRPr="004F1B81" w:rsidRDefault="008657B1" w:rsidP="009D590D">
      <w:pPr>
        <w:pStyle w:val="RevisionParagraphBezeichnermanuell"/>
        <w:ind w:left="850" w:hanging="90"/>
      </w:pPr>
      <w:r>
        <w:t xml:space="preserve">‘§...</w:t>
      </w:r>
      <w:r>
        <w:t xml:space="preserve"> </w:t>
      </w:r>
      <w:r>
        <w:t xml:space="preserve">[a következőket tartalmazza: a következő ingyenes számlálási jelölés kihirdetésekor]</w:t>
      </w:r>
    </w:p>
    <w:p w14:paraId="240738A9" w14:textId="77777777" w:rsidR="008657B1" w:rsidRPr="004F1B81" w:rsidRDefault="008657B1" w:rsidP="009D590D">
      <w:pPr>
        <w:pStyle w:val="RevisionParagraphberschrift"/>
        <w:ind w:left="850"/>
      </w:pPr>
      <w:r>
        <w:t xml:space="preserve">A tisztességes fogyasztói szerződésekről szóló törvény átmeneti rendelkezése</w:t>
      </w:r>
    </w:p>
    <w:p w14:paraId="48E37EC8" w14:textId="49D04865" w:rsidR="008657B1" w:rsidRPr="008657B1" w:rsidRDefault="008657B1" w:rsidP="009D590D">
      <w:pPr>
        <w:pStyle w:val="RevisionJuristischerAbsatzmanuell"/>
        <w:tabs>
          <w:tab w:val="clear" w:pos="850"/>
          <w:tab w:val="left" w:pos="1700"/>
        </w:tabs>
        <w:ind w:left="850"/>
      </w:pPr>
      <w:r>
        <w:t xml:space="preserve">Adósságra vonatkozóan, ami megelőzi a...</w:t>
      </w:r>
      <w:r>
        <w:t xml:space="preserve"> </w:t>
      </w:r>
      <w:r>
        <w:t xml:space="preserve">[körülmény:</w:t>
      </w:r>
      <w:r>
        <w:t xml:space="preserve"> </w:t>
      </w:r>
      <w:r>
        <w:t xml:space="preserve">E törvény 5. cikke (3) bekezdésének megállapításával összhangban a hatálybalépés időpontja] alkalmazandó az addig az időpontig módosított Polgári Törvénykönyv rendelkezéseire vonatkozóan.”</w:t>
      </w:r>
    </w:p>
    <w:p w14:paraId="28F84168" w14:textId="767BCDD5" w:rsidR="0062256C" w:rsidRPr="008657B1" w:rsidRDefault="00D663F5" w:rsidP="009D590D">
      <w:pPr>
        <w:pStyle w:val="RevisionNummerierungStufe1"/>
        <w:tabs>
          <w:tab w:val="clear" w:pos="425"/>
          <w:tab w:val="num" w:pos="850"/>
        </w:tabs>
        <w:ind w:left="850"/>
      </w:pPr>
      <w:r>
        <w:t xml:space="preserve">A 246e. cikk (1)–(2) bekezdésének 10. pontjában a „312k. §” szöveg helyébe a „312 l. §” szöveg lép.</w:t>
      </w:r>
    </w:p>
    <w:p w14:paraId="7A235F18" w14:textId="116CF696" w:rsidR="008E21D5" w:rsidRDefault="007B6582" w:rsidP="004F1B81">
      <w:pPr>
        <w:pStyle w:val="EmpfehlungNummerierungStufe1"/>
      </w:pPr>
      <w:r>
        <w:t xml:space="preserve">A szöveg az 5. cikk 1. mondata után a következő mondattal egészül ki:</w:t>
      </w:r>
    </w:p>
    <w:p w14:paraId="0316D114" w14:textId="7AD83BCB" w:rsidR="008E21D5" w:rsidRDefault="0052608D" w:rsidP="009D590D">
      <w:pPr>
        <w:pStyle w:val="RevisionJuristischerAbsatzFolgeabsatz"/>
        <w:ind w:left="425"/>
      </w:pPr>
      <w:r>
        <w:t xml:space="preserve">„Az 1. cikk (4)–(6) bekezdése és a 2. cikk (2) bekezdése 2022. július 1-jén lép hatályba.”</w:t>
      </w:r>
    </w:p>
    <w:p w14:paraId="41B3EABB" w14:textId="77777777" w:rsidR="00826E52" w:rsidRDefault="00826E52" w:rsidP="00826E52">
      <w:pPr>
        <w:sectPr w:rsidR="00826E52" w:rsidSect="00012A1D">
          <w:type w:val="continuous"/>
          <w:pgSz w:w="11907" w:h="16839"/>
          <w:pgMar w:top="1134" w:right="3883" w:bottom="1417" w:left="1219" w:header="709" w:footer="709" w:gutter="0"/>
          <w:cols w:space="708"/>
          <w:docGrid w:linePitch="360"/>
        </w:sectPr>
      </w:pPr>
    </w:p>
    <w:p w14:paraId="48D972B1" w14:textId="3F1C74A6" w:rsidR="002720FF" w:rsidRDefault="002720FF" w:rsidP="00FF6FE5">
      <w:pPr>
        <w:pStyle w:val="BegrndungTitel"/>
      </w:pPr>
      <w:r>
        <w:t xml:space="preserve">Indokolás</w:t>
      </w:r>
    </w:p>
    <w:p w14:paraId="6FB976A8" w14:textId="1D90AF45" w:rsidR="00B56435" w:rsidRDefault="00B56435" w:rsidP="00910B03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(1) bekezdés értelmében</w:t>
      </w:r>
    </w:p>
    <w:p w14:paraId="52A0ADE0" w14:textId="23FAA1FA" w:rsidR="00B358A3" w:rsidRPr="009B1298" w:rsidRDefault="00B358A3" w:rsidP="009B1298">
      <w:pPr>
        <w:pStyle w:val="Text"/>
        <w:rPr>
          <w:sz w:val="22"/>
        </w:rPr>
      </w:pPr>
      <w:r>
        <w:t xml:space="preserve">A kiegészítésre azért van szükség, mert a műszaki szabályokkal és az információs társadalom szolgáltatásaira vonatkozó műszaki szabályokkal kapcsolatos információszolgáltatási eljárás megállapításáról szóló, 2015. szeptember 9-i (EU) 2015/1535 európai parlamenti és tanácsi irányelv értelmében a 2. pont a) alpontjában (1. cikk (5) bekezdése) előírt rendelkezés bejelentési kötelezettség alá tartozik.</w:t>
      </w:r>
    </w:p>
    <w:p w14:paraId="53DCFDC3" w14:textId="7A9DE1EC" w:rsidR="00B358A3" w:rsidRDefault="00B358A3" w:rsidP="00910B03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(2) bekezdés értelmében</w:t>
      </w:r>
    </w:p>
    <w:p w14:paraId="1CDBD418" w14:textId="66377B48" w:rsidR="00395EE9" w:rsidRPr="00DA2D64" w:rsidRDefault="000F009A" w:rsidP="00DA2D64">
      <w:pPr>
        <w:pStyle w:val="Text"/>
        <w:rPr>
          <w:sz w:val="22"/>
        </w:rPr>
      </w:pPr>
      <w:r>
        <w:rPr>
          <w:sz w:val="22"/>
        </w:rPr>
        <w:t xml:space="preserve">A törvénytervezet 2. pontja az 1. cikkre vonatkozó módosításokat tartalmazza, amely a polgári törvénykönyv (BGB) módosítását írja elő.</w:t>
      </w:r>
    </w:p>
    <w:p w14:paraId="5911C2A5" w14:textId="19E46F24" w:rsidR="00910B03" w:rsidRDefault="00910B03" w:rsidP="00910B03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(a) rész értelmében</w:t>
      </w:r>
    </w:p>
    <w:p w14:paraId="3BCE5677" w14:textId="7A163C5E" w:rsidR="000F009A" w:rsidRPr="00DA2D64" w:rsidRDefault="000F009A" w:rsidP="00DA2D64">
      <w:pPr>
        <w:pStyle w:val="Text"/>
        <w:rPr>
          <w:sz w:val="22"/>
        </w:rPr>
      </w:pPr>
      <w:r>
        <w:rPr>
          <w:sz w:val="22"/>
        </w:rPr>
        <w:t xml:space="preserve">Az a) alpont tartalmazza a polgári törvénykönyv azon szükséges módosításait, amelyek a polgári törvénykönyv 312k. § tervezetbe illesztése során valósulnak meg.</w:t>
      </w:r>
    </w:p>
    <w:p w14:paraId="7BAADA35" w14:textId="3DFF40F6" w:rsidR="009F2923" w:rsidRDefault="009F2923" w:rsidP="00910B03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1. cikk, 4. pont értelmében</w:t>
      </w:r>
    </w:p>
    <w:p w14:paraId="196525AF" w14:textId="07A1B367" w:rsidR="00910B03" w:rsidRDefault="00910B03" w:rsidP="0052608D">
      <w:pPr>
        <w:pStyle w:val="Text"/>
        <w:rPr>
          <w:sz w:val="22"/>
        </w:rPr>
      </w:pPr>
      <w:r>
        <w:rPr>
          <w:sz w:val="22"/>
        </w:rPr>
        <w:t xml:space="preserve">Ez egy következményes módosítás, amelyet a polgári törvénykönyv új 312k. §-ának a tervezetbe történő beillesztése tesz szükségessé.</w:t>
      </w:r>
      <w:r>
        <w:rPr>
          <w:sz w:val="22"/>
        </w:rPr>
        <w:t xml:space="preserve"> </w:t>
      </w:r>
      <w:r>
        <w:rPr>
          <w:sz w:val="22"/>
        </w:rPr>
        <w:t xml:space="preserve">A német polgári törvénykönyv 312k. §-át várhatóan egy törvényjavaslat módosítja, amely módosítja a polgári törvénykönyvet és a polgári törvénykönyvről szóló bevezető törvényt az uniós fogyasztóvédelmi jogszabályok jobb végrehajtásáról és korszerűsítéséről szóló uniós irányelve tükrében, valamint a 2006/2004/EK rendelet végrehajtása felelősségének a Szövetségi Igazságügyi és Fogyasztóvédelmi Minisztériumra történő átszállásáról szóló különrendelet hatályon kívül helyezéseként (a továbbiakban: Szövetségi Tanács nyomt. 61/21), a továbbiakban:</w:t>
      </w:r>
      <w:r>
        <w:rPr>
          <w:sz w:val="22"/>
        </w:rPr>
        <w:t xml:space="preserve"> </w:t>
      </w:r>
      <w:r>
        <w:rPr>
          <w:sz w:val="22"/>
        </w:rPr>
        <w:t xml:space="preserve">a korszerűsítésről szóló irányelv végrehajtásának törvénytervezete).</w:t>
      </w:r>
    </w:p>
    <w:p w14:paraId="58637A12" w14:textId="3F86D1C5" w:rsidR="00910B03" w:rsidRDefault="00910B03" w:rsidP="00910B03">
      <w:pPr>
        <w:pStyle w:val="Text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1. cikk, 5. pont értelmében</w:t>
      </w:r>
    </w:p>
    <w:p w14:paraId="29FC6254" w14:textId="01CF6BCB" w:rsidR="000F009A" w:rsidRDefault="000F009A" w:rsidP="00FF6FE5">
      <w:pPr>
        <w:pStyle w:val="Text"/>
        <w:rPr>
          <w:sz w:val="22"/>
        </w:rPr>
      </w:pPr>
      <w:r>
        <w:rPr>
          <w:sz w:val="22"/>
        </w:rPr>
        <w:t xml:space="preserve">A 1. cikk (5) bekezdése új 312k. §-t vezet be a német polgári törvénykönyvbe (BGB).</w:t>
      </w:r>
    </w:p>
    <w:p w14:paraId="7B4EFA06" w14:textId="328EC3DA" w:rsidR="00910D9D" w:rsidRDefault="00F24FDD" w:rsidP="00FF6FE5">
      <w:pPr>
        <w:pStyle w:val="Text"/>
        <w:rPr>
          <w:sz w:val="22"/>
        </w:rPr>
      </w:pPr>
      <w:r>
        <w:rPr>
          <w:sz w:val="22"/>
        </w:rPr>
        <w:t xml:space="preserve">Az elektronikus kereskedelemben kötött szerződések megszüntetése gyakran különleges kihívást jelent a fogyasztók számára.</w:t>
      </w:r>
      <w:r>
        <w:rPr>
          <w:sz w:val="22"/>
        </w:rPr>
        <w:t xml:space="preserve"> </w:t>
      </w:r>
      <w:r>
        <w:rPr>
          <w:sz w:val="22"/>
        </w:rPr>
        <w:t xml:space="preserve">Az adott szerződés egyszerű megkötéséhez képest annak megszüntetése részben nem lehetséges közvetlenül egy honlapon keresztül, vagy annak kialakítása azt megnehezíti.</w:t>
      </w:r>
    </w:p>
    <w:p w14:paraId="1FDAB131" w14:textId="77777777" w:rsidR="00910D9D" w:rsidRDefault="00993AD2" w:rsidP="00FF6FE5">
      <w:pPr>
        <w:pStyle w:val="Text"/>
        <w:rPr>
          <w:sz w:val="22"/>
        </w:rPr>
      </w:pPr>
      <w:r>
        <w:rPr>
          <w:sz w:val="22"/>
        </w:rPr>
        <w:t xml:space="preserve">A polgári törvénykönyv 312k. §-a tervezetében a társaság javasolt kötelezettségei lehetővé teszik a fogyasztók számára, hogy a felmondási nyilatkozatokat az elektronikus kereskedelemben egyszerű módon, a felmondási nyilatkozatok sajátosságainak figyelembevételével, a vonatkozó szerződések megkötésére irányuló nyilatkozatokhoz hasonlóan adhassák be.</w:t>
      </w:r>
    </w:p>
    <w:p w14:paraId="23CC65C4" w14:textId="1A6BC79E" w:rsidR="009019C7" w:rsidRDefault="00C50448" w:rsidP="00FF6FE5">
      <w:pPr>
        <w:pStyle w:val="Text"/>
        <w:rPr>
          <w:sz w:val="22"/>
        </w:rPr>
      </w:pPr>
      <w:r>
        <w:rPr>
          <w:sz w:val="22"/>
        </w:rPr>
        <w:t xml:space="preserve">A német polgári törvénykönyv (BGB) 312k. §-ának (1) bekezdése határozza meg a rendelkezés hatályát.</w:t>
      </w:r>
      <w:r>
        <w:rPr>
          <w:sz w:val="22"/>
        </w:rPr>
        <w:t xml:space="preserve"> </w:t>
      </w:r>
      <w:r>
        <w:rPr>
          <w:sz w:val="22"/>
        </w:rPr>
        <w:t xml:space="preserve">A német polgári törvénykönyv (BGB) 312k. § (2) bekezdése a tervezetben körvonalazza a társaság azon kötelezettségét, hogy felmondásra vonatkozó gombot tartson fenn, és további előírásokat fogalmazzon meg a társaság által a felmondásról szóló értesítés benyújtására elérhetővé tett technikai eszközök kialakítására vonatkozóan.</w:t>
      </w:r>
      <w:r>
        <w:rPr>
          <w:sz w:val="22"/>
        </w:rPr>
        <w:t xml:space="preserve"> </w:t>
      </w:r>
      <w:r>
        <w:rPr>
          <w:sz w:val="22"/>
        </w:rPr>
        <w:t xml:space="preserve">A német polgári törvénykönyv (BGB) rendelettervezete a 312k.§ (3) bekezdésében szabályozza a fogyasztó lehetőségeit az általuk benyújtott felmondási nyilatkozat megőrzéséről.</w:t>
      </w:r>
      <w:r>
        <w:rPr>
          <w:sz w:val="22"/>
        </w:rPr>
        <w:t xml:space="preserve"> </w:t>
      </w:r>
      <w:r>
        <w:rPr>
          <w:sz w:val="22"/>
        </w:rPr>
        <w:t xml:space="preserve">A német polgári törvénykönyv (BGB) rendelettervezetének 312k.§ (4) bekezdése előírja, hogy a társaság köteles visszaigazolni a felmondásról szóló értesítés kézhezvételét, valamint megerősíteni a felmondásról szóló értesítéshez való hozzáférés vélelmét.</w:t>
      </w:r>
      <w:r>
        <w:rPr>
          <w:sz w:val="22"/>
        </w:rPr>
        <w:t xml:space="preserve"> </w:t>
      </w:r>
      <w:r>
        <w:rPr>
          <w:sz w:val="22"/>
        </w:rPr>
        <w:t xml:space="preserve">A polgári törvénykönyv 312k.§ (5) bekezdésének tervezete fenntartja a felmondás időpontjával kapcsolatos kétséget.</w:t>
      </w:r>
      <w:r>
        <w:rPr>
          <w:sz w:val="22"/>
        </w:rPr>
        <w:t xml:space="preserve"> </w:t>
      </w:r>
      <w:r>
        <w:rPr>
          <w:sz w:val="22"/>
        </w:rPr>
        <w:t xml:space="preserve">A polgári törvénykönyv 312k.§ (6) bekezdésének tervezete kimondja, hogy ha egy társaság nem teljesíti a tervezet 312k.§ (1) és (2) bekezdésében meghatározott kötelezettségeket, akkor a szerződés bármikor felmondható, felmondási idő betartása nélkül.</w:t>
      </w:r>
    </w:p>
    <w:p w14:paraId="7368D62F" w14:textId="77777777" w:rsidR="00EA1D8C" w:rsidRPr="00623468" w:rsidRDefault="00EA1D8C" w:rsidP="00FC63C3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A 312k. §-ra vonatkozó BGB-E. (1) bekezdés:</w:t>
      </w:r>
    </w:p>
    <w:p w14:paraId="17EDBBF1" w14:textId="7D78ECB9" w:rsidR="007E1EA0" w:rsidRPr="00FF6FE5" w:rsidRDefault="007E1EA0" w:rsidP="00FF6FE5">
      <w:pPr>
        <w:pStyle w:val="Text"/>
        <w:rPr>
          <w:sz w:val="22"/>
        </w:rPr>
      </w:pPr>
      <w:r>
        <w:rPr>
          <w:sz w:val="22"/>
        </w:rPr>
        <w:t xml:space="preserve">A polgári törvénykönyv 312k. § (1) bekezdésének tervezete tartalmazza a társaság kötelezettségeire vonatkozó követelményeket, valamint számos kivételt a 312k. § tervezeteként.</w:t>
      </w:r>
    </w:p>
    <w:p w14:paraId="79AB8D0A" w14:textId="6D12DF24" w:rsidR="005E1C0F" w:rsidRDefault="00297295" w:rsidP="005E1C0F">
      <w:pPr>
        <w:pStyle w:val="Text"/>
        <w:rPr>
          <w:sz w:val="22"/>
        </w:rPr>
      </w:pPr>
      <w:r>
        <w:rPr>
          <w:sz w:val="22"/>
        </w:rPr>
        <w:t xml:space="preserve">A német polgári törvénykönyv (BGB) 312k.§ (1) bekezdése szerinti kötelezettség akkor alkalmazandó a társaságra, ha a fogyasztók a német polgári törvénykönyv (BGB) tervezet 312k.§ (1) bekezdése 1. mondata szerinti módon szerződéseket köthetnek.</w:t>
      </w:r>
    </w:p>
    <w:p w14:paraId="14C929D8" w14:textId="579E8842" w:rsidR="005E1C0F" w:rsidRDefault="005E1C0F" w:rsidP="005E1C0F">
      <w:pPr>
        <w:pStyle w:val="Text"/>
        <w:rPr>
          <w:sz w:val="22"/>
        </w:rPr>
      </w:pPr>
      <w:r>
        <w:rPr>
          <w:sz w:val="22"/>
        </w:rPr>
        <w:t xml:space="preserve">A német polgári törvénykönyv (BGB) 312k.§ (1) bekezdésének 1. mondata az „elektronikus kereskedelem területén kötött szerződés” szövegezést használja, amelyet a német polgári törvénykönyv 312i.§ (1) bekezdés 1. mondata jogilag meghatároz.</w:t>
      </w:r>
    </w:p>
    <w:p w14:paraId="2230FA64" w14:textId="64CB3F4D" w:rsidR="004025EB" w:rsidRDefault="005E1C0F" w:rsidP="005E1C0F">
      <w:pPr>
        <w:pStyle w:val="Text"/>
        <w:rPr>
          <w:sz w:val="22"/>
        </w:rPr>
      </w:pPr>
      <w:r>
        <w:rPr>
          <w:sz w:val="22"/>
        </w:rPr>
        <w:t xml:space="preserve">E szerződések megkötését a német polgári törvénykönyv 312k. § (1) bekezdésének 1. mondatával összhangban egy „weboldalon” keresztül szükséges lehetővé tenni.</w:t>
      </w:r>
      <w:r>
        <w:rPr>
          <w:sz w:val="22"/>
        </w:rPr>
        <w:t xml:space="preserve"> </w:t>
      </w:r>
      <w:r>
        <w:rPr>
          <w:sz w:val="22"/>
        </w:rPr>
        <w:t xml:space="preserve">A „weboldal” kifejezés értelmezésére a német polgári törvénykönyv 312j.§ (1) bekezdésében leírt azonos kifejezésre vonatkozó joggyakorlat alkalmazandó.</w:t>
      </w:r>
    </w:p>
    <w:p w14:paraId="6AA292BC" w14:textId="470333E1" w:rsidR="005E1C0F" w:rsidRDefault="005E1C0F" w:rsidP="005E1C0F">
      <w:pPr>
        <w:pStyle w:val="Text"/>
        <w:rPr>
          <w:sz w:val="22"/>
        </w:rPr>
      </w:pPr>
      <w:r>
        <w:rPr>
          <w:sz w:val="22"/>
        </w:rPr>
        <w:t xml:space="preserve">A német polgári törvénykönyv tervezete 312k. §-a alapján a társaság kötelezettségének igazolása szempontjából nem számít, hogy a megkötendő szerződést tartalmazó weboldalt maga a társaság, vagy – például közvetítő platformok esetében – egy harmadik fél üzemelteti.</w:t>
      </w:r>
      <w:r>
        <w:rPr>
          <w:sz w:val="22"/>
        </w:rPr>
        <w:t xml:space="preserve"> </w:t>
      </w:r>
      <w:r>
        <w:rPr>
          <w:sz w:val="22"/>
        </w:rPr>
        <w:t xml:space="preserve">A társaságnak mindkét esetben gondoskodnia kell arról, hogy a fogyasztó a német polgári törvénykönyv 312k. § tervezetének követelményeivel összhangban nyújthassa be a felmondását.</w:t>
      </w:r>
      <w:r>
        <w:rPr>
          <w:sz w:val="22"/>
        </w:rPr>
        <w:t xml:space="preserve"> </w:t>
      </w:r>
      <w:r>
        <w:rPr>
          <w:sz w:val="22"/>
        </w:rPr>
        <w:t xml:space="preserve">Ha lehetséges a szerződés megkötése egy olyan weboldalon, amit nem maga a társaság üzemeltet, akkor a társaságnak szerződésben kell köteleznie a harmadik felet, hogy a harmadik fél weboldalának üzemeltetőjeként lépjen fel.</w:t>
      </w:r>
    </w:p>
    <w:p w14:paraId="16B2E46F" w14:textId="04A80DFB" w:rsidR="005E1C0F" w:rsidRDefault="005E1C0F" w:rsidP="005E1C0F">
      <w:pPr>
        <w:pStyle w:val="Text"/>
        <w:rPr>
          <w:sz w:val="22"/>
        </w:rPr>
      </w:pPr>
      <w:r>
        <w:rPr>
          <w:sz w:val="22"/>
        </w:rPr>
        <w:t xml:space="preserve">A polgári törvénykönyv tervezete 312k. § (1) bekezdése 1. mondatával összhangban a társaságnak kötelezettsége a társaságok és a fogyasztók közötti állandó adósságviszonyok létesítésére vonatkozó szerződésekre korlátozódik, amelyek díjazásra kötelezik a társaságot.</w:t>
      </w:r>
      <w:r>
        <w:rPr>
          <w:sz w:val="22"/>
        </w:rPr>
        <w:t xml:space="preserve"> </w:t>
      </w:r>
      <w:r>
        <w:rPr>
          <w:sz w:val="22"/>
        </w:rPr>
        <w:t xml:space="preserve">Az állandó adósság korlátozása a fogyasztóvédelem szempontjából történik, mivel különös szükség van a felmondás lehetőségének megkönnyítésére.</w:t>
      </w:r>
      <w:r>
        <w:rPr>
          <w:sz w:val="22"/>
        </w:rPr>
        <w:t xml:space="preserve"> </w:t>
      </w:r>
      <w:r>
        <w:rPr>
          <w:sz w:val="22"/>
        </w:rPr>
        <w:t xml:space="preserve">A hosszú távú adósságviszonyok gyakran „költségcsapdáknak” bizonyulhatnak a fogyasztók iránti hosszú távú elkötelezettség miatt.</w:t>
      </w:r>
      <w:r>
        <w:rPr>
          <w:sz w:val="22"/>
        </w:rPr>
        <w:t xml:space="preserve"> </w:t>
      </w:r>
      <w:r>
        <w:rPr>
          <w:sz w:val="22"/>
        </w:rPr>
        <w:t xml:space="preserve">Másrészt az egyéb kötelezettségek állandó adósságként való megszüntetése bizonyos esetekben jogi következményekkel járhat a fogyasztóra nézve, ami a fogyasztó szempontjából váratlannak tűnhet (pl. a polgári törvénykönyv 648 §-a szerinti felmondási jog esetén a vevő fennálló fizetési kötelezettsége).</w:t>
      </w:r>
      <w:r>
        <w:rPr>
          <w:sz w:val="22"/>
        </w:rPr>
        <w:t xml:space="preserve"> </w:t>
      </w:r>
      <w:r>
        <w:rPr>
          <w:sz w:val="22"/>
        </w:rPr>
        <w:t xml:space="preserve">Ezek a jogkövetkezmények különösen a német polgári törvénykönyv 312k.§ (2) bekezdése 3. mondatának 2. pontja szerinti adatszolgáltatási kötelezettségének szabványosított teljesítését nehezítenék meg a tervezetben.</w:t>
      </w:r>
      <w:r>
        <w:rPr>
          <w:sz w:val="22"/>
        </w:rPr>
        <w:t xml:space="preserve"> </w:t>
      </w:r>
      <w:r>
        <w:rPr>
          <w:sz w:val="22"/>
        </w:rPr>
        <w:t xml:space="preserve">Ezért az egyes esetekben a felmondás sajátos következményei miatt fennálló állandó adósságra vonatkozó szerződésektől eltérő szerződésekre a német polgári törvénykönyv tervezetének 312k. §-a nem terjed ki.</w:t>
      </w:r>
    </w:p>
    <w:p w14:paraId="7CBE89AF" w14:textId="39C4CA64" w:rsidR="00021CCF" w:rsidRDefault="00AA0FD6" w:rsidP="00FF6FE5">
      <w:pPr>
        <w:pStyle w:val="Text"/>
        <w:rPr>
          <w:sz w:val="22"/>
        </w:rPr>
      </w:pPr>
      <w:r>
        <w:rPr>
          <w:sz w:val="22"/>
        </w:rPr>
        <w:t xml:space="preserve">A német polgári törvénykönyv (BGB) tervezetének 312k.§ (1) bekezdése 2. mondatának 1. pontja szerint a 312k. § nem alkalmazandó a tervezetben, ha a szóban forgó szerződés jogi formai követelmények alapján történő felmondását kizárólag a szövegnél szigorúbb formában kell benyújtani.</w:t>
      </w:r>
      <w:r>
        <w:rPr>
          <w:sz w:val="22"/>
        </w:rPr>
        <w:t xml:space="preserve"> </w:t>
      </w:r>
      <w:r>
        <w:rPr>
          <w:sz w:val="22"/>
        </w:rPr>
        <w:t xml:space="preserve">Ez tehát magában foglalja a német polgári törvénykönyv 126a. §-ának alaki feltételeit vagy az írásbeli formai követelményeket, illetve – a szöveghez képest szigorúbb – elektronikus forma követelményét is.</w:t>
      </w:r>
      <w:r>
        <w:rPr>
          <w:sz w:val="22"/>
        </w:rPr>
        <w:t xml:space="preserve"> </w:t>
      </w:r>
      <w:r>
        <w:rPr>
          <w:sz w:val="22"/>
        </w:rPr>
        <w:t xml:space="preserve">Ez kizárja a közjegyző által hitelesített formában kibocsátott felmondási nyilatkozatokat is.</w:t>
      </w:r>
    </w:p>
    <w:p w14:paraId="5AC9F0DA" w14:textId="10D6BCB1" w:rsidR="00FF6FE5" w:rsidRDefault="00FF6FE5" w:rsidP="00FF6FE5">
      <w:pPr>
        <w:pStyle w:val="Text"/>
        <w:rPr>
          <w:sz w:val="22"/>
        </w:rPr>
      </w:pPr>
      <w:r>
        <w:rPr>
          <w:sz w:val="22"/>
        </w:rPr>
        <w:t xml:space="preserve">A polgári törvénykönyv tervezetének 312k §-a a fogyasztó felmondási lehetőségeinek kiterjesztését célozza, nem korlátozva vagy kizárva a felmondásról szóló értesítés más módon történő benyújtását.</w:t>
      </w:r>
      <w:r>
        <w:rPr>
          <w:sz w:val="22"/>
        </w:rPr>
        <w:t xml:space="preserve"> </w:t>
      </w:r>
      <w:r>
        <w:rPr>
          <w:sz w:val="22"/>
        </w:rPr>
        <w:t xml:space="preserve">Különösen a német polgári törvénykönyv (BGB) 309.§-ának 13. c) pontja szerint előre meghatározott szerződéses feltételek alapján kötött megállapodás akkor marad érvényben, ha a polgári törvénykönyv 312k.§-a szerinti gomb biztosított a polgári törvénykönyv 312k.§ paragrafusa alapján.</w:t>
      </w:r>
    </w:p>
    <w:p w14:paraId="31DAAE9B" w14:textId="75A60568" w:rsidR="00D663F5" w:rsidRDefault="0020302D" w:rsidP="00FF6FE5">
      <w:pPr>
        <w:pStyle w:val="Text"/>
        <w:rPr>
          <w:sz w:val="22"/>
        </w:rPr>
      </w:pPr>
      <w:r>
        <w:rPr>
          <w:sz w:val="22"/>
        </w:rPr>
        <w:t xml:space="preserve">A polgári törvénykönyv tervezetének 312k. § (1) bekezdése 2. mondatának 2. pontja előírja, hogy a társaságok mentesülnek a polgári törvénykönyv 312k. § tervezetében foglalt kötelezettségek alól, ha a weboldal pénzügyi szolgáltatásokra korlátozódik, vagy, ha a szóban forgó szerződések pénzügyi szolgáltatásokra vonatkoznak.</w:t>
      </w:r>
      <w:r>
        <w:rPr>
          <w:sz w:val="22"/>
        </w:rPr>
        <w:t xml:space="preserve"> </w:t>
      </w:r>
      <w:r>
        <w:rPr>
          <w:sz w:val="22"/>
        </w:rPr>
        <w:t xml:space="preserve">E rendelkezés mintája a polgári törvénykönyv 312j. § (5) bekezdésének 2. mondata; a „pénzügyi szolgáltatások” fogalmát jogilag a polgári törvénykönyv 312. § (5) bekezdésének 1. mondata határozza meg.</w:t>
      </w:r>
    </w:p>
    <w:p w14:paraId="1029C765" w14:textId="77777777" w:rsidR="00157A5E" w:rsidRPr="00623468" w:rsidRDefault="00157A5E" w:rsidP="00157A5E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A 312k. §-ra vonatkozó BGB-E. (2) bekezdés:</w:t>
      </w:r>
    </w:p>
    <w:p w14:paraId="2DD32C42" w14:textId="0A95DE40" w:rsidR="006F0DAE" w:rsidRDefault="006F0DAE" w:rsidP="006F0DAE">
      <w:pPr>
        <w:pStyle w:val="Text"/>
        <w:rPr>
          <w:sz w:val="22"/>
        </w:rPr>
      </w:pPr>
      <w:r>
        <w:rPr>
          <w:sz w:val="22"/>
        </w:rPr>
        <w:t xml:space="preserve">A polgári törvénykönyv tervezetben a 312k. § (2) bekezdése meghatározza a társaság kötelezettségét, és kétlépcsős eljárást ír elő a felmondásról szóló értesítés benyújtására.</w:t>
      </w:r>
    </w:p>
    <w:p w14:paraId="180E6231" w14:textId="20BA4C93" w:rsidR="006257ED" w:rsidRDefault="006257ED" w:rsidP="006257ED">
      <w:pPr>
        <w:pStyle w:val="Text"/>
        <w:rPr>
          <w:sz w:val="22"/>
        </w:rPr>
      </w:pPr>
      <w:r>
        <w:rPr>
          <w:sz w:val="22"/>
        </w:rPr>
        <w:t xml:space="preserve">A német polgári törvénykönyv (BGB) 312k. § (2) bekezdésének 1. mondata a társaságnak a tervezetben szereplő kötelezettségét a polgári törvénykönyv 312k. §-ával összhangban rendes és rendkívüli felmondásokra korlátozza.</w:t>
      </w:r>
      <w:r>
        <w:rPr>
          <w:sz w:val="22"/>
        </w:rPr>
        <w:t xml:space="preserve"> </w:t>
      </w:r>
      <w:r>
        <w:rPr>
          <w:sz w:val="22"/>
        </w:rPr>
        <w:t xml:space="preserve">A digitális tartalom és digitális szolgáltatások nyújtásának egyes szerződéses vonatkozásairól szóló irányelv végrehajtási törvénytervezetével összhangban, a digitális termékek szolgáltatásának elmulasztása, hibás vagy kedvezőtlen módosítása miatti, a szerződés visszavonását és felmondását is magában foglaló, állandó adósságviszonyok felmondására vonatkozó egyéb jogok nem tartoznak e rendelet hatálya alá (Szövetségi Tanács nyomt. 60/21).</w:t>
      </w:r>
    </w:p>
    <w:p w14:paraId="7AD9A1FA" w14:textId="77777777" w:rsidR="006257ED" w:rsidRDefault="006257ED" w:rsidP="006257ED">
      <w:pPr>
        <w:pStyle w:val="Text"/>
        <w:rPr>
          <w:sz w:val="22"/>
        </w:rPr>
      </w:pPr>
      <w:r>
        <w:rPr>
          <w:sz w:val="22"/>
        </w:rPr>
        <w:t xml:space="preserve">A törvényi jogokat megállapító szerződések felmondása nem tartozik az alkalmazás hatálya alá, mivel azok nem az elektronikus kereskedelemben köttetnek.</w:t>
      </w:r>
      <w:r>
        <w:rPr>
          <w:sz w:val="22"/>
        </w:rPr>
        <w:t xml:space="preserve"> </w:t>
      </w:r>
      <w:r>
        <w:rPr>
          <w:sz w:val="22"/>
        </w:rPr>
        <w:t xml:space="preserve">Bár a jelzáloghitelek vagy szolgáltatások hivatalosan is megszüntethetők, ezek nem minősülnek a vállalatok és a fogyasztók közötti elektronikus kereskedelmi szerződéseknek.</w:t>
      </w:r>
    </w:p>
    <w:p w14:paraId="0A27EC29" w14:textId="7090A24C" w:rsidR="006257ED" w:rsidRDefault="006257ED" w:rsidP="006257ED">
      <w:pPr>
        <w:pStyle w:val="Text"/>
        <w:rPr>
          <w:sz w:val="22"/>
        </w:rPr>
      </w:pPr>
      <w:r>
        <w:rPr>
          <w:sz w:val="22"/>
        </w:rPr>
        <w:t xml:space="preserve">A társaság kötelezettségének igazolása nem függ attól, hogy a bejelentendő szerződést az elektronikus kereskedelemben is megkötötték-e.</w:t>
      </w:r>
      <w:r>
        <w:rPr>
          <w:sz w:val="22"/>
        </w:rPr>
        <w:t xml:space="preserve"> </w:t>
      </w:r>
      <w:r>
        <w:rPr>
          <w:sz w:val="22"/>
        </w:rPr>
        <w:t xml:space="preserve">Azonban az döntő fontosságú, hogy a vállalat lehetővé teszi-e az elektronikus kereskedelem megvalósítását a szerződés felbontásakor.</w:t>
      </w:r>
    </w:p>
    <w:p w14:paraId="327BEF9A" w14:textId="482C4A2C" w:rsidR="006257ED" w:rsidRDefault="006257ED" w:rsidP="006F0DAE">
      <w:pPr>
        <w:pStyle w:val="Text"/>
        <w:rPr>
          <w:sz w:val="22"/>
        </w:rPr>
      </w:pPr>
      <w:r>
        <w:rPr>
          <w:sz w:val="22"/>
        </w:rPr>
        <w:t xml:space="preserve">A társaság kötelezettsége független attól, hogy a fogyasztó milyen mértékben jogosult a felmondási jogra egyedi esetekben.</w:t>
      </w:r>
      <w:r>
        <w:rPr>
          <w:sz w:val="22"/>
        </w:rPr>
        <w:t xml:space="preserve"> </w:t>
      </w:r>
      <w:r>
        <w:rPr>
          <w:sz w:val="22"/>
        </w:rPr>
        <w:t xml:space="preserve">A gomb csak arra szolgál, hogy lehetőséget teremtsen a fogyasztó általi felmondás bejelentésére.</w:t>
      </w:r>
      <w:r>
        <w:rPr>
          <w:sz w:val="22"/>
        </w:rPr>
        <w:t xml:space="preserve"> </w:t>
      </w:r>
      <w:r>
        <w:rPr>
          <w:sz w:val="22"/>
        </w:rPr>
        <w:t xml:space="preserve">A fogyasztó felmondásának fizikai engedélyezése nem követelmény a gomb a polgári törvénykönyv 312k §-a szerinti használatára a tervezetben.</w:t>
      </w:r>
    </w:p>
    <w:p w14:paraId="1955AD28" w14:textId="3F43B095" w:rsidR="006F0DAE" w:rsidRDefault="006F0DAE" w:rsidP="006F0DAE">
      <w:pPr>
        <w:pStyle w:val="Text"/>
        <w:rPr>
          <w:sz w:val="22"/>
        </w:rPr>
      </w:pPr>
      <w:r>
        <w:rPr>
          <w:sz w:val="22"/>
        </w:rPr>
        <w:t xml:space="preserve">A német polgári törvénykönyv (BGB) 312k. § 2. bekezdésének 2. mondata szerint a társaságnak először egy „szerződés megszüntetése itt” felirattal ellátott gombot szükséges biztosítania a fogyasztó számára, amely egy „megerősítés oldal” nevű másik oldalra irányít.</w:t>
      </w:r>
      <w:r>
        <w:rPr>
          <w:sz w:val="22"/>
        </w:rPr>
        <w:t xml:space="preserve"> </w:t>
      </w:r>
      <w:r>
        <w:rPr>
          <w:sz w:val="22"/>
        </w:rPr>
        <w:t xml:space="preserve">A „felmondási szerződésektől” eltérő jelölések csak akkor megengedettek, ha azok egyértelműek.</w:t>
      </w:r>
      <w:r>
        <w:rPr>
          <w:sz w:val="22"/>
        </w:rPr>
        <w:t xml:space="preserve"> </w:t>
      </w:r>
      <w:r>
        <w:rPr>
          <w:sz w:val="22"/>
        </w:rPr>
        <w:t xml:space="preserve">Meg kell jegyezni, hogy szükség esetén más módon is egyértelművé kell tenni, hogy a megszüntetés gomb még nincsen közzétéve, hanem csak a felmondási folyamat indul meg.</w:t>
      </w:r>
      <w:r>
        <w:rPr>
          <w:sz w:val="22"/>
        </w:rPr>
        <w:t xml:space="preserve"> </w:t>
      </w:r>
      <w:r>
        <w:rPr>
          <w:sz w:val="22"/>
        </w:rPr>
        <w:t xml:space="preserve">Mindenesetre a szövegezésnek az a célja, hogy egyértelművé tegye a fogyasztó számára, hogy a gomb megnyomásakor további információt adhat meg a felmondási nyilatkozat benyújtása előtt.</w:t>
      </w:r>
    </w:p>
    <w:p w14:paraId="33C9D851" w14:textId="2B1CF4CC" w:rsidR="00035D26" w:rsidRDefault="00AF7B14" w:rsidP="006F0DAE">
      <w:pPr>
        <w:pStyle w:val="Text"/>
        <w:rPr>
          <w:sz w:val="22"/>
        </w:rPr>
      </w:pPr>
      <w:r>
        <w:rPr>
          <w:sz w:val="22"/>
        </w:rPr>
        <w:t xml:space="preserve">Annak érdekében, hogy a szerződést a felmondásról szóló értesítés révén megszüntethessék, úgy szükséges megtervezni, hogy a címzett lássa, ki jelenti be a felmondást, és mely szerződést kell felmondani.</w:t>
      </w:r>
      <w:r>
        <w:rPr>
          <w:sz w:val="22"/>
        </w:rPr>
        <w:t xml:space="preserve"> </w:t>
      </w:r>
      <w:r>
        <w:rPr>
          <w:sz w:val="22"/>
        </w:rPr>
        <w:t xml:space="preserve">A megerősítő oldalnak ezért fel kell kérnie a fogyasztót, hogy a 312k. § (2) bekezdése 3. mondata 1. pontjának a)–e) alpontjával összhangban írja be a tervezetbe a szükséges információkat, valamint ezt lehetővé kell tennie.</w:t>
      </w:r>
      <w:r>
        <w:rPr>
          <w:sz w:val="22"/>
        </w:rPr>
        <w:t xml:space="preserve"> </w:t>
      </w:r>
      <w:r>
        <w:rPr>
          <w:sz w:val="22"/>
        </w:rPr>
        <w:t xml:space="preserve">E célból a fogyasztónak először is képesnek kell lennie arra, hogy megjelölje a felmondás jellegét, és rendkívüli felmondás esetén a felmondás alapjául szolgáló okot (a) pont).</w:t>
      </w:r>
      <w:r>
        <w:rPr>
          <w:sz w:val="22"/>
        </w:rPr>
        <w:t xml:space="preserve"> </w:t>
      </w:r>
      <w:r>
        <w:rPr>
          <w:sz w:val="22"/>
        </w:rPr>
        <w:t xml:space="preserve">Ezen kívül a fogyasztónak meg kell tudnia adni az azonosításához (b) és a szerződés egyértelmű leírásához (c) szükséges információkat.</w:t>
      </w:r>
      <w:r>
        <w:rPr>
          <w:sz w:val="22"/>
        </w:rPr>
        <w:t xml:space="preserve"> </w:t>
      </w:r>
      <w:r>
        <w:rPr>
          <w:sz w:val="22"/>
        </w:rPr>
        <w:t xml:space="preserve">Jellemzően a név és a cím szükséges lehet az azonosításhoz.</w:t>
      </w:r>
      <w:r>
        <w:rPr>
          <w:sz w:val="22"/>
        </w:rPr>
        <w:t xml:space="preserve"> </w:t>
      </w:r>
      <w:r>
        <w:rPr>
          <w:sz w:val="22"/>
        </w:rPr>
        <w:t xml:space="preserve">A szerződés kijelöléséhez a vállalat lekérdezheti az ügyfél, a megrendelés vagy a szerződés számát.</w:t>
      </w:r>
      <w:r>
        <w:rPr>
          <w:sz w:val="22"/>
        </w:rPr>
        <w:t xml:space="preserve"> </w:t>
      </w:r>
      <w:r>
        <w:rPr>
          <w:sz w:val="22"/>
        </w:rPr>
        <w:t xml:space="preserve">A d) pontnak megfelelően a fogyasztó számára biztosítani kell, hogy megadhassa a felmondás hatálybalépésének időpontját.</w:t>
      </w:r>
      <w:r>
        <w:rPr>
          <w:sz w:val="22"/>
        </w:rPr>
        <w:t xml:space="preserve"> </w:t>
      </w:r>
      <w:r>
        <w:rPr>
          <w:sz w:val="22"/>
        </w:rPr>
        <w:t xml:space="preserve">Ez azonban nem számolható fel olyan kötelezettségként, amely nélkül a felmondás nem igazolható a honlapon keresztül.</w:t>
      </w:r>
      <w:r>
        <w:rPr>
          <w:sz w:val="22"/>
        </w:rPr>
        <w:t xml:space="preserve"> </w:t>
      </w:r>
      <w:r>
        <w:rPr>
          <w:sz w:val="22"/>
        </w:rPr>
        <w:t xml:space="preserve">Ez már a német polgári törvénykönyv (BGB) tervezetének 312k. §-a (5) bekezdéséből következik, amely szerint a felmondásról szóló értesítés a lehető legkorábbi időpontban hatályba lép amennyiben a felmondási dátum nem meghatározott.</w:t>
      </w:r>
      <w:r>
        <w:rPr>
          <w:sz w:val="22"/>
        </w:rPr>
        <w:t xml:space="preserve"> </w:t>
      </w:r>
      <w:r>
        <w:rPr>
          <w:sz w:val="22"/>
        </w:rPr>
        <w:t xml:space="preserve">E tekintetben lehetővé kell tenni a „lehető leghamarabb” megjelölést – vagy hasonló megfogalmazást, amely a felmondási igényt a lehető legkorábbi időpontban határozza meg – a meghatározott időpont bevitelének lehetőségével együtt.</w:t>
      </w:r>
      <w:r>
        <w:rPr>
          <w:sz w:val="22"/>
        </w:rPr>
        <w:t xml:space="preserve"> </w:t>
      </w:r>
      <w:r>
        <w:rPr>
          <w:sz w:val="22"/>
        </w:rPr>
        <w:t xml:space="preserve">Ezen túlmenően az e) pont szerint a fogyasztónak képesnek kell lennie arra, hogy a társaságot olyan információkkal lássa el, amelyek lehetővé teszik, hogy a társaság a felmondás visszaigazolását a német polgári törvénykönyv 312k. § (4) bekezdésének 1. mondata szerint a fogyasztónak (általában az e-mail címére) megküldje.</w:t>
      </w:r>
    </w:p>
    <w:p w14:paraId="6FC5D772" w14:textId="10CA55D4" w:rsidR="00AF7B14" w:rsidRDefault="00BF30DD" w:rsidP="006F0DAE">
      <w:pPr>
        <w:pStyle w:val="Text"/>
        <w:rPr>
          <w:sz w:val="22"/>
        </w:rPr>
      </w:pPr>
      <w:r>
        <w:rPr>
          <w:sz w:val="22"/>
        </w:rPr>
        <w:t xml:space="preserve">A német polgári törvénykönyv (BGB) tervezete 312k.§ (2) bekezdése 3. mondatának 1. pontja ezért biztosítja, hogy a fogyasztó a felmondási nyilatkozat megfelelő meghatározásához szükséges információkat, különös tekintettel a felmondandó szerződésre, megadhassa.</w:t>
      </w:r>
      <w:r>
        <w:rPr>
          <w:sz w:val="22"/>
        </w:rPr>
        <w:t xml:space="preserve"> </w:t>
      </w:r>
      <w:r>
        <w:rPr>
          <w:sz w:val="22"/>
        </w:rPr>
        <w:t xml:space="preserve">A kért információk korlátozásának célja a visszaigazoló oldal tervezésének megakadályozása, amelyben a társaság olyan további adatokat kérhet, amelyek nem állnak a fogyasztó azonnali rendelkezésére, nem szükségesek az egyértelmű megbízáshoz, és amelyek megnehezítik a szerződés egyszerű és zökkenőmentes megszüntetését.</w:t>
      </w:r>
      <w:r>
        <w:rPr>
          <w:sz w:val="22"/>
        </w:rPr>
        <w:t xml:space="preserve"> </w:t>
      </w:r>
      <w:r>
        <w:rPr>
          <w:sz w:val="22"/>
        </w:rPr>
        <w:t xml:space="preserve">Ugyanakkor a kitöltendő adatoknak meg kell felelniük annak az adatgazdasági elvnek, amelyet az Európai Parlament és a Tanács 2016. április 27-i, a természetes személyeknek a személyes adatok kezelése tekintetében történő védelméről és az ilyen adatok szabad áramlásáról, valamint a 95/46/EK rendelet hatályon kívül helyezéséről szóló (EU) 2016/679 rendelete 5. cikke (1) bekezdésének c) pontja részletez.</w:t>
      </w:r>
    </w:p>
    <w:p w14:paraId="52C9326B" w14:textId="5C0D9C17" w:rsidR="009F726F" w:rsidRPr="006F0DAE" w:rsidRDefault="00060631" w:rsidP="009F726F">
      <w:pPr>
        <w:pStyle w:val="Text"/>
        <w:rPr>
          <w:sz w:val="22"/>
        </w:rPr>
      </w:pPr>
      <w:r>
        <w:rPr>
          <w:sz w:val="22"/>
        </w:rPr>
        <w:t xml:space="preserve">A 312k.§ (2) bekezdése 3. mondatának 2. pontja szerint egy „megerősítés gomb”-ot szükséges elhelyezni a visszaigazolási oldalon, amellyel a fogyasztó benyújthatja a felmondási nyilatkozatot.</w:t>
      </w:r>
      <w:r>
        <w:rPr>
          <w:sz w:val="22"/>
        </w:rPr>
        <w:t xml:space="preserve"> </w:t>
      </w:r>
      <w:r>
        <w:rPr>
          <w:sz w:val="22"/>
        </w:rPr>
        <w:t xml:space="preserve">Ezt a megerősítés gombot a „törlés most” felirattal kell ellátni.</w:t>
      </w:r>
      <w:r>
        <w:rPr>
          <w:sz w:val="22"/>
        </w:rPr>
        <w:t xml:space="preserve"> </w:t>
      </w:r>
      <w:r>
        <w:rPr>
          <w:sz w:val="22"/>
        </w:rPr>
        <w:t xml:space="preserve">Más jelölések csak akkor megengedettek, ha hasonlóképpen egyértelműek.</w:t>
      </w:r>
    </w:p>
    <w:p w14:paraId="2785EC0B" w14:textId="576F478D" w:rsidR="00285780" w:rsidRDefault="006F0DAE" w:rsidP="00285780">
      <w:pPr>
        <w:pStyle w:val="Text"/>
        <w:rPr>
          <w:sz w:val="22"/>
        </w:rPr>
      </w:pPr>
      <w:r>
        <w:rPr>
          <w:sz w:val="22"/>
        </w:rPr>
        <w:t xml:space="preserve">A két gombnak és a visszaigazoló oldalnak „állandóan elérhetőnek és közvetlenül és könnyen hozzáférhetőnek” kell lennie a német polgári törvénykönyv tervezetének 312k.§ (2) bekezdése 4. mondatának megfelelően.</w:t>
      </w:r>
      <w:r>
        <w:rPr>
          <w:sz w:val="22"/>
        </w:rPr>
        <w:t xml:space="preserve"> </w:t>
      </w:r>
      <w:r>
        <w:rPr>
          <w:sz w:val="22"/>
        </w:rPr>
        <w:t xml:space="preserve">Ami az „állandóan rendelkezésre álló” követelményt illeti, ez a rendelet a távközlési törvény 5. § (1) bekezdésében foglalt vonatkozó követelményen alapul.</w:t>
      </w:r>
      <w:r>
        <w:rPr>
          <w:sz w:val="22"/>
        </w:rPr>
        <w:t xml:space="preserve"> </w:t>
      </w:r>
      <w:r>
        <w:rPr>
          <w:sz w:val="22"/>
        </w:rPr>
        <w:t xml:space="preserve">Ezért a fogyasztók számára lehetővé kell tenni, hogy bármikor hozzáférjenek a két gombhoz és a visszaigazoló oldalhoz, anélkül hogy e célból először regisztrálniuk kellene a honlapon.</w:t>
      </w:r>
      <w:r>
        <w:rPr>
          <w:sz w:val="22"/>
        </w:rPr>
        <w:t xml:space="preserve"> </w:t>
      </w:r>
      <w:r>
        <w:rPr>
          <w:sz w:val="22"/>
        </w:rPr>
        <w:t xml:space="preserve">Másrészt a karbantartási munka miatti ideiglenes műszaki elérhetetlenség ártalmatlan (lásd a düsseldorfi regionális felsőbb szinten eljáró bíróság 2008. november 4-i ítéletét, ügyiratszám:</w:t>
      </w:r>
      <w:r>
        <w:rPr>
          <w:sz w:val="22"/>
        </w:rPr>
        <w:t xml:space="preserve"> </w:t>
      </w:r>
      <w:r>
        <w:rPr>
          <w:sz w:val="22"/>
        </w:rPr>
        <w:t xml:space="preserve">I-20 U 125/08).</w:t>
      </w:r>
      <w:r>
        <w:rPr>
          <w:sz w:val="22"/>
        </w:rPr>
        <w:t xml:space="preserve"> </w:t>
      </w:r>
      <w:r>
        <w:rPr>
          <w:sz w:val="22"/>
        </w:rPr>
        <w:t xml:space="preserve">A „közvetlenül és könnyen hozzáférhető” követelmény a korszerűsítésre vonatkozó irányelv végrehajtásáról szóló törvénytervezettel módosított Polgári Törvénykönyv (EGBGB) 246d. cikkének (2) bekezdése 2. pontján alapul; a vonatkozó magyarázatokra történő utalással (Szövetségi Tanács nyomt. 61/21, 37. o. f. pont).</w:t>
      </w:r>
    </w:p>
    <w:p w14:paraId="584AC89F" w14:textId="77777777" w:rsidR="00306B62" w:rsidRDefault="00306B62" w:rsidP="006F0DAE">
      <w:pPr>
        <w:pStyle w:val="Text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A 312k. §-ra vonatkozó BGB-E. (3) bekezdés:</w:t>
      </w:r>
    </w:p>
    <w:p w14:paraId="0F548D72" w14:textId="7AAA2D18" w:rsidR="00D528F9" w:rsidRPr="006F0DAE" w:rsidRDefault="00D528F9" w:rsidP="006F0DAE">
      <w:pPr>
        <w:pStyle w:val="Text"/>
        <w:rPr>
          <w:sz w:val="22"/>
        </w:rPr>
      </w:pPr>
      <w:r>
        <w:rPr>
          <w:sz w:val="22"/>
        </w:rPr>
        <w:t xml:space="preserve">A szövegtervezetben a német polgári törvénykönyv (BGB) 312k. §-ának (3) bekezdése biztosítja, hogy a fogyasztó a felmondásról szóló értesítés benyújtását dokumentálhassa.</w:t>
      </w:r>
      <w:r>
        <w:rPr>
          <w:sz w:val="22"/>
        </w:rPr>
        <w:t xml:space="preserve"> </w:t>
      </w:r>
      <w:r>
        <w:rPr>
          <w:sz w:val="22"/>
        </w:rPr>
        <w:t xml:space="preserve">Ez végrehajtható például a felmondási nyilatkozat tartalmának letölthető összefoglalójával, amelyet a megszüntetésre vonatkozó gomb segítségével nyújtottak be, és amely tartalmazza a gomb megnyomásának dátumát és időpontját.</w:t>
      </w:r>
      <w:r>
        <w:rPr>
          <w:sz w:val="22"/>
        </w:rPr>
        <w:t xml:space="preserve"> </w:t>
      </w:r>
      <w:r>
        <w:rPr>
          <w:sz w:val="22"/>
        </w:rPr>
        <w:t xml:space="preserve">Ez a dokumentáció biztosítja a fogyasztó nyilatkozatának megőrzését a polgári törvénykönyv 126b§-a 2. mondatának 1. pontja szerint.</w:t>
      </w:r>
    </w:p>
    <w:p w14:paraId="5BEA629B" w14:textId="77777777" w:rsidR="00306B62" w:rsidRPr="00C50448" w:rsidRDefault="00306B62" w:rsidP="00306B62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A 312k. §-ra vonatkozó BGB-E. (4) bekezdés:</w:t>
      </w:r>
    </w:p>
    <w:p w14:paraId="0BB31C68" w14:textId="009FC109" w:rsidR="00956726" w:rsidRDefault="00956726" w:rsidP="00DA2D64">
      <w:pPr>
        <w:pStyle w:val="Text"/>
        <w:spacing w:before="120" w:after="120"/>
        <w:rPr>
          <w:sz w:val="22"/>
        </w:rPr>
      </w:pPr>
      <w:r>
        <w:rPr>
          <w:sz w:val="22"/>
        </w:rPr>
        <w:t xml:space="preserve">A társaság a polgári törvénykönyv tervezete 312k.§ 4. bekezdése 1. mondata szerinti kötelezettsége hozzáférést biztosít a felmondási nyilatkozathoz a társaság által.</w:t>
      </w:r>
      <w:r>
        <w:rPr>
          <w:sz w:val="22"/>
        </w:rPr>
        <w:t xml:space="preserve"> </w:t>
      </w:r>
      <w:r>
        <w:rPr>
          <w:sz w:val="22"/>
        </w:rPr>
        <w:t xml:space="preserve">Az elektronikus kereskedelemben a szöveg formájában történő azonnali megerősítés automatizált.</w:t>
      </w:r>
    </w:p>
    <w:p w14:paraId="71556E49" w14:textId="6DB1B010" w:rsidR="00623468" w:rsidRPr="006F0DAE" w:rsidRDefault="00D00DD2" w:rsidP="006F0DAE">
      <w:pPr>
        <w:pStyle w:val="Text"/>
        <w:rPr>
          <w:sz w:val="22"/>
        </w:rPr>
      </w:pPr>
      <w:r>
        <w:rPr>
          <w:sz w:val="22"/>
        </w:rPr>
        <w:t xml:space="preserve">A német polgári törvénykönyv (BGB) tervezete 312k. § (4) bekezdése 2. mondatában foglalt ellentmondásos vélelem célja, hogy biztosítsa a felmondásról szóló értesítéshez való hozzáférés bizonyítékait a felhasználónak, akinek nincs rálátása a továbbításhoz használt technikai folyamatokba.</w:t>
      </w:r>
    </w:p>
    <w:p w14:paraId="1B056C12" w14:textId="77777777" w:rsidR="00306B62" w:rsidRPr="00C50448" w:rsidRDefault="00306B62" w:rsidP="00306B62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A 312k. §-ra vonatkozó BGB-E. (5) bekezdés:</w:t>
      </w:r>
    </w:p>
    <w:p w14:paraId="2028DFF1" w14:textId="02BEE66D" w:rsidR="009B3F4B" w:rsidRDefault="00D528F9" w:rsidP="006F0DAE">
      <w:pPr>
        <w:pStyle w:val="Text"/>
        <w:rPr>
          <w:sz w:val="22"/>
        </w:rPr>
      </w:pPr>
      <w:r>
        <w:rPr>
          <w:sz w:val="22"/>
        </w:rPr>
        <w:t xml:space="preserve">A német polgári törvénykönyv (BGB) 312k. §-a (5) bekezdésének tervezete azt hivatott biztosítani, hogy a felmondás a fogyasztótól származó egyéb információ hiányában a lehető leghamarabb hatályos legyen.</w:t>
      </w:r>
      <w:r>
        <w:rPr>
          <w:sz w:val="22"/>
        </w:rPr>
        <w:t xml:space="preserve"> </w:t>
      </w:r>
      <w:r>
        <w:rPr>
          <w:sz w:val="22"/>
        </w:rPr>
        <w:t xml:space="preserve">A fogyasztók és a vállalatok azonban gondoskodhatnak arról, hogy egyértelmű legyen az ehhez kapcsolódó nyilatkozatok vagy a felmondás időpontjának lekérdezése.</w:t>
      </w:r>
    </w:p>
    <w:p w14:paraId="326A689B" w14:textId="6FD0D69C" w:rsidR="00306B62" w:rsidRDefault="00306B62" w:rsidP="00DA2D64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A 312k. §-ra vonatkozó BGB-E. (6) bekezdés:</w:t>
      </w:r>
    </w:p>
    <w:p w14:paraId="231F3872" w14:textId="6E37B134" w:rsidR="00481CA0" w:rsidRDefault="000C76EB" w:rsidP="006F0DAE">
      <w:pPr>
        <w:pStyle w:val="Text"/>
        <w:rPr>
          <w:sz w:val="22"/>
        </w:rPr>
      </w:pPr>
      <w:r>
        <w:rPr>
          <w:sz w:val="22"/>
        </w:rPr>
        <w:t xml:space="preserve">A szövegtervezet 312k. § (6) bekezdése szankciós előírást tartalmaz az ügyben.</w:t>
      </w:r>
      <w:r>
        <w:rPr>
          <w:sz w:val="22"/>
        </w:rPr>
        <w:t xml:space="preserve"> </w:t>
      </w:r>
      <w:r>
        <w:rPr>
          <w:sz w:val="22"/>
        </w:rPr>
        <w:t xml:space="preserve">Ha a gombokat és a visszaigazoló oldalt az (1) és (2) bekezdésnek megfelelően nem teszik elérhetővé, a fogyasztó felmondhatja azt a szerződést, amelynek felmondására ezeket a gombokat bármikor, a felmondási idő betartása nélkül hozzáférhetővé szükséges tenni.</w:t>
      </w:r>
      <w:r>
        <w:rPr>
          <w:sz w:val="22"/>
        </w:rPr>
        <w:t xml:space="preserve"> </w:t>
      </w:r>
      <w:r>
        <w:rPr>
          <w:sz w:val="22"/>
        </w:rPr>
        <w:t xml:space="preserve">Azok a társaságok, amelyek a polgári törvénykönyv tervezete 312k. § (1) és (2) bekezdésében foglalt óvintézkedéseket nem teszik meg, a velük szemben fennálló szerződéses jogviszony megszüntetését vonják maguk után fogyasztó által.</w:t>
      </w:r>
      <w:r>
        <w:rPr>
          <w:sz w:val="22"/>
        </w:rPr>
        <w:t xml:space="preserve"> </w:t>
      </w:r>
      <w:r>
        <w:rPr>
          <w:sz w:val="22"/>
        </w:rPr>
        <w:t xml:space="preserve">A szankció enyhébb formája nem bizonyul ugyanolyan hatékonynak.</w:t>
      </w:r>
      <w:r>
        <w:rPr>
          <w:sz w:val="22"/>
        </w:rPr>
        <w:t xml:space="preserve"> </w:t>
      </w:r>
      <w:r>
        <w:rPr>
          <w:sz w:val="22"/>
        </w:rPr>
        <w:t xml:space="preserve">Ha a polgári törvénykönyv 312j.§ (3) bekezdése esetén a társaság a szerződés megkötésének megerősítésére a leírt gombot megadja, mivel ellenkező esetben a polgári törvénykönyv 312j. § (4) bekezdése alapján a fogyasztóval kötött szerződés nem lép hatályba, akkor a szerződés felmondásának fordított helyzetében a gomb megadása hiányozhat.</w:t>
      </w:r>
      <w:r>
        <w:rPr>
          <w:sz w:val="22"/>
        </w:rPr>
        <w:t xml:space="preserve"> </w:t>
      </w:r>
      <w:r>
        <w:rPr>
          <w:sz w:val="22"/>
        </w:rPr>
        <w:t xml:space="preserve">Ezért a társaságot, amely megfosztja a fogyasztót a törvény által meghatározott egyszerű és zökkenőmentes szerződésmegszüntetési lehetőségtől, azzal kell szankcionálni, hogy a fogyasztó bármikor felmondhatja a szerződést, anélkül hogy betartaná a felmondási határidőt.</w:t>
      </w:r>
      <w:r>
        <w:rPr>
          <w:sz w:val="22"/>
        </w:rPr>
        <w:t xml:space="preserve"> </w:t>
      </w:r>
      <w:r>
        <w:rPr>
          <w:sz w:val="22"/>
        </w:rPr>
        <w:t xml:space="preserve">A karbantartási munkák miatti rövid távú műszaki megszakítások ártalmatlanok, tekintettel a polgári törvénykönyv tervezete 312k.§ (2) bekezdése 4. mondatának magyarázatára.</w:t>
      </w:r>
    </w:p>
    <w:p w14:paraId="544C65C8" w14:textId="7048DB19" w:rsidR="00481CA0" w:rsidRDefault="00021C4F" w:rsidP="006F0DAE">
      <w:pPr>
        <w:pStyle w:val="Text"/>
        <w:rPr>
          <w:sz w:val="22"/>
        </w:rPr>
      </w:pPr>
      <w:r>
        <w:rPr>
          <w:sz w:val="22"/>
        </w:rPr>
        <w:t xml:space="preserve">A német polgári törvénykönyv (BGB) tervezete 312k.§ (6) bekezdése 1. mondatában meghatározott előfeltételek meglétéről a fogyasztó köteles tájékoztatást és bizonyítékot szolgáltatni.</w:t>
      </w:r>
    </w:p>
    <w:p w14:paraId="0861A407" w14:textId="595606B6" w:rsidR="00285780" w:rsidRPr="006F0DAE" w:rsidRDefault="001C5507" w:rsidP="006F0DAE">
      <w:pPr>
        <w:pStyle w:val="Text"/>
        <w:rPr>
          <w:sz w:val="22"/>
        </w:rPr>
      </w:pPr>
      <w:r>
        <w:rPr>
          <w:sz w:val="22"/>
        </w:rPr>
        <w:t xml:space="preserve">A német polgári törvénykönyv (BGB) 312k. § (6) bekezdése 2. mondata egyértelművé teszi, hogy a fogyasztónak a szerződés felmondására vonatkozó lehetősége változatlanul fennáll.</w:t>
      </w:r>
    </w:p>
    <w:p w14:paraId="24DE66E7" w14:textId="63FE02DC" w:rsidR="009B3F4B" w:rsidRPr="00416421" w:rsidRDefault="00910B03" w:rsidP="00FC63C3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Az 1. cikk 6. pontjára vonatkozóan</w:t>
      </w:r>
    </w:p>
    <w:p w14:paraId="031E74E7" w14:textId="1D6D2F7A" w:rsidR="00D528F9" w:rsidRDefault="00910B03" w:rsidP="00910B03">
      <w:pPr>
        <w:pStyle w:val="Text"/>
        <w:rPr>
          <w:sz w:val="22"/>
        </w:rPr>
      </w:pPr>
      <w:r>
        <w:rPr>
          <w:sz w:val="22"/>
        </w:rPr>
        <w:t xml:space="preserve">A német polgári törvénykönyv (BGB) 312k.§-ának utólagos módosításként történő beillesztésével, a polgári törvénykönyv 312k. §-tól a 312l. §-ig, az 1. cikk (4) bekezdése ajánlásának indokolásában leírtak szerint, ez várhatóan a rendelettervezet hatálybalépésének időpontjában kerül beillesztésre.</w:t>
      </w:r>
      <w:r>
        <w:rPr>
          <w:sz w:val="22"/>
        </w:rPr>
        <w:t xml:space="preserve"> </w:t>
      </w:r>
      <w:r>
        <w:rPr>
          <w:sz w:val="22"/>
        </w:rPr>
        <w:t xml:space="preserve">A polgári törvénykönyv 312l. §-a, amelyet várhatóan a korszerűsítésre vonatkozó irányelv végrehajtásáról szóló törvénytervezetbe is be kell illeszteni, a német polgári törvénykönyv 312m. §-vá válik.</w:t>
      </w:r>
    </w:p>
    <w:p w14:paraId="217F3C46" w14:textId="1EA645AE" w:rsidR="009F2923" w:rsidRDefault="009F2923" w:rsidP="00DA2D64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A b) pontra vonatkozóan</w:t>
      </w:r>
    </w:p>
    <w:p w14:paraId="6BCBE8EB" w14:textId="55DABD77" w:rsidR="000F009A" w:rsidRPr="000F009A" w:rsidRDefault="000F009A" w:rsidP="00DA2D64">
      <w:pPr>
        <w:pStyle w:val="Text"/>
        <w:spacing w:before="120" w:after="120"/>
        <w:rPr>
          <w:sz w:val="22"/>
        </w:rPr>
      </w:pPr>
      <w:r>
        <w:rPr>
          <w:sz w:val="22"/>
        </w:rPr>
        <w:t xml:space="preserve">A b) pont egy későbbi módosítást tartalmaz a törvénytervezetben szereplő cikkek számozására vonatkozóan.</w:t>
      </w:r>
    </w:p>
    <w:p w14:paraId="6273D65D" w14:textId="0B9BE9D8" w:rsidR="00B56435" w:rsidRDefault="00B56435" w:rsidP="00DA2D64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A 3. pontra vonatkozóan</w:t>
      </w:r>
    </w:p>
    <w:p w14:paraId="4A814002" w14:textId="6AF38C59" w:rsidR="00A7355E" w:rsidRDefault="000F009A" w:rsidP="000F009A">
      <w:pPr>
        <w:pStyle w:val="Text"/>
        <w:rPr>
          <w:sz w:val="22"/>
        </w:rPr>
      </w:pPr>
      <w:r>
        <w:rPr>
          <w:sz w:val="22"/>
        </w:rPr>
        <w:t xml:space="preserve">A 3. pont a törvénytervezet 2. cikkének átdolgozásával vezeti be az ESZSZ későbbi módosítását.</w:t>
      </w:r>
    </w:p>
    <w:p w14:paraId="51AC3A1B" w14:textId="150ECB80" w:rsidR="009F2923" w:rsidRDefault="00A7355E" w:rsidP="002E70FE">
      <w:pPr>
        <w:pStyle w:val="Text"/>
        <w:rPr>
          <w:b/>
          <w:sz w:val="22"/>
          <w:rFonts w:ascii="Arial" w:hAnsi="Arial" w:cs="Arial"/>
        </w:rPr>
      </w:pPr>
      <w:r>
        <w:rPr>
          <w:sz w:val="22"/>
        </w:rPr>
        <w:t xml:space="preserve">A korszerűsítésre vonatkozó irányelvet végrehajtó törvénytervezet várhatóan egy új, 246e. cikket vezet be az EGBGB-be, amely a szövegtervezet 2. bekezdésének 10. pontjában a BGB 312k. §-ára hivatkozik, amint azt az 1. pont a) alpontjára vonatkozó indokolás is részletezi (1. cikk, 4. pont).</w:t>
      </w:r>
      <w:r>
        <w:rPr>
          <w:sz w:val="22"/>
        </w:rPr>
        <w:t xml:space="preserve"> </w:t>
      </w:r>
      <w:r>
        <w:rPr>
          <w:sz w:val="22"/>
        </w:rPr>
        <w:t xml:space="preserve">Ezt a hivatkozást ki kell igazítani.</w:t>
      </w:r>
    </w:p>
    <w:p w14:paraId="03B474E7" w14:textId="4ACD06E1" w:rsidR="009F2923" w:rsidRPr="00DA2D64" w:rsidRDefault="009F2923" w:rsidP="00DA2D64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A 4. pontra vonatkozóan</w:t>
      </w:r>
    </w:p>
    <w:p w14:paraId="5DE9D023" w14:textId="63527F64" w:rsidR="00EE546D" w:rsidRPr="00EE546D" w:rsidRDefault="00EE546D" w:rsidP="00EE546D">
      <w:pPr>
        <w:pStyle w:val="Text"/>
        <w:rPr>
          <w:sz w:val="22"/>
        </w:rPr>
      </w:pPr>
      <w:r>
        <w:rPr>
          <w:sz w:val="22"/>
        </w:rPr>
        <w:t xml:space="preserve">A polgári törvénykönyv 312k. §-a szerinti kötelezettség teljesítésére vonatkozó követelményeknek a tervezetben való végrehajtása bizonyos esetekben jelentős szervezési és időbeli erőfeszítést jelent a társaságok számára.</w:t>
      </w:r>
      <w:r>
        <w:rPr>
          <w:sz w:val="22"/>
        </w:rPr>
        <w:t xml:space="preserve"> </w:t>
      </w:r>
      <w:r>
        <w:rPr>
          <w:sz w:val="22"/>
        </w:rPr>
        <w:t xml:space="preserve">Ennek tükrében a társaságok erre nem kötelezhetők 2022. július 1-ig.</w:t>
      </w:r>
    </w:p>
    <w:sectPr w:rsidR="00EE546D" w:rsidRPr="00EE546D" w:rsidSect="00012A1D">
      <w:type w:val="continuous"/>
      <w:pgSz w:w="11907" w:h="16839"/>
      <w:pgMar w:top="1134" w:right="3883" w:bottom="1417" w:left="12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B72C0" w14:textId="77777777" w:rsidR="00FA5BE1" w:rsidRDefault="00FA5BE1" w:rsidP="00FF4465">
      <w:pPr>
        <w:spacing w:before="0" w:after="0"/>
      </w:pPr>
      <w:r>
        <w:separator/>
      </w:r>
    </w:p>
  </w:endnote>
  <w:endnote w:type="continuationSeparator" w:id="0">
    <w:p w14:paraId="2B8FD7A9" w14:textId="77777777" w:rsidR="00FA5BE1" w:rsidRDefault="00FA5BE1" w:rsidP="00FF446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401F6" w14:textId="77777777" w:rsidR="00FA5BE1" w:rsidRDefault="00FA5BE1" w:rsidP="00FF4465">
      <w:pPr>
        <w:spacing w:before="0" w:after="0"/>
      </w:pPr>
      <w:r>
        <w:separator/>
      </w:r>
    </w:p>
  </w:footnote>
  <w:footnote w:type="continuationSeparator" w:id="0">
    <w:p w14:paraId="73BC5E22" w14:textId="77777777" w:rsidR="00FA5BE1" w:rsidRDefault="00FA5BE1" w:rsidP="00FF446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CF337" w14:textId="460795E0" w:rsidR="00FA5BE1" w:rsidRPr="00012A1D" w:rsidRDefault="00012A1D" w:rsidP="00012A1D">
    <w:pPr>
      <w:pStyle w:val="Kopfzeile"/>
      <w:framePr w:vSpace="283" w:wrap="notBeside"/>
    </w:pPr>
    <w:r>
      <w:tab/>
    </w:r>
    <w:r>
      <w:t xml:space="preserve">– </w:t>
    </w:r>
    <w:r>
      <w:fldChar w:fldCharType="begin"/>
    </w:r>
    <w:r>
      <w:instrText xml:space="preserve"> PAGE  \* MERGEFORMAT </w:instrText>
    </w:r>
    <w:r>
      <w:fldChar w:fldCharType="separate"/>
    </w:r>
    <w:r>
      <w:t>10</w:t>
    </w:r>
    <w:r>
      <w:fldChar w:fldCharType="end"/>
    </w:r>
    <w:r>
      <w:t xml:space="preserve"> –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DC72C" w14:textId="4C5DDFEE" w:rsidR="00FA5BE1" w:rsidRPr="00012A1D" w:rsidRDefault="00012A1D" w:rsidP="00012A1D">
    <w:pPr>
      <w:pStyle w:val="Kopfzeile"/>
      <w:framePr w:vSpace="283" w:wrap="notBeside"/>
    </w:pPr>
    <w:r>
      <w:tab/>
    </w:r>
    <w:r>
      <w:t xml:space="preserve">– </w:t>
    </w:r>
    <w:r>
      <w:fldChar w:fldCharType="begin"/>
    </w:r>
    <w:r>
      <w:instrText xml:space="preserve"> PAGE  \* MERGEFORMAT </w:instrText>
    </w:r>
    <w:r>
      <w:fldChar w:fldCharType="separate"/>
    </w:r>
    <w:r>
      <w:t>9</w:t>
    </w:r>
    <w:r>
      <w:fldChar w:fldCharType="end"/>
    </w:r>
    <w:r>
      <w:t xml:space="preserve"> –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589B"/>
    <w:multiLevelType w:val="singleLevel"/>
    <w:tmpl w:val="241214B0"/>
    <w:name w:val="Tabelle Aufzählung"/>
    <w:lvl w:ilvl="0">
      <w:start w:val="1"/>
      <w:numFmt w:val="bullet"/>
      <w:lvlRestart w:val="0"/>
      <w:pStyle w:val="TabelleAufzhlung"/>
      <w:lvlText w:val="–"/>
      <w:lvlJc w:val="left"/>
      <w:pPr>
        <w:tabs>
          <w:tab w:val="num" w:pos="283"/>
        </w:tabs>
        <w:ind w:left="0" w:firstLine="0"/>
      </w:pPr>
    </w:lvl>
  </w:abstractNum>
  <w:abstractNum w:abstractNumId="1" w15:restartNumberingAfterBreak="0">
    <w:nsid w:val="0755749D"/>
    <w:multiLevelType w:val="singleLevel"/>
    <w:tmpl w:val="E7089F24"/>
    <w:name w:val="Revision Eingangsformel Aufzählung (Stammdokument)"/>
    <w:lvl w:ilvl="0">
      <w:start w:val="1"/>
      <w:numFmt w:val="bullet"/>
      <w:lvlRestart w:val="0"/>
      <w:pStyle w:val="Revision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DA0E89"/>
    <w:multiLevelType w:val="singleLevel"/>
    <w:tmpl w:val="0990366C"/>
    <w:name w:val="Aufzählung (Stufe 5)"/>
    <w:lvl w:ilvl="0">
      <w:start w:val="1"/>
      <w:numFmt w:val="bullet"/>
      <w:lvlRestart w:val="0"/>
      <w:pStyle w:val="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3" w15:restartNumberingAfterBreak="0">
    <w:nsid w:val="17EB36AF"/>
    <w:multiLevelType w:val="singleLevel"/>
    <w:tmpl w:val="96445E22"/>
    <w:name w:val="Aufzählung (Stufe 1)"/>
    <w:lvl w:ilvl="0">
      <w:start w:val="1"/>
      <w:numFmt w:val="bullet"/>
      <w:lvlRestart w:val="0"/>
      <w:pStyle w:val="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8D56528"/>
    <w:multiLevelType w:val="singleLevel"/>
    <w:tmpl w:val="31561192"/>
    <w:name w:val="Revision Aufzählung (Stufe 1)"/>
    <w:lvl w:ilvl="0">
      <w:start w:val="1"/>
      <w:numFmt w:val="bullet"/>
      <w:lvlRestart w:val="0"/>
      <w:pStyle w:val="Revision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29876190"/>
    <w:multiLevelType w:val="multilevel"/>
    <w:tmpl w:val="903A7594"/>
    <w:name w:val="Revision eNorm Liste"/>
    <w:lvl w:ilvl="0">
      <w:start w:val="1"/>
      <w:numFmt w:val="decimal"/>
      <w:lvlRestart w:val="0"/>
      <w:pStyle w:val="Revision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Revision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Revision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Revision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Revision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Revision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Revision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Revision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9EE59AC"/>
    <w:multiLevelType w:val="singleLevel"/>
    <w:tmpl w:val="E4DEC6AC"/>
    <w:name w:val="Revision Aufzählung (Stufe 4)"/>
    <w:lvl w:ilvl="0">
      <w:start w:val="1"/>
      <w:numFmt w:val="bullet"/>
      <w:lvlRestart w:val="0"/>
      <w:pStyle w:val="Revision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7" w15:restartNumberingAfterBreak="0">
    <w:nsid w:val="2DF25574"/>
    <w:multiLevelType w:val="multilevel"/>
    <w:tmpl w:val="371EF51E"/>
    <w:name w:val="eNorm Liste"/>
    <w:lvl w:ilvl="0">
      <w:start w:val="1"/>
      <w:numFmt w:val="decimal"/>
      <w:lvlRestart w:val="0"/>
      <w:pStyle w:val="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7C41A6C"/>
    <w:multiLevelType w:val="singleLevel"/>
    <w:tmpl w:val="EB0E2D88"/>
    <w:name w:val="Revision Aufzählung (Stufe 5)"/>
    <w:lvl w:ilvl="0">
      <w:start w:val="1"/>
      <w:numFmt w:val="bullet"/>
      <w:lvlRestart w:val="0"/>
      <w:pStyle w:val="Revision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9" w15:restartNumberingAfterBreak="0">
    <w:nsid w:val="45E05348"/>
    <w:multiLevelType w:val="singleLevel"/>
    <w:tmpl w:val="733EA768"/>
    <w:name w:val="Revision Aufzählung (Stufe 2)"/>
    <w:lvl w:ilvl="0">
      <w:start w:val="1"/>
      <w:numFmt w:val="bullet"/>
      <w:lvlRestart w:val="0"/>
      <w:pStyle w:val="Revision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10" w15:restartNumberingAfterBreak="0">
    <w:nsid w:val="50910653"/>
    <w:multiLevelType w:val="multilevel"/>
    <w:tmpl w:val="0108F78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38E32B9"/>
    <w:multiLevelType w:val="singleLevel"/>
    <w:tmpl w:val="4E520E9E"/>
    <w:name w:val="Aufzählung (Stufe 4)"/>
    <w:lvl w:ilvl="0">
      <w:start w:val="1"/>
      <w:numFmt w:val="bullet"/>
      <w:lvlRestart w:val="0"/>
      <w:pStyle w:val="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12" w15:restartNumberingAfterBreak="0">
    <w:nsid w:val="54F620F6"/>
    <w:multiLevelType w:val="singleLevel"/>
    <w:tmpl w:val="010ECA8C"/>
    <w:name w:val="Aufzählung (Stufe 2)"/>
    <w:lvl w:ilvl="0">
      <w:start w:val="1"/>
      <w:numFmt w:val="bullet"/>
      <w:lvlRestart w:val="0"/>
      <w:pStyle w:val="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13" w15:restartNumberingAfterBreak="0">
    <w:nsid w:val="595A094C"/>
    <w:multiLevelType w:val="multilevel"/>
    <w:tmpl w:val="A4641030"/>
    <w:name w:val="Empfehlung Nummerierung"/>
    <w:lvl w:ilvl="0">
      <w:start w:val="1"/>
      <w:numFmt w:val="lowerLetter"/>
      <w:lvlRestart w:val="0"/>
      <w:pStyle w:val="EmpfehlungTextnummeriert"/>
      <w:lvlText w:val="%1)"/>
      <w:lvlJc w:val="left"/>
      <w:pPr>
        <w:tabs>
          <w:tab w:val="num" w:pos="0"/>
        </w:tabs>
        <w:ind w:left="0" w:hanging="425"/>
      </w:pPr>
    </w:lvl>
    <w:lvl w:ilvl="1">
      <w:start w:val="1"/>
      <w:numFmt w:val="decimal"/>
      <w:pStyle w:val="EmpfehlungNummerierungStufe1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EmpfehlungNummerierung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lowerLetter"/>
      <w:pStyle w:val="EmpfehlungNummerierungStufe3"/>
      <w:lvlText w:val="%4%4)"/>
      <w:lvlJc w:val="left"/>
      <w:pPr>
        <w:tabs>
          <w:tab w:val="num" w:pos="1276"/>
        </w:tabs>
        <w:ind w:left="1276" w:hanging="426"/>
      </w:pPr>
    </w:lvl>
    <w:lvl w:ilvl="4">
      <w:start w:val="1"/>
      <w:numFmt w:val="lowerLetter"/>
      <w:pStyle w:val="EmpfehlungNummerierungStufe4"/>
      <w:lvlText w:val="%5%5%5)"/>
      <w:lvlJc w:val="left"/>
      <w:pPr>
        <w:tabs>
          <w:tab w:val="num" w:pos="1984"/>
        </w:tabs>
        <w:ind w:left="1984" w:hanging="708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0E5FFE"/>
    <w:multiLevelType w:val="singleLevel"/>
    <w:tmpl w:val="2A7667B0"/>
    <w:name w:val="Revision Aufzählung (Stufe 3)"/>
    <w:lvl w:ilvl="0">
      <w:start w:val="1"/>
      <w:numFmt w:val="bullet"/>
      <w:lvlRestart w:val="0"/>
      <w:pStyle w:val="RevisionAufzhlungStufe3"/>
      <w:lvlText w:val="–"/>
      <w:lvlJc w:val="left"/>
      <w:pPr>
        <w:tabs>
          <w:tab w:val="num" w:pos="1276"/>
        </w:tabs>
        <w:ind w:left="1276" w:hanging="426"/>
      </w:pPr>
    </w:lvl>
  </w:abstractNum>
  <w:abstractNum w:abstractNumId="15" w15:restartNumberingAfterBreak="0">
    <w:nsid w:val="7397490C"/>
    <w:multiLevelType w:val="singleLevel"/>
    <w:tmpl w:val="B1EC4D80"/>
    <w:name w:val="Tabelle Liste"/>
    <w:lvl w:ilvl="0">
      <w:start w:val="1"/>
      <w:numFmt w:val="decimal"/>
      <w:lvlRestart w:val="0"/>
      <w:pStyle w:val="TabelleListe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16" w15:restartNumberingAfterBreak="0">
    <w:nsid w:val="7E4D2A11"/>
    <w:multiLevelType w:val="singleLevel"/>
    <w:tmpl w:val="B612535E"/>
    <w:name w:val="Aufzählung (Stufe 3)"/>
    <w:lvl w:ilvl="0">
      <w:start w:val="1"/>
      <w:numFmt w:val="bullet"/>
      <w:lvlRestart w:val="0"/>
      <w:pStyle w:val="AufzhlungStufe3"/>
      <w:lvlText w:val="–"/>
      <w:lvlJc w:val="left"/>
      <w:pPr>
        <w:tabs>
          <w:tab w:val="num" w:pos="1276"/>
        </w:tabs>
        <w:ind w:left="1276" w:hanging="426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12"/>
  </w:num>
  <w:num w:numId="5">
    <w:abstractNumId w:val="16"/>
  </w:num>
  <w:num w:numId="6">
    <w:abstractNumId w:val="11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5"/>
  </w:num>
  <w:num w:numId="12">
    <w:abstractNumId w:val="4"/>
  </w:num>
  <w:num w:numId="13">
    <w:abstractNumId w:val="9"/>
  </w:num>
  <w:num w:numId="14">
    <w:abstractNumId w:val="14"/>
  </w:num>
  <w:num w:numId="15">
    <w:abstractNumId w:val="6"/>
  </w:num>
  <w:num w:numId="16">
    <w:abstractNumId w:val="8"/>
  </w:num>
  <w:num w:numId="17">
    <w:abstractNumId w:val="1"/>
  </w:num>
  <w:num w:numId="18">
    <w:abstractNumId w:val="13"/>
  </w:num>
  <w:num w:numId="19">
    <w:abstractNumId w:val="7"/>
  </w:num>
  <w:num w:numId="20">
    <w:abstractNumId w:val="3"/>
  </w:num>
  <w:num w:numId="21">
    <w:abstractNumId w:val="12"/>
  </w:num>
  <w:num w:numId="22">
    <w:abstractNumId w:val="16"/>
  </w:num>
  <w:num w:numId="23">
    <w:abstractNumId w:val="11"/>
  </w:num>
  <w:num w:numId="24">
    <w:abstractNumId w:val="2"/>
  </w:num>
  <w:num w:numId="25">
    <w:abstractNumId w:val="0"/>
  </w:num>
  <w:num w:numId="26">
    <w:abstractNumId w:val="15"/>
  </w:num>
  <w:num w:numId="27">
    <w:abstractNumId w:val="10"/>
  </w:num>
  <w:num w:numId="28">
    <w:abstractNumId w:val="5"/>
  </w:num>
  <w:num w:numId="29">
    <w:abstractNumId w:val="4"/>
  </w:num>
  <w:num w:numId="30">
    <w:abstractNumId w:val="9"/>
  </w:num>
  <w:num w:numId="31">
    <w:abstractNumId w:val="14"/>
  </w:num>
  <w:num w:numId="32">
    <w:abstractNumId w:val="6"/>
  </w:num>
  <w:num w:numId="33">
    <w:abstractNumId w:val="8"/>
  </w:num>
  <w:num w:numId="34">
    <w:abstractNumId w:val="1"/>
  </w:num>
  <w:num w:numId="35">
    <w:abstractNumId w:val="13"/>
  </w:num>
  <w:num w:numId="36">
    <w:abstractNumId w:val="10"/>
  </w:num>
  <w:num w:numId="37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efehlsHistorie_BefehlsZähler" w:val="2"/>
    <w:docVar w:name="BefehlsKontext_SpeichernOOXML_Maximum" w:val="275ms"/>
    <w:docVar w:name="BefehlsKontext_SpeichernOOXML_Schnitt" w:val="275ms"/>
    <w:docVar w:name="BT" w:val="True"/>
    <w:docVar w:name="DQCHighlighting" w:val="100"/>
    <w:docVar w:name="DQCPart_Dokument" w:val="0"/>
    <w:docVar w:name="DQCResult_Aenderungsbefehl" w:val="0;0"/>
    <w:docVar w:name="DQCResult_Citations" w:val="0;0"/>
    <w:docVar w:name="DQCResult_EmbeddedObjects" w:val="0;0"/>
    <w:docVar w:name="DQCResult_Marker" w:val="0;0"/>
    <w:docVar w:name="DQCResult_ModifiedCharFormat" w:val="0;66"/>
    <w:docVar w:name="DQCResult_ModifiedMargins" w:val="0;0"/>
    <w:docVar w:name="DQCResult_ModifiedNumbering" w:val="0;0"/>
    <w:docVar w:name="DQCResult_StructureCheck" w:val="0;0"/>
    <w:docVar w:name="DQCResult_SuperfluousWhitespace" w:val="0;0"/>
    <w:docVar w:name="DQCWithWarnings" w:val="1"/>
    <w:docVar w:name="EN_DocFileDateTimeAtOpen" w:val="19.03.2021 16:14:48"/>
    <w:docVar w:name="LW_DocType" w:val="FORM"/>
    <w:docVar w:name="LWCons_Langue" w:val="DE"/>
  </w:docVars>
  <w:rsids>
    <w:rsidRoot w:val="002720FF"/>
    <w:rsid w:val="00003B38"/>
    <w:rsid w:val="00012A1D"/>
    <w:rsid w:val="00021C4F"/>
    <w:rsid w:val="00021CCF"/>
    <w:rsid w:val="00035D26"/>
    <w:rsid w:val="00060631"/>
    <w:rsid w:val="0006601D"/>
    <w:rsid w:val="00071A7A"/>
    <w:rsid w:val="000747D8"/>
    <w:rsid w:val="00076397"/>
    <w:rsid w:val="00080B5B"/>
    <w:rsid w:val="000B047B"/>
    <w:rsid w:val="000B646B"/>
    <w:rsid w:val="000C15BB"/>
    <w:rsid w:val="000C76EB"/>
    <w:rsid w:val="000F009A"/>
    <w:rsid w:val="000F70B9"/>
    <w:rsid w:val="00105A99"/>
    <w:rsid w:val="00107329"/>
    <w:rsid w:val="00117AD6"/>
    <w:rsid w:val="00120BC4"/>
    <w:rsid w:val="00125212"/>
    <w:rsid w:val="001327D0"/>
    <w:rsid w:val="00137B75"/>
    <w:rsid w:val="00154174"/>
    <w:rsid w:val="001551B6"/>
    <w:rsid w:val="00157A5E"/>
    <w:rsid w:val="00184422"/>
    <w:rsid w:val="001B688F"/>
    <w:rsid w:val="001C5507"/>
    <w:rsid w:val="001E0F6C"/>
    <w:rsid w:val="001E4E2B"/>
    <w:rsid w:val="001E7B94"/>
    <w:rsid w:val="001F299B"/>
    <w:rsid w:val="001F2E12"/>
    <w:rsid w:val="001F2E43"/>
    <w:rsid w:val="0020302D"/>
    <w:rsid w:val="00205446"/>
    <w:rsid w:val="002142EA"/>
    <w:rsid w:val="0021568B"/>
    <w:rsid w:val="00217FE5"/>
    <w:rsid w:val="0022038D"/>
    <w:rsid w:val="00222EE0"/>
    <w:rsid w:val="002720FF"/>
    <w:rsid w:val="00285780"/>
    <w:rsid w:val="002873C9"/>
    <w:rsid w:val="00297295"/>
    <w:rsid w:val="002A3FE5"/>
    <w:rsid w:val="002B272A"/>
    <w:rsid w:val="002C1E10"/>
    <w:rsid w:val="002C4559"/>
    <w:rsid w:val="002D17B8"/>
    <w:rsid w:val="002D2148"/>
    <w:rsid w:val="002D6017"/>
    <w:rsid w:val="002E70FE"/>
    <w:rsid w:val="002F0027"/>
    <w:rsid w:val="002F591E"/>
    <w:rsid w:val="002F6967"/>
    <w:rsid w:val="00300C93"/>
    <w:rsid w:val="00301240"/>
    <w:rsid w:val="00306B62"/>
    <w:rsid w:val="003075FB"/>
    <w:rsid w:val="00311BA7"/>
    <w:rsid w:val="00312C96"/>
    <w:rsid w:val="003277CE"/>
    <w:rsid w:val="00332D4D"/>
    <w:rsid w:val="00351164"/>
    <w:rsid w:val="00355929"/>
    <w:rsid w:val="00362E0C"/>
    <w:rsid w:val="003774F0"/>
    <w:rsid w:val="00395EE9"/>
    <w:rsid w:val="003B3E40"/>
    <w:rsid w:val="003C1CD0"/>
    <w:rsid w:val="003C2408"/>
    <w:rsid w:val="003C293C"/>
    <w:rsid w:val="003D119C"/>
    <w:rsid w:val="003D54F0"/>
    <w:rsid w:val="003E092B"/>
    <w:rsid w:val="003E2B00"/>
    <w:rsid w:val="003F6FFF"/>
    <w:rsid w:val="0040002B"/>
    <w:rsid w:val="004025EB"/>
    <w:rsid w:val="00405D1C"/>
    <w:rsid w:val="00416421"/>
    <w:rsid w:val="00437A25"/>
    <w:rsid w:val="00452460"/>
    <w:rsid w:val="00456CBC"/>
    <w:rsid w:val="00463C3B"/>
    <w:rsid w:val="004666C3"/>
    <w:rsid w:val="00472108"/>
    <w:rsid w:val="00472355"/>
    <w:rsid w:val="0048061A"/>
    <w:rsid w:val="00481CA0"/>
    <w:rsid w:val="00481F94"/>
    <w:rsid w:val="0048530A"/>
    <w:rsid w:val="004A1713"/>
    <w:rsid w:val="004B18EC"/>
    <w:rsid w:val="004B4076"/>
    <w:rsid w:val="004C591F"/>
    <w:rsid w:val="004D3377"/>
    <w:rsid w:val="004E6731"/>
    <w:rsid w:val="004F1B81"/>
    <w:rsid w:val="004F6D2C"/>
    <w:rsid w:val="00503238"/>
    <w:rsid w:val="0052341C"/>
    <w:rsid w:val="0052608D"/>
    <w:rsid w:val="00544DE6"/>
    <w:rsid w:val="00546AAD"/>
    <w:rsid w:val="005632AA"/>
    <w:rsid w:val="00574C2D"/>
    <w:rsid w:val="0057653F"/>
    <w:rsid w:val="0058476B"/>
    <w:rsid w:val="00591E40"/>
    <w:rsid w:val="005922FA"/>
    <w:rsid w:val="005972FA"/>
    <w:rsid w:val="005A544B"/>
    <w:rsid w:val="005E05C4"/>
    <w:rsid w:val="005E1C0F"/>
    <w:rsid w:val="005E3C4F"/>
    <w:rsid w:val="005E4D84"/>
    <w:rsid w:val="005F7D36"/>
    <w:rsid w:val="00604F79"/>
    <w:rsid w:val="00613B05"/>
    <w:rsid w:val="0062256C"/>
    <w:rsid w:val="00623468"/>
    <w:rsid w:val="006257ED"/>
    <w:rsid w:val="006334E3"/>
    <w:rsid w:val="00646792"/>
    <w:rsid w:val="00652116"/>
    <w:rsid w:val="00660928"/>
    <w:rsid w:val="00671C6C"/>
    <w:rsid w:val="0067495D"/>
    <w:rsid w:val="00681D0D"/>
    <w:rsid w:val="00682019"/>
    <w:rsid w:val="00685176"/>
    <w:rsid w:val="00693160"/>
    <w:rsid w:val="00693751"/>
    <w:rsid w:val="006A77F6"/>
    <w:rsid w:val="006C1AFE"/>
    <w:rsid w:val="006C5585"/>
    <w:rsid w:val="006D727A"/>
    <w:rsid w:val="006E2F12"/>
    <w:rsid w:val="006F0DAE"/>
    <w:rsid w:val="006F1258"/>
    <w:rsid w:val="006F680B"/>
    <w:rsid w:val="006F7B3A"/>
    <w:rsid w:val="00701CCB"/>
    <w:rsid w:val="00704C6A"/>
    <w:rsid w:val="0074181E"/>
    <w:rsid w:val="007430E4"/>
    <w:rsid w:val="00746C78"/>
    <w:rsid w:val="0075168F"/>
    <w:rsid w:val="007712DA"/>
    <w:rsid w:val="00781EDD"/>
    <w:rsid w:val="00786296"/>
    <w:rsid w:val="007A0A21"/>
    <w:rsid w:val="007A289E"/>
    <w:rsid w:val="007B6582"/>
    <w:rsid w:val="007C1ACD"/>
    <w:rsid w:val="007C69FC"/>
    <w:rsid w:val="007E1EA0"/>
    <w:rsid w:val="007E4270"/>
    <w:rsid w:val="007F2DB9"/>
    <w:rsid w:val="008132F7"/>
    <w:rsid w:val="00826E52"/>
    <w:rsid w:val="0084613F"/>
    <w:rsid w:val="00846EFD"/>
    <w:rsid w:val="00850090"/>
    <w:rsid w:val="00852306"/>
    <w:rsid w:val="00854CB1"/>
    <w:rsid w:val="00861F9F"/>
    <w:rsid w:val="008631CD"/>
    <w:rsid w:val="008657B1"/>
    <w:rsid w:val="008772D0"/>
    <w:rsid w:val="008809C8"/>
    <w:rsid w:val="008877A7"/>
    <w:rsid w:val="0089065C"/>
    <w:rsid w:val="008A058D"/>
    <w:rsid w:val="008C35B1"/>
    <w:rsid w:val="008C4938"/>
    <w:rsid w:val="008D6B47"/>
    <w:rsid w:val="008E21D5"/>
    <w:rsid w:val="008F3DB4"/>
    <w:rsid w:val="009019C7"/>
    <w:rsid w:val="00901C79"/>
    <w:rsid w:val="0090252A"/>
    <w:rsid w:val="00910B03"/>
    <w:rsid w:val="00910D9D"/>
    <w:rsid w:val="00914FA8"/>
    <w:rsid w:val="00915D22"/>
    <w:rsid w:val="00917BC0"/>
    <w:rsid w:val="00932184"/>
    <w:rsid w:val="00933356"/>
    <w:rsid w:val="00937EC9"/>
    <w:rsid w:val="009506AE"/>
    <w:rsid w:val="00952518"/>
    <w:rsid w:val="009530D1"/>
    <w:rsid w:val="00956726"/>
    <w:rsid w:val="00956C28"/>
    <w:rsid w:val="009701A4"/>
    <w:rsid w:val="00970ABB"/>
    <w:rsid w:val="0098296B"/>
    <w:rsid w:val="00993AD2"/>
    <w:rsid w:val="00995726"/>
    <w:rsid w:val="009A7DB0"/>
    <w:rsid w:val="009B1298"/>
    <w:rsid w:val="009B2962"/>
    <w:rsid w:val="009B3F4B"/>
    <w:rsid w:val="009B7841"/>
    <w:rsid w:val="009C3FB1"/>
    <w:rsid w:val="009D590D"/>
    <w:rsid w:val="009E06E3"/>
    <w:rsid w:val="009F0E3F"/>
    <w:rsid w:val="009F2923"/>
    <w:rsid w:val="009F726F"/>
    <w:rsid w:val="009F7F4E"/>
    <w:rsid w:val="00A03249"/>
    <w:rsid w:val="00A10F3A"/>
    <w:rsid w:val="00A20AF6"/>
    <w:rsid w:val="00A2558A"/>
    <w:rsid w:val="00A34D97"/>
    <w:rsid w:val="00A34DBE"/>
    <w:rsid w:val="00A46C3D"/>
    <w:rsid w:val="00A70F0E"/>
    <w:rsid w:val="00A72781"/>
    <w:rsid w:val="00A7355E"/>
    <w:rsid w:val="00A82216"/>
    <w:rsid w:val="00A825DA"/>
    <w:rsid w:val="00A829BE"/>
    <w:rsid w:val="00A9149E"/>
    <w:rsid w:val="00A94D6E"/>
    <w:rsid w:val="00AA0FD6"/>
    <w:rsid w:val="00AC529F"/>
    <w:rsid w:val="00AC685D"/>
    <w:rsid w:val="00AE17CC"/>
    <w:rsid w:val="00AE3F1C"/>
    <w:rsid w:val="00AE662A"/>
    <w:rsid w:val="00AF1427"/>
    <w:rsid w:val="00AF7B14"/>
    <w:rsid w:val="00B02C62"/>
    <w:rsid w:val="00B05AC7"/>
    <w:rsid w:val="00B07CF7"/>
    <w:rsid w:val="00B358A3"/>
    <w:rsid w:val="00B375AA"/>
    <w:rsid w:val="00B56435"/>
    <w:rsid w:val="00B8122A"/>
    <w:rsid w:val="00B8702A"/>
    <w:rsid w:val="00B91409"/>
    <w:rsid w:val="00BA35AD"/>
    <w:rsid w:val="00BA4AB6"/>
    <w:rsid w:val="00BB0CE7"/>
    <w:rsid w:val="00BB1814"/>
    <w:rsid w:val="00BD4D41"/>
    <w:rsid w:val="00BE0519"/>
    <w:rsid w:val="00BF30DD"/>
    <w:rsid w:val="00C0555F"/>
    <w:rsid w:val="00C10FA1"/>
    <w:rsid w:val="00C1148C"/>
    <w:rsid w:val="00C20325"/>
    <w:rsid w:val="00C2231C"/>
    <w:rsid w:val="00C4353F"/>
    <w:rsid w:val="00C44FC3"/>
    <w:rsid w:val="00C50448"/>
    <w:rsid w:val="00C50725"/>
    <w:rsid w:val="00C5369F"/>
    <w:rsid w:val="00C743B5"/>
    <w:rsid w:val="00CA126D"/>
    <w:rsid w:val="00CA6C90"/>
    <w:rsid w:val="00CA71BF"/>
    <w:rsid w:val="00CC41C0"/>
    <w:rsid w:val="00CC65EA"/>
    <w:rsid w:val="00CD0799"/>
    <w:rsid w:val="00CE618D"/>
    <w:rsid w:val="00D00DD2"/>
    <w:rsid w:val="00D04FFA"/>
    <w:rsid w:val="00D079B0"/>
    <w:rsid w:val="00D36A78"/>
    <w:rsid w:val="00D37BF5"/>
    <w:rsid w:val="00D46DCD"/>
    <w:rsid w:val="00D528F9"/>
    <w:rsid w:val="00D549B7"/>
    <w:rsid w:val="00D64E32"/>
    <w:rsid w:val="00D663F5"/>
    <w:rsid w:val="00D85758"/>
    <w:rsid w:val="00D87FC5"/>
    <w:rsid w:val="00D948AE"/>
    <w:rsid w:val="00DA2D64"/>
    <w:rsid w:val="00DA31E8"/>
    <w:rsid w:val="00DA49A5"/>
    <w:rsid w:val="00DA5F32"/>
    <w:rsid w:val="00DC3B1E"/>
    <w:rsid w:val="00DC5314"/>
    <w:rsid w:val="00DE3E46"/>
    <w:rsid w:val="00DF6F83"/>
    <w:rsid w:val="00E11559"/>
    <w:rsid w:val="00E124F9"/>
    <w:rsid w:val="00E246FB"/>
    <w:rsid w:val="00E25F34"/>
    <w:rsid w:val="00E35604"/>
    <w:rsid w:val="00E37447"/>
    <w:rsid w:val="00E42E6F"/>
    <w:rsid w:val="00E439EB"/>
    <w:rsid w:val="00E45942"/>
    <w:rsid w:val="00E50F71"/>
    <w:rsid w:val="00E57275"/>
    <w:rsid w:val="00E574A2"/>
    <w:rsid w:val="00E91488"/>
    <w:rsid w:val="00EA1D8C"/>
    <w:rsid w:val="00EA3CEF"/>
    <w:rsid w:val="00EB6B0C"/>
    <w:rsid w:val="00EC5934"/>
    <w:rsid w:val="00EE4DF6"/>
    <w:rsid w:val="00EE546D"/>
    <w:rsid w:val="00EE655C"/>
    <w:rsid w:val="00EF5B1E"/>
    <w:rsid w:val="00F07AED"/>
    <w:rsid w:val="00F15270"/>
    <w:rsid w:val="00F24FDD"/>
    <w:rsid w:val="00F43B57"/>
    <w:rsid w:val="00F631AB"/>
    <w:rsid w:val="00F66B92"/>
    <w:rsid w:val="00F85BEA"/>
    <w:rsid w:val="00F871B4"/>
    <w:rsid w:val="00FA17F7"/>
    <w:rsid w:val="00FA1D2B"/>
    <w:rsid w:val="00FA5918"/>
    <w:rsid w:val="00FA5BE1"/>
    <w:rsid w:val="00FB25A4"/>
    <w:rsid w:val="00FC3394"/>
    <w:rsid w:val="00FC39E2"/>
    <w:rsid w:val="00FC63C3"/>
    <w:rsid w:val="00FD3793"/>
    <w:rsid w:val="00FE7C6A"/>
    <w:rsid w:val="00FF0FD0"/>
    <w:rsid w:val="00FF4465"/>
    <w:rsid w:val="00FF6FE5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087D4"/>
  <w15:docId w15:val="{8F769AC3-B1BC-4295-8992-9D8EE94E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before="60" w:after="60" w:line="240" w:lineRule="auto"/>
      <w:jc w:val="both"/>
    </w:pPr>
    <w:rPr>
      <w:rFonts w:ascii="Times New Roman" w:hAnsi="Times New Roman" w:cs="Times New Roman"/>
      <w:sz w:val="21"/>
    </w:rPr>
  </w:style>
  <w:style w:type="paragraph" w:styleId="berschrift1">
    <w:name w:val="heading 1"/>
    <w:basedOn w:val="Standard"/>
    <w:next w:val="Text"/>
    <w:link w:val="berschrift1Zchn"/>
    <w:uiPriority w:val="9"/>
    <w:qFormat/>
    <w:rsid w:val="0098296B"/>
    <w:pPr>
      <w:keepNext/>
      <w:spacing w:before="120"/>
      <w:jc w:val="center"/>
      <w:outlineLvl w:val="0"/>
    </w:pPr>
    <w:rPr>
      <w:rFonts w:eastAsiaTheme="majorEastAsia"/>
      <w:b/>
      <w:bCs/>
      <w:kern w:val="32"/>
      <w:szCs w:val="28"/>
    </w:rPr>
  </w:style>
  <w:style w:type="paragraph" w:styleId="berschrift2">
    <w:name w:val="heading 2"/>
    <w:basedOn w:val="Standard"/>
    <w:next w:val="Text"/>
    <w:link w:val="berschrift2Zchn"/>
    <w:uiPriority w:val="9"/>
    <w:semiHidden/>
    <w:unhideWhenUsed/>
    <w:qFormat/>
    <w:rsid w:val="0098296B"/>
    <w:pPr>
      <w:keepNext/>
      <w:spacing w:before="120"/>
      <w:outlineLvl w:val="1"/>
    </w:pPr>
    <w:rPr>
      <w:rFonts w:eastAsiaTheme="majorEastAsia"/>
      <w:b/>
      <w:bCs/>
      <w:szCs w:val="26"/>
    </w:rPr>
  </w:style>
  <w:style w:type="paragraph" w:styleId="berschrift3">
    <w:name w:val="heading 3"/>
    <w:basedOn w:val="Standard"/>
    <w:next w:val="Text"/>
    <w:link w:val="berschrift3Zchn"/>
    <w:uiPriority w:val="9"/>
    <w:semiHidden/>
    <w:unhideWhenUsed/>
    <w:qFormat/>
    <w:rsid w:val="0098296B"/>
    <w:pPr>
      <w:keepNext/>
      <w:spacing w:before="120"/>
      <w:outlineLvl w:val="2"/>
    </w:pPr>
    <w:rPr>
      <w:rFonts w:eastAsiaTheme="majorEastAsia"/>
      <w:b/>
      <w:bCs/>
    </w:rPr>
  </w:style>
  <w:style w:type="paragraph" w:styleId="berschrift4">
    <w:name w:val="heading 4"/>
    <w:basedOn w:val="Standard"/>
    <w:next w:val="Text"/>
    <w:link w:val="berschrift4Zchn"/>
    <w:uiPriority w:val="9"/>
    <w:semiHidden/>
    <w:unhideWhenUsed/>
    <w:qFormat/>
    <w:rsid w:val="0098296B"/>
    <w:pPr>
      <w:keepNext/>
      <w:spacing w:before="120"/>
      <w:outlineLvl w:val="3"/>
    </w:pPr>
    <w:rPr>
      <w:rFonts w:eastAsiaTheme="majorEastAsia"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kumentkopfTitel">
    <w:name w:val="Dokumentkopf Titel"/>
    <w:basedOn w:val="Standard"/>
    <w:link w:val="DokumentkopfTitelZchn"/>
    <w:qFormat/>
    <w:rsid w:val="002720FF"/>
    <w:pPr>
      <w:spacing w:before="0" w:after="360" w:line="360" w:lineRule="auto"/>
      <w:jc w:val="center"/>
      <w:outlineLvl w:val="0"/>
    </w:pPr>
    <w:rPr>
      <w:rFonts w:ascii="Arial Fett" w:eastAsia="Times New Roman" w:hAnsi="Arial Fett" w:cs="Arial"/>
      <w:b/>
      <w:spacing w:val="10"/>
      <w:sz w:val="30"/>
      <w:szCs w:val="30"/>
      <w:lang w:eastAsia="de-DE"/>
    </w:rPr>
  </w:style>
  <w:style w:type="paragraph" w:customStyle="1" w:styleId="DokumentkopfBezeichnung">
    <w:name w:val="Dokumentkopf Bezeichnung"/>
    <w:basedOn w:val="Standard"/>
    <w:link w:val="DokumentkopfBezeichnungZchn"/>
    <w:qFormat/>
    <w:rsid w:val="002720FF"/>
    <w:pPr>
      <w:spacing w:before="0" w:after="0" w:line="360" w:lineRule="auto"/>
      <w:outlineLvl w:val="1"/>
    </w:pPr>
    <w:rPr>
      <w:rFonts w:ascii="Arial" w:eastAsia="Times New Roman" w:hAnsi="Arial" w:cs="Arial"/>
      <w:b/>
      <w:noProof/>
      <w:sz w:val="26"/>
      <w:szCs w:val="26"/>
      <w:lang w:eastAsia="de-DE"/>
    </w:rPr>
  </w:style>
  <w:style w:type="character" w:customStyle="1" w:styleId="DokumentkopfTitelZchn">
    <w:name w:val="Dokumentkopf Titel Zchn"/>
    <w:link w:val="DokumentkopfTitel"/>
    <w:rsid w:val="002720FF"/>
    <w:rPr>
      <w:rFonts w:ascii="Arial Fett" w:eastAsia="Times New Roman" w:hAnsi="Arial Fett" w:cs="Arial"/>
      <w:b/>
      <w:spacing w:val="10"/>
      <w:sz w:val="30"/>
      <w:szCs w:val="30"/>
      <w:lang w:eastAsia="de-DE"/>
    </w:rPr>
  </w:style>
  <w:style w:type="character" w:customStyle="1" w:styleId="DokumentkopfBezeichnungZchn">
    <w:name w:val="Dokumentkopf Bezeichnung Zchn"/>
    <w:link w:val="DokumentkopfBezeichnung"/>
    <w:rsid w:val="002720FF"/>
    <w:rPr>
      <w:rFonts w:ascii="Arial" w:eastAsia="Times New Roman" w:hAnsi="Arial" w:cs="Arial"/>
      <w:b/>
      <w:noProof/>
      <w:sz w:val="26"/>
      <w:szCs w:val="26"/>
      <w:lang w:eastAsia="de-DE"/>
    </w:rPr>
  </w:style>
  <w:style w:type="paragraph" w:customStyle="1" w:styleId="NummerierungStufe1">
    <w:name w:val="Nummerierung (Stufe 1)"/>
    <w:basedOn w:val="Standard"/>
    <w:rsid w:val="00FC63C3"/>
    <w:pPr>
      <w:spacing w:before="120" w:after="120"/>
      <w:outlineLvl w:val="5"/>
    </w:pPr>
    <w:rPr>
      <w:rFonts w:ascii="Arial" w:hAnsi="Arial" w:cs="Arial"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A1D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A1D8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A1D8C"/>
    <w:rPr>
      <w:rFonts w:ascii="Times New Roman" w:hAnsi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1D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1D8C"/>
    <w:rPr>
      <w:rFonts w:ascii="Times New Roman" w:hAnsi="Times New Roman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1D8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1D8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C39E2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416421"/>
    <w:pPr>
      <w:spacing w:after="0" w:line="240" w:lineRule="auto"/>
    </w:pPr>
    <w:rPr>
      <w:rFonts w:ascii="Times New Roman" w:hAnsi="Times New Roman" w:cs="Times New Roman"/>
      <w:sz w:val="21"/>
    </w:rPr>
  </w:style>
  <w:style w:type="paragraph" w:customStyle="1" w:styleId="Begrndung">
    <w:name w:val="Begründung"/>
    <w:basedOn w:val="EinzelbegrndungTitel"/>
    <w:qFormat/>
    <w:rsid w:val="00FF6FE5"/>
  </w:style>
  <w:style w:type="paragraph" w:styleId="Fuzeile">
    <w:name w:val="footer"/>
    <w:basedOn w:val="Standard"/>
    <w:link w:val="FuzeileZchn"/>
    <w:uiPriority w:val="99"/>
    <w:unhideWhenUsed/>
    <w:rsid w:val="0098296B"/>
    <w:pPr>
      <w:tabs>
        <w:tab w:val="center" w:pos="4394"/>
        <w:tab w:val="right" w:pos="8787"/>
      </w:tabs>
      <w:spacing w:before="360" w:after="0"/>
      <w:jc w:val="left"/>
    </w:pPr>
  </w:style>
  <w:style w:type="character" w:customStyle="1" w:styleId="FuzeileZchn">
    <w:name w:val="Fußzeile Zchn"/>
    <w:basedOn w:val="Absatz-Standardschriftart"/>
    <w:link w:val="Fuzeile"/>
    <w:uiPriority w:val="99"/>
    <w:rsid w:val="0098296B"/>
    <w:rPr>
      <w:rFonts w:ascii="Times New Roman" w:hAnsi="Times New Roman" w:cs="Times New Roman"/>
      <w:sz w:val="21"/>
      <w:shd w:val="clear" w:color="auto" w:fill="auto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8296B"/>
    <w:pPr>
      <w:spacing w:before="0" w:after="0"/>
      <w:ind w:left="720" w:hanging="72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8296B"/>
    <w:rPr>
      <w:rFonts w:ascii="Times New Roman" w:hAnsi="Times New Roman" w:cs="Times New Roman"/>
      <w:sz w:val="16"/>
      <w:szCs w:val="20"/>
      <w:shd w:val="clear" w:color="auto" w:fill="auto"/>
    </w:rPr>
  </w:style>
  <w:style w:type="paragraph" w:customStyle="1" w:styleId="ListeStufe1">
    <w:name w:val="Liste (Stufe 1)"/>
    <w:basedOn w:val="Standard"/>
    <w:rsid w:val="0098296B"/>
    <w:pPr>
      <w:numPr>
        <w:numId w:val="19"/>
      </w:numPr>
      <w:tabs>
        <w:tab w:val="left" w:pos="0"/>
      </w:tabs>
    </w:pPr>
  </w:style>
  <w:style w:type="paragraph" w:customStyle="1" w:styleId="ListeFolgeabsatzStufe1">
    <w:name w:val="Liste Folgeabsatz (Stufe 1)"/>
    <w:basedOn w:val="Standard"/>
    <w:rsid w:val="0098296B"/>
    <w:pPr>
      <w:numPr>
        <w:ilvl w:val="1"/>
        <w:numId w:val="19"/>
      </w:numPr>
    </w:pPr>
  </w:style>
  <w:style w:type="paragraph" w:customStyle="1" w:styleId="ListeStufe2">
    <w:name w:val="Liste (Stufe 2)"/>
    <w:basedOn w:val="Standard"/>
    <w:rsid w:val="0098296B"/>
    <w:pPr>
      <w:numPr>
        <w:ilvl w:val="2"/>
        <w:numId w:val="19"/>
      </w:numPr>
    </w:pPr>
  </w:style>
  <w:style w:type="paragraph" w:customStyle="1" w:styleId="ListeFolgeabsatzStufe2">
    <w:name w:val="Liste Folgeabsatz (Stufe 2)"/>
    <w:basedOn w:val="Standard"/>
    <w:rsid w:val="0098296B"/>
    <w:pPr>
      <w:numPr>
        <w:ilvl w:val="3"/>
        <w:numId w:val="19"/>
      </w:numPr>
    </w:pPr>
  </w:style>
  <w:style w:type="paragraph" w:customStyle="1" w:styleId="ListeStufe3">
    <w:name w:val="Liste (Stufe 3)"/>
    <w:basedOn w:val="Standard"/>
    <w:rsid w:val="0098296B"/>
    <w:pPr>
      <w:numPr>
        <w:ilvl w:val="4"/>
        <w:numId w:val="19"/>
      </w:numPr>
    </w:pPr>
  </w:style>
  <w:style w:type="paragraph" w:customStyle="1" w:styleId="ListeFolgeabsatzStufe3">
    <w:name w:val="Liste Folgeabsatz (Stufe 3)"/>
    <w:basedOn w:val="Standard"/>
    <w:rsid w:val="0098296B"/>
    <w:pPr>
      <w:numPr>
        <w:ilvl w:val="5"/>
        <w:numId w:val="19"/>
      </w:numPr>
    </w:pPr>
  </w:style>
  <w:style w:type="paragraph" w:customStyle="1" w:styleId="ListeStufe4">
    <w:name w:val="Liste (Stufe 4)"/>
    <w:basedOn w:val="Standard"/>
    <w:rsid w:val="0098296B"/>
    <w:pPr>
      <w:numPr>
        <w:ilvl w:val="6"/>
        <w:numId w:val="19"/>
      </w:numPr>
    </w:pPr>
  </w:style>
  <w:style w:type="paragraph" w:customStyle="1" w:styleId="ListeFolgeabsatzStufe4">
    <w:name w:val="Liste Folgeabsatz (Stufe 4)"/>
    <w:basedOn w:val="Standard"/>
    <w:rsid w:val="0098296B"/>
    <w:pPr>
      <w:numPr>
        <w:ilvl w:val="7"/>
        <w:numId w:val="19"/>
      </w:numPr>
    </w:pPr>
  </w:style>
  <w:style w:type="paragraph" w:customStyle="1" w:styleId="ListeStufe1manuell">
    <w:name w:val="Liste (Stufe 1) (manuell)"/>
    <w:basedOn w:val="Standard"/>
    <w:rsid w:val="0098296B"/>
    <w:pPr>
      <w:tabs>
        <w:tab w:val="left" w:pos="425"/>
      </w:tabs>
      <w:ind w:left="425" w:hanging="425"/>
    </w:pPr>
  </w:style>
  <w:style w:type="paragraph" w:customStyle="1" w:styleId="ListeStufe2manuell">
    <w:name w:val="Liste (Stufe 2) (manuell)"/>
    <w:basedOn w:val="Standard"/>
    <w:rsid w:val="0098296B"/>
    <w:pPr>
      <w:tabs>
        <w:tab w:val="left" w:pos="850"/>
      </w:tabs>
      <w:ind w:left="850" w:hanging="425"/>
    </w:pPr>
  </w:style>
  <w:style w:type="paragraph" w:customStyle="1" w:styleId="ListeStufe3manuell">
    <w:name w:val="Liste (Stufe 3) (manuell)"/>
    <w:basedOn w:val="Standard"/>
    <w:rsid w:val="0098296B"/>
    <w:pPr>
      <w:tabs>
        <w:tab w:val="left" w:pos="1276"/>
      </w:tabs>
      <w:ind w:left="1276" w:hanging="425"/>
    </w:pPr>
  </w:style>
  <w:style w:type="paragraph" w:customStyle="1" w:styleId="ListeStufe4manuell">
    <w:name w:val="Liste (Stufe 4) (manuell)"/>
    <w:basedOn w:val="Standard"/>
    <w:next w:val="ListeStufe1manuell"/>
    <w:rsid w:val="0098296B"/>
    <w:pPr>
      <w:tabs>
        <w:tab w:val="left" w:pos="1984"/>
      </w:tabs>
      <w:ind w:left="1984" w:hanging="709"/>
    </w:pPr>
  </w:style>
  <w:style w:type="paragraph" w:customStyle="1" w:styleId="AufzhlungStufe1">
    <w:name w:val="Aufzählung (Stufe 1)"/>
    <w:basedOn w:val="Standard"/>
    <w:rsid w:val="0098296B"/>
    <w:pPr>
      <w:numPr>
        <w:numId w:val="20"/>
      </w:numPr>
      <w:tabs>
        <w:tab w:val="left" w:pos="0"/>
      </w:tabs>
    </w:pPr>
  </w:style>
  <w:style w:type="paragraph" w:customStyle="1" w:styleId="AufzhlungFolgeabsatzStufe1">
    <w:name w:val="Aufzählung Folgeabsatz (Stufe 1)"/>
    <w:basedOn w:val="Standard"/>
    <w:rsid w:val="0098296B"/>
    <w:pPr>
      <w:tabs>
        <w:tab w:val="left" w:pos="425"/>
      </w:tabs>
      <w:ind w:left="425"/>
    </w:pPr>
  </w:style>
  <w:style w:type="paragraph" w:customStyle="1" w:styleId="AufzhlungStufe2">
    <w:name w:val="Aufzählung (Stufe 2)"/>
    <w:basedOn w:val="Standard"/>
    <w:rsid w:val="0098296B"/>
    <w:pPr>
      <w:numPr>
        <w:numId w:val="21"/>
      </w:numPr>
      <w:tabs>
        <w:tab w:val="left" w:pos="425"/>
      </w:tabs>
    </w:pPr>
  </w:style>
  <w:style w:type="paragraph" w:customStyle="1" w:styleId="AufzhlungFolgeabsatzStufe2">
    <w:name w:val="Aufzählung Folgeabsatz (Stufe 2)"/>
    <w:basedOn w:val="Standard"/>
    <w:rsid w:val="0098296B"/>
    <w:pPr>
      <w:tabs>
        <w:tab w:val="left" w:pos="794"/>
      </w:tabs>
      <w:ind w:left="850"/>
    </w:pPr>
  </w:style>
  <w:style w:type="paragraph" w:customStyle="1" w:styleId="AufzhlungStufe3">
    <w:name w:val="Aufzählung (Stufe 3)"/>
    <w:basedOn w:val="Standard"/>
    <w:rsid w:val="0098296B"/>
    <w:pPr>
      <w:numPr>
        <w:numId w:val="22"/>
      </w:numPr>
      <w:tabs>
        <w:tab w:val="left" w:pos="850"/>
      </w:tabs>
    </w:pPr>
  </w:style>
  <w:style w:type="paragraph" w:customStyle="1" w:styleId="AufzhlungFolgeabsatzStufe3">
    <w:name w:val="Aufzählung Folgeabsatz (Stufe 3)"/>
    <w:basedOn w:val="Standard"/>
    <w:rsid w:val="0098296B"/>
    <w:pPr>
      <w:tabs>
        <w:tab w:val="left" w:pos="1276"/>
      </w:tabs>
      <w:ind w:left="1276"/>
    </w:pPr>
  </w:style>
  <w:style w:type="paragraph" w:customStyle="1" w:styleId="AufzhlungStufe4">
    <w:name w:val="Aufzählung (Stufe 4)"/>
    <w:basedOn w:val="Standard"/>
    <w:rsid w:val="0098296B"/>
    <w:pPr>
      <w:numPr>
        <w:numId w:val="23"/>
      </w:numPr>
      <w:tabs>
        <w:tab w:val="left" w:pos="1276"/>
      </w:tabs>
    </w:pPr>
  </w:style>
  <w:style w:type="paragraph" w:customStyle="1" w:styleId="AufzhlungFolgeabsatzStufe4">
    <w:name w:val="Aufzählung Folgeabsatz (Stufe 4)"/>
    <w:basedOn w:val="Standard"/>
    <w:rsid w:val="0098296B"/>
    <w:pPr>
      <w:tabs>
        <w:tab w:val="left" w:pos="1701"/>
      </w:tabs>
      <w:ind w:left="1701"/>
    </w:pPr>
  </w:style>
  <w:style w:type="paragraph" w:customStyle="1" w:styleId="AufzhlungStufe5">
    <w:name w:val="Aufzählung (Stufe 5)"/>
    <w:basedOn w:val="Standard"/>
    <w:rsid w:val="0098296B"/>
    <w:pPr>
      <w:numPr>
        <w:numId w:val="24"/>
      </w:numPr>
      <w:tabs>
        <w:tab w:val="left" w:pos="1701"/>
      </w:tabs>
    </w:pPr>
  </w:style>
  <w:style w:type="paragraph" w:customStyle="1" w:styleId="AufzhlungFolgeabsatzStufe5">
    <w:name w:val="Aufzählung Folgeabsatz (Stufe 5)"/>
    <w:basedOn w:val="Standard"/>
    <w:rsid w:val="0098296B"/>
    <w:pPr>
      <w:tabs>
        <w:tab w:val="left" w:pos="2126"/>
      </w:tabs>
      <w:ind w:left="2126"/>
    </w:pPr>
  </w:style>
  <w:style w:type="paragraph" w:customStyle="1" w:styleId="Formel">
    <w:name w:val="Formel"/>
    <w:basedOn w:val="Standard"/>
    <w:rsid w:val="0098296B"/>
    <w:pPr>
      <w:spacing w:before="240" w:after="240"/>
      <w:jc w:val="center"/>
    </w:pPr>
  </w:style>
  <w:style w:type="paragraph" w:customStyle="1" w:styleId="Grafik">
    <w:name w:val="Grafik"/>
    <w:basedOn w:val="Standard"/>
    <w:rsid w:val="0098296B"/>
    <w:pPr>
      <w:spacing w:before="240" w:after="240"/>
      <w:jc w:val="center"/>
    </w:pPr>
  </w:style>
  <w:style w:type="paragraph" w:customStyle="1" w:styleId="Text">
    <w:name w:val="Text"/>
    <w:basedOn w:val="Standard"/>
    <w:rsid w:val="0098296B"/>
  </w:style>
  <w:style w:type="paragraph" w:customStyle="1" w:styleId="TabelleTitel">
    <w:name w:val="Tabelle Titel"/>
    <w:basedOn w:val="Standard"/>
    <w:rsid w:val="0098296B"/>
    <w:pPr>
      <w:spacing w:before="240"/>
      <w:jc w:val="center"/>
    </w:pPr>
  </w:style>
  <w:style w:type="paragraph" w:customStyle="1" w:styleId="Tabelleberschrift">
    <w:name w:val="Tabelle Überschrift"/>
    <w:basedOn w:val="Standard"/>
    <w:next w:val="TabelleText"/>
    <w:rsid w:val="0098296B"/>
    <w:rPr>
      <w:b/>
      <w:sz w:val="16"/>
    </w:rPr>
  </w:style>
  <w:style w:type="paragraph" w:customStyle="1" w:styleId="TabelleText">
    <w:name w:val="Tabelle Text"/>
    <w:basedOn w:val="Standard"/>
    <w:rsid w:val="0098296B"/>
    <w:rPr>
      <w:sz w:val="16"/>
    </w:rPr>
  </w:style>
  <w:style w:type="paragraph" w:customStyle="1" w:styleId="TabelleAufzhlung">
    <w:name w:val="Tabelle Aufzählung"/>
    <w:basedOn w:val="Standard"/>
    <w:rsid w:val="0098296B"/>
    <w:pPr>
      <w:numPr>
        <w:numId w:val="25"/>
      </w:numPr>
    </w:pPr>
    <w:rPr>
      <w:sz w:val="16"/>
    </w:rPr>
  </w:style>
  <w:style w:type="paragraph" w:customStyle="1" w:styleId="TabelleListe">
    <w:name w:val="Tabelle Liste"/>
    <w:basedOn w:val="Standard"/>
    <w:rsid w:val="0098296B"/>
    <w:pPr>
      <w:numPr>
        <w:numId w:val="26"/>
      </w:numPr>
    </w:pPr>
    <w:rPr>
      <w:sz w:val="16"/>
    </w:rPr>
  </w:style>
  <w:style w:type="character" w:customStyle="1" w:styleId="Binnenverweis">
    <w:name w:val="Binnenverweis"/>
    <w:basedOn w:val="Absatz-Standardschriftart"/>
    <w:rsid w:val="0098296B"/>
    <w:rPr>
      <w:noProof/>
      <w:u w:val="none"/>
      <w:shd w:val="clear" w:color="auto" w:fill="E0E0E0"/>
    </w:rPr>
  </w:style>
  <w:style w:type="character" w:customStyle="1" w:styleId="Einzelverweisziel">
    <w:name w:val="Einzelverweisziel"/>
    <w:basedOn w:val="Absatz-Standardschriftart"/>
    <w:rsid w:val="0098296B"/>
    <w:rPr>
      <w:shd w:val="clear" w:color="auto" w:fill="F3F3F3"/>
    </w:rPr>
  </w:style>
  <w:style w:type="character" w:customStyle="1" w:styleId="Verweis">
    <w:name w:val="Verweis"/>
    <w:basedOn w:val="Absatz-Standardschriftart"/>
    <w:rsid w:val="0098296B"/>
    <w:rPr>
      <w:color w:val="000080"/>
      <w:shd w:val="clear" w:color="auto" w:fill="auto"/>
    </w:rPr>
  </w:style>
  <w:style w:type="character" w:customStyle="1" w:styleId="VerweisBezugsstelle">
    <w:name w:val="Verweis Bezugsstelle"/>
    <w:basedOn w:val="Absatz-Standardschriftart"/>
    <w:rsid w:val="0098296B"/>
    <w:rPr>
      <w:color w:val="000080"/>
      <w:shd w:val="clear" w:color="auto" w:fill="auto"/>
    </w:rPr>
  </w:style>
  <w:style w:type="paragraph" w:styleId="Kopfzeile">
    <w:name w:val="header"/>
    <w:basedOn w:val="Standard"/>
    <w:link w:val="KopfzeileZchn"/>
    <w:uiPriority w:val="99"/>
    <w:unhideWhenUsed/>
    <w:rsid w:val="0098296B"/>
    <w:pPr>
      <w:framePr w:w="9468" w:wrap="notBeside" w:vAnchor="page" w:hAnchor="margin" w:y="1178"/>
      <w:pBdr>
        <w:bottom w:val="single" w:sz="4" w:space="0" w:color="000000"/>
      </w:pBdr>
      <w:tabs>
        <w:tab w:val="center" w:pos="4734"/>
        <w:tab w:val="right" w:pos="9468"/>
      </w:tabs>
      <w:spacing w:before="80" w:after="80"/>
    </w:pPr>
  </w:style>
  <w:style w:type="character" w:customStyle="1" w:styleId="KopfzeileZchn">
    <w:name w:val="Kopfzeile Zchn"/>
    <w:basedOn w:val="Absatz-Standardschriftart"/>
    <w:link w:val="Kopfzeile"/>
    <w:uiPriority w:val="99"/>
    <w:rsid w:val="0098296B"/>
    <w:rPr>
      <w:rFonts w:ascii="Times New Roman" w:hAnsi="Times New Roman" w:cs="Times New Roman"/>
      <w:sz w:val="21"/>
      <w:shd w:val="clear" w:color="auto" w:fill="auto"/>
    </w:rPr>
  </w:style>
  <w:style w:type="character" w:styleId="Funotenzeichen">
    <w:name w:val="footnote reference"/>
    <w:basedOn w:val="Absatz-Standardschriftart"/>
    <w:uiPriority w:val="99"/>
    <w:semiHidden/>
    <w:unhideWhenUsed/>
    <w:rsid w:val="0098296B"/>
    <w:rPr>
      <w:shd w:val="clear" w:color="auto" w:fill="auto"/>
      <w:vertAlign w:val="superscript"/>
    </w:rPr>
  </w:style>
  <w:style w:type="character" w:customStyle="1" w:styleId="Marker">
    <w:name w:val="Marker"/>
    <w:basedOn w:val="Absatz-Standardschriftart"/>
    <w:rsid w:val="0098296B"/>
    <w:rPr>
      <w:color w:val="0000FF"/>
      <w:shd w:val="clear" w:color="auto" w:fill="auto"/>
    </w:rPr>
  </w:style>
  <w:style w:type="character" w:customStyle="1" w:styleId="Marker1">
    <w:name w:val="Marker1"/>
    <w:basedOn w:val="Absatz-Standardschriftart"/>
    <w:rsid w:val="0098296B"/>
    <w:rPr>
      <w:color w:val="008000"/>
      <w:shd w:val="clear" w:color="auto" w:fill="auto"/>
    </w:rPr>
  </w:style>
  <w:style w:type="character" w:customStyle="1" w:styleId="Marker2">
    <w:name w:val="Marker2"/>
    <w:basedOn w:val="Absatz-Standardschriftart"/>
    <w:rsid w:val="0098296B"/>
    <w:rPr>
      <w:color w:val="FF0000"/>
      <w:shd w:val="clear" w:color="auto" w:fill="auto"/>
    </w:rPr>
  </w:style>
  <w:style w:type="paragraph" w:customStyle="1" w:styleId="Hinweistext">
    <w:name w:val="Hinweistext"/>
    <w:basedOn w:val="Standard"/>
    <w:next w:val="Text"/>
    <w:rsid w:val="0098296B"/>
    <w:rPr>
      <w:color w:val="00800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296B"/>
    <w:rPr>
      <w:rFonts w:ascii="Times New Roman" w:eastAsiaTheme="majorEastAsia" w:hAnsi="Times New Roman" w:cs="Times New Roman"/>
      <w:b/>
      <w:bCs/>
      <w:kern w:val="32"/>
      <w:sz w:val="21"/>
      <w:szCs w:val="28"/>
      <w:shd w:val="clear" w:color="auto" w:fill="auto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8296B"/>
    <w:rPr>
      <w:rFonts w:ascii="Times New Roman" w:eastAsiaTheme="majorEastAsia" w:hAnsi="Times New Roman" w:cs="Times New Roman"/>
      <w:b/>
      <w:bCs/>
      <w:sz w:val="21"/>
      <w:szCs w:val="26"/>
      <w:shd w:val="clear" w:color="auto" w:fill="auto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8296B"/>
    <w:rPr>
      <w:rFonts w:ascii="Times New Roman" w:eastAsiaTheme="majorEastAsia" w:hAnsi="Times New Roman" w:cs="Times New Roman"/>
      <w:b/>
      <w:bCs/>
      <w:sz w:val="21"/>
      <w:shd w:val="clear" w:color="auto" w:fill="auto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8296B"/>
    <w:rPr>
      <w:rFonts w:ascii="Times New Roman" w:eastAsiaTheme="majorEastAsia" w:hAnsi="Times New Roman" w:cs="Times New Roman"/>
      <w:bCs/>
      <w:iCs/>
      <w:sz w:val="21"/>
      <w:shd w:val="clear" w:color="auto" w:fill="auto"/>
    </w:rPr>
  </w:style>
  <w:style w:type="paragraph" w:customStyle="1" w:styleId="RevisionJuristischerAbsatz">
    <w:name w:val="Revision Juristischer Absatz"/>
    <w:basedOn w:val="Standard"/>
    <w:rsid w:val="0098296B"/>
    <w:pPr>
      <w:numPr>
        <w:ilvl w:val="2"/>
        <w:numId w:val="27"/>
      </w:numPr>
    </w:pPr>
    <w:rPr>
      <w:color w:val="800000"/>
    </w:rPr>
  </w:style>
  <w:style w:type="paragraph" w:customStyle="1" w:styleId="RevisionJuristischerAbsatzmanuell">
    <w:name w:val="Revision Juristischer Absatz (manuell)"/>
    <w:basedOn w:val="Standard"/>
    <w:rsid w:val="0098296B"/>
    <w:pPr>
      <w:tabs>
        <w:tab w:val="left" w:pos="850"/>
      </w:tabs>
      <w:ind w:firstLine="425"/>
    </w:pPr>
    <w:rPr>
      <w:color w:val="800000"/>
    </w:rPr>
  </w:style>
  <w:style w:type="paragraph" w:customStyle="1" w:styleId="RevisionJuristischerAbsatzFolgeabsatz">
    <w:name w:val="Revision Juristischer Absatz Folgeabsatz"/>
    <w:basedOn w:val="Standard"/>
    <w:rsid w:val="0098296B"/>
    <w:rPr>
      <w:color w:val="800000"/>
    </w:rPr>
  </w:style>
  <w:style w:type="paragraph" w:customStyle="1" w:styleId="RevisionNummerierungStufe1manuell">
    <w:name w:val="Revision Nummerierung (Stufe 1) (manuell)"/>
    <w:basedOn w:val="Standard"/>
    <w:rsid w:val="0098296B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NummerierungFolgeabsatzStufe1">
    <w:name w:val="Revision Nummerierung Folgeabsatz (Stufe 1)"/>
    <w:basedOn w:val="Standard"/>
    <w:rsid w:val="0098296B"/>
    <w:pPr>
      <w:ind w:left="425"/>
    </w:pPr>
    <w:rPr>
      <w:color w:val="800000"/>
    </w:rPr>
  </w:style>
  <w:style w:type="paragraph" w:customStyle="1" w:styleId="RevisionNummerierungStufe2manuell">
    <w:name w:val="Revision Nummerierung (Stufe 2) (manuell)"/>
    <w:basedOn w:val="Standard"/>
    <w:rsid w:val="0098296B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NummerierungFolgeabsatzStufe2">
    <w:name w:val="Revision Nummerierung Folgeabsatz (Stufe 2)"/>
    <w:basedOn w:val="Standard"/>
    <w:rsid w:val="0098296B"/>
    <w:pPr>
      <w:ind w:left="850"/>
    </w:pPr>
    <w:rPr>
      <w:color w:val="800000"/>
    </w:rPr>
  </w:style>
  <w:style w:type="paragraph" w:customStyle="1" w:styleId="RevisionNummerierungStufe3manuell">
    <w:name w:val="Revision Nummerierung (Stufe 3) (manuell)"/>
    <w:basedOn w:val="Standard"/>
    <w:rsid w:val="0098296B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NummerierungFolgeabsatzStufe3">
    <w:name w:val="Revision Nummerierung Folgeabsatz (Stufe 3)"/>
    <w:basedOn w:val="Standard"/>
    <w:rsid w:val="0098296B"/>
    <w:pPr>
      <w:ind w:left="1276"/>
    </w:pPr>
    <w:rPr>
      <w:color w:val="800000"/>
    </w:rPr>
  </w:style>
  <w:style w:type="paragraph" w:customStyle="1" w:styleId="RevisionNummerierungStufe4manuell">
    <w:name w:val="Revision Nummerierung (Stufe 4) (manuell)"/>
    <w:basedOn w:val="Standard"/>
    <w:rsid w:val="0098296B"/>
    <w:pPr>
      <w:tabs>
        <w:tab w:val="left" w:pos="1701"/>
      </w:tabs>
      <w:ind w:left="1984" w:hanging="709"/>
    </w:pPr>
    <w:rPr>
      <w:color w:val="800000"/>
    </w:rPr>
  </w:style>
  <w:style w:type="paragraph" w:customStyle="1" w:styleId="RevisionNummerierungFolgeabsatzStufe4">
    <w:name w:val="Revision Nummerierung Folgeabsatz (Stufe 4)"/>
    <w:basedOn w:val="Standard"/>
    <w:rsid w:val="0098296B"/>
    <w:pPr>
      <w:ind w:left="1984"/>
    </w:pPr>
    <w:rPr>
      <w:color w:val="800000"/>
    </w:rPr>
  </w:style>
  <w:style w:type="paragraph" w:customStyle="1" w:styleId="RevisionNummerierungStufe1">
    <w:name w:val="Revision Nummerierung (Stufe 1)"/>
    <w:basedOn w:val="Standard"/>
    <w:rsid w:val="0098296B"/>
    <w:pPr>
      <w:numPr>
        <w:ilvl w:val="3"/>
        <w:numId w:val="27"/>
      </w:numPr>
    </w:pPr>
    <w:rPr>
      <w:color w:val="800000"/>
    </w:rPr>
  </w:style>
  <w:style w:type="paragraph" w:customStyle="1" w:styleId="RevisionNummerierungStufe2">
    <w:name w:val="Revision Nummerierung (Stufe 2)"/>
    <w:basedOn w:val="Standard"/>
    <w:rsid w:val="0098296B"/>
    <w:pPr>
      <w:numPr>
        <w:ilvl w:val="4"/>
        <w:numId w:val="27"/>
      </w:numPr>
    </w:pPr>
    <w:rPr>
      <w:color w:val="800000"/>
    </w:rPr>
  </w:style>
  <w:style w:type="paragraph" w:customStyle="1" w:styleId="RevisionNummerierungStufe3">
    <w:name w:val="Revision Nummerierung (Stufe 3)"/>
    <w:basedOn w:val="Standard"/>
    <w:rsid w:val="0098296B"/>
    <w:pPr>
      <w:numPr>
        <w:ilvl w:val="5"/>
        <w:numId w:val="27"/>
      </w:numPr>
    </w:pPr>
    <w:rPr>
      <w:color w:val="800000"/>
    </w:rPr>
  </w:style>
  <w:style w:type="paragraph" w:customStyle="1" w:styleId="RevisionNummerierungStufe4">
    <w:name w:val="Revision Nummerierung (Stufe 4)"/>
    <w:basedOn w:val="Standard"/>
    <w:rsid w:val="0098296B"/>
    <w:pPr>
      <w:numPr>
        <w:ilvl w:val="6"/>
        <w:numId w:val="27"/>
      </w:numPr>
    </w:pPr>
    <w:rPr>
      <w:color w:val="800000"/>
    </w:rPr>
  </w:style>
  <w:style w:type="character" w:customStyle="1" w:styleId="RevisionText">
    <w:name w:val="Revision Text"/>
    <w:basedOn w:val="Absatz-Standardschriftart"/>
    <w:rsid w:val="0098296B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Standard"/>
    <w:next w:val="RevisionParagraphberschrift"/>
    <w:rsid w:val="0098296B"/>
    <w:pPr>
      <w:keepNext/>
      <w:numPr>
        <w:ilvl w:val="1"/>
        <w:numId w:val="27"/>
      </w:numPr>
      <w:spacing w:before="480"/>
      <w:jc w:val="center"/>
    </w:pPr>
    <w:rPr>
      <w:color w:val="800000"/>
    </w:rPr>
  </w:style>
  <w:style w:type="paragraph" w:customStyle="1" w:styleId="RevisionParagraphBezeichnermanuell">
    <w:name w:val="Revision Paragraph Bezeichner (manuell)"/>
    <w:basedOn w:val="Standard"/>
    <w:next w:val="RevisionParagraphberschrift"/>
    <w:rsid w:val="0098296B"/>
    <w:pPr>
      <w:keepNext/>
      <w:spacing w:before="480"/>
      <w:jc w:val="center"/>
    </w:pPr>
    <w:rPr>
      <w:color w:val="800000"/>
    </w:rPr>
  </w:style>
  <w:style w:type="paragraph" w:customStyle="1" w:styleId="RevisionParagraphberschrift">
    <w:name w:val="Revision Paragraph Überschrift"/>
    <w:basedOn w:val="Standard"/>
    <w:next w:val="RevisionJuristischerAbsatz"/>
    <w:rsid w:val="0098296B"/>
    <w:pPr>
      <w:keepNext/>
      <w:jc w:val="center"/>
    </w:pPr>
    <w:rPr>
      <w:color w:val="800000"/>
    </w:rPr>
  </w:style>
  <w:style w:type="paragraph" w:customStyle="1" w:styleId="RevisionBuchBezeichner">
    <w:name w:val="Revision Buch Bezeichner"/>
    <w:basedOn w:val="Standard"/>
    <w:next w:val="RevisionBuchberschrift"/>
    <w:rsid w:val="0098296B"/>
    <w:pPr>
      <w:keepNext/>
      <w:spacing w:before="480"/>
      <w:jc w:val="center"/>
    </w:pPr>
    <w:rPr>
      <w:color w:val="800000"/>
      <w:sz w:val="24"/>
    </w:rPr>
  </w:style>
  <w:style w:type="paragraph" w:customStyle="1" w:styleId="RevisionBuchberschrift">
    <w:name w:val="Revision Buch Überschrift"/>
    <w:basedOn w:val="Standard"/>
    <w:next w:val="RevisionParagraphBezeichner"/>
    <w:rsid w:val="0098296B"/>
    <w:pPr>
      <w:keepNext/>
      <w:spacing w:after="240"/>
      <w:jc w:val="center"/>
    </w:pPr>
    <w:rPr>
      <w:color w:val="800000"/>
      <w:sz w:val="24"/>
    </w:rPr>
  </w:style>
  <w:style w:type="paragraph" w:customStyle="1" w:styleId="RevisionTeilBezeichner">
    <w:name w:val="Revision Teil Bezeichner"/>
    <w:basedOn w:val="Standard"/>
    <w:next w:val="RevisionTeilberschrift"/>
    <w:rsid w:val="0098296B"/>
    <w:pPr>
      <w:keepNext/>
      <w:spacing w:before="480"/>
      <w:jc w:val="center"/>
    </w:pPr>
    <w:rPr>
      <w:color w:val="800000"/>
      <w:sz w:val="24"/>
    </w:rPr>
  </w:style>
  <w:style w:type="paragraph" w:customStyle="1" w:styleId="RevisionTeilberschrift">
    <w:name w:val="Revision Teil Überschrift"/>
    <w:basedOn w:val="Standard"/>
    <w:next w:val="RevisionParagraphBezeichner"/>
    <w:rsid w:val="0098296B"/>
    <w:pPr>
      <w:keepNext/>
      <w:spacing w:after="240"/>
      <w:jc w:val="center"/>
    </w:pPr>
    <w:rPr>
      <w:color w:val="800000"/>
      <w:sz w:val="24"/>
    </w:rPr>
  </w:style>
  <w:style w:type="paragraph" w:customStyle="1" w:styleId="RevisionKapitelBezeichner">
    <w:name w:val="Revision Kapitel Bezeichner"/>
    <w:basedOn w:val="Standard"/>
    <w:next w:val="RevisionKapitelberschrift"/>
    <w:rsid w:val="0098296B"/>
    <w:pPr>
      <w:keepNext/>
      <w:spacing w:before="480"/>
      <w:jc w:val="center"/>
    </w:pPr>
    <w:rPr>
      <w:color w:val="800000"/>
      <w:sz w:val="24"/>
    </w:rPr>
  </w:style>
  <w:style w:type="paragraph" w:customStyle="1" w:styleId="RevisionKapitelberschrift">
    <w:name w:val="Revision Kapitel Überschrift"/>
    <w:basedOn w:val="Standard"/>
    <w:next w:val="RevisionParagraphBezeichner"/>
    <w:rsid w:val="0098296B"/>
    <w:pPr>
      <w:keepNext/>
      <w:spacing w:after="240"/>
      <w:jc w:val="center"/>
    </w:pPr>
    <w:rPr>
      <w:color w:val="800000"/>
      <w:sz w:val="24"/>
    </w:rPr>
  </w:style>
  <w:style w:type="paragraph" w:customStyle="1" w:styleId="RevisionAbschnittBezeichner">
    <w:name w:val="Revision Abschnitt Bezeichner"/>
    <w:basedOn w:val="Standard"/>
    <w:next w:val="RevisionAbschnittberschrift"/>
    <w:rsid w:val="0098296B"/>
    <w:pPr>
      <w:keepNext/>
      <w:spacing w:before="480"/>
      <w:jc w:val="center"/>
    </w:pPr>
    <w:rPr>
      <w:color w:val="800000"/>
    </w:rPr>
  </w:style>
  <w:style w:type="paragraph" w:customStyle="1" w:styleId="RevisionAbschnittberschrift">
    <w:name w:val="Revision Abschnitt Überschrift"/>
    <w:basedOn w:val="Standard"/>
    <w:next w:val="RevisionParagraphBezeichner"/>
    <w:rsid w:val="0098296B"/>
    <w:pPr>
      <w:keepNext/>
      <w:spacing w:after="240"/>
      <w:jc w:val="center"/>
    </w:pPr>
    <w:rPr>
      <w:color w:val="800000"/>
    </w:rPr>
  </w:style>
  <w:style w:type="paragraph" w:customStyle="1" w:styleId="RevisionUnterabschnittBezeichner">
    <w:name w:val="Revision Unterabschnitt Bezeichner"/>
    <w:basedOn w:val="Standard"/>
    <w:next w:val="RevisionUnterabschnittberschrift"/>
    <w:rsid w:val="0098296B"/>
    <w:pPr>
      <w:keepNext/>
      <w:spacing w:before="480"/>
      <w:jc w:val="center"/>
    </w:pPr>
    <w:rPr>
      <w:color w:val="800000"/>
    </w:rPr>
  </w:style>
  <w:style w:type="paragraph" w:customStyle="1" w:styleId="RevisionUnterabschnittberschrift">
    <w:name w:val="Revision Unterabschnitt Überschrift"/>
    <w:basedOn w:val="Standard"/>
    <w:next w:val="RevisionParagraphBezeichner"/>
    <w:rsid w:val="0098296B"/>
    <w:pPr>
      <w:keepNext/>
      <w:spacing w:after="240"/>
      <w:jc w:val="center"/>
    </w:pPr>
    <w:rPr>
      <w:color w:val="800000"/>
    </w:rPr>
  </w:style>
  <w:style w:type="paragraph" w:customStyle="1" w:styleId="RevisionTitelBezeichner">
    <w:name w:val="Revision Titel Bezeichner"/>
    <w:basedOn w:val="Standard"/>
    <w:next w:val="RevisionTitelberschrift"/>
    <w:rsid w:val="0098296B"/>
    <w:pPr>
      <w:keepNext/>
      <w:spacing w:before="480"/>
      <w:jc w:val="center"/>
    </w:pPr>
    <w:rPr>
      <w:color w:val="800000"/>
    </w:rPr>
  </w:style>
  <w:style w:type="paragraph" w:customStyle="1" w:styleId="RevisionTitelberschrift">
    <w:name w:val="Revision Titel Überschrift"/>
    <w:basedOn w:val="Standard"/>
    <w:next w:val="RevisionParagraphBezeichner"/>
    <w:rsid w:val="0098296B"/>
    <w:pPr>
      <w:keepNext/>
      <w:spacing w:after="240"/>
      <w:jc w:val="center"/>
    </w:pPr>
    <w:rPr>
      <w:color w:val="800000"/>
    </w:rPr>
  </w:style>
  <w:style w:type="paragraph" w:customStyle="1" w:styleId="RevisionUntertitelBezeichner">
    <w:name w:val="Revision Untertitel Bezeichner"/>
    <w:basedOn w:val="Standard"/>
    <w:next w:val="RevisionUntertitelberschrift"/>
    <w:rsid w:val="0098296B"/>
    <w:pPr>
      <w:keepNext/>
      <w:spacing w:before="480"/>
      <w:jc w:val="center"/>
    </w:pPr>
    <w:rPr>
      <w:color w:val="800000"/>
    </w:rPr>
  </w:style>
  <w:style w:type="paragraph" w:customStyle="1" w:styleId="RevisionUntertitelberschrift">
    <w:name w:val="Revision Untertitel Überschrift"/>
    <w:basedOn w:val="Standard"/>
    <w:next w:val="RevisionParagraphBezeichner"/>
    <w:rsid w:val="0098296B"/>
    <w:pPr>
      <w:keepNext/>
      <w:spacing w:after="240"/>
      <w:jc w:val="center"/>
    </w:pPr>
    <w:rPr>
      <w:color w:val="800000"/>
    </w:rPr>
  </w:style>
  <w:style w:type="paragraph" w:customStyle="1" w:styleId="RevisionArtikelBezeichnermanuell">
    <w:name w:val="Revision Artikel Bezeichner (manuell)"/>
    <w:basedOn w:val="Standard"/>
    <w:next w:val="RevisionArtikelberschrift"/>
    <w:rsid w:val="0098296B"/>
    <w:pPr>
      <w:keepNext/>
      <w:spacing w:before="480" w:after="240"/>
      <w:jc w:val="center"/>
    </w:pPr>
    <w:rPr>
      <w:color w:val="800000"/>
      <w:sz w:val="22"/>
    </w:rPr>
  </w:style>
  <w:style w:type="paragraph" w:customStyle="1" w:styleId="RevisionArtikelBezeichner">
    <w:name w:val="Revision Artikel Bezeichner"/>
    <w:basedOn w:val="Standard"/>
    <w:next w:val="RevisionArtikelberschrift"/>
    <w:rsid w:val="0098296B"/>
    <w:pPr>
      <w:keepNext/>
      <w:numPr>
        <w:numId w:val="27"/>
      </w:numPr>
      <w:spacing w:before="480" w:after="240"/>
      <w:jc w:val="center"/>
    </w:pPr>
    <w:rPr>
      <w:color w:val="800000"/>
      <w:sz w:val="22"/>
    </w:rPr>
  </w:style>
  <w:style w:type="paragraph" w:customStyle="1" w:styleId="RevisionArtikelberschrift">
    <w:name w:val="Revision Artikel Überschrift"/>
    <w:basedOn w:val="Standard"/>
    <w:next w:val="RevisionJuristischerAbsatz"/>
    <w:rsid w:val="0098296B"/>
    <w:pPr>
      <w:keepNext/>
      <w:spacing w:after="240"/>
      <w:jc w:val="center"/>
    </w:pPr>
    <w:rPr>
      <w:color w:val="800000"/>
      <w:sz w:val="22"/>
    </w:rPr>
  </w:style>
  <w:style w:type="paragraph" w:customStyle="1" w:styleId="RevisionBezeichnungStammdokument">
    <w:name w:val="Revision Bezeichnung (Stammdokument)"/>
    <w:basedOn w:val="Standard"/>
    <w:next w:val="RevisionKurzbezeichnung-AbkrzungStammdokument"/>
    <w:rsid w:val="0098296B"/>
    <w:pPr>
      <w:spacing w:after="120"/>
      <w:jc w:val="center"/>
    </w:pPr>
    <w:rPr>
      <w:rFonts w:ascii="Arial" w:hAnsi="Arial" w:cs="Arial"/>
      <w:color w:val="800000"/>
      <w:sz w:val="24"/>
    </w:rPr>
  </w:style>
  <w:style w:type="paragraph" w:customStyle="1" w:styleId="RevisionKurzbezeichnung-AbkrzungStammdokument">
    <w:name w:val="Revision Kurzbezeichnung - Abkürzung (Stammdokument)"/>
    <w:basedOn w:val="Standard"/>
    <w:rsid w:val="0098296B"/>
    <w:pPr>
      <w:jc w:val="center"/>
    </w:pPr>
    <w:rPr>
      <w:rFonts w:ascii="Arial" w:hAnsi="Arial" w:cs="Arial"/>
      <w:color w:val="800000"/>
      <w:sz w:val="24"/>
    </w:rPr>
  </w:style>
  <w:style w:type="paragraph" w:customStyle="1" w:styleId="RevisionEingangsformelStandardStammdokument">
    <w:name w:val="Revision Eingangsformel Standard (Stammdokument)"/>
    <w:basedOn w:val="Standard"/>
    <w:rsid w:val="0098296B"/>
    <w:pPr>
      <w:ind w:firstLine="425"/>
    </w:pPr>
    <w:rPr>
      <w:color w:val="800000"/>
    </w:rPr>
  </w:style>
  <w:style w:type="paragraph" w:customStyle="1" w:styleId="RevisionEingangsformelAufzhlungStammdokument">
    <w:name w:val="Revision Eingangsformel Aufzählung (Stammdokument)"/>
    <w:basedOn w:val="Standard"/>
    <w:rsid w:val="0098296B"/>
    <w:pPr>
      <w:numPr>
        <w:numId w:val="34"/>
      </w:numPr>
    </w:pPr>
    <w:rPr>
      <w:color w:val="800000"/>
    </w:rPr>
  </w:style>
  <w:style w:type="paragraph" w:customStyle="1" w:styleId="RevisionVerzeichnisTitelStammdokument">
    <w:name w:val="Revision Verzeichnis Titel (Stammdokument)"/>
    <w:basedOn w:val="Standard"/>
    <w:next w:val="RevisionVerzeichnis2"/>
    <w:rsid w:val="0098296B"/>
    <w:pPr>
      <w:spacing w:before="180"/>
      <w:jc w:val="center"/>
    </w:pPr>
    <w:rPr>
      <w:color w:val="800000"/>
    </w:rPr>
  </w:style>
  <w:style w:type="paragraph" w:customStyle="1" w:styleId="RevisionVerzeichnis1">
    <w:name w:val="Revision Verzeichnis 1"/>
    <w:basedOn w:val="Standard"/>
    <w:rsid w:val="0098296B"/>
    <w:pPr>
      <w:tabs>
        <w:tab w:val="left" w:pos="1134"/>
      </w:tabs>
      <w:ind w:left="1134" w:hanging="1134"/>
    </w:pPr>
    <w:rPr>
      <w:color w:val="800000"/>
    </w:rPr>
  </w:style>
  <w:style w:type="paragraph" w:customStyle="1" w:styleId="RevisionVerzeichnis2">
    <w:name w:val="Revision Verzeichnis 2"/>
    <w:basedOn w:val="Standard"/>
    <w:rsid w:val="0098296B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3">
    <w:name w:val="Revision Verzeichnis 3"/>
    <w:basedOn w:val="Standard"/>
    <w:rsid w:val="0098296B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4">
    <w:name w:val="Revision Verzeichnis 4"/>
    <w:basedOn w:val="Standard"/>
    <w:rsid w:val="0098296B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5">
    <w:name w:val="Revision Verzeichnis 5"/>
    <w:basedOn w:val="Standard"/>
    <w:rsid w:val="0098296B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6">
    <w:name w:val="Revision Verzeichnis 6"/>
    <w:basedOn w:val="Standard"/>
    <w:rsid w:val="0098296B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7">
    <w:name w:val="Revision Verzeichnis 7"/>
    <w:basedOn w:val="Standard"/>
    <w:rsid w:val="0098296B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8">
    <w:name w:val="Revision Verzeichnis 8"/>
    <w:basedOn w:val="Standard"/>
    <w:rsid w:val="0098296B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9">
    <w:name w:val="Revision Verzeichnis 9"/>
    <w:basedOn w:val="Standard"/>
    <w:rsid w:val="0098296B"/>
    <w:pPr>
      <w:tabs>
        <w:tab w:val="left" w:pos="709"/>
      </w:tabs>
      <w:ind w:left="709" w:hanging="709"/>
    </w:pPr>
    <w:rPr>
      <w:color w:val="800000"/>
    </w:rPr>
  </w:style>
  <w:style w:type="paragraph" w:customStyle="1" w:styleId="RevisionAnlageBezeichner">
    <w:name w:val="Revision Anlage Bezeichner"/>
    <w:basedOn w:val="Standard"/>
    <w:next w:val="RevisionAnlageVerweis"/>
    <w:rsid w:val="0098296B"/>
    <w:pPr>
      <w:spacing w:before="240"/>
      <w:jc w:val="right"/>
    </w:pPr>
    <w:rPr>
      <w:color w:val="800000"/>
      <w:sz w:val="24"/>
    </w:rPr>
  </w:style>
  <w:style w:type="paragraph" w:customStyle="1" w:styleId="RevisionAnlageberschrift">
    <w:name w:val="Revision Anlage Überschrift"/>
    <w:basedOn w:val="Standard"/>
    <w:next w:val="RevisionAnlageText"/>
    <w:rsid w:val="0098296B"/>
    <w:pPr>
      <w:jc w:val="center"/>
    </w:pPr>
    <w:rPr>
      <w:color w:val="800000"/>
      <w:sz w:val="24"/>
    </w:rPr>
  </w:style>
  <w:style w:type="paragraph" w:customStyle="1" w:styleId="RevisionAnlageVerzeichnisTitel">
    <w:name w:val="Revision Anlage Verzeichnis Titel"/>
    <w:basedOn w:val="Standard"/>
    <w:next w:val="RevisionAnlageVerzeichnis1"/>
    <w:rsid w:val="0098296B"/>
    <w:pPr>
      <w:jc w:val="center"/>
    </w:pPr>
    <w:rPr>
      <w:color w:val="800000"/>
      <w:sz w:val="24"/>
    </w:rPr>
  </w:style>
  <w:style w:type="paragraph" w:customStyle="1" w:styleId="RevisionAnlageVerzeichnis1">
    <w:name w:val="Revision Anlage Verzeichnis 1"/>
    <w:basedOn w:val="Standard"/>
    <w:rsid w:val="0098296B"/>
    <w:pPr>
      <w:jc w:val="center"/>
    </w:pPr>
    <w:rPr>
      <w:color w:val="800000"/>
      <w:sz w:val="22"/>
    </w:rPr>
  </w:style>
  <w:style w:type="paragraph" w:customStyle="1" w:styleId="RevisionAnlageVerzeichnis2">
    <w:name w:val="Revision Anlage Verzeichnis 2"/>
    <w:basedOn w:val="Standard"/>
    <w:rsid w:val="0098296B"/>
    <w:pPr>
      <w:jc w:val="center"/>
    </w:pPr>
    <w:rPr>
      <w:color w:val="800000"/>
      <w:sz w:val="22"/>
    </w:rPr>
  </w:style>
  <w:style w:type="paragraph" w:customStyle="1" w:styleId="RevisionAnlageVerzeichnis3">
    <w:name w:val="Revision Anlage Verzeichnis 3"/>
    <w:basedOn w:val="Standard"/>
    <w:rsid w:val="0098296B"/>
    <w:pPr>
      <w:jc w:val="center"/>
    </w:pPr>
    <w:rPr>
      <w:color w:val="800000"/>
    </w:rPr>
  </w:style>
  <w:style w:type="paragraph" w:customStyle="1" w:styleId="RevisionAnlageVerzeichnis4">
    <w:name w:val="Revision Anlage Verzeichnis 4"/>
    <w:basedOn w:val="Standard"/>
    <w:rsid w:val="0098296B"/>
    <w:pPr>
      <w:jc w:val="center"/>
    </w:pPr>
    <w:rPr>
      <w:color w:val="800000"/>
    </w:rPr>
  </w:style>
  <w:style w:type="paragraph" w:customStyle="1" w:styleId="Revisionberschrift1">
    <w:name w:val="Revision Überschrift 1"/>
    <w:basedOn w:val="Standard"/>
    <w:next w:val="RevisionAnlageText"/>
    <w:rsid w:val="0098296B"/>
    <w:pPr>
      <w:keepNext/>
      <w:spacing w:before="240"/>
    </w:pPr>
    <w:rPr>
      <w:color w:val="800000"/>
    </w:rPr>
  </w:style>
  <w:style w:type="paragraph" w:customStyle="1" w:styleId="Revisionberschrift2">
    <w:name w:val="Revision Überschrift 2"/>
    <w:basedOn w:val="Standard"/>
    <w:next w:val="RevisionAnlageText"/>
    <w:rsid w:val="0098296B"/>
    <w:pPr>
      <w:keepNext/>
      <w:spacing w:before="240"/>
    </w:pPr>
    <w:rPr>
      <w:color w:val="800000"/>
    </w:rPr>
  </w:style>
  <w:style w:type="paragraph" w:customStyle="1" w:styleId="Revisionberschrift3">
    <w:name w:val="Revision Überschrift 3"/>
    <w:basedOn w:val="Standard"/>
    <w:next w:val="RevisionAnlageText"/>
    <w:rsid w:val="0098296B"/>
    <w:pPr>
      <w:keepNext/>
      <w:spacing w:before="240"/>
    </w:pPr>
    <w:rPr>
      <w:color w:val="800000"/>
    </w:rPr>
  </w:style>
  <w:style w:type="paragraph" w:customStyle="1" w:styleId="Revisionberschrift4">
    <w:name w:val="Revision Überschrift 4"/>
    <w:basedOn w:val="Standard"/>
    <w:next w:val="RevisionAnlageText"/>
    <w:rsid w:val="0098296B"/>
    <w:pPr>
      <w:keepNext/>
      <w:spacing w:before="240"/>
    </w:pPr>
    <w:rPr>
      <w:color w:val="800000"/>
    </w:rPr>
  </w:style>
  <w:style w:type="paragraph" w:customStyle="1" w:styleId="RevisionAnlageText">
    <w:name w:val="Revision Anlage Text"/>
    <w:basedOn w:val="Standard"/>
    <w:rsid w:val="0098296B"/>
    <w:rPr>
      <w:color w:val="800000"/>
    </w:rPr>
  </w:style>
  <w:style w:type="paragraph" w:customStyle="1" w:styleId="RevisionListeStufe1">
    <w:name w:val="Revision Liste (Stufe 1)"/>
    <w:basedOn w:val="Standard"/>
    <w:rsid w:val="0098296B"/>
    <w:pPr>
      <w:numPr>
        <w:numId w:val="28"/>
      </w:numPr>
      <w:tabs>
        <w:tab w:val="left" w:pos="0"/>
      </w:tabs>
    </w:pPr>
    <w:rPr>
      <w:color w:val="800000"/>
    </w:rPr>
  </w:style>
  <w:style w:type="paragraph" w:customStyle="1" w:styleId="RevisionListeStufe1manuell">
    <w:name w:val="Revision Liste (Stufe 1) (manuell)"/>
    <w:basedOn w:val="Standard"/>
    <w:rsid w:val="0098296B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ListeFolgeabsatzStufe1">
    <w:name w:val="Revision Liste Folgeabsatz (Stufe 1)"/>
    <w:basedOn w:val="Standard"/>
    <w:rsid w:val="0098296B"/>
    <w:pPr>
      <w:numPr>
        <w:ilvl w:val="1"/>
        <w:numId w:val="28"/>
      </w:numPr>
    </w:pPr>
    <w:rPr>
      <w:color w:val="800000"/>
    </w:rPr>
  </w:style>
  <w:style w:type="paragraph" w:customStyle="1" w:styleId="RevisionListeStufe2">
    <w:name w:val="Revision Liste (Stufe 2)"/>
    <w:basedOn w:val="Standard"/>
    <w:rsid w:val="0098296B"/>
    <w:pPr>
      <w:numPr>
        <w:ilvl w:val="2"/>
        <w:numId w:val="28"/>
      </w:numPr>
    </w:pPr>
    <w:rPr>
      <w:color w:val="800000"/>
    </w:rPr>
  </w:style>
  <w:style w:type="paragraph" w:customStyle="1" w:styleId="RevisionListeStufe2manuell">
    <w:name w:val="Revision Liste (Stufe 2) (manuell)"/>
    <w:basedOn w:val="Standard"/>
    <w:rsid w:val="0098296B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ListeFolgeabsatzStufe2">
    <w:name w:val="Revision Liste Folgeabsatz (Stufe 2)"/>
    <w:basedOn w:val="Standard"/>
    <w:rsid w:val="0098296B"/>
    <w:pPr>
      <w:numPr>
        <w:ilvl w:val="3"/>
        <w:numId w:val="28"/>
      </w:numPr>
    </w:pPr>
    <w:rPr>
      <w:color w:val="800000"/>
    </w:rPr>
  </w:style>
  <w:style w:type="paragraph" w:customStyle="1" w:styleId="RevisionListeStufe3">
    <w:name w:val="Revision Liste (Stufe 3)"/>
    <w:basedOn w:val="Standard"/>
    <w:rsid w:val="0098296B"/>
    <w:pPr>
      <w:numPr>
        <w:ilvl w:val="4"/>
        <w:numId w:val="28"/>
      </w:numPr>
    </w:pPr>
    <w:rPr>
      <w:color w:val="800000"/>
    </w:rPr>
  </w:style>
  <w:style w:type="paragraph" w:customStyle="1" w:styleId="RevisionListeStufe3manuell">
    <w:name w:val="Revision Liste (Stufe 3) (manuell)"/>
    <w:basedOn w:val="Standard"/>
    <w:rsid w:val="0098296B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ListeFolgeabsatzStufe3">
    <w:name w:val="Revision Liste Folgeabsatz (Stufe 3)"/>
    <w:basedOn w:val="Standard"/>
    <w:rsid w:val="0098296B"/>
    <w:pPr>
      <w:numPr>
        <w:ilvl w:val="5"/>
        <w:numId w:val="28"/>
      </w:numPr>
    </w:pPr>
    <w:rPr>
      <w:color w:val="800000"/>
    </w:rPr>
  </w:style>
  <w:style w:type="paragraph" w:customStyle="1" w:styleId="RevisionListeStufe4">
    <w:name w:val="Revision Liste (Stufe 4)"/>
    <w:basedOn w:val="Standard"/>
    <w:rsid w:val="0098296B"/>
    <w:pPr>
      <w:numPr>
        <w:ilvl w:val="6"/>
        <w:numId w:val="28"/>
      </w:numPr>
    </w:pPr>
    <w:rPr>
      <w:color w:val="800000"/>
    </w:rPr>
  </w:style>
  <w:style w:type="paragraph" w:customStyle="1" w:styleId="RevisionListeStufe4manuell">
    <w:name w:val="Revision Liste (Stufe 4) (manuell)"/>
    <w:basedOn w:val="Standard"/>
    <w:rsid w:val="0098296B"/>
    <w:pPr>
      <w:tabs>
        <w:tab w:val="left" w:pos="1984"/>
      </w:tabs>
      <w:ind w:left="1984" w:hanging="709"/>
    </w:pPr>
    <w:rPr>
      <w:color w:val="800000"/>
    </w:rPr>
  </w:style>
  <w:style w:type="paragraph" w:customStyle="1" w:styleId="RevisionListeFolgeabsatzStufe4">
    <w:name w:val="Revision Liste Folgeabsatz (Stufe 4)"/>
    <w:basedOn w:val="Standard"/>
    <w:rsid w:val="0098296B"/>
    <w:pPr>
      <w:numPr>
        <w:ilvl w:val="7"/>
        <w:numId w:val="28"/>
      </w:numPr>
    </w:pPr>
    <w:rPr>
      <w:color w:val="800000"/>
    </w:rPr>
  </w:style>
  <w:style w:type="paragraph" w:customStyle="1" w:styleId="RevisionAufzhlungStufe1">
    <w:name w:val="Revision Aufzählung (Stufe 1)"/>
    <w:basedOn w:val="Standard"/>
    <w:rsid w:val="0098296B"/>
    <w:pPr>
      <w:numPr>
        <w:numId w:val="29"/>
      </w:numPr>
      <w:tabs>
        <w:tab w:val="left" w:pos="0"/>
      </w:tabs>
    </w:pPr>
    <w:rPr>
      <w:color w:val="800000"/>
    </w:rPr>
  </w:style>
  <w:style w:type="paragraph" w:customStyle="1" w:styleId="RevisionAufzhlungFolgeabsatzStufe1">
    <w:name w:val="Revision Aufzählung Folgeabsatz (Stufe 1)"/>
    <w:basedOn w:val="Standard"/>
    <w:rsid w:val="0098296B"/>
    <w:pPr>
      <w:tabs>
        <w:tab w:val="left" w:pos="425"/>
      </w:tabs>
      <w:ind w:left="425"/>
    </w:pPr>
    <w:rPr>
      <w:color w:val="800000"/>
    </w:rPr>
  </w:style>
  <w:style w:type="paragraph" w:customStyle="1" w:styleId="RevisionAufzhlungStufe2">
    <w:name w:val="Revision Aufzählung (Stufe 2)"/>
    <w:basedOn w:val="Standard"/>
    <w:rsid w:val="0098296B"/>
    <w:pPr>
      <w:numPr>
        <w:numId w:val="30"/>
      </w:numPr>
      <w:tabs>
        <w:tab w:val="left" w:pos="425"/>
      </w:tabs>
    </w:pPr>
    <w:rPr>
      <w:color w:val="800000"/>
    </w:rPr>
  </w:style>
  <w:style w:type="paragraph" w:customStyle="1" w:styleId="RevisionAufzhlungFolgeabsatzStufe2">
    <w:name w:val="Revision Aufzählung Folgeabsatz (Stufe 2)"/>
    <w:basedOn w:val="Standard"/>
    <w:rsid w:val="0098296B"/>
    <w:pPr>
      <w:tabs>
        <w:tab w:val="left" w:pos="794"/>
      </w:tabs>
      <w:ind w:left="850"/>
    </w:pPr>
    <w:rPr>
      <w:color w:val="800000"/>
    </w:rPr>
  </w:style>
  <w:style w:type="paragraph" w:customStyle="1" w:styleId="RevisionAufzhlungStufe3">
    <w:name w:val="Revision Aufzählung (Stufe 3)"/>
    <w:basedOn w:val="Standard"/>
    <w:rsid w:val="0098296B"/>
    <w:pPr>
      <w:numPr>
        <w:numId w:val="31"/>
      </w:numPr>
      <w:tabs>
        <w:tab w:val="left" w:pos="850"/>
      </w:tabs>
    </w:pPr>
    <w:rPr>
      <w:color w:val="800000"/>
    </w:rPr>
  </w:style>
  <w:style w:type="paragraph" w:customStyle="1" w:styleId="RevisionAufzhlungFolgeabsatzStufe3">
    <w:name w:val="Revision Aufzählung Folgeabsatz (Stufe 3)"/>
    <w:basedOn w:val="Standard"/>
    <w:rsid w:val="0098296B"/>
    <w:pPr>
      <w:tabs>
        <w:tab w:val="left" w:pos="1276"/>
      </w:tabs>
      <w:ind w:left="1276"/>
    </w:pPr>
    <w:rPr>
      <w:color w:val="800000"/>
    </w:rPr>
  </w:style>
  <w:style w:type="paragraph" w:customStyle="1" w:styleId="RevisionAufzhlungStufe4">
    <w:name w:val="Revision Aufzählung (Stufe 4)"/>
    <w:basedOn w:val="Standard"/>
    <w:rsid w:val="0098296B"/>
    <w:pPr>
      <w:numPr>
        <w:numId w:val="32"/>
      </w:numPr>
      <w:tabs>
        <w:tab w:val="left" w:pos="1276"/>
      </w:tabs>
    </w:pPr>
    <w:rPr>
      <w:color w:val="800000"/>
    </w:rPr>
  </w:style>
  <w:style w:type="paragraph" w:customStyle="1" w:styleId="RevisionAufzhlungFolgeabsatzStufe4">
    <w:name w:val="Revision Aufzählung Folgeabsatz (Stufe 4)"/>
    <w:basedOn w:val="Standard"/>
    <w:rsid w:val="0098296B"/>
    <w:pPr>
      <w:tabs>
        <w:tab w:val="left" w:pos="1701"/>
      </w:tabs>
      <w:ind w:left="1701"/>
    </w:pPr>
    <w:rPr>
      <w:color w:val="800000"/>
    </w:rPr>
  </w:style>
  <w:style w:type="paragraph" w:customStyle="1" w:styleId="RevisionAufzhlungStufe5">
    <w:name w:val="Revision Aufzählung (Stufe 5)"/>
    <w:basedOn w:val="Standard"/>
    <w:rsid w:val="0098296B"/>
    <w:pPr>
      <w:numPr>
        <w:numId w:val="33"/>
      </w:numPr>
      <w:tabs>
        <w:tab w:val="left" w:pos="1701"/>
      </w:tabs>
    </w:pPr>
    <w:rPr>
      <w:color w:val="800000"/>
    </w:rPr>
  </w:style>
  <w:style w:type="paragraph" w:customStyle="1" w:styleId="RevisionAufzhlungFolgeabsatzStufe5">
    <w:name w:val="Revision Aufzählung Folgeabsatz (Stufe 5)"/>
    <w:basedOn w:val="Standard"/>
    <w:rsid w:val="0098296B"/>
    <w:pPr>
      <w:tabs>
        <w:tab w:val="left" w:pos="2126"/>
      </w:tabs>
      <w:ind w:left="2126"/>
    </w:pPr>
    <w:rPr>
      <w:color w:val="800000"/>
    </w:rPr>
  </w:style>
  <w:style w:type="paragraph" w:customStyle="1" w:styleId="RevisionFunotentext">
    <w:name w:val="Revision Fußnotentext"/>
    <w:basedOn w:val="Funotentext"/>
    <w:rsid w:val="0098296B"/>
    <w:rPr>
      <w:color w:val="800000"/>
    </w:rPr>
  </w:style>
  <w:style w:type="paragraph" w:customStyle="1" w:styleId="RevisionFormel">
    <w:name w:val="Revision Formel"/>
    <w:basedOn w:val="Standard"/>
    <w:rsid w:val="0098296B"/>
    <w:pPr>
      <w:spacing w:before="240" w:after="240"/>
      <w:jc w:val="center"/>
    </w:pPr>
    <w:rPr>
      <w:color w:val="800000"/>
    </w:rPr>
  </w:style>
  <w:style w:type="paragraph" w:customStyle="1" w:styleId="RevisionGrafik">
    <w:name w:val="Revision Grafik"/>
    <w:basedOn w:val="Standard"/>
    <w:rsid w:val="0098296B"/>
    <w:pPr>
      <w:spacing w:before="240" w:after="240"/>
      <w:jc w:val="center"/>
    </w:pPr>
    <w:rPr>
      <w:color w:val="800000"/>
    </w:rPr>
  </w:style>
  <w:style w:type="paragraph" w:customStyle="1" w:styleId="RevisionVerzeichnisTitelnderungsdokument">
    <w:name w:val="Revision Verzeichnis Titel (Änderungsdokument)"/>
    <w:basedOn w:val="Standard"/>
    <w:next w:val="RevisionVerzeichnis1"/>
    <w:rsid w:val="0098296B"/>
    <w:pPr>
      <w:spacing w:before="180"/>
      <w:jc w:val="center"/>
    </w:pPr>
    <w:rPr>
      <w:color w:val="800000"/>
    </w:rPr>
  </w:style>
  <w:style w:type="paragraph" w:customStyle="1" w:styleId="RevisionAnlageVerweis">
    <w:name w:val="Revision Anlage Verweis"/>
    <w:basedOn w:val="Standard"/>
    <w:next w:val="RevisionAnlageberschrift"/>
    <w:rsid w:val="0098296B"/>
    <w:pPr>
      <w:spacing w:before="0"/>
      <w:jc w:val="right"/>
    </w:pPr>
    <w:rPr>
      <w:color w:val="800000"/>
    </w:rPr>
  </w:style>
  <w:style w:type="paragraph" w:customStyle="1" w:styleId="EmpfehlungTextnummeriert">
    <w:name w:val="Empfehlung Text (nummeriert)"/>
    <w:basedOn w:val="Standard"/>
    <w:rsid w:val="0098296B"/>
    <w:pPr>
      <w:numPr>
        <w:numId w:val="35"/>
      </w:numPr>
    </w:pPr>
  </w:style>
  <w:style w:type="paragraph" w:customStyle="1" w:styleId="EmpfehlungTextnichtnummeriert">
    <w:name w:val="Empfehlung Text (nicht nummeriert)"/>
    <w:basedOn w:val="Standard"/>
    <w:next w:val="EmpfehlungNummerierungStufe1"/>
    <w:rsid w:val="0098296B"/>
  </w:style>
  <w:style w:type="paragraph" w:customStyle="1" w:styleId="EmpfehlungNummerierungStufe1">
    <w:name w:val="Empfehlung Nummerierung (Stufe 1)"/>
    <w:basedOn w:val="Standard"/>
    <w:rsid w:val="0098296B"/>
    <w:pPr>
      <w:numPr>
        <w:ilvl w:val="1"/>
        <w:numId w:val="35"/>
      </w:numPr>
      <w:outlineLvl w:val="2"/>
    </w:pPr>
  </w:style>
  <w:style w:type="paragraph" w:customStyle="1" w:styleId="EmpfehlungNummerierungFolgeabsatzStufe1">
    <w:name w:val="Empfehlung Nummerierung Folgeabsatz (Stufe 1)"/>
    <w:basedOn w:val="Standard"/>
    <w:rsid w:val="0098296B"/>
    <w:pPr>
      <w:tabs>
        <w:tab w:val="left" w:pos="425"/>
      </w:tabs>
      <w:ind w:left="425"/>
    </w:pPr>
  </w:style>
  <w:style w:type="paragraph" w:customStyle="1" w:styleId="EmpfehlungNummerierungStufe2">
    <w:name w:val="Empfehlung Nummerierung (Stufe 2)"/>
    <w:basedOn w:val="Standard"/>
    <w:rsid w:val="0098296B"/>
    <w:pPr>
      <w:numPr>
        <w:ilvl w:val="2"/>
        <w:numId w:val="35"/>
      </w:numPr>
      <w:outlineLvl w:val="3"/>
    </w:pPr>
  </w:style>
  <w:style w:type="paragraph" w:customStyle="1" w:styleId="EmpfehlungNummerierungFolgeabsatzStufe2">
    <w:name w:val="Empfehlung Nummerierung Folgeabsatz (Stufe 2)"/>
    <w:basedOn w:val="Standard"/>
    <w:rsid w:val="0098296B"/>
    <w:pPr>
      <w:tabs>
        <w:tab w:val="left" w:pos="850"/>
      </w:tabs>
      <w:ind w:left="850"/>
    </w:pPr>
  </w:style>
  <w:style w:type="paragraph" w:customStyle="1" w:styleId="EmpfehlungNummerierungStufe3">
    <w:name w:val="Empfehlung Nummerierung (Stufe 3)"/>
    <w:basedOn w:val="Standard"/>
    <w:rsid w:val="0098296B"/>
    <w:pPr>
      <w:numPr>
        <w:ilvl w:val="3"/>
        <w:numId w:val="35"/>
      </w:numPr>
    </w:pPr>
  </w:style>
  <w:style w:type="paragraph" w:customStyle="1" w:styleId="EmpfehlungNummerierungFolgeabsatzStufe3">
    <w:name w:val="Empfehlung Nummerierung Folgeabsatz (Stufe 3)"/>
    <w:basedOn w:val="Standard"/>
    <w:rsid w:val="0098296B"/>
    <w:pPr>
      <w:tabs>
        <w:tab w:val="left" w:pos="1276"/>
      </w:tabs>
      <w:ind w:left="1276"/>
    </w:pPr>
  </w:style>
  <w:style w:type="paragraph" w:customStyle="1" w:styleId="EmpfehlungNummerierungStufe4">
    <w:name w:val="Empfehlung Nummerierung (Stufe 4)"/>
    <w:basedOn w:val="Standard"/>
    <w:rsid w:val="0098296B"/>
    <w:pPr>
      <w:numPr>
        <w:ilvl w:val="4"/>
        <w:numId w:val="35"/>
      </w:numPr>
    </w:pPr>
  </w:style>
  <w:style w:type="paragraph" w:customStyle="1" w:styleId="EmpfehlungNummerierungFolgeabsatzStufe4">
    <w:name w:val="Empfehlung Nummerierung Folgeabsatz (Stufe 4)"/>
    <w:basedOn w:val="Standard"/>
    <w:rsid w:val="0098296B"/>
    <w:pPr>
      <w:tabs>
        <w:tab w:val="left" w:pos="1984"/>
      </w:tabs>
      <w:ind w:left="1984"/>
    </w:pPr>
  </w:style>
  <w:style w:type="paragraph" w:customStyle="1" w:styleId="EinzelbegrndungTitel">
    <w:name w:val="Einzelbegründung Titel"/>
    <w:basedOn w:val="Standard"/>
    <w:next w:val="Text"/>
    <w:rsid w:val="0098296B"/>
    <w:pPr>
      <w:keepNext/>
      <w:spacing w:before="120" w:after="100"/>
    </w:pPr>
    <w:rPr>
      <w:rFonts w:ascii="Arial" w:hAnsi="Arial" w:cs="Arial"/>
      <w:b/>
    </w:rPr>
  </w:style>
  <w:style w:type="paragraph" w:customStyle="1" w:styleId="BegrndungTitel">
    <w:name w:val="Begründung Titel"/>
    <w:basedOn w:val="Standard"/>
    <w:next w:val="Text"/>
    <w:rsid w:val="0098296B"/>
    <w:pPr>
      <w:spacing w:before="900" w:after="612"/>
      <w:ind w:right="-2665"/>
      <w:outlineLvl w:val="0"/>
    </w:pPr>
    <w:rPr>
      <w:rFonts w:ascii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Norm\Templates\FORM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31880-B9D7-4781-A319-AA34D84E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</Template>
  <TotalTime>0</TotalTime>
  <Pages>10</Pages>
  <Words>3439</Words>
  <Characters>21668</Characters>
  <Application>Microsoft Office Word</Application>
  <DocSecurity>4</DocSecurity>
  <Lines>180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Witzmann</dc:creator>
  <cp:keywords/>
  <dc:description/>
  <cp:lastModifiedBy>L'Hoest, Agata, EC2</cp:lastModifiedBy>
  <cp:revision>2</cp:revision>
  <cp:lastPrinted>2021-03-19T10:29:00Z</cp:lastPrinted>
  <dcterms:created xsi:type="dcterms:W3CDTF">2021-03-19T16:31:00Z</dcterms:created>
  <dcterms:modified xsi:type="dcterms:W3CDTF">2021-03-19T16:31:00Z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4.1.4.0</vt:lpwstr>
  </property>
  <property fmtid="{D5CDD505-2E9C-101B-9397-08002B2CF9AE}" pid="3" name="Last edited using">
    <vt:lpwstr>LW 5.4, Build 20200526</vt:lpwstr>
  </property>
  <property fmtid="{D5CDD505-2E9C-101B-9397-08002B2CF9AE}" pid="4" name="Kategorie">
    <vt:lpwstr>FORM</vt:lpwstr>
  </property>
  <property fmtid="{D5CDD505-2E9C-101B-9397-08002B2CF9AE}" pid="5" name="eNorm-Version vorherige Bearbeitung">
    <vt:lpwstr>4.1.5 Bundesregierung [20200526]</vt:lpwstr>
  </property>
  <property fmtid="{D5CDD505-2E9C-101B-9397-08002B2CF9AE}" pid="6" name="eNorm-Version letzte Bearbeitung">
    <vt:lpwstr>4.1.5 Bundesregierung [20200526]</vt:lpwstr>
  </property>
  <property fmtid="{D5CDD505-2E9C-101B-9397-08002B2CF9AE}" pid="7" name="eNorm-Version Erstellung">
    <vt:lpwstr>4.1.5, Bundesregierung, [20200526]</vt:lpwstr>
  </property>
  <property fmtid="{D5CDD505-2E9C-101B-9397-08002B2CF9AE}" pid="8" name="Created using">
    <vt:lpwstr>LW 5.4, Build 20200526</vt:lpwstr>
  </property>
  <property fmtid="{D5CDD505-2E9C-101B-9397-08002B2CF9AE}" pid="9" name="Classification">
    <vt:lpwstr> </vt:lpwstr>
  </property>
  <property fmtid="{D5CDD505-2E9C-101B-9397-08002B2CF9AE}" pid="10" name="eNorm-Version letzte DQP">
    <vt:lpwstr>4.1.5, Bundesregierung, [20200526]</vt:lpwstr>
  </property>
</Properties>
</file>