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2F3" w14:textId="77777777" w:rsidR="00320DD3" w:rsidRDefault="00945D70" w:rsidP="00C8463D">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53A555C4" w14:textId="77777777" w:rsidR="00320DD3" w:rsidRDefault="00945D70">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08D8109B" w14:textId="77777777" w:rsidR="00320DD3" w:rsidRDefault="00945D70">
      <w:pPr>
        <w:widowControl w:val="0"/>
        <w:tabs>
          <w:tab w:val="left" w:pos="-150"/>
        </w:tabs>
        <w:autoSpaceDE w:val="0"/>
        <w:autoSpaceDN w:val="0"/>
        <w:adjustRightInd w:val="0"/>
        <w:spacing w:before="240" w:after="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Siviililaki</w:t>
      </w:r>
    </w:p>
    <w:p w14:paraId="6401B9F6" w14:textId="77777777" w:rsidR="00320DD3" w:rsidRDefault="00945D70">
      <w:pPr>
        <w:widowControl w:val="0"/>
        <w:tabs>
          <w:tab w:val="left" w:pos="150"/>
        </w:tabs>
        <w:autoSpaceDE w:val="0"/>
        <w:autoSpaceDN w:val="0"/>
        <w:adjustRightInd w:val="0"/>
        <w:spacing w:after="0" w:line="240" w:lineRule="auto"/>
        <w:ind w:left="150"/>
        <w:jc w:val="center"/>
        <w:rPr>
          <w:rFonts w:ascii="DejaVuSansCondensed,DejaVuSansC" w:hAnsi="DejaVuSansCondensed,DejaVuSansC" w:cs="DejaVuSansCondensed,DejaVuSansC"/>
          <w:sz w:val="19"/>
          <w:szCs w:val="19"/>
        </w:rPr>
      </w:pPr>
      <w:r>
        <w:rPr>
          <w:rFonts w:ascii="DejaVuSansCondensed,DejaVuSansC" w:hAnsi="DejaVuSansCondensed,DejaVuSansC"/>
          <w:sz w:val="19"/>
        </w:rPr>
        <w:t> </w:t>
      </w:r>
    </w:p>
    <w:p w14:paraId="3148004A" w14:textId="1EEF1BB5" w:rsidR="00320DD3" w:rsidRDefault="00945D70">
      <w:pPr>
        <w:widowControl w:val="0"/>
        <w:tabs>
          <w:tab w:val="left" w:pos="-150"/>
        </w:tabs>
        <w:autoSpaceDE w:val="0"/>
        <w:autoSpaceDN w:val="0"/>
        <w:adjustRightInd w:val="0"/>
        <w:spacing w:before="60" w:after="24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312k §</w:t>
      </w:r>
      <w:r>
        <w:rPr>
          <w:rFonts w:ascii="DejaVuSansCondensed,DejaVuSansC" w:hAnsi="DejaVuSansCondensed,DejaVuSansC"/>
          <w:b/>
          <w:sz w:val="19"/>
        </w:rPr>
        <w:br/>
        <w:t>Kuluttajasopimusten irtisanominen sähköisessä kaupankäynnissä</w:t>
      </w:r>
    </w:p>
    <w:p w14:paraId="323FDC45" w14:textId="77777777" w:rsidR="00320DD3" w:rsidRPr="00BB0AC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Pr>
          <w:rFonts w:ascii="DejaVuSansCondensed,DejaVuSansC" w:hAnsi="DejaVuSansCondensed,DejaVuSansC"/>
          <w:sz w:val="19"/>
        </w:rPr>
        <w:t>(1</w:t>
      </w:r>
      <w:r w:rsidRPr="00BB0AC5">
        <w:rPr>
          <w:rFonts w:ascii="DejaVuSansCondensed,DejaVuSansC" w:hAnsi="DejaVuSansCondensed,DejaVuSansC"/>
          <w:sz w:val="19"/>
          <w:szCs w:val="19"/>
        </w:rPr>
        <w:t xml:space="preserve">) </w:t>
      </w:r>
      <w:r w:rsidRPr="00BB0AC5">
        <w:rPr>
          <w:rFonts w:ascii="DejaVuSansCondensed,DejaVuSansC" w:hAnsi="DejaVuSansCondensed,DejaVuSansC"/>
          <w:i/>
          <w:sz w:val="19"/>
          <w:szCs w:val="19"/>
          <w:vertAlign w:val="superscript"/>
        </w:rPr>
        <w:t>1</w:t>
      </w:r>
      <w:r w:rsidRPr="00BB0AC5">
        <w:rPr>
          <w:rFonts w:ascii="DejaVuSansCondensed,DejaVuSansC" w:hAnsi="DejaVuSansCondensed,DejaVuSansC"/>
          <w:sz w:val="19"/>
          <w:szCs w:val="19"/>
        </w:rPr>
        <w:t xml:space="preserve">Jos verkkosivusto antaa kuluttajille mahdollisuuden tehdä sähköistä kaupankäyntiä koskevan sopimuksen, jonka tarkoituksena on luoda pysyvä velkasuhde ja velvoittaa yritys suorittamaan palvelua vastineeksi, yrityksen on täytettävä tässä säännöksessä säädetyt velvoitteet. </w:t>
      </w:r>
      <w:r w:rsidRPr="00BB0AC5">
        <w:rPr>
          <w:rFonts w:ascii="DejaVuSansCondensed,DejaVuSansC" w:hAnsi="DejaVuSansCondensed,DejaVuSansC"/>
          <w:i/>
          <w:sz w:val="19"/>
          <w:szCs w:val="19"/>
          <w:vertAlign w:val="superscript"/>
        </w:rPr>
        <w:t>2</w:t>
      </w:r>
      <w:r w:rsidRPr="00BB0AC5">
        <w:rPr>
          <w:rFonts w:ascii="DejaVuSansCondensed,DejaVuSansC" w:hAnsi="DejaVuSansCondensed,DejaVuSansC"/>
          <w:sz w:val="19"/>
          <w:szCs w:val="19"/>
        </w:rPr>
        <w:t>Tätä ei sovelleta</w:t>
      </w:r>
    </w:p>
    <w:p w14:paraId="56F1FE2F" w14:textId="77777777" w:rsidR="00320DD3" w:rsidRPr="00BB0AC5" w:rsidRDefault="00945D70">
      <w:pPr>
        <w:widowControl w:val="0"/>
        <w:tabs>
          <w:tab w:val="left" w:pos="705"/>
        </w:tabs>
        <w:autoSpaceDE w:val="0"/>
        <w:autoSpaceDN w:val="0"/>
        <w:adjustRightInd w:val="0"/>
        <w:spacing w:before="192" w:after="156" w:line="240" w:lineRule="auto"/>
        <w:ind w:left="705" w:hanging="300"/>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1.</w:t>
      </w:r>
      <w:r w:rsidRPr="00BB0AC5">
        <w:rPr>
          <w:rFonts w:ascii="DejaVuSansCondensed,DejaVuSansC" w:hAnsi="DejaVuSansCondensed,DejaVuSansC"/>
          <w:sz w:val="19"/>
          <w:szCs w:val="19"/>
        </w:rPr>
        <w:tab/>
        <w:t>sopimuksiin, joiden irtisanomisesta säädetään ainoastaan tekstiä tiukemmassa muodossa; ja</w:t>
      </w:r>
    </w:p>
    <w:p w14:paraId="1CB136FB" w14:textId="77777777" w:rsidR="00320DD3" w:rsidRPr="00BB0AC5"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2.</w:t>
      </w:r>
      <w:r w:rsidRPr="00BB0AC5">
        <w:rPr>
          <w:rFonts w:ascii="DejaVuSansCondensed,DejaVuSansC" w:hAnsi="DejaVuSansCondensed,DejaVuSansC"/>
          <w:sz w:val="19"/>
          <w:szCs w:val="19"/>
        </w:rPr>
        <w:tab/>
        <w:t>rahoituspalveluihin tai rahoituspalveluihin liittyviin sopimuksiin liittyvien verkkosivustojen osalta.</w:t>
      </w:r>
    </w:p>
    <w:p w14:paraId="5596EFDB" w14:textId="77777777" w:rsidR="00320DD3" w:rsidRPr="00BB0AC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 xml:space="preserve">(2) Yrityksen on varmistettava, että verkkosivustolla oleva kuluttaja voi tehdä verkkosivustolla ilmoituksen tehdyn sopimuksen purkamisesta tavanomaisesti tai poikkeuksellisesti 1 §:n lauseen mukaisesti. Irtisanomispainikkeen on oltava helposti luettavissa. Siinä ei saa lukea muuta kuin sanat "Peruuta sopimukset napsauttamalla tätä" tai se on merkittävä asianmukaisesti muulla yksiselitteisellä sanamuodolla. Sen on johdatettava kuluttaja suoraan vahvistussivulle, jossa </w:t>
      </w:r>
    </w:p>
    <w:p w14:paraId="1A7C9900" w14:textId="77777777" w:rsidR="00320DD3" w:rsidRPr="00BB0AC5" w:rsidRDefault="00945D70">
      <w:pPr>
        <w:widowControl w:val="0"/>
        <w:tabs>
          <w:tab w:val="left" w:pos="705"/>
        </w:tabs>
        <w:autoSpaceDE w:val="0"/>
        <w:autoSpaceDN w:val="0"/>
        <w:adjustRightInd w:val="0"/>
        <w:spacing w:before="192" w:after="0" w:line="240" w:lineRule="auto"/>
        <w:ind w:left="705" w:hanging="300"/>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1.</w:t>
      </w:r>
      <w:r w:rsidRPr="00BB0AC5">
        <w:rPr>
          <w:rFonts w:ascii="DejaVuSansCondensed,DejaVuSansC" w:hAnsi="DejaVuSansCondensed,DejaVuSansC"/>
          <w:sz w:val="19"/>
          <w:szCs w:val="19"/>
        </w:rPr>
        <w:tab/>
        <w:t>neuvotaan kuluttajaa ja annetaan hänelle mahdollisuus kertoa</w:t>
      </w:r>
    </w:p>
    <w:p w14:paraId="390652D1" w14:textId="77777777" w:rsidR="00320DD3" w:rsidRPr="00BB0AC5" w:rsidRDefault="00945D70">
      <w:pPr>
        <w:widowControl w:val="0"/>
        <w:tabs>
          <w:tab w:val="left" w:pos="1025"/>
        </w:tabs>
        <w:autoSpaceDE w:val="0"/>
        <w:autoSpaceDN w:val="0"/>
        <w:adjustRightInd w:val="0"/>
        <w:spacing w:before="192" w:after="156" w:line="240" w:lineRule="auto"/>
        <w:ind w:left="1025" w:hanging="320"/>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a)</w:t>
      </w:r>
      <w:r w:rsidRPr="00BB0AC5">
        <w:rPr>
          <w:rFonts w:ascii="DejaVuSansCondensed,DejaVuSansC" w:hAnsi="DejaVuSansCondensed,DejaVuSansC"/>
          <w:sz w:val="19"/>
          <w:szCs w:val="19"/>
        </w:rPr>
        <w:tab/>
        <w:t>irtisanomisen luonteesta ja, jos irtisanominen tehdään epätavallisen syyn vuoksi, ilmoittaa irtisanomisperuste</w:t>
      </w:r>
    </w:p>
    <w:p w14:paraId="42A3F025" w14:textId="77777777" w:rsidR="00320DD3" w:rsidRPr="00BB0AC5"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b)</w:t>
      </w:r>
      <w:r w:rsidRPr="00BB0AC5">
        <w:rPr>
          <w:rFonts w:ascii="DejaVuSansCondensed,DejaVuSansC" w:hAnsi="DejaVuSansCondensed,DejaVuSansC"/>
          <w:sz w:val="19"/>
          <w:szCs w:val="19"/>
        </w:rPr>
        <w:tab/>
        <w:t>yksiselitteisesti tunnistettavuuden osalta,</w:t>
      </w:r>
    </w:p>
    <w:p w14:paraId="26409B94" w14:textId="77777777" w:rsidR="00320DD3" w:rsidRPr="00BB0AC5"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c)</w:t>
      </w:r>
      <w:r w:rsidRPr="00BB0AC5">
        <w:rPr>
          <w:rFonts w:ascii="DejaVuSansCondensed,DejaVuSansC" w:hAnsi="DejaVuSansCondensed,DejaVuSansC"/>
          <w:sz w:val="19"/>
          <w:szCs w:val="19"/>
        </w:rPr>
        <w:tab/>
        <w:t>perustamissopimuksen yksiselitteisen nimeämisen osalta,</w:t>
      </w:r>
    </w:p>
    <w:p w14:paraId="179D31F8" w14:textId="77777777" w:rsidR="00320DD3" w:rsidRPr="00BB0AC5"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d)</w:t>
      </w:r>
      <w:r w:rsidRPr="00BB0AC5">
        <w:rPr>
          <w:rFonts w:ascii="DejaVuSansCondensed,DejaVuSansC" w:hAnsi="DejaVuSansCondensed,DejaVuSansC"/>
          <w:sz w:val="19"/>
          <w:szCs w:val="19"/>
        </w:rPr>
        <w:tab/>
        <w:t>ajankohtana, jona irtisanominen päättyy sopimussuhteen päättyessä,</w:t>
      </w:r>
    </w:p>
    <w:p w14:paraId="0492A93A" w14:textId="77777777" w:rsidR="00320DD3" w:rsidRPr="00BB0AC5"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d)</w:t>
      </w:r>
      <w:r w:rsidRPr="00BB0AC5">
        <w:rPr>
          <w:rFonts w:ascii="DejaVuSansCondensed,DejaVuSansC" w:hAnsi="DejaVuSansCondensed,DejaVuSansC"/>
          <w:sz w:val="19"/>
          <w:szCs w:val="19"/>
        </w:rPr>
        <w:tab/>
        <w:t>jotta kuluttajalle lähetetään irtisanomisvahvistus nopeasti, ja</w:t>
      </w:r>
    </w:p>
    <w:p w14:paraId="0972B70B" w14:textId="77777777" w:rsidR="00320DD3" w:rsidRPr="00BB0AC5"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2.</w:t>
      </w:r>
      <w:r w:rsidRPr="00BB0AC5">
        <w:rPr>
          <w:rFonts w:ascii="DejaVuSansCondensed,DejaVuSansC" w:hAnsi="DejaVuSansCondensed,DejaVuSansC"/>
          <w:sz w:val="19"/>
          <w:szCs w:val="19"/>
        </w:rPr>
        <w:tab/>
        <w:t>kuluttaja voi vahvistuspainikkeen avulla toimittaa irtisanomisilmoituksen. Painikkeen on oltava helposti luettavissa, joten siinä ei saa näkyä muuta kuin sanat "Peruuta nyt", tai sen tulee olla merkitty asianmukaisella yksiselitteisellä sanamuodolla.</w:t>
      </w:r>
    </w:p>
    <w:p w14:paraId="10E4D17A" w14:textId="77777777" w:rsidR="00320DD3" w:rsidRPr="00BB0AC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sz w:val="19"/>
          <w:szCs w:val="19"/>
        </w:rPr>
      </w:pPr>
      <w:r w:rsidRPr="00BB0AC5">
        <w:rPr>
          <w:rFonts w:ascii="DejaVuSansCondensed,DejaVuSansC" w:hAnsi="DejaVuSansCondensed,DejaVuSansC"/>
          <w:sz w:val="19"/>
          <w:szCs w:val="19"/>
        </w:rPr>
        <w:t>(3) Kuluttajan on voitava tallentaa tekemänsä irtisanomisilmoitus pysyvään tietovälineeseen. Kun kuluttaja napsauttaa vahvistuspainiketta, päivämäärä ja kellonaika on tallennettava siten, että ne näkyvät peruutusvahvistuksessa.</w:t>
      </w:r>
    </w:p>
    <w:p w14:paraId="3544FCCE" w14:textId="77777777" w:rsidR="00320DD3" w:rsidRPr="00BB0AC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 xml:space="preserve">(4) </w:t>
      </w:r>
      <w:r w:rsidRPr="00BB0AC5">
        <w:rPr>
          <w:rFonts w:ascii="DejaVuSansCondensed,DejaVuSansC" w:hAnsi="DejaVuSansCondensed,DejaVuSansC"/>
          <w:i/>
          <w:sz w:val="19"/>
          <w:szCs w:val="19"/>
          <w:vertAlign w:val="superscript"/>
        </w:rPr>
        <w:t>1</w:t>
      </w:r>
      <w:r w:rsidRPr="00BB0AC5">
        <w:rPr>
          <w:rFonts w:ascii="DejaVuSansCondensed,DejaVuSansC" w:hAnsi="DejaVuSansCondensed,DejaVuSansC"/>
          <w:sz w:val="19"/>
          <w:szCs w:val="19"/>
        </w:rPr>
        <w:t xml:space="preserve">Yrityksen on vahvistettava kuluttajalle heti irtisanomisilmoituksen sisältö, päivämäärä ja kellonaika sekä päivämäärä, jona sopimus irtisanotaan, kirjallisessa muodossa sähköisesti. </w:t>
      </w:r>
      <w:r w:rsidRPr="00BB0AC5">
        <w:rPr>
          <w:rFonts w:ascii="DejaVuSansCondensed,DejaVuSansC" w:hAnsi="DejaVuSansCondensed,DejaVuSansC"/>
          <w:i/>
          <w:sz w:val="19"/>
          <w:szCs w:val="19"/>
          <w:vertAlign w:val="superscript"/>
        </w:rPr>
        <w:t>2</w:t>
      </w:r>
      <w:r w:rsidRPr="00BB0AC5">
        <w:rPr>
          <w:rFonts w:ascii="DejaVuSansCondensed,DejaVuSansC" w:hAnsi="DejaVuSansCondensed,DejaVuSansC"/>
          <w:sz w:val="19"/>
          <w:szCs w:val="19"/>
        </w:rPr>
        <w:t>Oletuksena on, että yritykselle lähetetään vahvistusnappia painamalla tehty irtisanomisilmoitus heti sen toimittamisen jälkeen.</w:t>
      </w:r>
    </w:p>
    <w:p w14:paraId="32A32941" w14:textId="77777777" w:rsidR="00320DD3" w:rsidRPr="00BB0AC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(5) Jos kuluttaja ei irtisanomisen lähettäessään ilmoita ajankohtaa, jolloin hän haluaa irtisanoa sopimussuhteen, irtisanomisen on tultava voimaan mahdollisimman pian.</w:t>
      </w:r>
    </w:p>
    <w:p w14:paraId="387261DB" w14:textId="77777777" w:rsidR="00320DD3" w:rsidRPr="00BB0AC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BB0AC5">
        <w:rPr>
          <w:rFonts w:ascii="DejaVuSansCondensed,DejaVuSansC" w:hAnsi="DejaVuSansCondensed,DejaVuSansC"/>
          <w:sz w:val="19"/>
          <w:szCs w:val="19"/>
        </w:rPr>
        <w:t xml:space="preserve">(6) </w:t>
      </w:r>
      <w:r w:rsidRPr="00BB0AC5">
        <w:rPr>
          <w:rFonts w:ascii="DejaVuSansCondensed,DejaVuSansC" w:hAnsi="DejaVuSansCondensed,DejaVuSansC"/>
          <w:i/>
          <w:sz w:val="19"/>
          <w:szCs w:val="19"/>
          <w:vertAlign w:val="superscript"/>
        </w:rPr>
        <w:t>1</w:t>
      </w:r>
      <w:r w:rsidRPr="00BB0AC5">
        <w:rPr>
          <w:rFonts w:ascii="DejaVuSansCondensed,DejaVuSansC" w:hAnsi="DejaVuSansCondensed,DejaVuSansC"/>
          <w:sz w:val="19"/>
          <w:szCs w:val="19"/>
        </w:rPr>
        <w:t xml:space="preserve">Jos painikkeita ja vahvistussivua ei aseteta saataville kohtien 1 ja 2 mukaisesti, kuluttaja voi irtisanoa sopimuksen, jonka irtisanomispainikkeet ja vahvistussivu on asetettava saataville, milloin tahansa ilman irtisanomisaikaa. </w:t>
      </w:r>
      <w:r w:rsidRPr="00BB0AC5">
        <w:rPr>
          <w:rFonts w:ascii="DejaVuSansCondensed,DejaVuSansC" w:hAnsi="DejaVuSansCondensed,DejaVuSansC"/>
          <w:i/>
          <w:sz w:val="19"/>
          <w:szCs w:val="19"/>
          <w:vertAlign w:val="superscript"/>
        </w:rPr>
        <w:t>2</w:t>
      </w:r>
      <w:r w:rsidRPr="00BB0AC5">
        <w:rPr>
          <w:rFonts w:ascii="DejaVuSansCondensed,DejaVuSansC" w:hAnsi="DejaVuSansCondensed,DejaVuSansC"/>
          <w:sz w:val="19"/>
          <w:szCs w:val="19"/>
        </w:rPr>
        <w:t>Tämä ei vaikuta kuluttajan mahdollisuuksiin irtisanoa sopimus poikkeuksellisten syiden vuoksi.</w:t>
      </w:r>
    </w:p>
    <w:p w14:paraId="1720CDBA" w14:textId="77777777" w:rsidR="00320DD3" w:rsidRPr="00BB0AC5" w:rsidRDefault="00320DD3">
      <w:pPr>
        <w:widowControl w:val="0"/>
        <w:autoSpaceDE w:val="0"/>
        <w:autoSpaceDN w:val="0"/>
        <w:adjustRightInd w:val="0"/>
        <w:spacing w:after="0" w:line="240" w:lineRule="auto"/>
        <w:rPr>
          <w:rFonts w:ascii="Times New Roman" w:hAnsi="Times New Roman" w:cs="Times New Roman"/>
          <w:sz w:val="19"/>
          <w:szCs w:val="19"/>
        </w:rPr>
      </w:pPr>
    </w:p>
    <w:sectPr w:rsidR="00320DD3" w:rsidRPr="00BB0AC5">
      <w:headerReference w:type="even" r:id="rId6"/>
      <w:headerReference w:type="default" r:id="rId7"/>
      <w:footerReference w:type="even" r:id="rId8"/>
      <w:footerReference w:type="default" r:id="rId9"/>
      <w:headerReference w:type="first" r:id="rId10"/>
      <w:footerReference w:type="first" r:id="rId11"/>
      <w:pgSz w:w="11900" w:h="16840"/>
      <w:pgMar w:top="1280" w:right="1020" w:bottom="560" w:left="11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62E3" w14:textId="77777777" w:rsidR="003F3F43" w:rsidRDefault="003F3F43">
      <w:pPr>
        <w:spacing w:after="0" w:line="240" w:lineRule="auto"/>
      </w:pPr>
      <w:r>
        <w:separator/>
      </w:r>
    </w:p>
  </w:endnote>
  <w:endnote w:type="continuationSeparator" w:id="0">
    <w:p w14:paraId="7DD068BF" w14:textId="77777777" w:rsidR="003F3F43" w:rsidRDefault="003F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DejaVuSansC">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0B58" w14:textId="77777777" w:rsidR="00BB0AC5" w:rsidRDefault="00BB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AAE" w14:textId="0E0DCD14" w:rsidR="00320DD3" w:rsidRDefault="00945D70">
    <w:pPr>
      <w:widowControl w:val="0"/>
      <w:tabs>
        <w:tab w:val="left" w:pos="283"/>
      </w:tabs>
      <w:autoSpaceDE w:val="0"/>
      <w:autoSpaceDN w:val="0"/>
      <w:adjustRightInd w:val="0"/>
      <w:spacing w:before="283" w:after="283" w:line="240" w:lineRule="auto"/>
      <w:ind w:left="283"/>
      <w:jc w:val="center"/>
      <w:rPr>
        <w:rFonts w:ascii="DejaVuSansCondensed" w:hAnsi="DejaVuSansCondensed" w:cs="DejaVuSansCondensed"/>
        <w:sz w:val="20"/>
        <w:szCs w:val="20"/>
      </w:rPr>
    </w:pPr>
    <w:r>
      <w:rPr>
        <w:rFonts w:ascii="DejaVuSansCondensed" w:hAnsi="DejaVuSansCondensed"/>
        <w:sz w:val="20"/>
      </w:rPr>
      <w:t xml:space="preserve">- </w:t>
    </w:r>
    <w:r w:rsidR="00BB0AC5">
      <w:rPr>
        <w:rFonts w:ascii="DejaVuSansCondensed" w:hAnsi="DejaVuSansCondensed"/>
        <w:sz w:val="20"/>
      </w:rPr>
      <w:t xml:space="preserve"> </w:t>
    </w:r>
    <w:r>
      <w:rPr>
        <w:rFonts w:ascii="DejaVuSansCondensed" w:hAnsi="DejaVuSansCondensed"/>
        <w:sz w:val="20"/>
      </w:rPr>
      <w:t xml:space="preserve">Sivu </w:t>
    </w:r>
    <w:r>
      <w:rPr>
        <w:rFonts w:ascii="DejaVuSansCondensed" w:hAnsi="DejaVuSansCondensed" w:cs="DejaVuSansCondensed"/>
        <w:sz w:val="20"/>
      </w:rPr>
      <w:fldChar w:fldCharType="begin"/>
    </w:r>
    <w:r>
      <w:rPr>
        <w:rFonts w:ascii="DejaVuSansCondensed" w:hAnsi="DejaVuSansCondensed" w:cs="DejaVuSansCondensed"/>
        <w:sz w:val="20"/>
      </w:rPr>
      <w:instrText xml:space="preserve">PAGE </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 </w:t>
    </w:r>
    <w:r>
      <w:rPr>
        <w:rFonts w:ascii="DejaVuSansCondensed" w:hAnsi="DejaVuSansCondensed" w:cs="DejaVuSansCondensed"/>
        <w:sz w:val="20"/>
      </w:rPr>
      <w:fldChar w:fldCharType="begin"/>
    </w:r>
    <w:r>
      <w:rPr>
        <w:rFonts w:ascii="DejaVuSansCondensed" w:hAnsi="DejaVuSansCondensed" w:cs="DejaVuSansCondensed"/>
        <w:sz w:val="20"/>
      </w:rPr>
      <w:instrText>NUMPAGES</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w:t>
    </w:r>
    <w:r w:rsidR="005E0C38">
      <w:rPr>
        <w:rFonts w:ascii="DejaVuSansCondensed" w:hAnsi="DejaVuSansCondensed"/>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BAF" w14:textId="77777777" w:rsidR="00BB0AC5" w:rsidRDefault="00BB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02F3" w14:textId="77777777" w:rsidR="003F3F43" w:rsidRDefault="003F3F43">
      <w:pPr>
        <w:spacing w:after="0" w:line="240" w:lineRule="auto"/>
      </w:pPr>
      <w:r>
        <w:separator/>
      </w:r>
    </w:p>
  </w:footnote>
  <w:footnote w:type="continuationSeparator" w:id="0">
    <w:p w14:paraId="4940935A" w14:textId="77777777" w:rsidR="003F3F43" w:rsidRDefault="003F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53D"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9E26"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9EA1" w14:textId="77777777" w:rsidR="00BB0AC5" w:rsidRDefault="00BB0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70"/>
    <w:rsid w:val="00320DD3"/>
    <w:rsid w:val="003F3F43"/>
    <w:rsid w:val="005E0C38"/>
    <w:rsid w:val="008A574F"/>
    <w:rsid w:val="008B4ECE"/>
    <w:rsid w:val="00945D70"/>
    <w:rsid w:val="009F13EB"/>
    <w:rsid w:val="00BB0AC5"/>
    <w:rsid w:val="00C8463D"/>
    <w:rsid w:val="00DD59E5"/>
    <w:rsid w:val="00FA2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F0867"/>
  <w14:defaultImageDpi w14:val="0"/>
  <w15:docId w15:val="{2DAE4D7D-D186-4D6E-9CA0-0F7010C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F"/>
  </w:style>
  <w:style w:type="paragraph" w:styleId="Header">
    <w:name w:val="header"/>
    <w:basedOn w:val="Normal"/>
    <w:link w:val="HeaderChar"/>
    <w:uiPriority w:val="99"/>
    <w:unhideWhenUsed/>
    <w:rsid w:val="008A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2477</Characters>
  <Application>Microsoft Office Word</Application>
  <DocSecurity>0</DocSecurity>
  <Lines>37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class='Internal'</cp:keywords>
  <dc:description/>
  <cp:lastModifiedBy>Ines Varvodic</cp:lastModifiedBy>
  <cp:revision>3</cp:revision>
  <dcterms:created xsi:type="dcterms:W3CDTF">2022-02-04T12:10:00Z</dcterms:created>
  <dcterms:modified xsi:type="dcterms:W3CDTF">2022-02-04T12:12:00Z</dcterms:modified>
</cp:coreProperties>
</file>