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DA- ------ 20200915---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Udkast</w:t>
      </w:r>
    </w:p>
    <w:p w14:paraId="78346323" w14:textId="77777777" w:rsidR="002E06E4" w:rsidRPr="00BD1E55" w:rsidRDefault="002E06E4" w:rsidP="00BD1E55">
      <w:pPr>
        <w:pStyle w:val="11Titel"/>
        <w:keepNext/>
        <w:keepLines/>
      </w:pPr>
      <w:r>
        <w:t>Forbundslov, hvormed der udstedes en forbundslov om foranstaltninger til beskyttelse af brugere på kommunikationsplatforme</w:t>
      </w:r>
    </w:p>
    <w:p w14:paraId="0CCC4069" w14:textId="77777777" w:rsidR="002E06E4" w:rsidRPr="00BD1E55" w:rsidRDefault="002E06E4" w:rsidP="00BD1E55">
      <w:pPr>
        <w:pStyle w:val="12PromKlEinlSatz"/>
        <w:keepLines/>
      </w:pPr>
      <w:r>
        <w:t>Nationalrådet har vedtaget følgende:</w:t>
      </w:r>
    </w:p>
    <w:p w14:paraId="12CFB804" w14:textId="77777777" w:rsidR="002E06E4" w:rsidRPr="00BD1E55" w:rsidRDefault="002E06E4" w:rsidP="00BD1E55">
      <w:pPr>
        <w:pStyle w:val="41UeberschrG1"/>
        <w:keepLines/>
      </w:pPr>
      <w:r>
        <w:t>Forbundslov om foranstaltninger til beskyttelse af brugere på kommunikationsplatforme (lov om kommunikationsplatforme – KoPl-G)</w:t>
      </w:r>
    </w:p>
    <w:p w14:paraId="45D329F3" w14:textId="77777777" w:rsidR="002E06E4" w:rsidRPr="00BD1E55" w:rsidRDefault="002E06E4" w:rsidP="00BD1E55">
      <w:pPr>
        <w:pStyle w:val="42UeberschrG1-"/>
        <w:keepLines/>
      </w:pPr>
      <w:r>
        <w:t>Afsnit 1</w:t>
      </w:r>
    </w:p>
    <w:p w14:paraId="50FD2778" w14:textId="77777777" w:rsidR="002E06E4" w:rsidRPr="00BD1E55" w:rsidRDefault="002E06E4" w:rsidP="00BD1E55">
      <w:pPr>
        <w:pStyle w:val="43UeberschrG2"/>
        <w:keepLines/>
      </w:pPr>
      <w:r>
        <w:t>Generelle bestemmelser og definitioner</w:t>
      </w:r>
    </w:p>
    <w:p w14:paraId="1ADFF86B" w14:textId="77777777" w:rsidR="002E06E4" w:rsidRPr="00BD1E55" w:rsidRDefault="002E06E4" w:rsidP="00BD1E55">
      <w:pPr>
        <w:pStyle w:val="45UeberschrPara"/>
        <w:keepLines/>
      </w:pPr>
      <w:r>
        <w:t>Genstand og anvendelsesområde</w:t>
      </w:r>
    </w:p>
    <w:p w14:paraId="1D49E1D6" w14:textId="77777777" w:rsidR="002E06E4" w:rsidRPr="00BD1E55" w:rsidRDefault="002E06E4" w:rsidP="00F778D3">
      <w:pPr>
        <w:pStyle w:val="51Abs"/>
      </w:pPr>
      <w:r>
        <w:rPr>
          <w:rStyle w:val="991GldSymbol"/>
        </w:rPr>
        <w:t>§ 1.</w:t>
      </w:r>
      <w:r>
        <w:t xml:space="preserve"> Stk. 1. Formålet med bestemmelserne i nærværende forbundslov er at fremme en ansvarlig og gennemsigtig håndtering af brugeres anmeldelser om nedenstående indhold på kommunikationsplatforme og en omgående behandling af sådanne anmeldelser.</w:t>
      </w:r>
    </w:p>
    <w:p w14:paraId="366994BA" w14:textId="0C6815A9" w:rsidR="002E06E4" w:rsidRPr="00BD1E55" w:rsidRDefault="002E06E4" w:rsidP="00BD1E55">
      <w:pPr>
        <w:pStyle w:val="51Abs"/>
        <w:keepNext/>
        <w:keepLines/>
      </w:pPr>
      <w:r>
        <w:t>Stk. 2. Inden- og udenlandske udbydere af kommunikationsplatforme (§ 2, nr. 4) er ikke omfattet af bestemmelserne i nærværende forbundslov, hvis</w:t>
      </w:r>
    </w:p>
    <w:p w14:paraId="0B7B7013" w14:textId="69F45360" w:rsidR="002E06E4" w:rsidRPr="00BD1E55" w:rsidRDefault="002E06E4" w:rsidP="00BD1E55">
      <w:pPr>
        <w:pStyle w:val="52Aufzaehle1Ziffer"/>
        <w:tabs>
          <w:tab w:val="clear" w:pos="624"/>
        </w:tabs>
        <w:ind w:hanging="254"/>
      </w:pPr>
      <w:r>
        <w:t>1.</w:t>
      </w:r>
      <w:r>
        <w:tab/>
        <w:t>antallet af brugere, der gennem registrering har adgangsret til kommunikationsplatformen i Østrig, ikke har overskredet 100 000 personer i gennemsnit det foregående kvartal</w:t>
      </w:r>
    </w:p>
    <w:p w14:paraId="19874DD7" w14:textId="7B9955BA" w:rsidR="002E06E4" w:rsidRPr="00BD1E55" w:rsidRDefault="002E06E4" w:rsidP="00BD1E55">
      <w:pPr>
        <w:pStyle w:val="52Aufzaehle1Ziffer"/>
        <w:tabs>
          <w:tab w:val="clear" w:pos="624"/>
        </w:tabs>
        <w:ind w:hanging="254"/>
      </w:pPr>
      <w:r>
        <w:t>2.</w:t>
      </w:r>
      <w:r>
        <w:tab/>
        <w:t>der med drift af kommunikationsplatformen ikke nås en omsætning på mere end 500 000 EUR i Østrig det foregående år.</w:t>
      </w:r>
    </w:p>
    <w:p w14:paraId="76C1E8C6" w14:textId="40F99B93" w:rsidR="002E06E4" w:rsidRPr="00201EED" w:rsidRDefault="00B66082" w:rsidP="00F778D3">
      <w:pPr>
        <w:pStyle w:val="51Abs"/>
        <w:rPr>
          <w:spacing w:val="-4"/>
          <w:highlight w:val="yellow"/>
        </w:rPr>
      </w:pPr>
      <w:r w:rsidRPr="00201EED">
        <w:rPr>
          <w:spacing w:val="-4"/>
        </w:rPr>
        <w:t>Stk. 3. Udbydere af kommunikationsplatforme, som kun er beregnet til formidling af varer og tjenesteydelser, eller hvis hovedformål ligger inden for tilrådighedsstillelse af ikke-profitorienterede onlineencyklopædier til vidensformidling, er undtaget fra forpligtelserne i henhold til nærværende forbundslov, selv hvis der stilles tilgængelige kommunikationsfunktioner til rådighed for en større personkreds og uanset antallet af brugere af kommunikationsplatformen og størrelsen af omsætningen, der nås med drift af denne. Medievirksomheder (§ 1, stk. 1, nr. 6, i medieloven) er ligeledes undtaget, såfremt de stiller kommunikationsplatforme til rådighed i umiddelbar forbindelse med deres udbud af journalistisk indhold.</w:t>
      </w:r>
    </w:p>
    <w:p w14:paraId="080BF290" w14:textId="77777777" w:rsidR="002E06E4" w:rsidRPr="00201EED" w:rsidRDefault="002E06E4" w:rsidP="00F778D3">
      <w:pPr>
        <w:pStyle w:val="51Abs"/>
        <w:rPr>
          <w:spacing w:val="-4"/>
        </w:rPr>
      </w:pPr>
      <w:r w:rsidRPr="00201EED">
        <w:rPr>
          <w:spacing w:val="-4"/>
        </w:rPr>
        <w:t>Stk. 4. På forlangende af en tjenesteudbyder skal tilsynsmyndigheden fastslå, om vedkommende er omfattet af anvendelsesområdet for nærværende forbundslov. Tjenesteudbydere af kommunikationsplatforme skal give tilsynsmyndigheden (§ 8, stk. 1) alle relevante oplysninger til denne fastslåelse.</w:t>
      </w:r>
    </w:p>
    <w:p w14:paraId="4D6530E3" w14:textId="77777777" w:rsidR="002E06E4" w:rsidRPr="00BD1E55" w:rsidRDefault="002E06E4" w:rsidP="00BD1E55">
      <w:pPr>
        <w:pStyle w:val="45UeberschrPara"/>
        <w:keepLines/>
      </w:pPr>
      <w:r>
        <w:lastRenderedPageBreak/>
        <w:t>Definitioner</w:t>
      </w:r>
    </w:p>
    <w:p w14:paraId="3E11659B" w14:textId="77777777" w:rsidR="002E06E4" w:rsidRPr="00BD1E55" w:rsidRDefault="002E06E4" w:rsidP="00BD1E55">
      <w:pPr>
        <w:pStyle w:val="51Abs"/>
        <w:keepNext/>
        <w:keepLines/>
      </w:pPr>
      <w:r>
        <w:rPr>
          <w:rStyle w:val="991GldSymbol"/>
        </w:rPr>
        <w:t>§ 2.</w:t>
      </w:r>
      <w:r>
        <w:t xml:space="preserve"> I henhold til nærværende forbundslov betyder</w:t>
      </w:r>
    </w:p>
    <w:p w14:paraId="3C73CFCA" w14:textId="2BE5C29C" w:rsidR="002E06E4" w:rsidRPr="00201EED" w:rsidRDefault="002E06E4" w:rsidP="00201EED">
      <w:pPr>
        <w:pStyle w:val="52Aufzaehle1Ziffer"/>
        <w:keepNext/>
        <w:tabs>
          <w:tab w:val="clear" w:pos="624"/>
        </w:tabs>
        <w:ind w:hanging="254"/>
        <w:rPr>
          <w:spacing w:val="-4"/>
        </w:rPr>
      </w:pPr>
      <w:r w:rsidRPr="00201EED">
        <w:rPr>
          <w:spacing w:val="-4"/>
        </w:rPr>
        <w:t>1.</w:t>
      </w:r>
      <w:r w:rsidRPr="00201EED">
        <w:rPr>
          <w:spacing w:val="-4"/>
        </w:rPr>
        <w:tab/>
        <w:t>driftssted: et fast forretningssted, hvorigennem en tjenesteudbyders aktivitet udøves helt eller delvist</w:t>
      </w:r>
    </w:p>
    <w:p w14:paraId="41F7421D" w14:textId="25CAE9E0" w:rsidR="002E06E4" w:rsidRPr="00BD1E55" w:rsidRDefault="002E06E4" w:rsidP="00201EED">
      <w:pPr>
        <w:pStyle w:val="52Aufzaehle1Ziffer"/>
        <w:keepLines/>
        <w:tabs>
          <w:tab w:val="clear" w:pos="624"/>
        </w:tabs>
        <w:ind w:hanging="254"/>
      </w:pPr>
      <w:r>
        <w:t>2.</w:t>
      </w:r>
      <w:r>
        <w:tab/>
        <w:t>tjeneste i informationssamfundet: en tjeneste, der som regel tilvejebringes elektronisk mod betaling i forbindelse med fjernsalg og individuelt on-demand fra modtageren (§ 1, stk. 1, nr. 2, i notifikationsloven af 1999 – NotifG 1999, Østrigs lovtidende (BGBl.) I nr. 183/1999), især onlinesalg af varer og tjenesteydelser, onlineinformationstilbud, onlinereklame, elektroniske søgemaskiner og dataforespørgselsmuligheder samt tjenester, der overfører oplysninger via et elektronisk netværk, der formidler adgang til et sådant, eller som opbevarer en brugers oplysninger (§ 3, nr. 1, i lov om e-handel – ECG, BGBl I nr. 52/2001)</w:t>
      </w:r>
    </w:p>
    <w:p w14:paraId="45B0222F" w14:textId="22F6B5DA" w:rsidR="002E06E4" w:rsidRPr="00BD1E55" w:rsidRDefault="002E06E4" w:rsidP="00BD1E55">
      <w:pPr>
        <w:pStyle w:val="52Aufzaehle1Ziffer"/>
        <w:tabs>
          <w:tab w:val="clear" w:pos="624"/>
        </w:tabs>
        <w:ind w:hanging="254"/>
      </w:pPr>
      <w:r>
        <w:t>3.</w:t>
      </w:r>
      <w:r>
        <w:tab/>
        <w:t>tjenesteudbyder (udbyder): den fysiske eller juridiske person, der driver en kommunikationsplatform</w:t>
      </w:r>
    </w:p>
    <w:p w14:paraId="111C4223" w14:textId="677FC777" w:rsidR="002E06E4" w:rsidRPr="00BD1E55" w:rsidRDefault="002E06E4" w:rsidP="00BD1E55">
      <w:pPr>
        <w:pStyle w:val="52Aufzaehle1Ziffer"/>
        <w:tabs>
          <w:tab w:val="clear" w:pos="624"/>
        </w:tabs>
        <w:ind w:hanging="254"/>
      </w:pPr>
      <w:r>
        <w:t>4.</w:t>
      </w:r>
      <w:r>
        <w:tab/>
        <w:t>kommunikationsplatform (platform): en tjeneste i informationssamfundet, med hensyn til hvilken hovedformålet eller en væsentlig funktion består i at muliggøre udveksling af meddelelser eller præsentationer med tankeindhold i ord, på skrift, i lyd eller billeder mellem brugere og en større personkreds af andre brugere i form af masseudbredelse</w:t>
      </w:r>
    </w:p>
    <w:p w14:paraId="0422031F" w14:textId="63334C0F" w:rsidR="002E06E4" w:rsidRPr="00BD1E55" w:rsidRDefault="002E06E4" w:rsidP="00BD1E55">
      <w:pPr>
        <w:pStyle w:val="52Aufzaehle1Ziffer"/>
        <w:tabs>
          <w:tab w:val="clear" w:pos="624"/>
        </w:tabs>
        <w:ind w:hanging="254"/>
      </w:pPr>
      <w:r>
        <w:t>5.</w:t>
      </w:r>
      <w:r>
        <w:tab/>
        <w:t>moderselskab: en virksomhed, der kontrollerer et eller flere datterselskaber i henhold til § 244 i lov om virksomheder, rigets lovtidende (dRGBl.) s. 219/1897</w:t>
      </w:r>
    </w:p>
    <w:p w14:paraId="27DE7DE7" w14:textId="37A6322B" w:rsidR="002E06E4" w:rsidRPr="00BD1E55" w:rsidRDefault="002E06E4" w:rsidP="00BD1E55">
      <w:pPr>
        <w:pStyle w:val="52Aufzaehle1Ziffer"/>
        <w:tabs>
          <w:tab w:val="clear" w:pos="624"/>
        </w:tabs>
        <w:ind w:hanging="254"/>
      </w:pPr>
      <w:r>
        <w:t>6.</w:t>
      </w:r>
      <w:r>
        <w:tab/>
        <w:t>ulovligt indhold: indhold, der objektivt realiserer et af de følgende forhold, og som ikke er berettiget: tvang (§ 105 i straffeloven, BGBl. nr. 60/1974), farlige trusler (§ 107 i straffeloven), stalking (§ 107a i straffeloven), vedvarende chikane i forbindelse med telekommunikation (§ 107c i straffeloven), anklage om en allerede afgjort retsligt strafbar handling (§ 113 i straffeloven), fornærmelse (§ 115 i straffeloven), uberettigede billedoptagelser (§ 120a i straffeloven), afpresning (§ 144 i straffeloven), nedværdigelse af religiøse lærer (§ 188 i straffeloven), pornografiske fremstillinger af mindreårige (§ 207a i straffeloven), indledning af seksuelle kontakter til umyndige (§ 208a i straffeloven), terroristisk forening (§ 278b i straffeloven), vejledning til begåelse af en strafbar terroristisk handling (§ 278f i straffeloven), opfordring til strafbare terroristiske handlinger (§ 282a, i straffeloven), fornedrelse (§ 283 i straffeloven), § 3d, § 3g, § 3h i lov om forbud, statens lovtidende (StGBl.) nr. 13/1945</w:t>
      </w:r>
    </w:p>
    <w:p w14:paraId="1D90BEE4" w14:textId="601B5C7B" w:rsidR="002E06E4" w:rsidRPr="00BD1E55" w:rsidRDefault="002E06E4" w:rsidP="00BD1E55">
      <w:pPr>
        <w:pStyle w:val="52Aufzaehle1Ziffer"/>
        <w:tabs>
          <w:tab w:val="clear" w:pos="624"/>
        </w:tabs>
        <w:ind w:hanging="254"/>
      </w:pPr>
      <w:r>
        <w:t>7.</w:t>
      </w:r>
      <w:r>
        <w:tab/>
        <w:t>datterselskab: en virksomhed, der kontrolleres direkte eller indirekte af et moderselskab i henhold til § 244 i lov om virksomheder</w:t>
      </w:r>
    </w:p>
    <w:p w14:paraId="54F7FE9A" w14:textId="5289E439" w:rsidR="002E06E4" w:rsidRPr="00BD1E55" w:rsidRDefault="002E06E4" w:rsidP="00BD1E55">
      <w:pPr>
        <w:pStyle w:val="52Aufzaehle1Ziffer"/>
        <w:tabs>
          <w:tab w:val="clear" w:pos="624"/>
        </w:tabs>
        <w:ind w:hanging="254"/>
      </w:pPr>
      <w:r>
        <w:t>8.</w:t>
      </w:r>
      <w:r>
        <w:tab/>
        <w:t>virksomhedsgruppe: en tjenesteudbyders moderselskab, alle dets datterselskaber og alle andre virksomheder, der er økonomisk og retligt forbundet med dem.</w:t>
      </w:r>
    </w:p>
    <w:p w14:paraId="48EF489D" w14:textId="77777777" w:rsidR="002E06E4" w:rsidRPr="00BD1E55" w:rsidRDefault="002E06E4" w:rsidP="00BD1E55">
      <w:pPr>
        <w:pStyle w:val="41UeberschrG1"/>
        <w:keepLines/>
      </w:pPr>
      <w:r>
        <w:t>Afsnit 2</w:t>
      </w:r>
    </w:p>
    <w:p w14:paraId="1EC193BE" w14:textId="77777777" w:rsidR="002E06E4" w:rsidRPr="00BD1E55" w:rsidRDefault="002E06E4" w:rsidP="00BD1E55">
      <w:pPr>
        <w:pStyle w:val="43UeberschrG2"/>
        <w:keepLines/>
      </w:pPr>
      <w:r>
        <w:t>Krav til kommunikationsplatforme</w:t>
      </w:r>
    </w:p>
    <w:p w14:paraId="034D984C" w14:textId="77777777" w:rsidR="002E06E4" w:rsidRPr="00BD1E55" w:rsidRDefault="002E06E4" w:rsidP="00BD1E55">
      <w:pPr>
        <w:pStyle w:val="45UeberschrPara"/>
        <w:keepLines/>
      </w:pPr>
      <w:r>
        <w:t>Anmeldelses- og kontrolprocedure</w:t>
      </w:r>
    </w:p>
    <w:p w14:paraId="52D85EE5" w14:textId="77777777" w:rsidR="002E06E4" w:rsidRPr="00BD1E55" w:rsidRDefault="002E06E4" w:rsidP="00BD1E55">
      <w:pPr>
        <w:pStyle w:val="51Abs"/>
        <w:keepNext/>
        <w:keepLines/>
      </w:pPr>
      <w:r>
        <w:rPr>
          <w:rStyle w:val="991GldSymbol"/>
        </w:rPr>
        <w:t>§ 3.</w:t>
      </w:r>
      <w:r>
        <w:t xml:space="preserve"> Stk. 1. Tjenesteudbydere skal oprette en effektiv og gennemsigtig procedure for håndtering og behandling af anmeldelser om ulovligt indhold, der angiveligt er tilgængeligt på platformen.</w:t>
      </w:r>
    </w:p>
    <w:p w14:paraId="51BD5561" w14:textId="77777777" w:rsidR="002E06E4" w:rsidRPr="00BD1E55" w:rsidRDefault="002E06E4" w:rsidP="00BD1E55">
      <w:pPr>
        <w:pStyle w:val="51Abs"/>
        <w:keepNext/>
        <w:keepLines/>
      </w:pPr>
      <w:r>
        <w:t>Stk. 2. En sådan procedure skal i hvert tilfælde være udformet, så brugere af platformen ved hjælp af funktioner på platformen, der nemt kan findes, altid er til rådighed, og som er nemme at håndtere, kan</w:t>
      </w:r>
    </w:p>
    <w:p w14:paraId="67814114" w14:textId="4D7144F8" w:rsidR="002E06E4" w:rsidRPr="00BD1E55" w:rsidRDefault="002E06E4" w:rsidP="00BD1E55">
      <w:pPr>
        <w:pStyle w:val="52Aufzaehle1Ziffer"/>
        <w:tabs>
          <w:tab w:val="clear" w:pos="624"/>
        </w:tabs>
        <w:ind w:hanging="254"/>
      </w:pPr>
      <w:r>
        <w:t>1.</w:t>
      </w:r>
      <w:r>
        <w:tab/>
        <w:t>anmelde indhold til tjenesteudbyderen sammen med de oplysninger, der er nødvendige til en vurdering</w:t>
      </w:r>
    </w:p>
    <w:p w14:paraId="64AA8A1C" w14:textId="31164118" w:rsidR="002E06E4" w:rsidRPr="00BD1E55" w:rsidRDefault="002E06E4" w:rsidP="00BD1E55">
      <w:pPr>
        <w:pStyle w:val="52Aufzaehle1Ziffer"/>
        <w:tabs>
          <w:tab w:val="clear" w:pos="624"/>
        </w:tabs>
        <w:ind w:hanging="254"/>
      </w:pPr>
      <w:r>
        <w:t>2.</w:t>
      </w:r>
      <w:r>
        <w:tab/>
        <w:t>modtage en forklaring om, hvordan deres anmeldelse behandles, og hvad resultatet af den pågældende procedure var</w:t>
      </w:r>
    </w:p>
    <w:p w14:paraId="7D8138F2" w14:textId="7CDAD152" w:rsidR="002E06E4" w:rsidRPr="00BD1E55" w:rsidRDefault="002E06E4" w:rsidP="00BD1E55">
      <w:pPr>
        <w:pStyle w:val="52Aufzaehle1Ziffer"/>
        <w:tabs>
          <w:tab w:val="clear" w:pos="624"/>
        </w:tabs>
        <w:ind w:hanging="254"/>
      </w:pPr>
      <w:r>
        <w:t>3.</w:t>
      </w:r>
      <w:r>
        <w:tab/>
        <w:t>underrettes omgående om de væsentlige præmisser for behandlingen af den pågældende anmeldelse, herunder det eventuelle tidspunkt for en fjernelse eller blokering, i forbindelse med hvilket disse oplysninger også skal gives til den bruger, der uploadede det pågældende indhold.</w:t>
      </w:r>
    </w:p>
    <w:p w14:paraId="6172A7E1" w14:textId="77777777" w:rsidR="002E06E4" w:rsidRPr="00BD1E55" w:rsidRDefault="002E06E4" w:rsidP="00BD1E55">
      <w:pPr>
        <w:pStyle w:val="51Abs"/>
        <w:keepNext/>
        <w:keepLines/>
      </w:pPr>
      <w:r>
        <w:t>Stk. 3. Derudover skal tjenesteudbydere gennem udformningen af deres interne organisering af anmeldelsesproceduren</w:t>
      </w:r>
    </w:p>
    <w:p w14:paraId="069F4845" w14:textId="6777E46A" w:rsidR="002E06E4" w:rsidRPr="00BD1E55" w:rsidRDefault="002E06E4" w:rsidP="00BD1E55">
      <w:pPr>
        <w:pStyle w:val="52Aufzaehle1Ziffer"/>
        <w:tabs>
          <w:tab w:val="clear" w:pos="624"/>
        </w:tabs>
        <w:ind w:hanging="254"/>
      </w:pPr>
      <w:r>
        <w:t>1.</w:t>
      </w:r>
      <w:r>
        <w:tab/>
        <w:t>sørge for, at anmeldt indhold</w:t>
      </w:r>
    </w:p>
    <w:p w14:paraId="27A43744" w14:textId="5A8B8B01" w:rsidR="002E06E4" w:rsidRPr="00BD1E55" w:rsidRDefault="002E06E4" w:rsidP="00BD1E55">
      <w:pPr>
        <w:pStyle w:val="52Aufzaehle2Lit"/>
        <w:tabs>
          <w:tab w:val="clear" w:pos="851"/>
        </w:tabs>
        <w:ind w:hanging="198"/>
      </w:pPr>
      <w:r>
        <w:t>a.</w:t>
      </w:r>
      <w:r>
        <w:tab/>
        <w:t>enten fjernes, eller at adgangen til det blokeres, omgående, dog senest inden for 24 timer efter modtagelse af anmeldelsen, såfremt dets ulovlighed selv for en juridisk lægmand er åbenlys uden nærmere efterforskning</w:t>
      </w:r>
    </w:p>
    <w:p w14:paraId="61E8E805" w14:textId="6660972A" w:rsidR="002E06E4" w:rsidRPr="00BD1E55" w:rsidRDefault="002E06E4" w:rsidP="00BD1E55">
      <w:pPr>
        <w:pStyle w:val="52Aufzaehle2Lit"/>
        <w:tabs>
          <w:tab w:val="clear" w:pos="851"/>
        </w:tabs>
        <w:ind w:hanging="198"/>
      </w:pPr>
      <w:r>
        <w:lastRenderedPageBreak/>
        <w:t>b.</w:t>
      </w:r>
      <w:r>
        <w:tab/>
        <w:t>fjernes, eller at adgangen til det blokeres, omgående efter afslutningen af en detaljeret kontrol, dog senest inden for syv dage regnet fra modtagelse af anmeldelsen, såfremt dets ulovlighed først påvises efter denne kontrol.</w:t>
      </w:r>
    </w:p>
    <w:p w14:paraId="3F19EA1F" w14:textId="214E2555" w:rsidR="002E06E4" w:rsidRPr="00BD1E55" w:rsidRDefault="002E06E4" w:rsidP="00BD1E55">
      <w:pPr>
        <w:pStyle w:val="52Aufzaehle1Ziffer"/>
        <w:tabs>
          <w:tab w:val="clear" w:pos="624"/>
        </w:tabs>
        <w:ind w:hanging="254"/>
      </w:pPr>
      <w:r>
        <w:t>2.</w:t>
      </w:r>
      <w:r>
        <w:tab/>
        <w:t>sikre, at brugeren, der indgiver en anmeldelse, samt den bruger, der har uploadet det pågældende indhold, omgående informeres om muligheden for deltagelse i en klageprocedure (§ 7) samt for en anmodning om gennemførelse af en kontrolprocedure (stk. 4)</w:t>
      </w:r>
    </w:p>
    <w:p w14:paraId="60378D16" w14:textId="5F488713" w:rsidR="002E06E4" w:rsidRPr="00BD1E55" w:rsidRDefault="002E06E4" w:rsidP="00BD1E55">
      <w:pPr>
        <w:pStyle w:val="52Aufzaehle1Ziffer"/>
        <w:tabs>
          <w:tab w:val="clear" w:pos="624"/>
        </w:tabs>
        <w:ind w:hanging="254"/>
      </w:pPr>
      <w:r>
        <w:t>3.</w:t>
      </w:r>
      <w:r>
        <w:tab/>
        <w:t>i tilfælde af en blokering eller sletning gemme og opbevare det deraf berørte indhold, tidspunktet for dets oprettelse samt de nødvendige oplysninger til identifikation af opretshaveren i højest ti uger som beviser, herunder med henblik på strafferetlig forfølgelse. Denne frist må overskrides i det enkelte tilfælde i tilfælde af en udtrykkelig anmodning fra en retshåndhævende myndighed, hvis bevissikringen ellers ville blive forhindret.</w:t>
      </w:r>
    </w:p>
    <w:p w14:paraId="4E2C7F6D" w14:textId="77777777" w:rsidR="002E06E4" w:rsidRPr="00BD1E55" w:rsidRDefault="002E06E4" w:rsidP="00BD1E55">
      <w:pPr>
        <w:pStyle w:val="51Abs"/>
        <w:keepNext/>
        <w:keepLines/>
      </w:pPr>
      <w:r>
        <w:t>Stk. 4. Derudover skal tjenesteudbydere sørge for, at der er oprettet en effektiv og gennemsigtigt procedure for kontrol af deres beslutning om sletning eller blokering af et anmeldt indhold (stk. 3, nr. 1). En kontrol skal finde sted, når</w:t>
      </w:r>
    </w:p>
    <w:p w14:paraId="1C214ACC" w14:textId="6D6C944C" w:rsidR="002E06E4" w:rsidRPr="00BD1E55" w:rsidRDefault="002E06E4" w:rsidP="00BD1E55">
      <w:pPr>
        <w:pStyle w:val="52Aufzaehle1Ziffer"/>
        <w:tabs>
          <w:tab w:val="clear" w:pos="624"/>
        </w:tabs>
        <w:ind w:hanging="254"/>
      </w:pPr>
      <w:r>
        <w:t>1.</w:t>
      </w:r>
      <w:r>
        <w:tab/>
        <w:t>den bruger, der har indgivet anmeldelsen, i tilfælde af en undladelse af blokering eller sletning af et indhold anmoder om kontrol af beslutningen inden for to uger efter modtagelse af denne beslutning (stk. 3, nr. 2)</w:t>
      </w:r>
    </w:p>
    <w:p w14:paraId="443F318D" w14:textId="09881B9A" w:rsidR="002E06E4" w:rsidRPr="00BD1E55" w:rsidRDefault="002E06E4" w:rsidP="00BD1E55">
      <w:pPr>
        <w:pStyle w:val="52Aufzaehle1Ziffer"/>
        <w:tabs>
          <w:tab w:val="clear" w:pos="624"/>
        </w:tabs>
        <w:ind w:hanging="254"/>
      </w:pPr>
      <w:r>
        <w:t>2.</w:t>
      </w:r>
      <w:r>
        <w:tab/>
        <w:t>den bruger, der har uploadet indholdet på kommunikationsplatformen, i tilfælde af en blokering eller sletning af et indhold anmoder om kontrol af beslutningen inden for to uger efter modtagelse af denne beslutning (stk. 3, nr. 2).</w:t>
      </w:r>
    </w:p>
    <w:p w14:paraId="475CC5F7" w14:textId="77777777" w:rsidR="002E06E4" w:rsidRPr="00BD1E55" w:rsidRDefault="002E06E4" w:rsidP="00F778D3">
      <w:pPr>
        <w:pStyle w:val="23SatznachNovao"/>
      </w:pPr>
      <w:r>
        <w:t>De i nr. 1 og 2 nævnte brugere skal omgående informeres af tjenesteudbyderen om resultatet af kontrollen. Kontrolproceduren skal afsluttes inden for to uger fra anmodningstidspunktet.</w:t>
      </w:r>
    </w:p>
    <w:p w14:paraId="4D23631B" w14:textId="77777777" w:rsidR="002E06E4" w:rsidRPr="00BD1E55" w:rsidRDefault="002E06E4" w:rsidP="00F778D3">
      <w:pPr>
        <w:pStyle w:val="51Abs"/>
      </w:pPr>
      <w:r>
        <w:t>Stk. 5. Personoplysninger, der behandles af tjenesteudbyderen i forbindelse med opfyldelse af de fastlagte pligter i stk. 2 til 4, skal med undtagelse af det indhold, der skal gemmes i henhold til stk. 3, nr. 3, slettes omgående efter udløbet af de fastlagte frister i stk. 4, nr. 1 og 2. I tilfælde af en kontrol i henhold til stk. 4 skal dette finde sted efter afslutning af kontrolproceduren. Det indhold, der skal gemmes i henhold til stk. 3, nr. 3, skal slettes efter senest ti uger.</w:t>
      </w:r>
    </w:p>
    <w:p w14:paraId="619DDC7F" w14:textId="77777777" w:rsidR="002E06E4" w:rsidRPr="00BD1E55" w:rsidRDefault="002E06E4" w:rsidP="00F778D3">
      <w:pPr>
        <w:pStyle w:val="51Abs"/>
      </w:pPr>
      <w:r>
        <w:t>Stk. 6. Personoplysninger om den person, der indgiver anmeldelsen, må udelukkende oplyses over for denne person.</w:t>
      </w:r>
    </w:p>
    <w:p w14:paraId="0020DE3D" w14:textId="26A69D21" w:rsidR="003855F7" w:rsidRPr="00BD1E55" w:rsidRDefault="003855F7" w:rsidP="00F778D3">
      <w:pPr>
        <w:pStyle w:val="51Abs"/>
      </w:pPr>
      <w:r>
        <w:t xml:space="preserve">Stk. 7. Tjenesteudbyderen er ikke forpligtet til at gennemføre en anmeldelses- eller kontrolprocedure, når vedkommende især på baggrund af typen eller hyppigheden af de modtagne anmeldelser med næsten helt sikkert kan gå ud fra, at anmeldelserne enten genereres automatisk eller misbruges på anden vis. </w:t>
      </w:r>
    </w:p>
    <w:p w14:paraId="07FA856F" w14:textId="77777777" w:rsidR="002E06E4" w:rsidRPr="00BD1E55" w:rsidRDefault="002E06E4" w:rsidP="00F778D3">
      <w:pPr>
        <w:pStyle w:val="45UeberschrPara"/>
      </w:pPr>
      <w:r>
        <w:t>Rapporteringspligt</w:t>
      </w:r>
    </w:p>
    <w:p w14:paraId="30DD9A71" w14:textId="2FB227C8" w:rsidR="002E06E4" w:rsidRPr="00BD1E55" w:rsidRDefault="002E06E4" w:rsidP="00F778D3">
      <w:pPr>
        <w:pStyle w:val="51Abs"/>
      </w:pPr>
      <w:r>
        <w:rPr>
          <w:rStyle w:val="991GldSymbol"/>
        </w:rPr>
        <w:t>§ 4.</w:t>
      </w:r>
      <w:r>
        <w:t xml:space="preserve"> Stk. 1. Tjenesteudbydere er forpligtet til en gang om året at udarbejde en rapport om håndteringen af anmeldelser om påstået ulovligt indhold og fremsende den til tilsynsmyndigheden senest en måned efter afslutningen af det kalenderår, der er omfattet af rapporten. I tilfælde af kommunikationsplatforme med over en million registrerede brugere skal dette finde sted en gang i kvartalet. Samtidig med fremsendelsen skal rapporten desuden stilles permanent til rådighed på eget websted, så den er let at finde.</w:t>
      </w:r>
    </w:p>
    <w:p w14:paraId="407A9BDC" w14:textId="77777777" w:rsidR="002E06E4" w:rsidRPr="00BD1E55" w:rsidRDefault="002E06E4" w:rsidP="00F778D3">
      <w:pPr>
        <w:pStyle w:val="51Abs"/>
      </w:pPr>
      <w:r>
        <w:t>Stk. 2. Rapporten skal i hvert tilfælde indeholde følgende punkter:</w:t>
      </w:r>
    </w:p>
    <w:p w14:paraId="3ABA2811" w14:textId="474FD04E" w:rsidR="002E06E4" w:rsidRPr="00BD1E55" w:rsidRDefault="002E06E4" w:rsidP="001A5D58">
      <w:pPr>
        <w:pStyle w:val="52Aufzaehle1Ziffer"/>
        <w:tabs>
          <w:tab w:val="clear" w:pos="624"/>
        </w:tabs>
        <w:ind w:hanging="254"/>
      </w:pPr>
      <w:r>
        <w:t>1.</w:t>
      </w:r>
      <w:r>
        <w:tab/>
        <w:t>generelle redegørelser om hvilke indsatser en tjenesteudbyder gør for at forhindre ulovligt indhold på platformen</w:t>
      </w:r>
    </w:p>
    <w:p w14:paraId="129FEDF1" w14:textId="30403BE6" w:rsidR="002E06E4" w:rsidRPr="00BD1E55" w:rsidRDefault="002E06E4" w:rsidP="001A5D58">
      <w:pPr>
        <w:pStyle w:val="52Aufzaehle1Ziffer"/>
        <w:tabs>
          <w:tab w:val="clear" w:pos="624"/>
        </w:tabs>
        <w:ind w:hanging="254"/>
      </w:pPr>
      <w:r>
        <w:t>2.</w:t>
      </w:r>
      <w:r>
        <w:tab/>
        <w:t>beskrivelser af anmeldelsesprocedurens udformning og brugervenlighed (§ 3, stk. 1 til 3) samt om beslutningskriterierne for sletning og blokering af ulovligt indhold, herunder de kontroltrin, der er foretaget i den forbindelse, om der foreligger et ulovligt indhold, eller om kontraktlige bestemmelser mellem tjenesteudbyderen og brugeren blev overtrådt</w:t>
      </w:r>
    </w:p>
    <w:p w14:paraId="1C780142" w14:textId="47DAD391" w:rsidR="002E06E4" w:rsidRPr="00BD1E55" w:rsidRDefault="002E06E4" w:rsidP="001A5D58">
      <w:pPr>
        <w:pStyle w:val="52Aufzaehle1Ziffer"/>
        <w:tabs>
          <w:tab w:val="clear" w:pos="624"/>
        </w:tabs>
        <w:ind w:hanging="254"/>
      </w:pPr>
      <w:r>
        <w:t>3.</w:t>
      </w:r>
      <w:r>
        <w:tab/>
        <w:t>beskrivelser af antallet af anmeldelser om påstået ulovligt indhold, der er modtaget i rapporteringsperioden</w:t>
      </w:r>
    </w:p>
    <w:p w14:paraId="42D4F820" w14:textId="21FADE6C" w:rsidR="002E06E4" w:rsidRPr="00201EED" w:rsidRDefault="002E06E4" w:rsidP="001A5D58">
      <w:pPr>
        <w:pStyle w:val="52Aufzaehle1Ziffer"/>
        <w:tabs>
          <w:tab w:val="clear" w:pos="624"/>
        </w:tabs>
        <w:ind w:hanging="254"/>
        <w:rPr>
          <w:spacing w:val="-4"/>
        </w:rPr>
      </w:pPr>
      <w:r w:rsidRPr="00201EED">
        <w:rPr>
          <w:spacing w:val="-4"/>
        </w:rPr>
        <w:t>4.</w:t>
      </w:r>
      <w:r w:rsidRPr="00201EED">
        <w:rPr>
          <w:spacing w:val="-4"/>
        </w:rPr>
        <w:tab/>
        <w:t>oversigt over antallet af anmeldelser om påstået ulovligt indhold, der har ført til sletning eller blokering af reklameret indhold i rapporteringsperioden, herunder oplysninger om, hvilket trin i kontrollen (nr. 2), der har ført til sletning eller blokering samt en sammenfattende beskrivelse af indholdstypen</w:t>
      </w:r>
    </w:p>
    <w:p w14:paraId="7F3FB179" w14:textId="083C052B" w:rsidR="002E06E4" w:rsidRPr="00BD1E55" w:rsidRDefault="002E06E4" w:rsidP="001A5D58">
      <w:pPr>
        <w:pStyle w:val="52Aufzaehle1Ziffer"/>
        <w:tabs>
          <w:tab w:val="clear" w:pos="624"/>
        </w:tabs>
        <w:ind w:hanging="254"/>
      </w:pPr>
      <w:r>
        <w:t>5.</w:t>
      </w:r>
      <w:r>
        <w:tab/>
        <w:t>oversigt over kontrolprocedurernes antal, indhold og resultat (§ 3, stk. 4)</w:t>
      </w:r>
    </w:p>
    <w:p w14:paraId="49886498" w14:textId="5A25CF53" w:rsidR="002E06E4" w:rsidRPr="00BD1E55" w:rsidRDefault="002E06E4" w:rsidP="001A5D58">
      <w:pPr>
        <w:pStyle w:val="52Aufzaehle1Ziffer"/>
        <w:tabs>
          <w:tab w:val="clear" w:pos="624"/>
        </w:tabs>
        <w:ind w:hanging="254"/>
      </w:pPr>
      <w:r>
        <w:t>6.</w:t>
      </w:r>
      <w:r>
        <w:tab/>
        <w:t>beskrivelse af organisering, personelt og teknisk udstyr, faglige kompetencer for så vidt angår personalet med ansvar for bearbejdningen af anmeldelser og for kontrolprocedurerne samt uddannelse, oplæring og vejledning for så vidt angår personer med ansvar for bearbejdningen af anmeldelser og kontroller</w:t>
      </w:r>
    </w:p>
    <w:p w14:paraId="1087FBF4" w14:textId="0736D5C0" w:rsidR="001F09F9" w:rsidRPr="00BD1E55" w:rsidRDefault="002E06E4" w:rsidP="001A5D58">
      <w:pPr>
        <w:pStyle w:val="52Aufzaehle1Ziffer"/>
        <w:tabs>
          <w:tab w:val="clear" w:pos="624"/>
        </w:tabs>
        <w:ind w:hanging="254"/>
      </w:pPr>
      <w:r>
        <w:lastRenderedPageBreak/>
        <w:t>7.</w:t>
      </w:r>
      <w:r>
        <w:tab/>
        <w:t>oversigt over tidsrummene mellem anmeldelsesmodtagelse hos tjenesteudbyderen, påbegyndelse af kontrollen og sletning eller blokering af et ulovligt indhold inddelt efter tidsrummene "inden for 24 timer", "inden for 72 timer", "inden for syv dage" og "på et senere tidspunkt"</w:t>
      </w:r>
    </w:p>
    <w:p w14:paraId="7205F3F6" w14:textId="3120D74A" w:rsidR="008A51A6" w:rsidRPr="00BD1E55" w:rsidRDefault="001F09F9" w:rsidP="001A5D58">
      <w:pPr>
        <w:pStyle w:val="52Aufzaehle1Ziffer"/>
        <w:tabs>
          <w:tab w:val="clear" w:pos="624"/>
        </w:tabs>
        <w:ind w:hanging="254"/>
      </w:pPr>
      <w:r>
        <w:t>8.</w:t>
      </w:r>
      <w:r>
        <w:tab/>
        <w:t>oversigt over antallet og typen af de tilfælde, hvor tjenesteudbyderen har set bort fra gennemførelsen af en anmeldelses- og kontrolprocedure (§ 3, stk. 7).</w:t>
      </w:r>
      <w:r>
        <w:tab/>
      </w:r>
    </w:p>
    <w:p w14:paraId="72FF1697" w14:textId="1B5DA169" w:rsidR="002E06E4" w:rsidRPr="00BD1E55" w:rsidRDefault="002E06E4" w:rsidP="00F778D3">
      <w:pPr>
        <w:pStyle w:val="51Abs"/>
      </w:pPr>
      <w:r>
        <w:t>Stk. 3. Tilsynsmyndigheden (§ 8, stk. 1) skal ved forskrift udstede nærmere bestemmelser om rapporternes udformning og om rapporteringspligtens omfang med henblik på at sikre, at rapporterne er informative og sammenlignelige.</w:t>
      </w:r>
    </w:p>
    <w:p w14:paraId="3F128F8C" w14:textId="77777777" w:rsidR="002E06E4" w:rsidRPr="00BD1E55" w:rsidRDefault="002E06E4" w:rsidP="001A5D58">
      <w:pPr>
        <w:pStyle w:val="45UeberschrPara"/>
        <w:keepLines/>
      </w:pPr>
      <w:r>
        <w:t>Ansvarlig repræsentant</w:t>
      </w:r>
    </w:p>
    <w:p w14:paraId="4619CEE4" w14:textId="77777777" w:rsidR="002E06E4" w:rsidRPr="00BD1E55" w:rsidRDefault="002E06E4" w:rsidP="001A5D58">
      <w:pPr>
        <w:pStyle w:val="51Abs"/>
        <w:keepNext/>
        <w:keepLines/>
      </w:pPr>
      <w:r>
        <w:rPr>
          <w:rStyle w:val="991GldSymbol"/>
        </w:rPr>
        <w:t>§ 5.</w:t>
      </w:r>
      <w:r>
        <w:t xml:space="preserve"> Stk. 1. For at sikre tilgængeligheden og overholdelsen af forskrifterne i nærværende forbundslov samt med henblik på forkyndelser fra myndigheder og retsinstanser skal tjenesteudbydere udnævne en person, der opfylder forudsætningerne i henhold til § 9, stk. 4, i forvaltningsstraffeloven af 1991 – VStG, BGBl. nr. 52/1991. Denne person skal især have en beslutningskompetence, der er nødvendig for overholdelsen af bestemmelserne i nærværende forbundslov, samt kendskab til det tyske sprog, der også er nødvendigt for samarbejdet med myndigheder og domstole, og råde over ressourcer, der er nødvendige for varetagelsen af vedkommendes opgaver.</w:t>
      </w:r>
    </w:p>
    <w:p w14:paraId="6722E348" w14:textId="77777777" w:rsidR="002E06E4" w:rsidRPr="00BD1E55" w:rsidRDefault="002E06E4" w:rsidP="00F778D3">
      <w:pPr>
        <w:pStyle w:val="51Abs"/>
      </w:pPr>
      <w:r>
        <w:t>Stk. 2. Kontaktoplysningerne for den ansvarlige repræsentant skal stilles permanent og nemt til rådighed for brugerne, så de er umiddelbart lette at finde. Den ansvarlige repræsentant skal til enhver tid være tilgængelig for tilsynsmyndigheden.</w:t>
      </w:r>
    </w:p>
    <w:p w14:paraId="407634EC" w14:textId="77777777" w:rsidR="002E06E4" w:rsidRPr="00BD1E55" w:rsidRDefault="002E06E4" w:rsidP="00F778D3">
      <w:pPr>
        <w:pStyle w:val="51Abs"/>
      </w:pPr>
      <w:r>
        <w:t>Stk. 3. Den ansvarlige repræsentant skal registrere sig til en forkyndelse gennem en leveringstjeneste i henhold til §§ 28b og 35 i lov om forkyndelse – ZustG, BGBl. nr. 200/1982, og skal ved registreringen meddele, at der ikke findes tidsrum, inden for hvilke en forkyndelse er udelukket.</w:t>
      </w:r>
    </w:p>
    <w:p w14:paraId="11D90D91" w14:textId="77777777" w:rsidR="002E06E4" w:rsidRPr="00BD1E55" w:rsidRDefault="002E06E4" w:rsidP="00F778D3">
      <w:pPr>
        <w:pStyle w:val="51Abs"/>
      </w:pPr>
      <w:r>
        <w:t>Stk. 4. Tilsynsmyndigheden skal omgående informeres om udnævnelsen af den ansvarlige repræsentant.</w:t>
      </w:r>
    </w:p>
    <w:p w14:paraId="4EEA2042" w14:textId="77777777" w:rsidR="002E06E4" w:rsidRPr="00BD1E55" w:rsidRDefault="002E06E4" w:rsidP="001A5D58">
      <w:pPr>
        <w:pStyle w:val="45UeberschrPara"/>
        <w:keepLines/>
      </w:pPr>
      <w:r>
        <w:t>Gennemførelse</w:t>
      </w:r>
    </w:p>
    <w:p w14:paraId="06E460BE" w14:textId="77777777" w:rsidR="002E06E4" w:rsidRPr="00201EED" w:rsidRDefault="002E06E4" w:rsidP="001A5D58">
      <w:pPr>
        <w:pStyle w:val="51Abs"/>
        <w:keepNext/>
        <w:keepLines/>
        <w:rPr>
          <w:spacing w:val="-2"/>
        </w:rPr>
      </w:pPr>
      <w:r w:rsidRPr="00201EED">
        <w:rPr>
          <w:rStyle w:val="991GldSymbol"/>
          <w:spacing w:val="-2"/>
        </w:rPr>
        <w:t>§ 6.</w:t>
      </w:r>
      <w:r w:rsidRPr="00201EED">
        <w:rPr>
          <w:spacing w:val="-2"/>
        </w:rPr>
        <w:t xml:space="preserve"> Stk. 1. Hvis en tjenesteudbyder ikke af sig selv efterlever sin forpligtelse til at udnævne en ansvarlig repræsentant, skal myndigheden skriftligt opfordre vedkommende til udnævnelsen inden for en frist på syv dage. Såfremt en tjenesteudbyder ikke har sæde, filialer eller andre driftssteder i indlandet, og det viser sig, at levering af en retsgyldig forkyndelse af denne opfordring i udlandet ikke eller ikke inden for rimelig tid kan gennemføres, skal opfordringen bekendtgøres ved offentliggørelse på tilsynsmyndighedens websted. Opfordringen gælder med tidspunktet for offentliggørelsen som forkyndt for tjenesteudbyderen. Offentliggørelsen skal også indeholde en henvisning om, at myndighedens yderligere dispositioner gennem deponering hos myndigheden og tilrådighedsstillelse til afhentning gælder som forkyndt.</w:t>
      </w:r>
    </w:p>
    <w:p w14:paraId="0260078F" w14:textId="77777777" w:rsidR="002E06E4" w:rsidRPr="00BD1E55" w:rsidRDefault="002E06E4" w:rsidP="00F778D3">
      <w:pPr>
        <w:pStyle w:val="51Abs"/>
      </w:pPr>
      <w:r>
        <w:t>Stk. 2. Hvis tjenesteudbyderen ikke efterlever tilsynsyndighedens opfordring til at udnævne en ansvarlig repræsentant, skal tilsynsmyndigheden fastsætte en bøde for tjenesteudbyderen (§ 10, stk. 1, nr. 8). Såfremt tjenesteudbyderen ikke har sæde, filialer eller andre driftssteder i indlandet og heller ikke har udnævnt en ansvarlig repræsentant, til hvilken der retsgyldigt kan forkyndes, skal myndighedens meddelelser eller andre dispositioner deponeres hos tilsynsmyndigheden. Underrettelsen af tjenesteudbyderen om deponeringen finder sted på tilsynsmyndighedens websted. Den skal også angive afhentningsfristens påbegyndelse og varighed samt gøre opmærksom på deponeringens virkning (stk. 3).</w:t>
      </w:r>
    </w:p>
    <w:p w14:paraId="390EA4B5" w14:textId="77777777" w:rsidR="002E06E4" w:rsidRPr="00BD1E55" w:rsidRDefault="002E06E4" w:rsidP="00F778D3">
      <w:pPr>
        <w:pStyle w:val="51Abs"/>
      </w:pPr>
      <w:r>
        <w:t>Stk. 3. Det deponerede dokument skal stilles til rådighed til afhentning i mindst to uger. Denne frist begynder med dagen for offentliggørelsen af underrettelsen på webstedet. Deponerede dokumenter gælder som forkyndt med denne frists første dag.</w:t>
      </w:r>
    </w:p>
    <w:p w14:paraId="01D19099" w14:textId="6EFF332E" w:rsidR="002E06E4" w:rsidRPr="00BD1E55" w:rsidRDefault="002E06E4" w:rsidP="00F778D3">
      <w:pPr>
        <w:pStyle w:val="51Abs"/>
      </w:pPr>
      <w:r>
        <w:t xml:space="preserve">Stk. 4. I tilfælde af tjenesteudbydere med sæde i indlandet bestemmes meddelelsers fuldbyrdelse i henhold til bestemmelserne i lov af 1991 om forvaltningsfuldbyrdelse – VVG, BGBl. nr. 53/1991. Såfremt tjenesteudbyderen ikke har sæde, filialer eller andre driftssteder i indlandet, kan tilsynsmyndighedens meddelelser om fastsættelse af bøder i henhold til stk. 2 også fuldbyrdes på den måde, at tjenesteudbyderens kendte skyldnere og virksomhederne, der er forbundet med vedkommende (stk. 5), ved meddelelse forbydes at betale til tjenesteudbyderen eller til en virksomhed, der er forbundet med vedkommende. Som skyldnere i henhold til det foregående stykker gælder virksomheder, der indgår i et regelmæssigt forretningsforhold med tjenesteudbyderen eller virksomheder, der er forbundet med vedkommende (stk. 5), med henblik på markedsføring eller salg af kommerciel kommunikation i Østrig. Et pengekrav, der på denne måde pålægges i form af et betalingsforbud, skal overføres til tilsynsmyndigheden med den virkning, at skyldneren er fritaget fra betalingen over for tjenesteudbyderen eller den pågældende virksomhed, der er forbundet med vedkommende. Beløb, der modtages på denne måde, skal opføres på en egen konto. Hvis summen af de modtagne beløb overstiger beløbet for bøden, der skal fuldbyrdes, skal det resterende beløb </w:t>
      </w:r>
      <w:r>
        <w:lastRenderedPageBreak/>
        <w:t>overføres til tjenesteudbyderen eller virksomheden, der er forbundet med vedkommende. Tjenesteudbyderen og virksomheden selv, der er forbundet med vedkommende, skal gennem udstedelse af en meddelelse i henhold til stk. 2 sammenholdt med stk. 3 forbydes en enhver disposition over deres krav og især inddrivelsen af kravet.</w:t>
      </w:r>
    </w:p>
    <w:p w14:paraId="5FA4E3B8" w14:textId="77777777" w:rsidR="002E06E4" w:rsidRPr="00BD1E55" w:rsidRDefault="002E06E4" w:rsidP="00F778D3">
      <w:pPr>
        <w:pStyle w:val="51Abs"/>
      </w:pPr>
      <w:r>
        <w:t>Stk. 5. Som forbundet med en tjenesteudbyder i henhold til stk. 4 gælder</w:t>
      </w:r>
    </w:p>
    <w:p w14:paraId="53C0F524" w14:textId="2B9849F8" w:rsidR="002E06E4" w:rsidRPr="00BD1E55" w:rsidRDefault="002E06E4" w:rsidP="001A5D58">
      <w:pPr>
        <w:pStyle w:val="52Aufzaehle1Ziffer"/>
        <w:tabs>
          <w:tab w:val="clear" w:pos="624"/>
        </w:tabs>
        <w:ind w:hanging="254"/>
      </w:pPr>
      <w:r>
        <w:t>1.</w:t>
      </w:r>
      <w:r>
        <w:tab/>
        <w:t>vedkommendes moderselskab</w:t>
      </w:r>
    </w:p>
    <w:p w14:paraId="2C895B1E" w14:textId="518876CF" w:rsidR="002E06E4" w:rsidRPr="00BD1E55" w:rsidRDefault="002E06E4" w:rsidP="001A5D58">
      <w:pPr>
        <w:pStyle w:val="52Aufzaehle1Ziffer"/>
        <w:tabs>
          <w:tab w:val="clear" w:pos="624"/>
        </w:tabs>
        <w:ind w:hanging="254"/>
      </w:pPr>
      <w:r>
        <w:t>2.</w:t>
      </w:r>
      <w:r>
        <w:tab/>
        <w:t>ethvert datterselskab</w:t>
      </w:r>
    </w:p>
    <w:p w14:paraId="2C795D19" w14:textId="1AF71F53" w:rsidR="002E06E4" w:rsidRPr="00BD1E55" w:rsidRDefault="002E06E4" w:rsidP="001A5D58">
      <w:pPr>
        <w:pStyle w:val="52Aufzaehle1Ziffer"/>
        <w:tabs>
          <w:tab w:val="clear" w:pos="624"/>
        </w:tabs>
        <w:ind w:hanging="254"/>
      </w:pPr>
      <w:r>
        <w:t>3.</w:t>
      </w:r>
      <w:r>
        <w:tab/>
        <w:t>enhver anden virksomhed fra tjenesteudbyderens virksomhedsgruppe</w:t>
      </w:r>
    </w:p>
    <w:p w14:paraId="46F561B2" w14:textId="35761214" w:rsidR="002E06E4" w:rsidRPr="00BD1E55" w:rsidRDefault="002E06E4" w:rsidP="001A5D58">
      <w:pPr>
        <w:pStyle w:val="52Aufzaehle1Ziffer"/>
        <w:tabs>
          <w:tab w:val="clear" w:pos="624"/>
        </w:tabs>
        <w:ind w:hanging="254"/>
      </w:pPr>
      <w:r>
        <w:t>4.</w:t>
      </w:r>
      <w:r>
        <w:tab/>
        <w:t>enhver virksomhed, der i indlandet udøver en regelmæssig forretningsaktivitet, dvs. som har en stabil og effektiv forbindelse med erhvervslivet i indlandet og indgår i en sådan type forretningsforbindelse med en tjenesteudbyder eller en virksomhed, der er forbundet med vedkommende, i henhold til nr. 1 til 3, især i kraft af den markedsfører eller sælger kommerciel kommunikation til offentliggørelsen på kommunikationsplatformen.</w:t>
      </w:r>
    </w:p>
    <w:p w14:paraId="4EB1CCCB" w14:textId="77777777" w:rsidR="002E06E4" w:rsidRPr="00BD1E55" w:rsidRDefault="002E06E4" w:rsidP="001A5D58">
      <w:pPr>
        <w:pStyle w:val="45UeberschrPara"/>
        <w:keepLines/>
      </w:pPr>
      <w:r>
        <w:t>Klageprocedure</w:t>
      </w:r>
    </w:p>
    <w:p w14:paraId="160A6D80" w14:textId="765AA12C" w:rsidR="002E06E4" w:rsidRPr="00BD1E55" w:rsidRDefault="002E06E4" w:rsidP="001A5D58">
      <w:pPr>
        <w:pStyle w:val="51Abs"/>
        <w:keepNext/>
        <w:keepLines/>
      </w:pPr>
      <w:r>
        <w:rPr>
          <w:rStyle w:val="991GldSymbol"/>
        </w:rPr>
        <w:t>§ 7.</w:t>
      </w:r>
      <w:r>
        <w:t xml:space="preserve"> Stk. 1. Brugere kan henvende sig til klageinstansen i tilfælde af klager over mangler ved anmeldelsesproceduren i henhold til § 3, stk. 2, nr. 1 til 3, om undladelse af en information i henhold til§ 3, stk. 3, nr. 2, eller mangler ved kontrolproceduren i henhold til § 3, stk. 4. En indbringelse for klageinstansen kræver som forudsætning, at brugeren forinden har henvendt sig til tjenesteudbyderen og enten ikke har modtaget et svar fra vedkommende, eller de to parter ikke kunne nå til enighed om bilæggelse af tvisten. Klageinstansen skal nå frem til en fælles løsning ved at udarbejde et løsningsforslag eller meddele brugeren og tjenesteudbyderen om sin opfattelse af den foreliggende sag.</w:t>
      </w:r>
    </w:p>
    <w:p w14:paraId="2917949A" w14:textId="77777777" w:rsidR="002E06E4" w:rsidRPr="00BD1E55" w:rsidRDefault="002E06E4" w:rsidP="00F778D3">
      <w:pPr>
        <w:pStyle w:val="51Abs"/>
      </w:pPr>
      <w:r>
        <w:t>Stk. 2. Klageinstansen skal efter høring af tilsynsmyndigheden fastlægge retningslinjer for gennemførelsen af nærværende procedure, hvor der især skal fastsættes frister for afslutning af proceduren, der er tilpasset til den faktiske situation. Retningslinjerne skal orientere sig efter principperne i § 6, stk. 2 og stk. 6, nr. 1, § 7, stk. 1, § 8, stk. 1, nr. 1 og 2, og stk. 2, i lov om alternativ bilæggelse af tvister – AStG, BGBl. I nr. 105/2015, og skal offentliggøres i passende form.</w:t>
      </w:r>
    </w:p>
    <w:p w14:paraId="08ACAE44" w14:textId="77777777" w:rsidR="002E06E4" w:rsidRPr="00BD1E55" w:rsidRDefault="002E06E4" w:rsidP="00F778D3">
      <w:pPr>
        <w:pStyle w:val="51Abs"/>
      </w:pPr>
      <w:r>
        <w:t>Stk. 3. Klageinstansen skal en gang om året udarbejde en rapport om de verserende indbragte sager, der skal offentliggøres inden for rammerne af aktivitetsrapporten i henhold til § 19, stk. 2, i KommAustria-loven – KOG, BGBl. I nr. 32/2001. Derudover skal klageinstansen en gang om måneden stille en sammenfatning til rådighed for tilsynsmyndigheden om antallet, typen og indholdet af de klagesager, som den har afviklet, og de nye klagesager.</w:t>
      </w:r>
    </w:p>
    <w:p w14:paraId="63A623C5" w14:textId="77777777" w:rsidR="002E06E4" w:rsidRPr="00BD1E55" w:rsidRDefault="002E06E4" w:rsidP="001A5D58">
      <w:pPr>
        <w:pStyle w:val="41UeberschrG1"/>
        <w:keepLines/>
      </w:pPr>
      <w:r>
        <w:t>Afsnit 3</w:t>
      </w:r>
    </w:p>
    <w:p w14:paraId="77B717D3" w14:textId="77777777" w:rsidR="002E06E4" w:rsidRPr="00BD1E55" w:rsidRDefault="002E06E4" w:rsidP="001A5D58">
      <w:pPr>
        <w:pStyle w:val="43UeberschrG2"/>
        <w:keepLines/>
      </w:pPr>
      <w:r>
        <w:t>Tilsyn og gennemførelse</w:t>
      </w:r>
    </w:p>
    <w:p w14:paraId="461A02FF" w14:textId="77777777" w:rsidR="002E06E4" w:rsidRPr="00BD1E55" w:rsidRDefault="002E06E4" w:rsidP="001A5D58">
      <w:pPr>
        <w:pStyle w:val="45UeberschrPara"/>
        <w:keepLines/>
      </w:pPr>
      <w:r>
        <w:t>Tilsynsmyndighed, klageinstans, finansiering, sanktioner</w:t>
      </w:r>
    </w:p>
    <w:p w14:paraId="6EF1C886" w14:textId="77777777" w:rsidR="002E06E4" w:rsidRPr="00BD1E55" w:rsidRDefault="002E06E4" w:rsidP="001A5D58">
      <w:pPr>
        <w:pStyle w:val="51Abs"/>
        <w:keepNext/>
        <w:keepLines/>
      </w:pPr>
      <w:r>
        <w:rPr>
          <w:rStyle w:val="991GldSymbol"/>
        </w:rPr>
        <w:t>§ 8.</w:t>
      </w:r>
      <w:r>
        <w:t xml:space="preserve"> Stk. 1. Den østrigske kommunikationsmyndighed (Kommunikationsbehörde Austria (KommAustria)), som er udpeget i henhold til § 1 i KommAustria-loven, er betroet de opgaver i nærværende forbundslov, der er overdraget til tilsynsmyndigheden.</w:t>
      </w:r>
    </w:p>
    <w:p w14:paraId="4CA6BF5B" w14:textId="77777777" w:rsidR="002E06E4" w:rsidRPr="00BD1E55" w:rsidRDefault="002E06E4" w:rsidP="00F778D3">
      <w:pPr>
        <w:pStyle w:val="51Abs"/>
      </w:pPr>
      <w:r>
        <w:t>Stk. 2. Den administrative bistand for KommAustria ved anliggender i forbindelse med nærværende forbundslov og klageinstansens funktion påhviler RTR-GmbH under ansvar af direktøren for fagområdet medier.</w:t>
      </w:r>
    </w:p>
    <w:p w14:paraId="3407D782" w14:textId="77777777" w:rsidR="002E06E4" w:rsidRPr="00BD1E55" w:rsidRDefault="002E06E4" w:rsidP="00F778D3">
      <w:pPr>
        <w:pStyle w:val="51Abs"/>
      </w:pPr>
      <w:r>
        <w:t>Stk. 3. Til finansiering af de omkostninger, der opstår for KommAustria og RTR-GmbH i forbindelse med varetagelsen af opgaverne, der er reguleret i nærværende forbundslov, tjener på den ene side finansieringsbidrag fra de tjenesteudbydere, der er omfattet i henhold til nærværende forbundslov, og på den anden side midler fra forbundsstatens budget i forholdet 2:1. I den forbindelse skal der årligt den 30. januar fra forbundsstatens budget overføres et tilskud på 80 000 EUR af indtægterne fra afgifterne i henhold til § 3, stk. 1, i lov om radiolicensafgift – RGG, BGBl. I nr. 159/1999, ud over det bidrag, der skal betales i henhold til § 35, stk. 1, i KommAustria-loven. § 35, stk. 1, tredje og sidste punktum, i KommAustria-loven finder anvendelse.</w:t>
      </w:r>
    </w:p>
    <w:p w14:paraId="2BE35AB6" w14:textId="77777777" w:rsidR="002E06E4" w:rsidRPr="00BD1E55" w:rsidRDefault="002E06E4" w:rsidP="00F778D3">
      <w:pPr>
        <w:pStyle w:val="51Abs"/>
      </w:pPr>
      <w:r>
        <w:t>Stk. 4. Finansieringsbidragets størrelse beregnes ved, at alle tjenesteudbydere i forhold til deres nåede omsætning fra kommerciel kommunikation i indlandet bidrager til at finansiere den del af de anslåede omkostninger, der skal dækkes af finansieringsbidrag. Bestemmelserne i § 35, stk. 4 til 14, i KommAustria-loven finder tilsvarende anvendelse på proceduren for fastsættelse og foreskrivelse af finansieringsbidragene. Såfremt tjenesteudbyderen ikke har sæde, filialer eller andre driftssteder i indlandet, bestemmes proceduren for gennemførelse af betalingen af finansieringsbidraget i henhold til § 6, stk. 4.</w:t>
      </w:r>
    </w:p>
    <w:p w14:paraId="4C1BD2B5" w14:textId="77777777" w:rsidR="002E06E4" w:rsidRPr="00BD1E55" w:rsidRDefault="002E06E4" w:rsidP="001A5D58">
      <w:pPr>
        <w:pStyle w:val="45UeberschrPara"/>
        <w:keepLines/>
      </w:pPr>
      <w:r>
        <w:lastRenderedPageBreak/>
        <w:t>Tilsynsprocedure</w:t>
      </w:r>
    </w:p>
    <w:p w14:paraId="626F3461" w14:textId="12741B35" w:rsidR="002E06E4" w:rsidRPr="00BD1E55" w:rsidRDefault="002E06E4" w:rsidP="001A5D58">
      <w:pPr>
        <w:pStyle w:val="51Abs"/>
        <w:keepNext/>
        <w:keepLines/>
      </w:pPr>
      <w:r>
        <w:rPr>
          <w:rStyle w:val="991GldSymbol"/>
        </w:rPr>
        <w:t>§ 9.</w:t>
      </w:r>
      <w:r>
        <w:t xml:space="preserve"> Stk. 1. I tilfælde af mere end fem begrundede klager (§ 7) i løbet af en måned over mangler ved de foranstaltninger, som en tjenesteudbyder har truffet, skal tilsynsmyndigheden indlede en procedure for kontrol af disse foranstaltningers egnethed til opfyldelse af de standardiserede krav i § 3.</w:t>
      </w:r>
    </w:p>
    <w:p w14:paraId="5F396A24" w14:textId="64774BAD" w:rsidR="002E06E4" w:rsidRPr="00BD1E55" w:rsidRDefault="002E06E4" w:rsidP="001A5D58">
      <w:pPr>
        <w:pStyle w:val="51Abs"/>
        <w:keepNext/>
        <w:keepLines/>
      </w:pPr>
      <w:r>
        <w:t>Stk. 2. Hvis tilsynsmyndigheden på baggrund af klagernes hyppighed og type eller på baggrund af resultaterne fra tidligere tilsynsprocedurer når frem til den konklusion, at foranstaltningerne, som tjenesteudbyderen har truffet, er mangelfulde, eller hvis den uafhængigt af klager enten på baggrund af en underretning fra klageinstansen eller på baggrund af en foreløbig vurdering når frem til den opfattelse, at de standardiserede pligter i nærværende forbundslov er overtrådt i alvorlig grad, skal tilsynsmyndigheden</w:t>
      </w:r>
    </w:p>
    <w:p w14:paraId="38A9DF6A" w14:textId="382E4EBC" w:rsidR="002E06E4" w:rsidRPr="00201EED" w:rsidRDefault="002E06E4" w:rsidP="001A5D58">
      <w:pPr>
        <w:pStyle w:val="52Aufzaehle1Ziffer"/>
        <w:tabs>
          <w:tab w:val="clear" w:pos="624"/>
        </w:tabs>
        <w:ind w:hanging="254"/>
        <w:rPr>
          <w:spacing w:val="-4"/>
        </w:rPr>
      </w:pPr>
      <w:r w:rsidRPr="00201EED">
        <w:rPr>
          <w:spacing w:val="-4"/>
        </w:rPr>
        <w:t>1.</w:t>
      </w:r>
      <w:r w:rsidRPr="00201EED">
        <w:rPr>
          <w:spacing w:val="-4"/>
        </w:rPr>
        <w:tab/>
        <w:t>bortset fra i tilfældene i nr. 2 gennem meddelelse påbyde tjenesteudbyderen at etablere den retmæssige tilstand og træffe egnede forholdsregler for at forhindre fremtidige lovovertrædelser. Tjenesteudbyderen skal overholde meddelelsen inden for fristen på højest fire uger, der fastsættes af tilsynsmyndigheden, og skal oplyse tilsynsmyndigheden om dette gennem den ansvarlige repræsentant</w:t>
      </w:r>
    </w:p>
    <w:p w14:paraId="67ECB468" w14:textId="2BB52090" w:rsidR="002E06E4" w:rsidRPr="00BD1E55" w:rsidRDefault="002E06E4" w:rsidP="001A5D58">
      <w:pPr>
        <w:pStyle w:val="52Aufzaehle1Ziffer"/>
        <w:tabs>
          <w:tab w:val="clear" w:pos="624"/>
        </w:tabs>
        <w:ind w:hanging="254"/>
      </w:pPr>
      <w:r>
        <w:t>2.</w:t>
      </w:r>
      <w:r>
        <w:tab/>
        <w:t>i de tilfælde, hvor der over for en tjenesteudbyder allerede er udstedt mere end en meddelelse i henhold til nr. 1, eller når tjenesteudbyderen ikke overholder en meddelelse i henhold til nr. 1, fastsætte en bøde i forbindelse med en procedure i henhold til § 10.</w:t>
      </w:r>
    </w:p>
    <w:p w14:paraId="7ED1DDE2" w14:textId="77777777" w:rsidR="002E06E4" w:rsidRPr="00BD1E55" w:rsidRDefault="002E06E4" w:rsidP="00F778D3">
      <w:pPr>
        <w:pStyle w:val="51Abs"/>
      </w:pPr>
      <w:r>
        <w:t>Stk. 3. Ved sin bedømmelse af egnetheden og ved påbud af egnede forholdsregler skal tilsynsmyndigheden tage højde for, at foranstaltningerne, der kræves af tjenesteudbyderen i henhold til nærværende forbundslov, ikke må resultere i en generel forhåndskontrol af indhold. Foranstaltningerne samt de påbudte forholdsregler skal under hensyntagen til tjenesteudbydernes retlige interesser være egnet og forholdsmæssige til at opnå de ønskede mål som især effektivitetsforbedring af beskyttelsesmekanismerne for brugerne, beskyttelse af offentligheden mod ulovligt indhold og varetagelse af interesser for personer, der berøres individuelt af sådant indhold.</w:t>
      </w:r>
    </w:p>
    <w:p w14:paraId="543A1AB7" w14:textId="77777777" w:rsidR="002E06E4" w:rsidRPr="00BD1E55" w:rsidRDefault="002E06E4" w:rsidP="001A5D58">
      <w:pPr>
        <w:pStyle w:val="45UeberschrPara"/>
        <w:keepLines/>
      </w:pPr>
      <w:r>
        <w:t>Bøder</w:t>
      </w:r>
    </w:p>
    <w:p w14:paraId="541FC2CF" w14:textId="4D9D268D" w:rsidR="002E06E4" w:rsidRPr="00BD1E55" w:rsidRDefault="002E06E4" w:rsidP="001A5D58">
      <w:pPr>
        <w:pStyle w:val="51Abs"/>
        <w:keepNext/>
        <w:keepLines/>
      </w:pPr>
      <w:r>
        <w:rPr>
          <w:rStyle w:val="991GldSymbol"/>
        </w:rPr>
        <w:t>§ 10.</w:t>
      </w:r>
      <w:r>
        <w:t xml:space="preserve"> Stk. 1. Tilsynsmyndigheden skal i henhold til § 9, stk. 2, afhængigt af overtrædelsens alvor fastsætte en bøde for en tjenesteudbyder på op til ti millioner euro, hvis vedkommende</w:t>
      </w:r>
    </w:p>
    <w:p w14:paraId="6181615B" w14:textId="61AA07FE" w:rsidR="002E06E4" w:rsidRPr="00BD1E55" w:rsidRDefault="002E06E4" w:rsidP="001A5D58">
      <w:pPr>
        <w:pStyle w:val="52Aufzaehle1Ziffer"/>
        <w:tabs>
          <w:tab w:val="clear" w:pos="624"/>
        </w:tabs>
        <w:ind w:hanging="254"/>
      </w:pPr>
      <w:r>
        <w:t>1.</w:t>
      </w:r>
      <w:r>
        <w:tab/>
        <w:t>i modstrid med kravene i henhold til § 3, stk. 2, nr. 1 til 3, ikke stiller nogen anmeldelsesprocedure til rådighed eller stiller et sådant system til rådighed, der ikke har alle funktioner i henhold til § 3, stk. 2, nr. 1 til 3</w:t>
      </w:r>
    </w:p>
    <w:p w14:paraId="3B80B7F3" w14:textId="08BB937F" w:rsidR="002E06E4" w:rsidRPr="00BD1E55" w:rsidRDefault="002E06E4" w:rsidP="001A5D58">
      <w:pPr>
        <w:pStyle w:val="52Aufzaehle1Ziffer"/>
        <w:tabs>
          <w:tab w:val="clear" w:pos="624"/>
        </w:tabs>
        <w:ind w:hanging="254"/>
      </w:pPr>
      <w:r>
        <w:t>2.</w:t>
      </w:r>
      <w:r>
        <w:tab/>
        <w:t>i modstrid med § 3, stk. 3, nr. 1, ikke træffer foranstaltninger til bedømmelse og derpå beroende blokering eller fjernelse af ulovligt indhold</w:t>
      </w:r>
    </w:p>
    <w:p w14:paraId="541DC197" w14:textId="1F027937" w:rsidR="002E06E4" w:rsidRPr="00BD1E55" w:rsidRDefault="002E06E4" w:rsidP="001A5D58">
      <w:pPr>
        <w:pStyle w:val="52Aufzaehle1Ziffer"/>
        <w:tabs>
          <w:tab w:val="clear" w:pos="624"/>
        </w:tabs>
        <w:ind w:hanging="254"/>
      </w:pPr>
      <w:r>
        <w:t>3.</w:t>
      </w:r>
      <w:r>
        <w:tab/>
        <w:t>i modstrid med § 3, stk. 3, nr. 3, ikke sørger for, at indhold, der berøres af en sletning eller blokering, gemmes og opbevares som beviser</w:t>
      </w:r>
    </w:p>
    <w:p w14:paraId="14988F4E" w14:textId="2B7E2903" w:rsidR="002E06E4" w:rsidRPr="00BD1E55" w:rsidRDefault="002E06E4" w:rsidP="001A5D58">
      <w:pPr>
        <w:pStyle w:val="52Aufzaehle1Ziffer"/>
        <w:tabs>
          <w:tab w:val="clear" w:pos="624"/>
        </w:tabs>
        <w:ind w:hanging="254"/>
      </w:pPr>
      <w:r>
        <w:t>4.</w:t>
      </w:r>
      <w:r>
        <w:tab/>
        <w:t>i modstrid med § 3, stk. 4, ikke stiller nogen kontrolprocedure til rådighed eller stiller et sådant system til rådighed, der ikke er udformet effektivt og gennemsigtigt i henhold til § 3, stk. 4</w:t>
      </w:r>
    </w:p>
    <w:p w14:paraId="3BBE67D2" w14:textId="52B5B04D" w:rsidR="002E06E4" w:rsidRPr="00BD1E55" w:rsidRDefault="002E06E4" w:rsidP="001A5D58">
      <w:pPr>
        <w:pStyle w:val="52Aufzaehle1Ziffer"/>
        <w:tabs>
          <w:tab w:val="clear" w:pos="624"/>
        </w:tabs>
        <w:ind w:hanging="254"/>
      </w:pPr>
      <w:r>
        <w:t>5.</w:t>
      </w:r>
      <w:r>
        <w:tab/>
        <w:t>i modstrid med § 3, stk. 5, ikke regelmæssigt efterlever pligterne til sletning, såfremt gerningen ikke realisere et forhold i henhold til artikel 83 i den generelle forordning om databeskyttelse</w:t>
      </w:r>
    </w:p>
    <w:p w14:paraId="12A1BDE1" w14:textId="5013095B" w:rsidR="002E06E4" w:rsidRPr="00BD1E55" w:rsidRDefault="002E06E4" w:rsidP="001A5D58">
      <w:pPr>
        <w:pStyle w:val="52Aufzaehle1Ziffer"/>
        <w:tabs>
          <w:tab w:val="clear" w:pos="624"/>
        </w:tabs>
        <w:ind w:hanging="254"/>
      </w:pPr>
      <w:r>
        <w:t>6.</w:t>
      </w:r>
      <w:r>
        <w:tab/>
        <w:t>i modstrid med § 3, stk. 6, giver oplysninger til andre personer</w:t>
      </w:r>
    </w:p>
    <w:p w14:paraId="61FE2B5D" w14:textId="6ED82415" w:rsidR="002E06E4" w:rsidRPr="00BD1E55" w:rsidRDefault="002E06E4" w:rsidP="001A5D58">
      <w:pPr>
        <w:pStyle w:val="52Aufzaehle1Ziffer"/>
        <w:tabs>
          <w:tab w:val="clear" w:pos="624"/>
        </w:tabs>
        <w:ind w:hanging="254"/>
      </w:pPr>
      <w:r>
        <w:t>7.</w:t>
      </w:r>
      <w:r>
        <w:tab/>
        <w:t>ikke, ikke rettidigt eller kun ufuldstændigt efterlever den i § 4 regulerede rapporteringspligt (§ 4, stk. 2, nr. 1 til 6)</w:t>
      </w:r>
    </w:p>
    <w:p w14:paraId="6ED28BB0" w14:textId="7914D344" w:rsidR="002E06E4" w:rsidRPr="00BD1E55" w:rsidRDefault="002E06E4" w:rsidP="001A5D58">
      <w:pPr>
        <w:pStyle w:val="52Aufzaehle1Ziffer"/>
        <w:tabs>
          <w:tab w:val="clear" w:pos="624"/>
        </w:tabs>
        <w:ind w:hanging="254"/>
      </w:pPr>
      <w:r>
        <w:t>8.</w:t>
      </w:r>
      <w:r>
        <w:tab/>
        <w:t>ikke efterlever pligten til at udnævne en ansvarlig repræsentant i henhold til § 5, stk. 1, på trods af opfordring fra tilsynsmyndigheden (§ 6, stk. 1) eller</w:t>
      </w:r>
    </w:p>
    <w:p w14:paraId="1E45D746" w14:textId="7484BDED" w:rsidR="002E06E4" w:rsidRPr="00BD1E55" w:rsidRDefault="002E06E4" w:rsidP="001A5D58">
      <w:pPr>
        <w:pStyle w:val="52Aufzaehle1Ziffer"/>
        <w:tabs>
          <w:tab w:val="clear" w:pos="624"/>
        </w:tabs>
        <w:ind w:hanging="254"/>
      </w:pPr>
      <w:r>
        <w:t>9.</w:t>
      </w:r>
      <w:r>
        <w:tab/>
        <w:t>ikke eller ikke fuldstændigt giver de nødvendige oplysninger i henhold til § 1, stk. 4.</w:t>
      </w:r>
    </w:p>
    <w:p w14:paraId="7860677A" w14:textId="77777777" w:rsidR="002E06E4" w:rsidRPr="00BD1E55" w:rsidRDefault="002E06E4" w:rsidP="001A5D58">
      <w:pPr>
        <w:pStyle w:val="51Abs"/>
        <w:keepNext/>
        <w:keepLines/>
      </w:pPr>
      <w:r>
        <w:t>Stk. 2. Ved udmålingen af bødens størrelse skal der især tages hensyn til følgende omstændigheder:</w:t>
      </w:r>
    </w:p>
    <w:p w14:paraId="256EA55D" w14:textId="56C28F0C" w:rsidR="002E06E4" w:rsidRPr="00BD1E55" w:rsidRDefault="002E06E4" w:rsidP="001A5D58">
      <w:pPr>
        <w:pStyle w:val="52Aufzaehle1Ziffer"/>
        <w:tabs>
          <w:tab w:val="clear" w:pos="624"/>
        </w:tabs>
        <w:ind w:hanging="254"/>
      </w:pPr>
      <w:r>
        <w:t>1.</w:t>
      </w:r>
      <w:r>
        <w:tab/>
        <w:t>tjenesteudbyderens finansielle styrke, der f.eks. kan aflæses ud fra vedkommendes samlede omsætning</w:t>
      </w:r>
    </w:p>
    <w:p w14:paraId="4A6A1138" w14:textId="08DDE400" w:rsidR="00E775AC" w:rsidRPr="00BD1E55" w:rsidRDefault="00E775AC" w:rsidP="001A5D58">
      <w:pPr>
        <w:pStyle w:val="52Aufzaehle1Ziffer"/>
        <w:tabs>
          <w:tab w:val="clear" w:pos="624"/>
        </w:tabs>
        <w:ind w:hanging="254"/>
      </w:pPr>
      <w:r>
        <w:t>2.</w:t>
      </w:r>
      <w:r>
        <w:tab/>
        <w:t>antal registrerede brugere af platformen</w:t>
      </w:r>
    </w:p>
    <w:p w14:paraId="20CAA5F2" w14:textId="533D29E1" w:rsidR="002E06E4" w:rsidRPr="00BD1E55" w:rsidRDefault="00E775AC" w:rsidP="001A5D58">
      <w:pPr>
        <w:pStyle w:val="52Aufzaehle1Ziffer"/>
        <w:tabs>
          <w:tab w:val="clear" w:pos="624"/>
        </w:tabs>
        <w:ind w:hanging="254"/>
      </w:pPr>
      <w:r>
        <w:t>3.</w:t>
      </w:r>
      <w:r>
        <w:tab/>
        <w:t>tidligere overtrædelser</w:t>
      </w:r>
    </w:p>
    <w:p w14:paraId="194D017E" w14:textId="3CF67336" w:rsidR="002E06E4" w:rsidRPr="00BD1E55" w:rsidRDefault="00E775AC" w:rsidP="001A5D58">
      <w:pPr>
        <w:pStyle w:val="52Aufzaehle1Ziffer"/>
        <w:tabs>
          <w:tab w:val="clear" w:pos="624"/>
        </w:tabs>
        <w:ind w:hanging="254"/>
      </w:pPr>
      <w:r>
        <w:t>4.</w:t>
      </w:r>
      <w:r>
        <w:tab/>
        <w:t>omfanget og varigheden af tjenesteudbyderens forsømmelse med hensyn til overholdelse af den påbudte forpligtelse</w:t>
      </w:r>
    </w:p>
    <w:p w14:paraId="3A3F0AAD" w14:textId="099DE50F" w:rsidR="002E06E4" w:rsidRPr="00BD1E55" w:rsidRDefault="00E775AC" w:rsidP="001A5D58">
      <w:pPr>
        <w:pStyle w:val="52Aufzaehle1Ziffer"/>
        <w:tabs>
          <w:tab w:val="clear" w:pos="624"/>
        </w:tabs>
        <w:ind w:hanging="254"/>
      </w:pPr>
      <w:r>
        <w:t>5.</w:t>
      </w:r>
      <w:r>
        <w:tab/>
        <w:t xml:space="preserve"> bidraget til sagens opklaring samt</w:t>
      </w:r>
    </w:p>
    <w:p w14:paraId="1F8968C4" w14:textId="45B4B9C9" w:rsidR="002E06E4" w:rsidRPr="00BD1E55" w:rsidRDefault="00E775AC" w:rsidP="001A5D58">
      <w:pPr>
        <w:pStyle w:val="52Aufzaehle1Ziffer"/>
        <w:tabs>
          <w:tab w:val="clear" w:pos="624"/>
        </w:tabs>
        <w:ind w:hanging="254"/>
      </w:pPr>
      <w:r>
        <w:t>6.</w:t>
      </w:r>
      <w:r>
        <w:tab/>
        <w:t>omfanget af de forholdsregler, der er truffet for at forhindre en overtrædelse, eller vedledningen af medarbejderne med henblik på lovlydig adfærd.</w:t>
      </w:r>
    </w:p>
    <w:p w14:paraId="7584D97A" w14:textId="77777777" w:rsidR="002E06E4" w:rsidRPr="00BD1E55" w:rsidRDefault="002E06E4" w:rsidP="00201EED">
      <w:pPr>
        <w:pStyle w:val="51Abs"/>
        <w:keepLines/>
      </w:pPr>
      <w:r>
        <w:lastRenderedPageBreak/>
        <w:t>Stk. 3. Klager over beslutninger om bøder og over beslutninger i henhold til § 9, stk. 2, nr. 1, får afgivende fra § 13, stk. 1, i forvaltningsdomstolsloven – VwGVG, BGBl. I nr. 33/2013, ingen opsættende virkning. Forbundsforvaltningsdomstolen kan efter anmodning tilkende den opsættende virkning i forbindelse med den pågældende procedure, hvis der efter afvejning af alle berørte interesser ville være forbundet en alvorlig og uoprettelig skade med fuldbyrdelsen af meddelelsen for klageren.</w:t>
      </w:r>
    </w:p>
    <w:p w14:paraId="049818F5" w14:textId="77777777" w:rsidR="002E06E4" w:rsidRPr="00BD1E55" w:rsidRDefault="002E06E4" w:rsidP="001A5D58">
      <w:pPr>
        <w:pStyle w:val="45UeberschrPara"/>
        <w:keepLines/>
      </w:pPr>
      <w:r>
        <w:t>Bødestraffe</w:t>
      </w:r>
    </w:p>
    <w:p w14:paraId="5A021764" w14:textId="77777777" w:rsidR="002E06E4" w:rsidRPr="00BD1E55" w:rsidRDefault="002E06E4" w:rsidP="001A5D58">
      <w:pPr>
        <w:pStyle w:val="51Abs"/>
        <w:keepNext/>
        <w:keepLines/>
      </w:pPr>
      <w:r>
        <w:rPr>
          <w:rStyle w:val="991GldSymbol"/>
        </w:rPr>
        <w:t>§ 11.</w:t>
      </w:r>
      <w:r>
        <w:t> Stk. 1. Den, der som ansvarlig repræsentant</w:t>
      </w:r>
    </w:p>
    <w:p w14:paraId="1D482D80" w14:textId="05A1A123" w:rsidR="002E06E4" w:rsidRPr="00BD1E55" w:rsidRDefault="002E06E4" w:rsidP="001A5D58">
      <w:pPr>
        <w:pStyle w:val="52Aufzaehle1Ziffer"/>
        <w:tabs>
          <w:tab w:val="clear" w:pos="624"/>
        </w:tabs>
        <w:ind w:hanging="254"/>
      </w:pPr>
      <w:r>
        <w:t>1.</w:t>
      </w:r>
      <w:r>
        <w:tab/>
        <w:t>i modstrid med § 5 stk. 2, første punktum, ikke sørger for, at vedkommendes kontaktoplysninger står permanent og nemt til rådighed, så de er umiddelbart lette at finde</w:t>
      </w:r>
    </w:p>
    <w:p w14:paraId="750636A1" w14:textId="69D4A03C" w:rsidR="002E06E4" w:rsidRPr="00201EED" w:rsidRDefault="002E06E4" w:rsidP="001A5D58">
      <w:pPr>
        <w:pStyle w:val="52Aufzaehle1Ziffer"/>
        <w:tabs>
          <w:tab w:val="clear" w:pos="624"/>
        </w:tabs>
        <w:ind w:hanging="254"/>
        <w:rPr>
          <w:spacing w:val="-4"/>
        </w:rPr>
      </w:pPr>
      <w:r w:rsidRPr="00201EED">
        <w:rPr>
          <w:spacing w:val="-4"/>
        </w:rPr>
        <w:t>2.</w:t>
      </w:r>
      <w:r w:rsidRPr="00201EED">
        <w:rPr>
          <w:spacing w:val="-4"/>
        </w:rPr>
        <w:tab/>
        <w:t>i modstrid med § 5, stk. 2, andet punktum, ikke til enhver tid er tilgængelig for tilsynsmyndigheden eller</w:t>
      </w:r>
    </w:p>
    <w:p w14:paraId="0A6AA1FF" w14:textId="0E454970" w:rsidR="002E06E4" w:rsidRPr="00BD1E55" w:rsidRDefault="002E06E4" w:rsidP="001A5D58">
      <w:pPr>
        <w:pStyle w:val="52Aufzaehle1Ziffer"/>
        <w:tabs>
          <w:tab w:val="clear" w:pos="624"/>
        </w:tabs>
        <w:ind w:hanging="254"/>
      </w:pPr>
      <w:r>
        <w:t>3.</w:t>
      </w:r>
      <w:r>
        <w:tab/>
        <w:t>ikke opfylder den i § 5, stk. 3. regulerede forpligtelse</w:t>
      </w:r>
    </w:p>
    <w:p w14:paraId="37D56F81" w14:textId="77777777" w:rsidR="002E06E4" w:rsidRPr="00BD1E55" w:rsidRDefault="002E06E4" w:rsidP="00F778D3">
      <w:pPr>
        <w:pStyle w:val="23SatznachNovao"/>
      </w:pPr>
      <w:r>
        <w:t>begår en administrativ overtrædelse, som skal straffes med en bødestraf på op til 10 000 EUR.</w:t>
      </w:r>
    </w:p>
    <w:p w14:paraId="122386BA" w14:textId="77777777" w:rsidR="002E06E4" w:rsidRPr="00BD1E55" w:rsidRDefault="002E06E4" w:rsidP="00F778D3">
      <w:pPr>
        <w:pStyle w:val="51Abs"/>
      </w:pPr>
      <w:r>
        <w:t>Stk. 2. Den, der som ansvarlig repræsentant ikke med den almindelige omhyggelighed, der kan forventes af en repræsentant, sikrer, at tjenesteudbyderen opfylder de nødvendige krav i henhold til § 3 og § 4, begår en administrativ overtrædelse og skal straffes med en bødestraf på op til 50 000 EUR.</w:t>
      </w:r>
    </w:p>
    <w:p w14:paraId="77F43F65" w14:textId="77777777" w:rsidR="002E06E4" w:rsidRPr="00BD1E55" w:rsidRDefault="002E06E4" w:rsidP="00F778D3">
      <w:pPr>
        <w:pStyle w:val="51Abs"/>
      </w:pPr>
      <w:r>
        <w:t>Stk. 3. I tilfældene i stk. 2 skal tilsynsmyndigheden afstå fra at straffe den ansvarlige repræsentant, hvis der for samme overtrædelse allerede er fastsat en bøde for en juridisk person, og der ikke foreligger særlige omstændigheder, der står i vejen for en afståelse fra straffen.</w:t>
      </w:r>
    </w:p>
    <w:p w14:paraId="7030FDE0" w14:textId="77777777" w:rsidR="002E06E4" w:rsidRPr="00BD1E55" w:rsidRDefault="002E06E4" w:rsidP="001A5D58">
      <w:pPr>
        <w:pStyle w:val="41UeberschrG1"/>
        <w:keepLines/>
      </w:pPr>
      <w:r>
        <w:t>Afsnit 5</w:t>
      </w:r>
    </w:p>
    <w:p w14:paraId="228861B4" w14:textId="77777777" w:rsidR="002E06E4" w:rsidRPr="00BD1E55" w:rsidRDefault="002E06E4" w:rsidP="001A5D58">
      <w:pPr>
        <w:pStyle w:val="43UeberschrG2"/>
        <w:keepLines/>
      </w:pPr>
      <w:r>
        <w:t>Afsluttende bestemmelser</w:t>
      </w:r>
    </w:p>
    <w:p w14:paraId="6518FC72" w14:textId="77777777" w:rsidR="002E06E4" w:rsidRPr="00BD1E55" w:rsidRDefault="002E06E4" w:rsidP="001A5D58">
      <w:pPr>
        <w:pStyle w:val="45UeberschrPara"/>
        <w:keepLines/>
      </w:pPr>
      <w:r>
        <w:t>Henvisninger og betegnelser</w:t>
      </w:r>
    </w:p>
    <w:p w14:paraId="0A999B40" w14:textId="77777777" w:rsidR="002E06E4" w:rsidRPr="00BD1E55" w:rsidRDefault="002E06E4" w:rsidP="001A5D58">
      <w:pPr>
        <w:pStyle w:val="51Abs"/>
        <w:keepNext/>
        <w:keepLines/>
      </w:pPr>
      <w:r>
        <w:rPr>
          <w:rStyle w:val="991GldSymbol"/>
        </w:rPr>
        <w:t>§ 12.</w:t>
      </w:r>
      <w:r>
        <w:t xml:space="preserve"> Stk. 1. For så vidt der i nærværende forbundslov henvises til andre forbundslove, skal disse anvendes i deres gældende udgave. For så vidt andet ikke er bestemt i nærværende forbundslov, berøres bestemmelserne i lov om audiovisuelle medietjenester – AMD-G, BGBl. I nr. 84/2001, og i lov om e-handel ikke.</w:t>
      </w:r>
    </w:p>
    <w:p w14:paraId="41E5A710" w14:textId="77777777" w:rsidR="002E06E4" w:rsidRPr="00BD1E55" w:rsidRDefault="002E06E4" w:rsidP="00F778D3">
      <w:pPr>
        <w:pStyle w:val="51Abs"/>
      </w:pPr>
      <w:r>
        <w:t>Stk. 2. Alle personrelaterede betegnelser, som anvendes i nærværende forbundslov, gælder i samme omfang for begge køn.</w:t>
      </w:r>
    </w:p>
    <w:p w14:paraId="2246EF39" w14:textId="77777777" w:rsidR="002E06E4" w:rsidRPr="00201EED" w:rsidRDefault="002E06E4" w:rsidP="00F778D3">
      <w:pPr>
        <w:pStyle w:val="51Abs"/>
        <w:rPr>
          <w:spacing w:val="-2"/>
        </w:rPr>
      </w:pPr>
      <w:r w:rsidRPr="00201EED">
        <w:rPr>
          <w:spacing w:val="-2"/>
        </w:rPr>
        <w:t>Stk. 3. Bøder og bødestraffe, der fastsættes i henhold til nærværende forbundslov, tilfalder forbundet og skal med forbehold af bestemmelserne i § 6, stk. 4, opkræves i henhold til bestemmelserne om inddrivelsen af retslige bødestraffe. Retsgyldige meddelelser er fuldbyrdelsesordrer. Af bøderne går der årligt 50 % som finansielt bidrag til omkostningerne, der opstår som følge af tilsynsmyndighedens og klageinstansens varetagelse af opgaverne, der er fastlagt i nærværende forbundslov (§ 7 sammenholdt med § 9).</w:t>
      </w:r>
    </w:p>
    <w:p w14:paraId="16543274" w14:textId="77777777" w:rsidR="002E06E4" w:rsidRPr="00BD1E55" w:rsidRDefault="002E06E4" w:rsidP="001A5D58">
      <w:pPr>
        <w:pStyle w:val="45UeberschrPara"/>
        <w:keepLines/>
      </w:pPr>
      <w:r>
        <w:t>Fuldbyrdelse</w:t>
      </w:r>
    </w:p>
    <w:p w14:paraId="37205054" w14:textId="77777777" w:rsidR="002E06E4" w:rsidRPr="00BD1E55" w:rsidRDefault="002E06E4" w:rsidP="00F778D3">
      <w:pPr>
        <w:pStyle w:val="51Abs"/>
      </w:pPr>
      <w:r>
        <w:rPr>
          <w:rStyle w:val="991GldSymbol"/>
        </w:rPr>
        <w:t>§ 13.</w:t>
      </w:r>
      <w:r>
        <w:t xml:space="preserve"> Fuldbyrdelse af nærværende forbundslov er betroet forbundskansleren.</w:t>
      </w:r>
    </w:p>
    <w:p w14:paraId="6DB6653A" w14:textId="77777777" w:rsidR="002E06E4" w:rsidRPr="00BD1E55" w:rsidRDefault="002E06E4" w:rsidP="001A5D58">
      <w:pPr>
        <w:pStyle w:val="45UeberschrPara"/>
        <w:keepLines/>
      </w:pPr>
      <w:r>
        <w:t>Ikrafttrædelse og overgangsbestemmelser</w:t>
      </w:r>
    </w:p>
    <w:p w14:paraId="0956638D" w14:textId="77777777" w:rsidR="002E06E4" w:rsidRPr="00BD1E55" w:rsidRDefault="002E06E4" w:rsidP="00F778D3">
      <w:pPr>
        <w:pStyle w:val="51Abs"/>
      </w:pPr>
      <w:r>
        <w:rPr>
          <w:rStyle w:val="991GldSymbol"/>
        </w:rPr>
        <w:t>§ 14.</w:t>
      </w:r>
      <w:r>
        <w:t xml:space="preserve"> Nærværende forbundslov træder i kraft den 1. XXXX 2021. De tjenesteudbydere, der på tidspunktet for ikrafttrædelsen af nærværende forbundslov er omfattet af dens bestemmelser, skal inden den 31. [XXXX + 3 måneder] 2021 have gennemført forpligtelserne, der er fastlagt i nærværende forbundslov. Tjenesteudbydere, der kommer til senere, skal have gjort dette inden for tre måneder fra påbegyndelsen af deres aktivitet.</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Notifikation i henhold til direktiv (EU) 2015/1535 er nødvendig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af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af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af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1EED"/>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4044</Words>
  <Characters>23789</Characters>
  <Application>Microsoft Office Word</Application>
  <DocSecurity>0</DocSecurity>
  <Lines>198</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