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A1C" w:rsidRPr="00B655D7" w:rsidRDefault="00AD7A1C" w:rsidP="00AD7A1C">
      <w:pPr>
        <w:ind w:left="-634" w:right="-778"/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0169 F-- HR- ------ 20180420 --- --- PROJET</w:t>
      </w:r>
    </w:p>
    <w:p w:rsidR="00AD7A1C" w:rsidRDefault="00AD7A1C"/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REPUBLIQUE"/>
            </w:pPr>
            <w:r>
              <w:t>FRANCUSKA REPUBLIKA</w:t>
            </w:r>
          </w:p>
        </w:tc>
      </w:tr>
      <w:tr w:rsidR="00B73D02" w:rsidTr="006516B7">
        <w:trPr>
          <w:cantSplit/>
          <w:trHeight w:val="4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Timbre"/>
            </w:pPr>
            <w:r>
              <w:t>Ministarstvo gospodarstva i financija</w:t>
            </w:r>
          </w:p>
        </w:tc>
      </w:tr>
      <w:tr w:rsidR="00B73D02" w:rsidTr="006516B7">
        <w:trPr>
          <w:cantSplit/>
          <w:trHeight w:val="22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</w:tbl>
    <w:p w:rsidR="00073A3D" w:rsidRPr="002E197B" w:rsidRDefault="00D50503" w:rsidP="00B73D02">
      <w:pPr>
        <w:pStyle w:val="SNNature"/>
        <w:jc w:val="left"/>
      </w:pPr>
      <w:r>
        <w:t>Uredba br.               od o utvrđivanju namjene uređajâ za signalizaciju bespilotnih letjelica i uvjeta za izuzeće predviđenih člankom L. 34-9-2 Zakonika o poštanskim uslugama i elektroničkim komunikacijama</w:t>
      </w:r>
    </w:p>
    <w:p w:rsidR="00073A3D" w:rsidRPr="002E197B" w:rsidRDefault="00D50503">
      <w:pPr>
        <w:pStyle w:val="SNNORCentr"/>
      </w:pPr>
      <w:r>
        <w:t>oznaka NOR: […]</w:t>
      </w:r>
    </w:p>
    <w:p w:rsidR="00073A3D" w:rsidRPr="002E197B" w:rsidRDefault="00D50503">
      <w:pPr>
        <w:pStyle w:val="SNAutorit"/>
        <w:spacing w:after="0"/>
        <w:jc w:val="both"/>
      </w:pPr>
      <w:r>
        <w:rPr>
          <w:i/>
        </w:rPr>
        <w:t xml:space="preserve">Zainteresirane strane: </w:t>
      </w:r>
      <w:r>
        <w:rPr>
          <w:b w:val="0"/>
          <w:i/>
        </w:rPr>
        <w:t>operateri koji daljinski upravljaju bespilotnim letjelicama mase veće od regulatorno utvrđene granične vrijednosti, graditelji bespilotnih letjelica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 xml:space="preserve">Predmet: </w:t>
      </w:r>
      <w:r>
        <w:rPr>
          <w:b w:val="0"/>
          <w:i/>
        </w:rPr>
        <w:t xml:space="preserve">ovim tekstom utvrđuje se namjena uređajâ za elektroničku i svjetlosnu signalizaciju kojima moraju biti opremljene bespilotne letjelice mase veće od regulatorno utvrđene granične vrijednosti, kao i uvjeti za izuzeće od tih obveza i povezane sankcije. 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Stupanje na snagu:</w:t>
      </w:r>
      <w:r>
        <w:rPr>
          <w:b w:val="0"/>
          <w:i/>
        </w:rPr>
        <w:t xml:space="preserve"> Tekst stupa na snagu na dan nakon dana njegove objave, osim odredaba članka R. 20-25-1 i članka R. 20-25-2 Zakonika o poštanskim uslugama i elektroničkim komunikacijama, koje stupaju na snagu 1. siječnja 2019.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Sažetak:</w:t>
      </w:r>
      <w:r>
        <w:rPr>
          <w:b w:val="0"/>
          <w:i/>
        </w:rPr>
        <w:t xml:space="preserve"> U skladu s člankom L. 34-9-2 Zakonika o poštanskim uslugama i elektroničkim komunikacijama, kako je izmijenjen Zakonom br. 2016-1428 od 24. listopada 2016. o jačanju sigurnosti uporabe civilnih dronova, bespilotne letjelice, osim državnih letjelica, mase veće od regulatorno utvrđene granične vrijednosti, moraju biti opremljene uređajem za elektroničku ili digitalnu signalizaciju i uređajem za svjetlosnu signalizaciju. Ovom Uredbom utvrđene su namjene tih uređaja, kao i uvjeti za izuzeće od tih obaveza.</w:t>
      </w:r>
    </w:p>
    <w:p w:rsidR="00073A3D" w:rsidRPr="002E197B" w:rsidRDefault="00D50503">
      <w:pPr>
        <w:pStyle w:val="SNAutorit"/>
        <w:spacing w:before="120"/>
        <w:jc w:val="both"/>
      </w:pPr>
      <w:r>
        <w:rPr>
          <w:i/>
        </w:rPr>
        <w:t xml:space="preserve">Upućivanja: </w:t>
      </w:r>
      <w:r>
        <w:rPr>
          <w:b w:val="0"/>
          <w:i/>
        </w:rPr>
        <w:t xml:space="preserve">Uredba je donesena na temelju članka 4. stavka I. Zakona br. 2016-1428 od 24. listopada 2016. o jačanju sigurnosti uporabe civilnih dronova. Članci Zakonika o poštanskim uslugama i elektroničkim komunikacijama izmijenjeni Uredbom dostupni su, u inačici izdanoj u skladu s izmjenom, na mrežnoj stranici Légifrance (http://www.legifrance.gouv.fr). </w:t>
      </w:r>
    </w:p>
    <w:p w:rsidR="00073A3D" w:rsidRPr="002E197B" w:rsidRDefault="00D50503">
      <w:pPr>
        <w:pStyle w:val="SNAutorit"/>
      </w:pPr>
      <w:r>
        <w:t>Predsjednik Vlade,</w:t>
      </w:r>
    </w:p>
    <w:p w:rsidR="00073A3D" w:rsidRPr="002E197B" w:rsidRDefault="00D50503">
      <w:pPr>
        <w:pStyle w:val="SNRapport"/>
      </w:pPr>
      <w:r>
        <w:t>na temelju izvješća ministra gospodarstva i financija,</w:t>
      </w:r>
    </w:p>
    <w:p w:rsidR="003B26B1" w:rsidRPr="002E197B" w:rsidRDefault="00D50503" w:rsidP="009D7458">
      <w:pPr>
        <w:jc w:val="both"/>
      </w:pPr>
      <w:r>
        <w:t>uzimajući u obzir Direktivu (EU) 2015/1535 Europskog parlamenta i Vijeća od 9. rujna 2015. o utvrđivanju postupka pružanja informacija u području tehničkih propisa i pravila o uslugama informacijskog društva (kodificirani tekst) te posebno notifikaciju br. godina/XXX/F,</w:t>
      </w:r>
    </w:p>
    <w:p w:rsidR="009D7458" w:rsidRDefault="009D7458" w:rsidP="009D7458">
      <w:pPr>
        <w:ind w:left="426" w:hanging="426"/>
        <w:jc w:val="both"/>
      </w:pPr>
    </w:p>
    <w:p w:rsidR="00073A3D" w:rsidRPr="002E197B" w:rsidRDefault="00D50503" w:rsidP="009D7458">
      <w:pPr>
        <w:ind w:left="426" w:hanging="426"/>
        <w:jc w:val="both"/>
      </w:pPr>
      <w:r>
        <w:t>uzimajući obzir Zakonik o civilnom zrakoplovstvu, osobito njegov članak D. 510-3,</w:t>
      </w:r>
    </w:p>
    <w:p w:rsidR="009D7458" w:rsidRDefault="009D7458" w:rsidP="009D7458">
      <w:pPr>
        <w:jc w:val="both"/>
      </w:pPr>
    </w:p>
    <w:p w:rsidR="00073A3D" w:rsidRPr="002E197B" w:rsidRDefault="00D50503" w:rsidP="009D7458">
      <w:pPr>
        <w:jc w:val="both"/>
      </w:pPr>
      <w:bookmarkStart w:id="0" w:name="_GoBack"/>
      <w:bookmarkEnd w:id="0"/>
      <w:r>
        <w:lastRenderedPageBreak/>
        <w:t>uzimajući u obzir Zakonik o poštanskim uslugama i elektroničkim komunikacijama, osobito njegov članak L. 34-9-2,</w:t>
      </w:r>
    </w:p>
    <w:p w:rsidR="00073A3D" w:rsidRPr="002E197B" w:rsidRDefault="00073A3D" w:rsidP="009D7458">
      <w:pPr>
        <w:ind w:left="426" w:hanging="426"/>
        <w:jc w:val="both"/>
      </w:pPr>
    </w:p>
    <w:p w:rsidR="00073A3D" w:rsidRPr="002E197B" w:rsidRDefault="00D50503" w:rsidP="009D7458">
      <w:pPr>
        <w:ind w:left="426" w:hanging="426"/>
        <w:jc w:val="both"/>
      </w:pPr>
      <w:r>
        <w:t>uzimajući u obzir Zakonik o unutarnjoj sigurnosti, osobito glavu V. sveska VIII.,</w:t>
      </w:r>
    </w:p>
    <w:p w:rsidR="00073A3D" w:rsidRPr="002E197B" w:rsidRDefault="00073A3D" w:rsidP="009D7458">
      <w:pPr>
        <w:ind w:left="426" w:hanging="426"/>
        <w:jc w:val="both"/>
      </w:pPr>
    </w:p>
    <w:p w:rsidR="00073A3D" w:rsidRPr="002E197B" w:rsidRDefault="00D50503" w:rsidP="009D7458">
      <w:pPr>
        <w:ind w:left="426" w:hanging="426"/>
        <w:jc w:val="both"/>
      </w:pPr>
      <w:r>
        <w:t>uzimajući u obzir Zakonik o prometu, osobito njegove članke L. 6100-1 i L. 6111-1,</w:t>
      </w:r>
    </w:p>
    <w:p w:rsidR="00073A3D" w:rsidRPr="002E197B" w:rsidRDefault="00073A3D" w:rsidP="009D7458">
      <w:pPr>
        <w:jc w:val="both"/>
        <w:rPr>
          <w:sz w:val="22"/>
          <w:szCs w:val="20"/>
        </w:rPr>
      </w:pPr>
    </w:p>
    <w:p w:rsidR="00073A3D" w:rsidRPr="002E197B" w:rsidRDefault="00D50503" w:rsidP="009D7458">
      <w:pPr>
        <w:pStyle w:val="SNVisa"/>
        <w:ind w:firstLine="0"/>
        <w:jc w:val="both"/>
      </w:pPr>
      <w:r>
        <w:t>uzimajući u obzir mišljenje Regulatornog tijela za elektroničke komunikacije i poštanske usluge od XXX,</w:t>
      </w:r>
    </w:p>
    <w:p w:rsidR="00073A3D" w:rsidRPr="002E197B" w:rsidRDefault="00073A3D">
      <w:pPr>
        <w:pStyle w:val="SNConsultation"/>
      </w:pPr>
    </w:p>
    <w:p w:rsidR="00073A3D" w:rsidRPr="002E197B" w:rsidRDefault="00D50503">
      <w:pPr>
        <w:pStyle w:val="SNConsultation"/>
      </w:pPr>
      <w:r>
        <w:t>nakon saslušanja Državnog vijeća (odjel ...),</w:t>
      </w:r>
    </w:p>
    <w:p w:rsidR="00073A3D" w:rsidRPr="002E197B" w:rsidRDefault="00D50503">
      <w:pPr>
        <w:pStyle w:val="SNActe"/>
      </w:pPr>
      <w:r>
        <w:t>donosi:</w:t>
      </w:r>
    </w:p>
    <w:p w:rsidR="00073A3D" w:rsidRPr="002E197B" w:rsidRDefault="00D50503">
      <w:pPr>
        <w:pStyle w:val="SNActe"/>
      </w:pPr>
      <w:r>
        <w:t>Poglavlje I.: Odredbe o namjeni uređajâ za signalizaciju</w:t>
      </w:r>
    </w:p>
    <w:p w:rsidR="00073A3D" w:rsidRPr="002E197B" w:rsidRDefault="00D50503">
      <w:pPr>
        <w:pStyle w:val="SNArticle"/>
      </w:pPr>
      <w:r>
        <w:t>Članak 1.</w:t>
      </w:r>
    </w:p>
    <w:p w:rsidR="00073A3D" w:rsidRPr="002E197B" w:rsidRDefault="00D50503">
      <w:pPr>
        <w:pStyle w:val="BodyText"/>
      </w:pPr>
      <w:r>
        <w:t>Pododjeljak 6. odjeljka 5. poglavlja II. glave I. sveska II. regulatornog dijela (uredbe Državnog vijeća) Zakonika o poštanskim uslugama i elektroničkoj komunikaciji dopunjen je člankom R. 20-24-2, koji glasi kako slijedi: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 R. 20-24-2.-</w:t>
      </w:r>
      <w:r>
        <w:t xml:space="preserve"> I. Svrha uređaja za elektroničku ili digitalnu signalizaciju iz prvog stavka članka L. 34-9-2 jest omogućiti službama koje doprinose sigurnosti, nacionalnoj obrani, spašavanju i carinskim uslugama da identificiraju i utvrde lokaciju, tijekom leta, bespilotnih letjelica čija masa premašuje graničnu vrijednost utvrđenu Uredbom.</w:t>
      </w:r>
    </w:p>
    <w:p w:rsidR="00073A3D" w:rsidRPr="002E197B" w:rsidRDefault="00D50503">
      <w:pPr>
        <w:pStyle w:val="BodyText"/>
      </w:pPr>
      <w:r>
        <w:t>U tu svrhu uređaj elektroničkim putem prenosi sljedeće podatke:</w:t>
      </w:r>
    </w:p>
    <w:p w:rsidR="00073A3D" w:rsidRPr="002E197B" w:rsidRDefault="00D50503">
      <w:pPr>
        <w:pStyle w:val="BodyText"/>
      </w:pPr>
      <w:r>
        <w:t>1. identifikacijski broj uređaja za elektroničku ili digitalnu signalizaciju;</w:t>
      </w:r>
    </w:p>
    <w:p w:rsidR="00073A3D" w:rsidRPr="002E197B" w:rsidRDefault="00D50503">
      <w:pPr>
        <w:pStyle w:val="BodyText"/>
      </w:pPr>
      <w:r>
        <w:t xml:space="preserve">2. koordinate zemljopisnog položaja letjelice i njezinu visinu; </w:t>
      </w:r>
    </w:p>
    <w:p w:rsidR="00073A3D" w:rsidRPr="002E197B" w:rsidRDefault="00D50503">
      <w:pPr>
        <w:pStyle w:val="BodyText"/>
      </w:pPr>
      <w:r>
        <w:t>3. sat i datum tog zemljopisnog položaja;</w:t>
      </w:r>
    </w:p>
    <w:p w:rsidR="00073A3D" w:rsidRPr="002E197B" w:rsidRDefault="00D50503">
      <w:pPr>
        <w:pStyle w:val="BodyText"/>
      </w:pPr>
      <w:r>
        <w:t>4. koordinate zemljopisnog položaja s kojeg je letjelica poletjela;</w:t>
      </w:r>
    </w:p>
    <w:p w:rsidR="00073A3D" w:rsidRPr="002E197B" w:rsidRDefault="00D50503">
      <w:pPr>
        <w:pStyle w:val="BodyText"/>
      </w:pPr>
      <w:r>
        <w:t>5. rutu i brzinu letjelice.</w:t>
      </w:r>
    </w:p>
    <w:p w:rsidR="00073A3D" w:rsidRPr="002E197B" w:rsidRDefault="00D50503">
      <w:pPr>
        <w:pStyle w:val="BodyText"/>
      </w:pPr>
      <w:r>
        <w:t>Ako je to primjenjivo i u mjeri u kojoj su oni potrebni, osobe ovlaštene u tu svrhu mogu upotrebljavati ove podatke za potrebe sudskih ili administrativnih istraga ili u obavještajne svrhe i za potrebe statistike.</w:t>
      </w:r>
    </w:p>
    <w:p w:rsidR="00073A3D" w:rsidRPr="002E197B" w:rsidRDefault="00D50503">
      <w:pPr>
        <w:pStyle w:val="BodyText"/>
      </w:pPr>
      <w:r>
        <w:t>II. Svrha uređaja za svjetlosnu signalizaciju iz prvog stavka članka L. 34-9-2 jest omogućiti službama koje doprinose sigurnosti, nacionalnoj obrani, spašavanju i carinskim uslugama da lakše pronađu, tijekom leta, bespilotne letjelice čija masa premašuje graničnu vrijednost utvrđenu Uredbom i da ih razlikuju od ostalih letjelica.</w:t>
      </w:r>
    </w:p>
    <w:p w:rsidR="00073A3D" w:rsidRPr="002E197B" w:rsidRDefault="00D50503">
      <w:pPr>
        <w:pStyle w:val="BodyText"/>
      </w:pPr>
      <w:r>
        <w:t>III. Tehničke značajke uređaja za elektroničku ili digitalnu signalizaciju i format podataka koji se prenose te tehničke značajke uređaja za svjetlosnu signalizaciju utvrđuju se odlukom ministra unutarnjih poslova, ministra prometa i ministra za elektroničke komunikacije. ”</w:t>
      </w:r>
    </w:p>
    <w:p w:rsidR="002E197B" w:rsidRPr="002E197B" w:rsidRDefault="002E197B">
      <w:pPr>
        <w:pStyle w:val="BodyText"/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lastRenderedPageBreak/>
        <w:t>Poglavlje II.: Odredbe o uvjetima izuzeća od obveze signalizacije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Članak 2.</w:t>
      </w:r>
    </w:p>
    <w:p w:rsidR="00073A3D" w:rsidRPr="002E197B" w:rsidRDefault="00073A3D">
      <w:pPr>
        <w:pStyle w:val="BodyText"/>
        <w:jc w:val="center"/>
        <w:rPr>
          <w:b/>
        </w:rPr>
      </w:pPr>
    </w:p>
    <w:p w:rsidR="00073A3D" w:rsidRPr="002E197B" w:rsidRDefault="00D50503">
      <w:pPr>
        <w:pStyle w:val="BodyText"/>
      </w:pPr>
      <w:r>
        <w:t>Pododjeljak 6. odjeljka 5. poglavlja II. glave I. sveska II. regulatornog dijela (uredbe Državnog vijeća) Zakonika o poštanskim uslugama i elektroničkoj komunikaciji dopunjen je člankom R. 20-24-3, koji glasi kako slijedi: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 R. 20-24-3.-</w:t>
      </w:r>
      <w:r>
        <w:t xml:space="preserve"> I. Od obveze opremanja uređajima za elektroničku ili digitalnu signalizaciju izuzete su bespilotne letjelice:</w:t>
      </w:r>
    </w:p>
    <w:p w:rsidR="00073A3D" w:rsidRPr="002E197B" w:rsidRDefault="00D50503">
      <w:pPr>
        <w:pStyle w:val="BodyText"/>
      </w:pPr>
      <w:r>
        <w:t xml:space="preserve">1. koje se upotrebljavaju u rekreativne svrhe, uključujući za potrebe natjecanja, kojima na daljinu upravlja osoba koja je član udruge koja pripada savezu za zrakoplovno modelarstvo priznate na nacionalnoj razini iz članka D. 510-3 Zakonika o civilnom zrakoplovstvu ili saveza u kojemu je okupljeno nekoliko sportova koji je odobrio ministar sporta i koji nudi praksu zrakoplovnog modelarstva na mjestu odvijanja aktivnosti objavljenom sredstvima zrakoplovnog informiranja, koje je uredno utvrđeno kao mjesto na kojem nastaje pravo na ovo izuzeće; </w:t>
      </w:r>
    </w:p>
    <w:p w:rsidR="00073A3D" w:rsidRPr="002E197B" w:rsidRDefault="00D50503">
      <w:pPr>
        <w:pStyle w:val="BodyText"/>
        <w:spacing w:after="0"/>
      </w:pPr>
      <w:r>
        <w:t>2. kada se upotrebljavaju na zatvorenom, u zatvorenim i natkrivenim prostorima;</w:t>
      </w:r>
    </w:p>
    <w:p w:rsidR="002E197B" w:rsidRPr="002E197B" w:rsidRDefault="002E197B">
      <w:pPr>
        <w:pStyle w:val="BodyText"/>
        <w:spacing w:after="0"/>
      </w:pPr>
    </w:p>
    <w:p w:rsidR="00073A3D" w:rsidRPr="002E197B" w:rsidRDefault="00BF6B0E">
      <w:pPr>
        <w:pStyle w:val="BodyText"/>
        <w:spacing w:after="0"/>
      </w:pPr>
      <w:r>
        <w:t>3. kada potpadaju u kategoriju letjelica iz drugog stavka članka L. 6100-1 Zakonika o prometu, ne dovodeći u pitanje odredbe koje se primjenjuju na vojne letjelice i na letjelice u vlasništvu države, i koje se upotrebljavaju u okviru carinskih usluga, usluga javne sigurnosti i civilne sigurnosti;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4. kada ne potpadaju u kategoriju letjelica iz drugog stavka članka L. 6100-1 Zakonika o prometu, već se upotrebljavaju u okviru carinskih i policijskih poslova te poslova civilne sigurnosti ili u okviru primjene tehnike navedene u glavi V. sveska VIII. Zakonika o unutarnjoj sigurnosti.”</w:t>
      </w:r>
    </w:p>
    <w:p w:rsidR="00073A3D" w:rsidRPr="002E197B" w:rsidRDefault="00073A3D">
      <w:pPr>
        <w:pStyle w:val="ListParagraph"/>
        <w:ind w:left="0"/>
        <w:jc w:val="both"/>
        <w:rPr>
          <w:color w:val="auto"/>
        </w:rPr>
      </w:pPr>
    </w:p>
    <w:p w:rsidR="00073A3D" w:rsidRPr="002E197B" w:rsidRDefault="00073A3D">
      <w:pPr>
        <w:pStyle w:val="BodyText"/>
        <w:spacing w:after="0"/>
        <w:jc w:val="left"/>
      </w:pPr>
    </w:p>
    <w:p w:rsidR="00073A3D" w:rsidRPr="002E197B" w:rsidRDefault="00D50503" w:rsidP="002E197B">
      <w:pPr>
        <w:pStyle w:val="BodyText"/>
        <w:tabs>
          <w:tab w:val="left" w:pos="0"/>
        </w:tabs>
      </w:pPr>
      <w:r>
        <w:t>„II. Od obveze opremanja uređajima za svjetlosnu signalizaciju izuzete su bespilotne letjelice koje su u pogonu:</w:t>
      </w:r>
    </w:p>
    <w:p w:rsidR="00073A3D" w:rsidRPr="002E197B" w:rsidRDefault="00D50503">
      <w:pPr>
        <w:pStyle w:val="BodyText"/>
      </w:pPr>
      <w:r>
        <w:t xml:space="preserve">1. koje se upotrebljavaju u rekreativne svrhe, uključujući za potrebe natjecanja, kojima na daljinu upravlja osoba koja je član udruge koja pripada savezu za zrakoplovno modelarstvo priznate na nacionalnoj razini iz članka D. 510-3 Zakonika o civilnom zrakoplovstvu ili saveza u kojemu je okupljeno nekoliko sportova koji je odobrio ministar sporta i koji nudi praksu zrakoplovnog modelarstva na mjestu odvijanja aktivnosti objavljenom sredstvima zrakoplovnog informiranja, koje je uredno utvrđeno kao mjesto na kojem nastaje pravo na ovo izuzeće; </w:t>
      </w:r>
    </w:p>
    <w:p w:rsidR="00073A3D" w:rsidRPr="002E197B" w:rsidRDefault="00D50503">
      <w:pPr>
        <w:pStyle w:val="BodyText"/>
        <w:tabs>
          <w:tab w:val="left" w:pos="0"/>
        </w:tabs>
        <w:jc w:val="left"/>
      </w:pPr>
      <w:r>
        <w:t>2. kada se upotrebljavaju na zatvorenom, u zatvorenim i natkrivenim prostorima;</w:t>
      </w:r>
    </w:p>
    <w:p w:rsidR="00073A3D" w:rsidRPr="002E197B" w:rsidRDefault="00D50503" w:rsidP="002E197B">
      <w:pPr>
        <w:pStyle w:val="BodyText"/>
        <w:tabs>
          <w:tab w:val="left" w:pos="0"/>
        </w:tabs>
      </w:pPr>
      <w:r>
        <w:t xml:space="preserve">3. kada obavljaju eksperimentalne letove u svrhu ispitivanja ili kontrole u uvjetima koje je odredio ministar zadužen za civilno zrakoplovstvo; </w:t>
      </w:r>
    </w:p>
    <w:p w:rsidR="00073A3D" w:rsidRPr="002E197B" w:rsidRDefault="00BF6B0E">
      <w:pPr>
        <w:pStyle w:val="BodyText"/>
        <w:spacing w:after="0"/>
      </w:pPr>
      <w:r>
        <w:t>4. kada potpadaju u kategoriju letjelica iz drugog stavka članka L. 6100-1 Zakonika o prometu, ne dovodeći u pitanje odredbe koje se primjenjuju na vojne letjelice i na letjelice u vlasništvu države, i koje se upotrebljavaju u okviru carinskih usluga, usluga javne sigurnosti i civilne sigurnosti;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 xml:space="preserve">5. kada ne potpadaju u kategoriju letjelica iz drugog stavka članka L. 6100-1 Zakonika o prometu, već se upotrebljavaju u okviru carinskih i policijskih poslova te poslova civilne </w:t>
      </w:r>
      <w:r>
        <w:rPr>
          <w:color w:val="auto"/>
        </w:rPr>
        <w:lastRenderedPageBreak/>
        <w:t>sigurnosti ili u okviru primjene tehnike navedene u glavi V. sveska VIII. Zakonika o unutarnjoj sigurnosti.”</w:t>
      </w:r>
    </w:p>
    <w:p w:rsidR="00073A3D" w:rsidRPr="002E197B" w:rsidRDefault="00073A3D">
      <w:pPr>
        <w:pStyle w:val="BodyText"/>
        <w:tabs>
          <w:tab w:val="left" w:pos="0"/>
        </w:tabs>
        <w:jc w:val="left"/>
      </w:pPr>
    </w:p>
    <w:p w:rsidR="00073A3D" w:rsidRPr="002E197B" w:rsidRDefault="00D50503">
      <w:pPr>
        <w:pStyle w:val="BodyText"/>
        <w:tabs>
          <w:tab w:val="left" w:pos="0"/>
        </w:tabs>
        <w:jc w:val="center"/>
        <w:rPr>
          <w:b/>
        </w:rPr>
      </w:pPr>
      <w:r>
        <w:rPr>
          <w:b/>
        </w:rPr>
        <w:t>Poglavlje III.: Sankcije</w:t>
      </w:r>
    </w:p>
    <w:p w:rsidR="00073A3D" w:rsidRPr="002E197B" w:rsidRDefault="00073A3D">
      <w:pPr>
        <w:pStyle w:val="BodyText"/>
        <w:tabs>
          <w:tab w:val="left" w:pos="0"/>
        </w:tabs>
        <w:jc w:val="center"/>
        <w:rPr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Članak 4.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both"/>
        <w:rPr>
          <w:rFonts w:eastAsia="Calibri"/>
        </w:rPr>
      </w:pPr>
      <w:r>
        <w:t>U pododjeljku 7. odjeljka 5. poglavlja II. glave I. sveska II. regulatornog dijela (uredbe Državnog vijeća) Zakonika o poštanskim uslugama i elektroničkoj komunikaciji dodaju se članak R. 20-25-1 i članak R. 20-25-2, koji glase kako slijedi:</w:t>
      </w:r>
    </w:p>
    <w:p w:rsidR="00073A3D" w:rsidRPr="002E197B" w:rsidRDefault="00073A3D">
      <w:pPr>
        <w:rPr>
          <w:rFonts w:eastAsia="Calibri"/>
        </w:rPr>
      </w:pPr>
    </w:p>
    <w:p w:rsidR="00073A3D" w:rsidRPr="002E197B" w:rsidRDefault="00D50503">
      <w:r>
        <w:t>„</w:t>
      </w:r>
      <w:r>
        <w:rPr>
          <w:i/>
        </w:rPr>
        <w:t>Čl. R. 20-25-1.</w:t>
      </w:r>
      <w:r>
        <w:t xml:space="preserve"> Novčanom kaznom predviđenom za prekršaje četvrtog razreda kažnjava se:</w:t>
      </w:r>
    </w:p>
    <w:p w:rsidR="00073A3D" w:rsidRPr="002E197B" w:rsidRDefault="00073A3D">
      <w:pPr>
        <w:rPr>
          <w:i/>
        </w:rPr>
      </w:pPr>
    </w:p>
    <w:p w:rsidR="00073A3D" w:rsidRPr="002E197B" w:rsidRDefault="00D50503">
      <w:pPr>
        <w:jc w:val="both"/>
      </w:pPr>
      <w:r>
        <w:t>1. činjenica da je vlasnik bespilotne letjelice pustio u promet letjelicu koja nije opremljena uređajem za elektroničku ili digitalnu signalizaciju iz prvog stavka članka L. 34-9-2 i stavka I. članka R. 20-24-2 ili koja nije opremljena uređajem za elektroničku ili digitalnu signalizaciju kada je u pogonu;</w:t>
      </w:r>
    </w:p>
    <w:p w:rsidR="00073A3D" w:rsidRPr="002E197B" w:rsidRDefault="00073A3D"/>
    <w:p w:rsidR="00073A3D" w:rsidRPr="002E197B" w:rsidRDefault="00D50503">
      <w:pPr>
        <w:jc w:val="both"/>
        <w:rPr>
          <w:rFonts w:eastAsia="Calibri"/>
        </w:rPr>
      </w:pPr>
      <w:r>
        <w:t>2. činjenica da je vlasnik bespilotne letjelice pustio u promet letjelicu koja nije opremljena uređajem za svjetlosnu signalizaciju iz prvog stavka članka L. 34-9-2 i stavka II. članka R. 20-24-2 ili koja nije opremljena uređajem za svjetlosnu signalizaciju kada je u pogonu. ”</w:t>
      </w:r>
    </w:p>
    <w:p w:rsidR="00FA699A" w:rsidRPr="002E197B" w:rsidRDefault="00FA699A">
      <w:pPr>
        <w:jc w:val="both"/>
        <w:rPr>
          <w:rFonts w:eastAsia="Calibri"/>
        </w:rPr>
      </w:pPr>
    </w:p>
    <w:p w:rsidR="00FA699A" w:rsidRPr="002E197B" w:rsidRDefault="00FA699A" w:rsidP="00FA699A">
      <w:r>
        <w:t>„</w:t>
      </w:r>
      <w:r>
        <w:rPr>
          <w:i/>
        </w:rPr>
        <w:t>Čl. R. 20-25-2.</w:t>
      </w:r>
      <w:r>
        <w:t xml:space="preserve"> Novčanom kaznom predviđenom za prekršaje petog razreda kažnjava se:</w:t>
      </w:r>
    </w:p>
    <w:p w:rsidR="00FA699A" w:rsidRPr="002E197B" w:rsidRDefault="00FA699A" w:rsidP="00FA699A">
      <w:pPr>
        <w:rPr>
          <w:i/>
        </w:rPr>
      </w:pPr>
    </w:p>
    <w:p w:rsidR="00FA699A" w:rsidRPr="00311055" w:rsidRDefault="00FA699A" w:rsidP="00FA699A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Namjerno pokretanje elektroničke ili digitalne signalizacije, kako je navedeno u prvom stavku članka L. 34-9-2, koja ne odgovara stvarnom letu, koji je u tijeku u trenutku pokretanja signalizacije i koja dolazi od bespilotne letjelice registrirane u bazi navedenoj u članku XXX Zakonika o prometu. ”</w:t>
      </w:r>
    </w:p>
    <w:p w:rsidR="00073A3D" w:rsidRPr="002E197B" w:rsidRDefault="00073A3D">
      <w:pPr>
        <w:jc w:val="center"/>
        <w:rPr>
          <w:rFonts w:eastAsia="Calibri"/>
          <w:b/>
          <w:lang w:eastAsia="fr-FR"/>
        </w:rPr>
      </w:pPr>
    </w:p>
    <w:p w:rsidR="00073A3D" w:rsidRPr="002E197B" w:rsidRDefault="00073A3D"/>
    <w:p w:rsidR="00073A3D" w:rsidRPr="002E197B" w:rsidRDefault="00D50503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73A3D" w:rsidRPr="002E197B" w:rsidRDefault="00073A3D"/>
    <w:p w:rsidR="00BE1E1D" w:rsidRPr="00311055" w:rsidRDefault="00D50503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U stavku 12. članka R.48-1 Zakonika o kaznenom postupku nakon riječi „Zakonika o civilnom zrakoplovstvu” umeću se riječi „i članci R. 20-25-1 i R. 20-25-2 Zakonika o poštanskim uslugama i elektroničkoj komunikaciji. ”</w:t>
      </w:r>
    </w:p>
    <w:p w:rsidR="00073A3D" w:rsidRPr="002E197B" w:rsidRDefault="00073A3D"/>
    <w:p w:rsidR="00073A3D" w:rsidRPr="002E197B" w:rsidRDefault="00D50503">
      <w:pPr>
        <w:jc w:val="center"/>
        <w:rPr>
          <w:b/>
        </w:rPr>
      </w:pPr>
      <w:r>
        <w:rPr>
          <w:b/>
        </w:rPr>
        <w:t>Poglavlje IV.: Završne odredbe</w:t>
      </w:r>
    </w:p>
    <w:p w:rsidR="00073A3D" w:rsidRPr="002E197B" w:rsidRDefault="00073A3D">
      <w:pPr>
        <w:rPr>
          <w:b/>
        </w:rPr>
      </w:pPr>
    </w:p>
    <w:p w:rsidR="00073A3D" w:rsidRPr="002E197B" w:rsidRDefault="00D50503">
      <w:pPr>
        <w:jc w:val="center"/>
        <w:rPr>
          <w:b/>
        </w:rPr>
      </w:pPr>
      <w:r>
        <w:rPr>
          <w:b/>
        </w:rPr>
        <w:t>Članak 6.</w:t>
      </w:r>
    </w:p>
    <w:p w:rsidR="00697687" w:rsidRPr="002E197B" w:rsidRDefault="00697687">
      <w:pPr>
        <w:pStyle w:val="BodyText"/>
      </w:pPr>
    </w:p>
    <w:p w:rsidR="00073A3D" w:rsidRPr="002E197B" w:rsidRDefault="00D50503">
      <w:pPr>
        <w:pStyle w:val="BodyText"/>
        <w:rPr>
          <w:b/>
        </w:rPr>
      </w:pPr>
      <w:r>
        <w:t>Odredbe ove Uredbe primjenjuju se u Francuskoj Polineziji, otocima Wallis i Futuna te na Francuskim južnim i antarktičkim područjima.</w:t>
      </w:r>
    </w:p>
    <w:p w:rsidR="00073A3D" w:rsidRPr="002E197B" w:rsidRDefault="00073A3D">
      <w:pPr>
        <w:jc w:val="center"/>
        <w:rPr>
          <w:b/>
        </w:rPr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Članak 7.</w:t>
      </w:r>
    </w:p>
    <w:p w:rsidR="00073A3D" w:rsidRPr="002E197B" w:rsidRDefault="00D50503">
      <w:pPr>
        <w:pStyle w:val="SNAutorit"/>
        <w:spacing w:before="120" w:after="0"/>
        <w:ind w:firstLine="0"/>
        <w:jc w:val="both"/>
      </w:pPr>
      <w:r>
        <w:rPr>
          <w:rFonts w:ascii="Times New              Roman;se" w:hAnsi="Times New              Roman;se"/>
          <w:b w:val="0"/>
        </w:rPr>
        <w:t>Tekst stupa na snagu na dan nakon dana njegove objave, osim odredaba članka R. 20-25-1 i članka R. 20-25-2 Zakonika o poštanskim uslugama i elektroničkim komunikacijama, koje stupaju na snagu 1. siječnja 2019.</w:t>
      </w:r>
    </w:p>
    <w:p w:rsidR="00073A3D" w:rsidRPr="002E197B" w:rsidRDefault="00D50503">
      <w:pPr>
        <w:pStyle w:val="SNArticle"/>
      </w:pPr>
      <w:r>
        <w:lastRenderedPageBreak/>
        <w:t>Članak 8.</w:t>
      </w:r>
    </w:p>
    <w:p w:rsidR="00073A3D" w:rsidRPr="002E197B" w:rsidRDefault="00D50503">
      <w:pPr>
        <w:pStyle w:val="BodyText"/>
      </w:pPr>
      <w:r>
        <w:t xml:space="preserve">Za provedbu ove Uredbe, koja će biti objavljena u </w:t>
      </w:r>
      <w:r>
        <w:rPr>
          <w:i/>
        </w:rPr>
        <w:t>Službenom listu Francuske Republike</w:t>
      </w:r>
      <w:r>
        <w:t>, zaduženi su, svaki u svojem resoru, državni ministar, ministar unutarnjih poslova, državni ministar, ministar ekološke i solidarne tranzicije, čuvarica pečata, ministrica pravosuđa, ministar gospodarstva i financija, ministrica prekomorskih teritorija i ministrica pomoćnica državnog ministra, ministra ekološke i solidarne tranzicije, nadležna za promet.</w:t>
      </w:r>
    </w:p>
    <w:p w:rsidR="00073A3D" w:rsidRPr="002E197B" w:rsidRDefault="00D50503">
      <w:pPr>
        <w:pStyle w:val="SNDate"/>
      </w:pPr>
      <w:r>
        <w:t>Sastavljeno dana</w:t>
      </w:r>
    </w:p>
    <w:p w:rsidR="00073A3D" w:rsidRPr="002E197B" w:rsidRDefault="00D50503">
      <w:pPr>
        <w:pStyle w:val="SNDate"/>
      </w:pPr>
      <w:r>
        <w:t>Za predsjednika vlade:</w:t>
      </w:r>
    </w:p>
    <w:p w:rsidR="00073A3D" w:rsidRPr="002E197B" w:rsidRDefault="00D50503">
      <w:pPr>
        <w:pStyle w:val="SNSignatureGauche"/>
      </w:pPr>
      <w:r>
        <w:t>Državni ministar, ministar unutarnjih poslova,</w:t>
      </w:r>
    </w:p>
    <w:p w:rsidR="00073A3D" w:rsidRPr="002E197B" w:rsidRDefault="00D50503">
      <w:pPr>
        <w:pStyle w:val="SNSignatureprnomnomGauche"/>
        <w:rPr>
          <w:color w:val="auto"/>
        </w:rPr>
      </w:pPr>
      <w:r>
        <w:rPr>
          <w:color w:val="auto"/>
        </w:rPr>
        <w:t>Gérard COLLOMB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Državni ministar, ministar ekološke i solidarne tranzicije,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Nicolas HULOT</w:t>
      </w:r>
    </w:p>
    <w:p w:rsidR="00000ECF" w:rsidRPr="002E197B" w:rsidRDefault="00000ECF" w:rsidP="00697687">
      <w:pPr>
        <w:pStyle w:val="SNSignatureprnomnomDroite"/>
        <w:ind w:left="0"/>
        <w:jc w:val="left"/>
        <w:rPr>
          <w:color w:val="auto"/>
        </w:rPr>
      </w:pPr>
      <w:r>
        <w:rPr>
          <w:color w:val="auto"/>
        </w:rPr>
        <w:lastRenderedPageBreak/>
        <w:t>Čuvarica državnog pečata, ministrica pravosuđa</w:t>
      </w: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D47282" w:rsidRPr="002E197B" w:rsidRDefault="00000ECF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  <w:r>
        <w:rPr>
          <w:color w:val="auto"/>
        </w:rPr>
        <w:t>Nicole BELLOUBET</w:t>
      </w:r>
    </w:p>
    <w:p w:rsidR="00697687" w:rsidRPr="002E197B" w:rsidRDefault="00697687">
      <w:pPr>
        <w:pStyle w:val="SNSignatureGauche"/>
      </w:pPr>
    </w:p>
    <w:p w:rsidR="00073A3D" w:rsidRPr="002E197B" w:rsidRDefault="00D50503">
      <w:pPr>
        <w:pStyle w:val="SNSignatureGauche"/>
      </w:pPr>
      <w:r>
        <w:t>Ministar gospodarstva i financija,</w:t>
      </w:r>
    </w:p>
    <w:p w:rsidR="00073A3D" w:rsidRPr="002E197B" w:rsidRDefault="00D50503">
      <w:pPr>
        <w:pStyle w:val="SNSignatureGauche"/>
      </w:pPr>
      <w:r>
        <w:t>Bruno LEMAIRE</w:t>
      </w:r>
    </w:p>
    <w:p w:rsidR="00073A3D" w:rsidRPr="002E197B" w:rsidRDefault="00F54C64" w:rsidP="002E197B">
      <w:pPr>
        <w:pStyle w:val="SNSignatureprnomnomGauche"/>
        <w:tabs>
          <w:tab w:val="left" w:pos="5812"/>
          <w:tab w:val="left" w:pos="6237"/>
          <w:tab w:val="left" w:pos="6379"/>
          <w:tab w:val="left" w:pos="7230"/>
          <w:tab w:val="left" w:pos="7797"/>
          <w:tab w:val="left" w:pos="8364"/>
        </w:tabs>
        <w:ind w:left="0" w:right="0"/>
        <w:jc w:val="right"/>
        <w:rPr>
          <w:color w:val="auto"/>
        </w:rPr>
      </w:pPr>
      <w:r>
        <w:rPr>
          <w:color w:val="auto"/>
        </w:rPr>
        <w:t>Ministrica prekomorskih teritorija,</w:t>
      </w:r>
    </w:p>
    <w:p w:rsidR="00073A3D" w:rsidRPr="002E197B" w:rsidRDefault="00073A3D">
      <w:pPr>
        <w:pStyle w:val="SNSignatureGauche"/>
        <w:tabs>
          <w:tab w:val="left" w:pos="8222"/>
        </w:tabs>
      </w:pPr>
    </w:p>
    <w:p w:rsidR="00073A3D" w:rsidRPr="002E197B" w:rsidRDefault="00D50503" w:rsidP="002E197B">
      <w:pPr>
        <w:pStyle w:val="SNSignatureGauche"/>
        <w:tabs>
          <w:tab w:val="left" w:pos="8222"/>
        </w:tabs>
        <w:ind w:left="0" w:right="0"/>
        <w:jc w:val="right"/>
      </w:pPr>
      <w:r>
        <w:t>Annick GIRARDIN</w:t>
      </w:r>
    </w:p>
    <w:p w:rsidR="00073A3D" w:rsidRPr="002E197B" w:rsidRDefault="00D50503">
      <w:pPr>
        <w:pStyle w:val="SNSignatureGauche"/>
      </w:pPr>
      <w:r>
        <w:t>Ministrica pomoćnica državnog ministra, ministra ekološke i solidarne tranzicije, nadležna za promet</w:t>
      </w:r>
    </w:p>
    <w:p w:rsidR="00073A3D" w:rsidRPr="002E197B" w:rsidRDefault="00D50503">
      <w:pPr>
        <w:pStyle w:val="SNSignatureGauche"/>
      </w:pPr>
      <w:r>
        <w:lastRenderedPageBreak/>
        <w:t>Elisabeth BORNE</w:t>
      </w:r>
    </w:p>
    <w:sectPr w:rsidR="00073A3D" w:rsidRPr="002E197B" w:rsidSect="0014705D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02" w:rsidRDefault="00223502" w:rsidP="00660ECB">
      <w:r>
        <w:separator/>
      </w:r>
    </w:p>
  </w:endnote>
  <w:endnote w:type="continuationSeparator" w:id="0">
    <w:p w:rsidR="00223502" w:rsidRDefault="00223502" w:rsidP="006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             Roman;se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02" w:rsidRDefault="00223502" w:rsidP="00660ECB">
      <w:r>
        <w:separator/>
      </w:r>
    </w:p>
  </w:footnote>
  <w:footnote w:type="continuationSeparator" w:id="0">
    <w:p w:rsidR="00223502" w:rsidRDefault="00223502" w:rsidP="006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47FD"/>
    <w:multiLevelType w:val="multilevel"/>
    <w:tmpl w:val="CF72BE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D"/>
    <w:rsid w:val="00000ECF"/>
    <w:rsid w:val="000448F5"/>
    <w:rsid w:val="00073A3D"/>
    <w:rsid w:val="0014705D"/>
    <w:rsid w:val="00223502"/>
    <w:rsid w:val="002E197B"/>
    <w:rsid w:val="00311055"/>
    <w:rsid w:val="003723F5"/>
    <w:rsid w:val="00397D5C"/>
    <w:rsid w:val="003B26B1"/>
    <w:rsid w:val="003D3349"/>
    <w:rsid w:val="003D5A5C"/>
    <w:rsid w:val="003F769D"/>
    <w:rsid w:val="004D1C2C"/>
    <w:rsid w:val="005527AE"/>
    <w:rsid w:val="005F3DB6"/>
    <w:rsid w:val="00660ECB"/>
    <w:rsid w:val="006732B4"/>
    <w:rsid w:val="00697687"/>
    <w:rsid w:val="0082741D"/>
    <w:rsid w:val="008E4588"/>
    <w:rsid w:val="009A32C8"/>
    <w:rsid w:val="009A4C69"/>
    <w:rsid w:val="009D7458"/>
    <w:rsid w:val="00AD7A1C"/>
    <w:rsid w:val="00B73D02"/>
    <w:rsid w:val="00BE1E1D"/>
    <w:rsid w:val="00BF6B0E"/>
    <w:rsid w:val="00D47282"/>
    <w:rsid w:val="00D50503"/>
    <w:rsid w:val="00F54C64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853D-18B4-4C1E-9F3C-52D03DC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hr-HR" w:bidi="ar-SA"/>
    </w:rPr>
  </w:style>
  <w:style w:type="character" w:customStyle="1" w:styleId="SNDateCar">
    <w:name w:val="SNDate Car"/>
    <w:qFormat/>
    <w:rPr>
      <w:sz w:val="24"/>
      <w:szCs w:val="24"/>
      <w:lang w:val="hr-HR" w:bidi="ar-SA"/>
    </w:rPr>
  </w:style>
  <w:style w:type="character" w:customStyle="1" w:styleId="SNArticleCar">
    <w:name w:val="SNArticle Car"/>
    <w:qFormat/>
    <w:rPr>
      <w:b/>
      <w:sz w:val="24"/>
      <w:szCs w:val="24"/>
      <w:lang w:val="hr-HR" w:bidi="ar-SA"/>
    </w:rPr>
  </w:style>
  <w:style w:type="character" w:customStyle="1" w:styleId="SNenProjet">
    <w:name w:val="SNenProjet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basedOn w:val="Policepardfaut1"/>
    <w:qFormat/>
  </w:style>
  <w:style w:type="character" w:customStyle="1" w:styleId="ObjetducommentaireCar">
    <w:name w:val="Objet du commentaire Car"/>
    <w:qFormat/>
    <w:rPr>
      <w:b/>
      <w:bCs/>
    </w:rPr>
  </w:style>
  <w:style w:type="character" w:customStyle="1" w:styleId="TextebrutCar">
    <w:name w:val="Texte brut Car"/>
    <w:qFormat/>
    <w:rPr>
      <w:rFonts w:ascii="Calibri" w:eastAsia="Calibri" w:hAnsi="Calibri" w:cs="Calibri"/>
      <w:color w:val="000000"/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bidi="ar-SA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qFormat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Textebrut1">
    <w:name w:val="Texte brut1"/>
    <w:basedOn w:val="Normal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ListParagraph">
    <w:name w:val="List Paragraph"/>
    <w:basedOn w:val="Normal"/>
    <w:qFormat/>
    <w:pPr>
      <w:suppressAutoHyphens w:val="0"/>
      <w:ind w:left="720"/>
    </w:pPr>
    <w:rPr>
      <w:rFonts w:eastAsia="Calibri"/>
      <w:color w:val="00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2018-03-29T14:13:00Z</cp:lastPrinted>
  <dcterms:created xsi:type="dcterms:W3CDTF">2018-03-28T11:38:00Z</dcterms:created>
  <dcterms:modified xsi:type="dcterms:W3CDTF">2018-04-20T12:38:00Z</dcterms:modified>
  <dc:language>fr-FR</dc:language>
</cp:coreProperties>
</file>