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BCC4"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Besluit nr. 2019-1114 van 30 oktober 2019 tot invoering van artikel L. 34-9-2 van het Post en Elektronische Communicatie Wetboek</w:t>
      </w:r>
    </w:p>
    <w:p w14:paraId="05FC5983"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Doelgroep: piloten op afstand van onbemande luchtvaartuigen met een gewicht van meer dan 800 gram, fabrikanten van onbemande luchtvaartuigen.</w:t>
      </w:r>
      <w:r>
        <w:rPr>
          <w:rFonts w:ascii="Times New Roman" w:hAnsi="Times New Roman"/>
          <w:color w:val="000000"/>
          <w:sz w:val="27"/>
        </w:rPr>
        <w:br/>
        <w:t>Betreft: doelstellingen van de elektronische of digitale signaalinrichtingen en -lichten waarmee onbemande luchtvaartuigen moeten zijn uitgerust.</w:t>
      </w:r>
      <w:r>
        <w:rPr>
          <w:rFonts w:ascii="Times New Roman" w:hAnsi="Times New Roman"/>
          <w:color w:val="000000"/>
          <w:sz w:val="27"/>
        </w:rPr>
        <w:br/>
        <w:t>Inwerkingtreding: het Besluit treedt in werking zes maanden na de publicatie ervan, met uitzondering van het bepaalde in de artikelen R. 20-29-7 en R. 20-29-8 van het Post en Elektronische Communicatie Wetboek en van artikel R. 48-1, punt 14 van het Wetboek van strafrecht, enerzijds, en de bepalingen van het Besluit betreffende onbemande luchtvaartuigen die vóór die datum zijn geregistreerd op grond van artikel L. 6111-1 van het Wetboek van Vervoer, anderzijds, die 12 maanden na de publicatie ervan.</w:t>
      </w:r>
      <w:r>
        <w:rPr>
          <w:rFonts w:ascii="Times New Roman" w:hAnsi="Times New Roman"/>
          <w:color w:val="000000"/>
          <w:sz w:val="27"/>
        </w:rPr>
        <w:br/>
        <w:t>Kennisgeving: overeenkomstig artikel L. 34-9-2 van het Post en Elektronische Communicatie Wetboek, zoals gewijzigd bij wet nr. 2016-1428 van 24 oktober 2016 ter versterking van de veiligheid van het gebruik van civiele drones, onbemande luchtvaartuigen (anders dan overheidsvliegtuigen), waarvan het gewicht de wettelijk vastgestelde drempel overschrijdt, moeten ze zijn uitgerust met elektronische of digitale signaalinrichtingen en signaalverlichtingen. Het Besluit stelt de doelstellingen van deze inrichtingen vast, evenals de voorwaarden voor vrijstelling van meldverplichtingen en de toepasselijke sanctieregeling. De drempel voor het gewicht waarboven een luchtvaartuig aan deze bepalingen worden onderworpen, wordt vastgesteld op 800 gram.</w:t>
      </w:r>
      <w:r>
        <w:rPr>
          <w:rFonts w:ascii="Times New Roman" w:hAnsi="Times New Roman"/>
          <w:color w:val="000000"/>
          <w:sz w:val="27"/>
        </w:rPr>
        <w:br/>
        <w:t>Referenties: het Besluit is uitgevaardigd ter uitvoering van artikel 4, lid I, van wet nr. 2016-1428 van 24 oktober 2016 betreffende versterking van de veiligheid van het gebruik van civiele drones. Het Post en Elektronische Communicatie Wetboek kan, in de versie door deze wijziging is toegankelijk op de website van Légifrance (http://www.legifrance.gouv.fr).</w:t>
      </w:r>
    </w:p>
    <w:p w14:paraId="3D02B3CF"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minister-president,</w:t>
      </w:r>
      <w:r>
        <w:rPr>
          <w:rFonts w:ascii="Times New Roman" w:hAnsi="Times New Roman"/>
          <w:color w:val="000000"/>
          <w:sz w:val="27"/>
        </w:rPr>
        <w:br/>
        <w:t>Naar aanleiding van het verslag van de minister van Economie en Financiën,</w:t>
      </w:r>
      <w:r>
        <w:rPr>
          <w:rFonts w:ascii="Times New Roman" w:hAnsi="Times New Roman"/>
          <w:color w:val="000000"/>
          <w:sz w:val="27"/>
        </w:rPr>
        <w:br/>
        <w:t>Gezien Richtlijn (EU) 2015/1535 van het Europees Parlement en de Raad van 9 september 2015 betreffende een informatieprocedure op het gebied van technische voorschriften en regels betreffende de diensten van de informatiemaatschappij, met name kennisgeving nr. 2018/169/F en nr. 2018/168/F;</w:t>
      </w:r>
      <w:r>
        <w:rPr>
          <w:rFonts w:ascii="Times New Roman" w:hAnsi="Times New Roman"/>
          <w:color w:val="000000"/>
          <w:sz w:val="27"/>
        </w:rPr>
        <w:br/>
        <w:t xml:space="preserve">Gezien Verordening (EU) 2018/1139 van het Europees Parlement en de Raad van 4 juli 2018 inzake gemeenschappelijke regels op het gebied van burgerluchtvaart en tot oprichting van een Agentschap van de Europese Unie voor de veiligheid van de luchtvaart, en tot wijziging van de Verordeningen (EG) nr. 2111/2005, (EG) nr. 1008/2008, (EU) nr. 996/2010, (EU) nr. 376/2014 en de Richtlijnen 2014/30/EU en </w:t>
      </w:r>
      <w:r>
        <w:rPr>
          <w:rFonts w:ascii="Times New Roman" w:hAnsi="Times New Roman"/>
          <w:color w:val="000000"/>
          <w:sz w:val="27"/>
        </w:rPr>
        <w:lastRenderedPageBreak/>
        <w:t>2014/53/EU van het Europees Parlement en de Raad, en tot intrekking van de Verordeningen (EG) nr. 552/2004 en (EG) nr. 216/2008 van het Europees Parlement en de Raad en Verordening (EEG) nr. 3922/91 van de Raad;</w:t>
      </w:r>
      <w:r>
        <w:rPr>
          <w:rFonts w:ascii="Times New Roman" w:hAnsi="Times New Roman"/>
          <w:color w:val="000000"/>
          <w:sz w:val="27"/>
        </w:rPr>
        <w:br/>
        <w:t>Gezien Gedelegeerde Verordening (EU) 2019/945 van de Commissie van 12 maart 2019 inzake onbemande luchtvaartuigsystemen en uit derde landen afkomstige exploitanten van onbemande luchtvaartuigsystemen, met name artikel 5 daarvan;</w:t>
      </w:r>
      <w:r>
        <w:rPr>
          <w:rFonts w:ascii="Times New Roman" w:hAnsi="Times New Roman"/>
          <w:color w:val="000000"/>
          <w:sz w:val="27"/>
        </w:rPr>
        <w:br/>
        <w:t>Gezien het Wetboek van Burgerluchtvaart, met name de artikelen R. 124-2 en D. 510-3 daarvan;</w:t>
      </w:r>
      <w:r>
        <w:rPr>
          <w:rFonts w:ascii="Times New Roman" w:hAnsi="Times New Roman"/>
          <w:color w:val="000000"/>
          <w:sz w:val="27"/>
        </w:rPr>
        <w:br/>
        <w:t>Gezien het Wetboek van strafrecht, met name artikel R. 610-1 daarvan;</w:t>
      </w:r>
      <w:r>
        <w:rPr>
          <w:rFonts w:ascii="Times New Roman" w:hAnsi="Times New Roman"/>
          <w:color w:val="000000"/>
          <w:sz w:val="27"/>
        </w:rPr>
        <w:br/>
        <w:t>Gezien het Wetboek van Strafrecht, met name artikel R. 48-1 daarvan;</w:t>
      </w:r>
      <w:r>
        <w:rPr>
          <w:rFonts w:ascii="Times New Roman" w:hAnsi="Times New Roman"/>
          <w:color w:val="000000"/>
          <w:sz w:val="27"/>
        </w:rPr>
        <w:br/>
        <w:t>Gezien het Post en Elektronische Communicatie Wetboek, met name artikel L. 34-9-2 daarvan;</w:t>
      </w:r>
      <w:r>
        <w:rPr>
          <w:rFonts w:ascii="Times New Roman" w:hAnsi="Times New Roman"/>
          <w:color w:val="000000"/>
          <w:sz w:val="27"/>
        </w:rPr>
        <w:br/>
        <w:t>Gezien het Wetboek van Interne Veiligheid, met name boek VIII, titel V;</w:t>
      </w:r>
      <w:r>
        <w:rPr>
          <w:rFonts w:ascii="Times New Roman" w:hAnsi="Times New Roman"/>
          <w:color w:val="000000"/>
          <w:sz w:val="27"/>
        </w:rPr>
        <w:br/>
        <w:t>Gezien het Wetboek van Sport, met name artikel L. 131-8 daarvan;</w:t>
      </w:r>
      <w:r>
        <w:rPr>
          <w:rFonts w:ascii="Times New Roman" w:hAnsi="Times New Roman"/>
          <w:color w:val="000000"/>
          <w:sz w:val="27"/>
        </w:rPr>
        <w:br/>
        <w:t>Gezien het Wetboek van Vervoer, met name de artikelen L. 6100-1 en L. 6111-1 daarvan;</w:t>
      </w:r>
      <w:r>
        <w:rPr>
          <w:rFonts w:ascii="Times New Roman" w:hAnsi="Times New Roman"/>
          <w:color w:val="000000"/>
          <w:sz w:val="27"/>
        </w:rPr>
        <w:br/>
        <w:t>Gehoord de Raad van State (afdeling Openbare Werken),</w:t>
      </w:r>
      <w:r>
        <w:rPr>
          <w:rFonts w:ascii="Times New Roman" w:hAnsi="Times New Roman"/>
          <w:color w:val="000000"/>
          <w:sz w:val="27"/>
        </w:rPr>
        <w:br/>
        <w:t>Besluit hierbij:</w:t>
      </w:r>
    </w:p>
    <w:p w14:paraId="2BB8CF09"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6BEB670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5 van hoofdstuk II van titel I van boek II van het regelgevend deel (Besluiten van de Raad van State) van het Post en Elektronische Communicatie Wetboek wordt aangevuld met een onderafdeling 10 als volgt:</w:t>
      </w:r>
    </w:p>
    <w:p w14:paraId="40DB904B"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'Onderafdeling 10</w:t>
      </w:r>
      <w:r>
        <w:rPr>
          <w:rFonts w:ascii="Times New Roman" w:hAnsi="Times New Roman"/>
          <w:color w:val="000000"/>
          <w:sz w:val="27"/>
        </w:rPr>
        <w:br/>
        <w:t>Bepalingen met betrekking tot onbemande luchtvaartuigen</w:t>
      </w:r>
    </w:p>
    <w:p w14:paraId="423B5BB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20-29-1.-Onverminderd de regelgeving van de Europese Unie die van toepassing is op onbemande luchtvaartuigen met betrekking tot de luchtvaartveiligheid, zijn de bepalingen van deze onderafdeling van toepassing op dergelijke luchtvaartuigen voor doeleinden van openbare veiligheid.</w:t>
      </w:r>
    </w:p>
    <w:p w14:paraId="7A399C5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20-29-2.-Het doel van het elektronische of digitale signaalinrichting zoals bedoeld in artikel L. 34-9-2, eerste alinea, is het opsporen van de vlucht van onbemande luchtvaartuigen waarvan de massa de in artikel D. 103 bedoelde drempel overschrijdt, en om het aflezen van hun identificatienummer mogelijk te maken.</w:t>
      </w:r>
      <w:r>
        <w:rPr>
          <w:rFonts w:ascii="Times New Roman" w:hAnsi="Times New Roman"/>
          <w:color w:val="000000"/>
          <w:sz w:val="27"/>
        </w:rPr>
        <w:br/>
        <w:t xml:space="preserve">Uitsluitend met het oog op het voorkomen van aanvallen op de staatsveiligheid, de defensie of de openbare veiligheid en het voorkomen, onderzoeken, opsporen of vervolgen van strafbare feiten, mag de door dit toestel </w:t>
      </w:r>
      <w:r>
        <w:rPr>
          <w:rFonts w:ascii="Times New Roman" w:hAnsi="Times New Roman"/>
          <w:color w:val="000000"/>
          <w:sz w:val="27"/>
        </w:rPr>
        <w:lastRenderedPageBreak/>
        <w:t>overgebrachte informatie worden gebruikt door de overheidsdiensten die bijdragen tot de binnenlandse veiligheid en de nationale defensie, om identificatie van de eigenaars van onbemande luchtvaartuigen en de gebruikers ervan mogelijk te maken.</w:t>
      </w:r>
    </w:p>
    <w:p w14:paraId="0F2EDBC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20-29-3.-Het doel van het in artikel L. 34-9-2, eerste lid, bedoelde lichtsignaalinrichting is om tijdens nachtvluchten gemakkelijker onbemande luchtvaartuigen te lokaliseren met een massa die de in artikel D. 103 bedoelde drempelwaarde overschrijdt en om deze te onderscheiden van andere luchtvaartuigen.</w:t>
      </w:r>
    </w:p>
    <w:p w14:paraId="13B1D04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20-29-4.-Een gezamenlijk besluit van de minister van Binnenlandse Zaken en de minister van Elektronische Communicatie specificeert de technische kenmerken van de elektronische of digitale signaalinrichting, de aard en het formaat van de verzonden informatie en de technische kenmerken van de signaalinrichting.</w:t>
      </w:r>
    </w:p>
    <w:p w14:paraId="2790517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20-29-5.-Onbemande luchtvaartuigen zijn vrijgesteld van de verplichting om te zijn uitgerust met een elektronisch of digitaal seintoestel:</w:t>
      </w:r>
      <w:r>
        <w:rPr>
          <w:rFonts w:ascii="Times New Roman" w:hAnsi="Times New Roman"/>
          <w:color w:val="000000"/>
          <w:sz w:val="27"/>
        </w:rPr>
        <w:br/>
        <w:t>1) Bij gebruik voor vrijetijdsdoeleinden en op afstand bestuurd op zich door een piloot op afstand die lid is van een vereniging die is aangesloten bij de federatie die op nationaal niveau is erkend voor luchtvaartmodellering als bedoeld in artikel D. 510-3 van het Wetboek van Burgerluchtvaart, of bij een multisportfederatie, met inbegrip van luchtvaartmodellering, goedgekeurd door de minister bevoegd voor sport op grond van artikel L. 131-8 van het Wetboek van Sport, in een bij besluit vastgesteld activiteitengebied dat het recht op deze vrijstelling verleent en door het luchtvaartinformatiekanaal wordt bekendgemaakt;</w:t>
      </w:r>
      <w:r>
        <w:rPr>
          <w:rFonts w:ascii="Times New Roman" w:hAnsi="Times New Roman"/>
          <w:color w:val="000000"/>
          <w:sz w:val="27"/>
        </w:rPr>
        <w:br/>
        <w:t>2) Bij gebruikt in gesloten en overdekte ruimten;</w:t>
      </w:r>
      <w:r>
        <w:rPr>
          <w:rFonts w:ascii="Times New Roman" w:hAnsi="Times New Roman"/>
          <w:color w:val="000000"/>
          <w:sz w:val="27"/>
        </w:rPr>
        <w:br/>
        <w:t>3) Wanneer zij vallen onder de in artikel L. 6100-1, tweede lid, van het Wetboek van Vervoer bedoelde categorieën van luchtvaartuigen, onverminderd de bepalingen die van toepassing zijn op militaire en overheidsluchtvaartuigen en op luchtvaartuigen die worden gebruikt door de douane of door de diensten voor openbare veiligheid en civiele veiligheid;</w:t>
      </w:r>
      <w:r>
        <w:rPr>
          <w:rFonts w:ascii="Times New Roman" w:hAnsi="Times New Roman"/>
          <w:color w:val="000000"/>
          <w:sz w:val="27"/>
        </w:rPr>
        <w:br/>
        <w:t>4) Wanneer zij niet behoren tot de categorieën van luchtvaartuigen bedoeld in artikel L. 6100-1, tweede lid van het Wetboek van Vervoer, maar worden gebruikt in het kader van douane-, politie- of civiele veiligheidsmissies of de toepassing van een techniek als bedoeld in titel V van boek VIII van het Wetboek Binnenlandse Veiligheid;</w:t>
      </w:r>
      <w:r>
        <w:rPr>
          <w:rFonts w:ascii="Times New Roman" w:hAnsi="Times New Roman"/>
          <w:color w:val="000000"/>
          <w:sz w:val="27"/>
        </w:rPr>
        <w:br/>
        <w:t>5) Wanneer zij worden vervoerd of gesleept vanaf het oppervlak van de grond of het water.</w:t>
      </w:r>
    </w:p>
    <w:p w14:paraId="66913C7B"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Artikel R. 20-29-6.-Onbemande luchtvaartuigen zijn vrijgesteld van de verplichting om te zijn uitgerust met een lichtsignaalinrichting:</w:t>
      </w:r>
      <w:r>
        <w:rPr>
          <w:rFonts w:ascii="Times New Roman" w:hAnsi="Times New Roman"/>
          <w:color w:val="000000"/>
          <w:sz w:val="27"/>
        </w:rPr>
        <w:br/>
        <w:t>1) In de in artikel R. 20-29-5, punten 1 tot en met 5, bedoelde gevallen;</w:t>
      </w:r>
      <w:r>
        <w:rPr>
          <w:rFonts w:ascii="Times New Roman" w:hAnsi="Times New Roman"/>
          <w:color w:val="000000"/>
          <w:sz w:val="27"/>
        </w:rPr>
        <w:br/>
        <w:t>2) Bij het vliegen tussen zonsopgang en zonsondergang;</w:t>
      </w:r>
      <w:r>
        <w:rPr>
          <w:rFonts w:ascii="Times New Roman" w:hAnsi="Times New Roman"/>
          <w:color w:val="000000"/>
          <w:sz w:val="27"/>
        </w:rPr>
        <w:br/>
        <w:t>3) Bij het uitvoeren van experimentele vluchten met het oog op testen of inspectie onder de voorwaarden die zijn vastgesteld door de minister die bevoegd is voor de burgerluchtvaart.</w:t>
      </w:r>
    </w:p>
    <w:p w14:paraId="6CCA321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20-29-7.-Het onderstaande wordt bestraft met de boete aangegeven voor klasse 4 overtredingen:</w:t>
      </w:r>
      <w:r>
        <w:rPr>
          <w:rFonts w:ascii="Times New Roman" w:hAnsi="Times New Roman"/>
          <w:color w:val="000000"/>
          <w:sz w:val="27"/>
        </w:rPr>
        <w:br/>
        <w:t>1) De exploitatie van onbemande luchtvaartuigen bij afwezigheid van elektronische of digitale signaalinrichting als bedoeld in het eerste lid van artikel L. 34-9-2 of bij afwezigheid van functionerende elektronische of digitale signaalinrichting;</w:t>
      </w:r>
      <w:r>
        <w:rPr>
          <w:rFonts w:ascii="Times New Roman" w:hAnsi="Times New Roman"/>
          <w:color w:val="000000"/>
          <w:sz w:val="27"/>
        </w:rPr>
        <w:br/>
        <w:t>2) De exploitatie van onbemande luchtvaartuigen bij afwezigheid van een lichtsignaalinrichting als bedoeld in het eerste lid van artikel L.34-9-2 of bij afwezigheid van een functionerende lichtsignaalinrichting.</w:t>
      </w:r>
      <w:r>
        <w:rPr>
          <w:rFonts w:ascii="Times New Roman" w:hAnsi="Times New Roman"/>
          <w:color w:val="000000"/>
          <w:sz w:val="27"/>
        </w:rPr>
        <w:br/>
        <w:t>De eigenaar van een onbemand luchtvaartuig is aansprakelijk voor het betalen van de boete voor de in (1) en (2) genoemde strafbare feiten, tenzij hij of zij het bestaan van een vlucht of een gebeurtenis van "overmacht" of al het bewijs leveren om vast te stellen dat hij of zij niet de echte dader van het strafbare feit is.</w:t>
      </w:r>
    </w:p>
    <w:p w14:paraId="23F1974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20-29-8.-De vrijwillige afgifte van een elektronisch of digitaal signaal als bedoeld in artikel L. 34-9-2, eerste lid, wordt bestraft met de boete voor overtredingen van klasse 5, als het niet afkomstig is van een onbemand luchtvaartuig dat is ingeschreven in het register als bedoeld in artikel R. 124-2 van het Wetboek van Burgerluchtvaart of niet overeenkomt met een daadwerkelijke vlucht, die op het moment van afgifte van het elektronische of digitale signaal wordt uitgevoerd.</w:t>
      </w:r>
    </w:p>
    <w:p w14:paraId="0644FAF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20-29-9.-Elke persoon die zich schuldig heeft gemaakt aan de in de artikelen R. 20-29-7 en R. 20-29-8 bedoelde strafbare feiten, is tevens onderworpen aan de bijkomende straf van confiscatie van het voorwerp dat voor het plegen van het strafbare feit is gebruikt.</w:t>
      </w:r>
    </w:p>
    <w:p w14:paraId="1F5CF22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20-29-10.-Artikelen R. 20-29-1 tot en met R. 20-29-9 zijn van toepassing op de eilanden Wallis en Futuna, in Frans-Polynesië en in de Franse Zuidelijke en Antarctische Gebieden.'</w:t>
      </w:r>
    </w:p>
    <w:p w14:paraId="4BC3B2BD"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2</w:t>
      </w:r>
    </w:p>
    <w:p w14:paraId="2DACE94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48-1 van het Wetboek van Strafrecht wordt aangevuld met een lid dat als volgt luidt:</w:t>
      </w:r>
      <w:r>
        <w:rPr>
          <w:rFonts w:ascii="Times New Roman" w:hAnsi="Times New Roman"/>
          <w:color w:val="000000"/>
          <w:sz w:val="27"/>
        </w:rPr>
        <w:br/>
        <w:t>'14) Overeenkomsten die strafbaar zijn gesteld op grond van artikel R. 20-29-7 van het Post en Elektronische Communicatie Wetboek'.</w:t>
      </w:r>
    </w:p>
    <w:p w14:paraId="5D7F3DB6"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756F49E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Hoofdstuk II van titel I van boek II van het regelgevende gedeelte (eenvoudige decreten) van het wetboek post en elektronische communicatie wordt aangevuld met een sectie 6 die als volgt komt te luiden:</w:t>
      </w:r>
    </w:p>
    <w:p w14:paraId="49740EF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„Sectie 6</w:t>
      </w:r>
      <w:r>
        <w:rPr>
          <w:rFonts w:ascii="Times New Roman" w:hAnsi="Times New Roman"/>
          <w:color w:val="000000"/>
          <w:sz w:val="27"/>
        </w:rPr>
        <w:br/>
        <w:t>Eindapparatuur voor elektronische communicatie en radioapparatuur</w:t>
      </w:r>
    </w:p>
    <w:p w14:paraId="047016E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D. 103.-De gewichtsdrempel vermeld in de artikelen L. 34-9-2, R. 20-29-2 en R. 20-29-3 is vastgesteld op 800 gram.</w:t>
      </w:r>
    </w:p>
    <w:p w14:paraId="5B2B02E4"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D. 103-1.-De bepalingen van artikel D. 103 zijn van toepassing op de Wallis en Futuna-eilanden, Frans-Polynesië en in de Franse Zuidelijke en Antarctische Gebieden.'</w:t>
      </w:r>
    </w:p>
    <w:p w14:paraId="1C1ACB68"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4AFA21C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Dit Besluit treedt zes maanden na de publicatie ervan in werking.</w:t>
      </w:r>
      <w:r>
        <w:rPr>
          <w:rFonts w:ascii="Times New Roman" w:hAnsi="Times New Roman"/>
          <w:color w:val="000000"/>
          <w:sz w:val="27"/>
        </w:rPr>
        <w:br/>
        <w:t>Twaalf maanden na de bekendmaking van dit besluit treden evenwel in werking:</w:t>
      </w:r>
      <w:r>
        <w:rPr>
          <w:rFonts w:ascii="Times New Roman" w:hAnsi="Times New Roman"/>
          <w:color w:val="000000"/>
          <w:sz w:val="27"/>
        </w:rPr>
        <w:br/>
        <w:t>1) De bepalingen van dit Besluit voor luchtvaartuigen die opereren zonder een persoon aan boord die is geregistreerd in overeenstemming met afdeling L. 6111-1 van het Wetboek van Transport vóór de in het eerste lid bedoelde datum van inwerkingtreding;</w:t>
      </w:r>
      <w:r>
        <w:rPr>
          <w:rFonts w:ascii="Times New Roman" w:hAnsi="Times New Roman"/>
          <w:color w:val="000000"/>
          <w:sz w:val="27"/>
        </w:rPr>
        <w:br/>
        <w:t>2) De bepalingen van de artikelen R. 20-29-7 en R. 20-29-8 van het Post en Elektronische Communicatie Wetboek en van artikel R. 48-1, punt 14, van het Wetboek van Strafrecht.</w:t>
      </w:r>
      <w:r>
        <w:rPr>
          <w:rFonts w:ascii="Times New Roman" w:hAnsi="Times New Roman"/>
          <w:color w:val="000000"/>
          <w:sz w:val="27"/>
        </w:rPr>
        <w:br/>
        <w:t>De bepalingen van onderhavig artikel zijn van toepassing in Frans-Polynesië, op de eilanden Wallis en Futuna en in de Franse Zuidelijke en Antarctische Gebieden.</w:t>
      </w:r>
    </w:p>
    <w:p w14:paraId="78EFD18C"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5</w:t>
      </w:r>
    </w:p>
    <w:p w14:paraId="2346CF6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 Zegelbewaarder, de minister van Justitie, de minister van Ecologische en Inclusieve Transitie, de minister van Economische Zaken en Financiën, de minister van Binnenlandse Zaken, de minister van Overzeese Zaken en de Staatssecretaris van de minister van Ecologische en Inclusieve Transitie, belast met transport, zijn elk wat hen betreft, verantwoordelijk voor de uitvoering van dit Besluit dat in het Staatsblad van de Franse Republiek zal worden bekendgemaakt.</w:t>
      </w:r>
    </w:p>
    <w:p w14:paraId="6E8FCA2E"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Gedaan op 30 oktober 2019.</w:t>
      </w:r>
    </w:p>
    <w:p w14:paraId="1D4C3B2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Door de Minister-president:</w:t>
      </w:r>
      <w:r>
        <w:rPr>
          <w:rFonts w:ascii="Times New Roman" w:hAnsi="Times New Roman"/>
          <w:color w:val="000000"/>
          <w:sz w:val="27"/>
        </w:rPr>
        <w:br/>
        <w:t>Edouard Philippe</w:t>
      </w:r>
    </w:p>
    <w:p w14:paraId="10860523" w14:textId="4AD4B08D"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Economie en Financiën,</w:t>
      </w:r>
      <w:r>
        <w:rPr>
          <w:rFonts w:ascii="Times New Roman" w:hAnsi="Times New Roman"/>
          <w:color w:val="000000"/>
          <w:sz w:val="27"/>
        </w:rPr>
        <w:br/>
      </w:r>
      <w:r w:rsidR="00C037F7">
        <w:rPr>
          <w:rFonts w:ascii="Times New Roman" w:eastAsia="Times New Roman" w:hAnsi="Times New Roman" w:cs="Times New Roman"/>
          <w:color w:val="000000"/>
          <w:sz w:val="27"/>
          <w:szCs w:val="27"/>
          <w:lang w:eastAsia="fr-FR"/>
        </w:rPr>
        <w:t>Bruno Le Maire</w:t>
      </w:r>
    </w:p>
    <w:p w14:paraId="007FCB83"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bewaarder van de zegels, de minister van Justitie,</w:t>
      </w:r>
      <w:r>
        <w:rPr>
          <w:rFonts w:ascii="Times New Roman" w:hAnsi="Times New Roman"/>
          <w:color w:val="000000"/>
          <w:sz w:val="27"/>
        </w:rPr>
        <w:br/>
        <w:t>Nicole Belloubet</w:t>
      </w:r>
    </w:p>
    <w:p w14:paraId="41AF121E"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Ecologische en Inclusieve Transitie,</w:t>
      </w:r>
      <w:r>
        <w:rPr>
          <w:rFonts w:ascii="Times New Roman" w:hAnsi="Times New Roman"/>
          <w:color w:val="000000"/>
          <w:sz w:val="27"/>
        </w:rPr>
        <w:br/>
        <w:t>Elisabeth Borne</w:t>
      </w:r>
    </w:p>
    <w:p w14:paraId="7456E535" w14:textId="6B666E02"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Binnenlandse Zaken,</w:t>
      </w:r>
      <w:r>
        <w:rPr>
          <w:rFonts w:ascii="Times New Roman" w:hAnsi="Times New Roman"/>
          <w:color w:val="000000"/>
          <w:sz w:val="27"/>
        </w:rPr>
        <w:br/>
        <w:t xml:space="preserve">Christophe </w:t>
      </w:r>
      <w:r w:rsidR="00F37CBB">
        <w:rPr>
          <w:rFonts w:ascii="Times New Roman" w:hAnsi="Times New Roman"/>
          <w:color w:val="000000"/>
          <w:sz w:val="27"/>
        </w:rPr>
        <w:t>Castaner</w:t>
      </w:r>
    </w:p>
    <w:p w14:paraId="44A42587" w14:textId="4FA91C8D"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minister van Overzeese Zaken,</w:t>
      </w:r>
      <w:r>
        <w:rPr>
          <w:rFonts w:ascii="Times New Roman" w:hAnsi="Times New Roman"/>
          <w:color w:val="000000"/>
          <w:sz w:val="27"/>
        </w:rPr>
        <w:br/>
        <w:t>Annick G</w:t>
      </w:r>
      <w:r w:rsidR="00F37CBB">
        <w:rPr>
          <w:rFonts w:ascii="Times New Roman" w:hAnsi="Times New Roman"/>
          <w:color w:val="000000"/>
          <w:sz w:val="27"/>
        </w:rPr>
        <w:t>irardin</w:t>
      </w:r>
    </w:p>
    <w:p w14:paraId="68408EDF" w14:textId="5903F5B6"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 staatssecretaris, toegevoegd aan de minister van Ecologische en Inclusieve Transitie, verantwoordelijk voor transport,</w:t>
      </w:r>
      <w:r>
        <w:rPr>
          <w:rFonts w:ascii="Times New Roman" w:hAnsi="Times New Roman"/>
          <w:color w:val="000000"/>
          <w:sz w:val="27"/>
        </w:rPr>
        <w:br/>
        <w:t>Jean-Baptiste D</w:t>
      </w:r>
      <w:r w:rsidR="00F37CBB">
        <w:rPr>
          <w:rFonts w:ascii="Times New Roman" w:hAnsi="Times New Roman"/>
          <w:color w:val="000000"/>
          <w:sz w:val="27"/>
        </w:rPr>
        <w:t>jebbari</w:t>
      </w:r>
    </w:p>
    <w:p w14:paraId="0FB5F142"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C037F7"/>
    <w:rsid w:val="00F37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0159"/>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1847</Words>
  <Characters>10533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3</cp:revision>
  <dcterms:created xsi:type="dcterms:W3CDTF">2021-08-20T12:39:00Z</dcterms:created>
  <dcterms:modified xsi:type="dcterms:W3CDTF">2021-12-13T11:16:00Z</dcterms:modified>
</cp:coreProperties>
</file>