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76E8AE7" w14:textId="77777777" w:rsidR="00A67A13" w:rsidRPr="00A67A13" w:rsidRDefault="00A67A13" w:rsidP="00A67A13">
      <w:pPr>
        <w:pBdr>
          <w:bottom w:val="single" w:sz="6" w:space="1" w:color="auto"/>
        </w:pBdr>
        <w:spacing w:after="0" w:line="240" w:lineRule="auto"/>
        <w:jc w:val="center"/>
        <w:rPr>
          <w:rFonts w:ascii="Arial" w:eastAsia="Times New Roman" w:hAnsi="Arial" w:cs="Arial"/>
          <w:vanish/>
          <w:sz w:val="16"/>
          <w:szCs w:val="16"/>
        </w:rPr>
      </w:pPr>
      <w:r>
        <w:rPr>
          <w:rFonts w:ascii="Arial" w:hAnsi="Arial"/>
          <w:vanish/>
          <w:sz w:val="16"/>
          <w:lang w:eastAsia="fr-BE"/>
        </w:rPr>
        <w:t>Haut du formulaire</w:t>
      </w:r>
    </w:p>
    <w:p w14:paraId="26D39E54" w14:textId="77777777" w:rsidR="00A67A13" w:rsidRPr="00A67A13" w:rsidRDefault="00A67A13" w:rsidP="00A67A13">
      <w:pPr>
        <w:pBdr>
          <w:top w:val="single" w:sz="6" w:space="1" w:color="auto"/>
        </w:pBdr>
        <w:spacing w:after="0" w:line="240" w:lineRule="auto"/>
        <w:jc w:val="center"/>
        <w:rPr>
          <w:rFonts w:ascii="Arial" w:eastAsia="Times New Roman" w:hAnsi="Arial" w:cs="Arial"/>
          <w:vanish/>
          <w:sz w:val="16"/>
          <w:szCs w:val="16"/>
        </w:rPr>
      </w:pPr>
      <w:r>
        <w:rPr>
          <w:rFonts w:ascii="Arial" w:hAnsi="Arial"/>
          <w:vanish/>
          <w:sz w:val="16"/>
          <w:lang w:eastAsia="fr-BE"/>
        </w:rPr>
        <w:t>Bas du formulaire</w:t>
      </w:r>
    </w:p>
    <w:p w14:paraId="1F6DD143" w14:textId="77777777" w:rsidR="00A67A13" w:rsidRPr="00A67A13" w:rsidRDefault="00A67A13" w:rsidP="00A67A13">
      <w:pPr>
        <w:spacing w:after="0" w:line="240" w:lineRule="auto"/>
        <w:rPr>
          <w:rFonts w:ascii="Times New Roman" w:eastAsia="Times New Roman" w:hAnsi="Times New Roman" w:cs="Times New Roman"/>
          <w:sz w:val="24"/>
          <w:szCs w:val="24"/>
        </w:rPr>
      </w:pPr>
      <w:r>
        <w:rPr>
          <w:rFonts w:ascii="Times New Roman" w:hAnsi="Times New Roman"/>
          <w:b/>
          <w:color w:val="000000"/>
          <w:sz w:val="27"/>
        </w:rPr>
        <w:t>ELI – System nawigacyjny wykorzystujący identyfikator europejskiego prawodawstwa</w:t>
      </w:r>
      <w:r>
        <w:rPr>
          <w:rFonts w:ascii="Times New Roman" w:hAnsi="Times New Roman"/>
          <w:color w:val="000000"/>
          <w:sz w:val="27"/>
        </w:rPr>
        <w:br/>
        <w:t>http://www.ejustice.just.fgov.be/eli/arrete/2023/01/19/2023030395/moniteur</w:t>
      </w:r>
      <w:bookmarkStart w:id="0" w:name="top"/>
      <w:bookmarkStart w:id="1" w:name="hit0"/>
      <w:bookmarkEnd w:id="0"/>
      <w:bookmarkEnd w:id="1"/>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1809"/>
        <w:gridCol w:w="118"/>
        <w:gridCol w:w="1793"/>
        <w:gridCol w:w="1793"/>
        <w:gridCol w:w="118"/>
        <w:gridCol w:w="3395"/>
      </w:tblGrid>
      <w:tr w:rsidR="00A67A13" w:rsidRPr="00A67A13" w14:paraId="236EE91A" w14:textId="77777777" w:rsidTr="00A67A13">
        <w:trPr>
          <w:tblCellSpacing w:w="15" w:type="dxa"/>
        </w:trPr>
        <w:tc>
          <w:tcPr>
            <w:tcW w:w="1000" w:type="pct"/>
            <w:vAlign w:val="center"/>
            <w:hideMark/>
          </w:tcPr>
          <w:p w14:paraId="5301BB86" w14:textId="77777777" w:rsidR="00A67A13" w:rsidRPr="00A67A13" w:rsidRDefault="00000000" w:rsidP="00A67A13">
            <w:pPr>
              <w:spacing w:after="0" w:line="240" w:lineRule="auto"/>
              <w:jc w:val="center"/>
              <w:rPr>
                <w:rFonts w:ascii="Times New Roman" w:eastAsia="Times New Roman" w:hAnsi="Times New Roman" w:cs="Times New Roman"/>
                <w:sz w:val="24"/>
                <w:szCs w:val="24"/>
              </w:rPr>
            </w:pPr>
            <w:hyperlink r:id="rId4" w:anchor="koniec" w:tgtFrame="_self" w:history="1">
              <w:r>
                <w:rPr>
                  <w:rFonts w:ascii="Times New Roman" w:hAnsi="Times New Roman"/>
                  <w:color w:val="0000FF"/>
                  <w:sz w:val="24"/>
                  <w:u w:val="single"/>
                </w:rPr>
                <w:t>koniec</w:t>
              </w:r>
            </w:hyperlink>
          </w:p>
        </w:tc>
        <w:tc>
          <w:tcPr>
            <w:tcW w:w="50" w:type="pct"/>
            <w:vAlign w:val="center"/>
            <w:hideMark/>
          </w:tcPr>
          <w:p w14:paraId="0483E8C3" w14:textId="77777777" w:rsidR="00A67A13" w:rsidRPr="00A67A13" w:rsidRDefault="00A67A13" w:rsidP="00A67A13">
            <w:pPr>
              <w:spacing w:after="0" w:line="240" w:lineRule="auto"/>
              <w:jc w:val="center"/>
              <w:rPr>
                <w:rFonts w:ascii="Times New Roman" w:eastAsia="Times New Roman" w:hAnsi="Times New Roman" w:cs="Times New Roman"/>
                <w:sz w:val="24"/>
                <w:szCs w:val="24"/>
                <w:lang w:eastAsia="fr-BE"/>
              </w:rPr>
            </w:pPr>
          </w:p>
        </w:tc>
        <w:tc>
          <w:tcPr>
            <w:tcW w:w="1000" w:type="pct"/>
            <w:vAlign w:val="center"/>
            <w:hideMark/>
          </w:tcPr>
          <w:p w14:paraId="53853597" w14:textId="77777777" w:rsidR="00A67A13" w:rsidRPr="00A67A13" w:rsidRDefault="00000000" w:rsidP="00A67A13">
            <w:pPr>
              <w:spacing w:after="0" w:line="240" w:lineRule="auto"/>
              <w:jc w:val="center"/>
              <w:rPr>
                <w:rFonts w:ascii="Times New Roman" w:eastAsia="Times New Roman" w:hAnsi="Times New Roman" w:cs="Times New Roman"/>
                <w:sz w:val="24"/>
                <w:szCs w:val="24"/>
              </w:rPr>
            </w:pPr>
            <w:hyperlink r:id="rId5" w:anchor="hit1" w:tgtFrame="_self" w:history="1">
              <w:r>
                <w:rPr>
                  <w:rFonts w:ascii="Times New Roman" w:hAnsi="Times New Roman"/>
                  <w:color w:val="0000FF"/>
                  <w:sz w:val="24"/>
                  <w:u w:val="single"/>
                </w:rPr>
                <w:t>pierwsze słowo</w:t>
              </w:r>
            </w:hyperlink>
          </w:p>
        </w:tc>
        <w:tc>
          <w:tcPr>
            <w:tcW w:w="1000" w:type="pct"/>
            <w:vAlign w:val="center"/>
            <w:hideMark/>
          </w:tcPr>
          <w:p w14:paraId="3865B6E6" w14:textId="77777777" w:rsidR="00A67A13" w:rsidRPr="00A67A13" w:rsidRDefault="00000000" w:rsidP="00A67A13">
            <w:pPr>
              <w:spacing w:after="0" w:line="240" w:lineRule="auto"/>
              <w:jc w:val="center"/>
              <w:rPr>
                <w:rFonts w:ascii="Times New Roman" w:eastAsia="Times New Roman" w:hAnsi="Times New Roman" w:cs="Times New Roman"/>
                <w:sz w:val="24"/>
                <w:szCs w:val="24"/>
              </w:rPr>
            </w:pPr>
            <w:hyperlink r:id="rId6" w:anchor="koniec" w:tgtFrame="_self" w:history="1">
              <w:r>
                <w:rPr>
                  <w:rFonts w:ascii="Times New Roman" w:hAnsi="Times New Roman"/>
                  <w:color w:val="0000FF"/>
                  <w:sz w:val="24"/>
                  <w:u w:val="single"/>
                </w:rPr>
                <w:t>ostatnie słowo</w:t>
              </w:r>
            </w:hyperlink>
          </w:p>
        </w:tc>
        <w:tc>
          <w:tcPr>
            <w:tcW w:w="50" w:type="pct"/>
            <w:vAlign w:val="center"/>
            <w:hideMark/>
          </w:tcPr>
          <w:p w14:paraId="3126759D" w14:textId="77777777" w:rsidR="00A67A13" w:rsidRPr="00A67A13" w:rsidRDefault="00A67A13" w:rsidP="00A67A13">
            <w:pPr>
              <w:spacing w:after="0" w:line="240" w:lineRule="auto"/>
              <w:jc w:val="center"/>
              <w:rPr>
                <w:rFonts w:ascii="Times New Roman" w:eastAsia="Times New Roman" w:hAnsi="Times New Roman" w:cs="Times New Roman"/>
                <w:sz w:val="24"/>
                <w:szCs w:val="24"/>
                <w:lang w:eastAsia="fr-BE"/>
              </w:rPr>
            </w:pPr>
          </w:p>
        </w:tc>
        <w:tc>
          <w:tcPr>
            <w:tcW w:w="1900" w:type="pct"/>
            <w:vAlign w:val="center"/>
            <w:hideMark/>
          </w:tcPr>
          <w:p w14:paraId="2B7ADCA1" w14:textId="77777777" w:rsidR="00A67A13" w:rsidRPr="00A67A13" w:rsidRDefault="00A67A13" w:rsidP="00A67A13">
            <w:pPr>
              <w:spacing w:before="100" w:beforeAutospacing="1" w:after="100" w:afterAutospacing="1" w:line="240" w:lineRule="auto"/>
              <w:jc w:val="center"/>
              <w:outlineLvl w:val="2"/>
              <w:rPr>
                <w:rFonts w:ascii="Times New Roman" w:eastAsia="Times New Roman" w:hAnsi="Times New Roman" w:cs="Times New Roman"/>
                <w:b/>
                <w:bCs/>
                <w:sz w:val="27"/>
                <w:szCs w:val="27"/>
              </w:rPr>
            </w:pPr>
            <w:r>
              <w:rPr>
                <w:rFonts w:ascii="Times New Roman" w:hAnsi="Times New Roman"/>
                <w:b/>
                <w:color w:val="FF0000"/>
                <w:sz w:val="27"/>
              </w:rPr>
              <w:t>Opublikowano dnia: 20 stycznia 2023 r.</w:t>
            </w:r>
            <w:r>
              <w:rPr>
                <w:rFonts w:ascii="Times New Roman" w:hAnsi="Times New Roman"/>
                <w:b/>
                <w:color w:val="FF0000"/>
                <w:sz w:val="27"/>
              </w:rPr>
              <w:br/>
              <w:t>Numac: 2023030395</w:t>
            </w:r>
          </w:p>
        </w:tc>
      </w:tr>
    </w:tbl>
    <w:p w14:paraId="70F15166" w14:textId="77777777" w:rsidR="00A67A13" w:rsidRPr="00A67A13" w:rsidRDefault="00A67A13" w:rsidP="00A67A13">
      <w:pPr>
        <w:spacing w:after="0" w:line="240" w:lineRule="auto"/>
        <w:jc w:val="center"/>
        <w:rPr>
          <w:rFonts w:ascii="Times New Roman" w:eastAsia="Times New Roman" w:hAnsi="Times New Roman" w:cs="Times New Roman"/>
          <w:vanish/>
          <w:color w:val="000000"/>
          <w:sz w:val="27"/>
          <w:szCs w:val="27"/>
          <w:lang w:eastAsia="fr-BE"/>
        </w:rPr>
      </w:pPr>
    </w:p>
    <w:tbl>
      <w:tblPr>
        <w:tblW w:w="0" w:type="auto"/>
        <w:jc w:val="center"/>
        <w:tblCellSpacing w:w="15" w:type="dxa"/>
        <w:tblCellMar>
          <w:top w:w="15" w:type="dxa"/>
          <w:left w:w="15" w:type="dxa"/>
          <w:bottom w:w="15" w:type="dxa"/>
          <w:right w:w="15" w:type="dxa"/>
        </w:tblCellMar>
        <w:tblLook w:val="04A0" w:firstRow="1" w:lastRow="0" w:firstColumn="1" w:lastColumn="0" w:noHBand="0" w:noVBand="1"/>
      </w:tblPr>
      <w:tblGrid>
        <w:gridCol w:w="7483"/>
      </w:tblGrid>
      <w:tr w:rsidR="00A67A13" w:rsidRPr="00A67A13" w14:paraId="6C8CF2E4" w14:textId="77777777" w:rsidTr="00A67A13">
        <w:trPr>
          <w:tblCellSpacing w:w="15" w:type="dxa"/>
          <w:jc w:val="center"/>
        </w:trPr>
        <w:tc>
          <w:tcPr>
            <w:tcW w:w="5000" w:type="pct"/>
            <w:vAlign w:val="center"/>
            <w:hideMark/>
          </w:tcPr>
          <w:p w14:paraId="74CCB6C7" w14:textId="77777777" w:rsidR="00A67A13" w:rsidRPr="00A67A13" w:rsidRDefault="00A67A13" w:rsidP="00A67A13">
            <w:pPr>
              <w:spacing w:after="0" w:line="240" w:lineRule="auto"/>
              <w:jc w:val="center"/>
              <w:rPr>
                <w:rFonts w:ascii="Times New Roman" w:eastAsia="Times New Roman" w:hAnsi="Times New Roman" w:cs="Times New Roman"/>
                <w:sz w:val="24"/>
                <w:szCs w:val="24"/>
              </w:rPr>
            </w:pPr>
            <w:r>
              <w:rPr>
                <w:rFonts w:ascii="Times New Roman" w:hAnsi="Times New Roman"/>
                <w:sz w:val="24"/>
              </w:rPr>
              <w:t>FEDERALNA AGENCJA DS. LEKÓW I PRODUKTÓW LECZNICZYCH</w:t>
            </w:r>
          </w:p>
        </w:tc>
      </w:tr>
    </w:tbl>
    <w:p w14:paraId="764F05BE" w14:textId="77777777" w:rsidR="00A67A13" w:rsidRPr="00A67A13" w:rsidRDefault="00A67A13" w:rsidP="00A67A13">
      <w:pPr>
        <w:spacing w:before="100" w:beforeAutospacing="1" w:after="100" w:afterAutospacing="1" w:line="240" w:lineRule="auto"/>
        <w:jc w:val="center"/>
        <w:outlineLvl w:val="2"/>
        <w:rPr>
          <w:rFonts w:ascii="Times New Roman" w:eastAsia="Times New Roman" w:hAnsi="Times New Roman" w:cs="Times New Roman"/>
          <w:b/>
          <w:bCs/>
          <w:color w:val="000000"/>
          <w:sz w:val="27"/>
          <w:szCs w:val="27"/>
        </w:rPr>
      </w:pPr>
      <w:r>
        <w:rPr>
          <w:rFonts w:ascii="Times New Roman" w:hAnsi="Times New Roman"/>
          <w:b/>
          <w:color w:val="000000"/>
          <w:sz w:val="27"/>
          <w:u w:val="single"/>
        </w:rPr>
        <w:t>19 stycznia 2023 r. - Dekret królewski w sprawie wykonania art. 12f ust. 2 ustawy z dnia 25 marca 1964 r. o lekach</w:t>
      </w:r>
    </w:p>
    <w:p w14:paraId="090B8F50" w14:textId="77777777" w:rsidR="00A67A13" w:rsidRDefault="00A67A13" w:rsidP="00A67A13">
      <w:pPr>
        <w:spacing w:after="0" w:line="240" w:lineRule="auto"/>
        <w:rPr>
          <w:rFonts w:ascii="Times New Roman" w:eastAsia="Times New Roman" w:hAnsi="Times New Roman" w:cs="Times New Roman"/>
          <w:color w:val="000000"/>
          <w:sz w:val="27"/>
          <w:szCs w:val="27"/>
        </w:rPr>
      </w:pPr>
      <w:r>
        <w:rPr>
          <w:rFonts w:ascii="Times New Roman" w:hAnsi="Times New Roman"/>
          <w:color w:val="000000"/>
          <w:sz w:val="27"/>
        </w:rPr>
        <w:br/>
        <w:t>FILIP, król Belgów,</w:t>
      </w:r>
    </w:p>
    <w:p w14:paraId="6FC6037A" w14:textId="77777777" w:rsidR="00A67A13" w:rsidRDefault="00A67A13" w:rsidP="00A67A13">
      <w:pPr>
        <w:spacing w:after="0" w:line="240" w:lineRule="auto"/>
        <w:rPr>
          <w:rFonts w:ascii="Times New Roman" w:eastAsia="Times New Roman" w:hAnsi="Times New Roman" w:cs="Times New Roman"/>
          <w:color w:val="000000"/>
          <w:sz w:val="27"/>
          <w:szCs w:val="27"/>
        </w:rPr>
      </w:pPr>
      <w:r>
        <w:rPr>
          <w:rFonts w:ascii="Times New Roman" w:hAnsi="Times New Roman"/>
          <w:color w:val="000000"/>
          <w:sz w:val="27"/>
        </w:rPr>
        <w:br/>
        <w:t>do wszystkich obecnych i przyszłych obywateli, z pozdrowieniem.</w:t>
      </w:r>
    </w:p>
    <w:p w14:paraId="47148980" w14:textId="77777777" w:rsidR="00A67A13" w:rsidRDefault="00A67A13" w:rsidP="00A67A13">
      <w:pPr>
        <w:spacing w:after="0" w:line="240" w:lineRule="auto"/>
        <w:rPr>
          <w:rFonts w:ascii="Times New Roman" w:eastAsia="Times New Roman" w:hAnsi="Times New Roman" w:cs="Times New Roman"/>
          <w:color w:val="000000"/>
          <w:sz w:val="27"/>
          <w:szCs w:val="27"/>
        </w:rPr>
      </w:pPr>
      <w:r>
        <w:rPr>
          <w:rFonts w:ascii="Times New Roman" w:hAnsi="Times New Roman"/>
          <w:color w:val="000000"/>
          <w:sz w:val="27"/>
        </w:rPr>
        <w:br/>
        <w:t>Uwzględniając art. 12f ust. 2 ustawy z dnia 25 marca 1964 r. o lekach stosowanych u ludzi, wprowadzony ustawą z dnia 20 grudnia 2019 r.,</w:t>
      </w:r>
    </w:p>
    <w:p w14:paraId="651A80D2" w14:textId="77777777" w:rsidR="00A67A13" w:rsidRDefault="00A67A13" w:rsidP="00A67A13">
      <w:pPr>
        <w:spacing w:after="0" w:line="240" w:lineRule="auto"/>
        <w:rPr>
          <w:rFonts w:ascii="Times New Roman" w:eastAsia="Times New Roman" w:hAnsi="Times New Roman" w:cs="Times New Roman"/>
          <w:color w:val="000000"/>
          <w:sz w:val="27"/>
          <w:szCs w:val="27"/>
        </w:rPr>
      </w:pPr>
      <w:r>
        <w:rPr>
          <w:rFonts w:ascii="Times New Roman" w:hAnsi="Times New Roman"/>
          <w:color w:val="000000"/>
          <w:sz w:val="27"/>
        </w:rPr>
        <w:br/>
        <w:t>uwzględniając powiadomienie z dnia 10 czerwca 2022 r skierowane do Komisji Europejskiej zgodnie z art. 5 ust. 1 dyrektywy (UE) 2015/1535 Parlamentu Europejskiego i Rady z dnia 9 września 2015 r. ustanawiającej procedurę udzielania informacji w dziedzinie przepisów technicznych oraz zasad dotyczących usług społeczeństwa informacyjnego,</w:t>
      </w:r>
    </w:p>
    <w:p w14:paraId="0301B281" w14:textId="77777777" w:rsidR="00A67A13" w:rsidRDefault="00A67A13" w:rsidP="00A67A13">
      <w:pPr>
        <w:spacing w:after="0" w:line="240" w:lineRule="auto"/>
        <w:rPr>
          <w:rFonts w:ascii="Times New Roman" w:eastAsia="Times New Roman" w:hAnsi="Times New Roman" w:cs="Times New Roman"/>
          <w:color w:val="000000"/>
          <w:sz w:val="27"/>
          <w:szCs w:val="27"/>
        </w:rPr>
      </w:pPr>
      <w:r>
        <w:rPr>
          <w:rFonts w:ascii="Times New Roman" w:hAnsi="Times New Roman"/>
          <w:color w:val="000000"/>
          <w:sz w:val="27"/>
        </w:rPr>
        <w:br/>
        <w:t>uwzględniając opinię Inspektora Finansów wydaną dnia 22 września 2022 r.,</w:t>
      </w:r>
    </w:p>
    <w:p w14:paraId="2423E8D4" w14:textId="77777777" w:rsidR="00A67A13" w:rsidRDefault="00A67A13" w:rsidP="00A67A13">
      <w:pPr>
        <w:spacing w:after="0" w:line="240" w:lineRule="auto"/>
        <w:rPr>
          <w:rFonts w:ascii="Times New Roman" w:eastAsia="Times New Roman" w:hAnsi="Times New Roman" w:cs="Times New Roman"/>
          <w:color w:val="000000"/>
          <w:sz w:val="27"/>
          <w:szCs w:val="27"/>
        </w:rPr>
      </w:pPr>
      <w:r>
        <w:rPr>
          <w:rFonts w:ascii="Times New Roman" w:hAnsi="Times New Roman"/>
          <w:color w:val="000000"/>
          <w:sz w:val="27"/>
        </w:rPr>
        <w:br/>
        <w:t>uwzględniając zgodę Sekretarza Stanu ds. Budżetu wydaną dnia 20 października 2022 r.,</w:t>
      </w:r>
    </w:p>
    <w:p w14:paraId="1410F414" w14:textId="77777777" w:rsidR="00A67A13" w:rsidRDefault="00A67A13" w:rsidP="00A67A13">
      <w:pPr>
        <w:spacing w:after="0" w:line="240" w:lineRule="auto"/>
        <w:rPr>
          <w:rFonts w:ascii="Times New Roman" w:eastAsia="Times New Roman" w:hAnsi="Times New Roman" w:cs="Times New Roman"/>
          <w:color w:val="000000"/>
          <w:sz w:val="27"/>
          <w:szCs w:val="27"/>
        </w:rPr>
      </w:pPr>
      <w:r>
        <w:rPr>
          <w:rFonts w:ascii="Times New Roman" w:hAnsi="Times New Roman"/>
          <w:color w:val="000000"/>
          <w:sz w:val="27"/>
        </w:rPr>
        <w:br/>
        <w:t>uwzględniając opinię Rady Stanu nr 72.384/3 wydaną dnia 28 listopada 2022 r. zgodnie z art. 84 § 1 akapit pierwszy pkt 2 ustaw o Radzie Stanu ujednoliconych dnia 12 stycznia 1973 r.,</w:t>
      </w:r>
    </w:p>
    <w:p w14:paraId="17C1F16B" w14:textId="77777777" w:rsidR="00A67A13" w:rsidRDefault="00A67A13" w:rsidP="00A67A13">
      <w:pPr>
        <w:spacing w:after="0" w:line="240" w:lineRule="auto"/>
        <w:rPr>
          <w:rFonts w:ascii="Times New Roman" w:eastAsia="Times New Roman" w:hAnsi="Times New Roman" w:cs="Times New Roman"/>
          <w:color w:val="000000"/>
          <w:sz w:val="27"/>
          <w:szCs w:val="27"/>
        </w:rPr>
      </w:pPr>
      <w:r>
        <w:rPr>
          <w:rFonts w:ascii="Times New Roman" w:hAnsi="Times New Roman"/>
          <w:color w:val="000000"/>
          <w:sz w:val="27"/>
        </w:rPr>
        <w:br/>
        <w:t>na wniosek Ministra Zdrowia Publicznego,</w:t>
      </w:r>
    </w:p>
    <w:p w14:paraId="6165C1CF" w14:textId="77777777" w:rsidR="00A67A13" w:rsidRDefault="00A67A13" w:rsidP="00A67A13">
      <w:pPr>
        <w:spacing w:after="0" w:line="240" w:lineRule="auto"/>
        <w:rPr>
          <w:rFonts w:ascii="Times New Roman" w:eastAsia="Times New Roman" w:hAnsi="Times New Roman" w:cs="Times New Roman"/>
          <w:color w:val="000000"/>
          <w:sz w:val="27"/>
          <w:szCs w:val="27"/>
        </w:rPr>
      </w:pPr>
      <w:r>
        <w:rPr>
          <w:rFonts w:ascii="Times New Roman" w:hAnsi="Times New Roman"/>
          <w:color w:val="000000"/>
          <w:sz w:val="27"/>
        </w:rPr>
        <w:br/>
        <w:t>niniejszym zarządzamy, co następuje:</w:t>
      </w:r>
    </w:p>
    <w:p w14:paraId="151AD611" w14:textId="77777777" w:rsidR="00A67A13" w:rsidRDefault="00A67A13" w:rsidP="00A67A13">
      <w:pPr>
        <w:spacing w:after="0" w:line="240" w:lineRule="auto"/>
        <w:rPr>
          <w:rFonts w:ascii="Times New Roman" w:eastAsia="Times New Roman" w:hAnsi="Times New Roman" w:cs="Times New Roman"/>
          <w:color w:val="000000"/>
          <w:sz w:val="27"/>
          <w:szCs w:val="27"/>
        </w:rPr>
      </w:pPr>
      <w:r>
        <w:rPr>
          <w:rFonts w:ascii="Times New Roman" w:hAnsi="Times New Roman"/>
          <w:color w:val="000000"/>
          <w:sz w:val="27"/>
        </w:rPr>
        <w:br/>
        <w:t>Rozdział 1. - Zakres, definicje i przepisy administracyjne</w:t>
      </w:r>
    </w:p>
    <w:p w14:paraId="3EF18327" w14:textId="77777777" w:rsidR="00A67A13" w:rsidRDefault="00A67A13" w:rsidP="00A67A13">
      <w:pPr>
        <w:spacing w:after="0" w:line="240" w:lineRule="auto"/>
        <w:rPr>
          <w:rFonts w:ascii="Times New Roman" w:eastAsia="Times New Roman" w:hAnsi="Times New Roman" w:cs="Times New Roman"/>
          <w:color w:val="000000"/>
          <w:sz w:val="27"/>
          <w:szCs w:val="27"/>
        </w:rPr>
      </w:pPr>
      <w:r>
        <w:rPr>
          <w:rFonts w:ascii="Times New Roman" w:hAnsi="Times New Roman"/>
          <w:color w:val="000000"/>
          <w:sz w:val="27"/>
        </w:rPr>
        <w:br/>
        <w:t xml:space="preserve">Artykuł 1. Niniejszy dekret reguluje poddanie uprzedniemu zezwoleniu i, w stosownych przypadkach, ograniczenie wielkości wywozu oraz tymczasowy zakaz wywozu przez sprzedawców hurtowych, mający zastosowanie do hurtowników, leków stosowanych u ludzi przeznaczonych na rynek belgijski, w następstwie </w:t>
      </w:r>
      <w:r>
        <w:rPr>
          <w:rFonts w:ascii="Times New Roman" w:hAnsi="Times New Roman"/>
          <w:color w:val="000000"/>
          <w:sz w:val="27"/>
        </w:rPr>
        <w:lastRenderedPageBreak/>
        <w:t>wyroku ogłoszonego lub wydanego zgodnie z art. 6 § 1f ustawy z dnia 25 marca 1964 r. o lekach stosowanych u ludzi na podstawie art. 12f ust. 2 ustawy z dnia 25 marca 1964 r. o lekach.</w:t>
      </w:r>
    </w:p>
    <w:p w14:paraId="2AAF4506" w14:textId="77777777" w:rsidR="00A67A13" w:rsidRDefault="00A67A13" w:rsidP="00A67A13">
      <w:pPr>
        <w:spacing w:after="0" w:line="240" w:lineRule="auto"/>
        <w:rPr>
          <w:rFonts w:ascii="Times New Roman" w:eastAsia="Times New Roman" w:hAnsi="Times New Roman" w:cs="Times New Roman"/>
          <w:color w:val="000000"/>
          <w:sz w:val="27"/>
          <w:szCs w:val="27"/>
        </w:rPr>
      </w:pPr>
      <w:r>
        <w:rPr>
          <w:rFonts w:ascii="Times New Roman" w:hAnsi="Times New Roman"/>
          <w:color w:val="000000"/>
          <w:sz w:val="27"/>
        </w:rPr>
        <w:br/>
        <w:t>Artykuł 2. Do celów stosowania niniejszego dekretu stosuje się następujące definicje:</w:t>
      </w:r>
      <w:r>
        <w:rPr>
          <w:rFonts w:ascii="Times New Roman" w:hAnsi="Times New Roman"/>
          <w:color w:val="000000"/>
          <w:sz w:val="27"/>
        </w:rPr>
        <w:br/>
        <w:t>1 ustawa o lekach”: ustawa z dnia 25 marca 1964 r. o lekach stosowanych u ludzi;</w:t>
      </w:r>
      <w:r>
        <w:rPr>
          <w:rFonts w:ascii="Times New Roman" w:hAnsi="Times New Roman"/>
          <w:color w:val="000000"/>
          <w:sz w:val="27"/>
        </w:rPr>
        <w:br/>
        <w:t>2 „wywóz”: wywóz do innego państwa członkowskiego Europejskiego Obszaru Gospodarczego („EOG”) w celu wprowadzenia do obrotu w tym państwie leku, na który wydano pozwolenie na dopuszczenie do obrotu w Belgii przez sprzedawcę hurtowego lub dystrybucji równoległej do innego państwa członkowskiego Europejskiego Obszaru Gospodarczego („EOG”) leków przeznaczonych dla Belgii;</w:t>
      </w:r>
      <w:r>
        <w:rPr>
          <w:rFonts w:ascii="Times New Roman" w:hAnsi="Times New Roman"/>
          <w:color w:val="000000"/>
          <w:sz w:val="27"/>
        </w:rPr>
        <w:br/>
        <w:t>3 „dystrybucja równoległa”: wprowadzenia do obrotu w innym państwie członkowskim Europejskiego Obszaru Gospodarczego („EOG”) leku wprowadzonego do obrotu w Belgii, dla którego wydano pozwolenie na dopuszczenie do obrotu zgodnie z art. 3 rozporządzenia (WE) nr 726/2004 z dnia 31 marca 2004 r. ustanawiającego unijne procedury wydawania pozwoleń dla leków stosowanych u ludzi i do celów weterynaryjnych i nadzoru nad nimi oraz ustanawiającego Europejską Agencję Leków, a dla którego sprzedawca hurtowy posiada wydane przez EMA zgłoszenie dotyczące dystrybucji równoległej;</w:t>
      </w:r>
      <w:r>
        <w:rPr>
          <w:rFonts w:ascii="Times New Roman" w:hAnsi="Times New Roman"/>
          <w:color w:val="000000"/>
          <w:sz w:val="27"/>
        </w:rPr>
        <w:br/>
        <w:t>4 „niedostępność”: niedostępność w rozumieniu art. 2 pkt 29 dekretu królewskiego z dnia 14 grudnia 2006 r. w sprawie leków stosowanych u ludzi i do celów weterynaryjnych lub przerwanie wprowadzania do obrotu w rozumieniu art. 2 pkt 30 tego samego dekretu królewskiego;</w:t>
      </w:r>
      <w:r>
        <w:rPr>
          <w:rFonts w:ascii="Times New Roman" w:hAnsi="Times New Roman"/>
          <w:color w:val="000000"/>
          <w:sz w:val="27"/>
        </w:rPr>
        <w:br/>
        <w:t>5 „lek przeznaczony na rynek belgijski”: lek przeznaczony na rynek belgijski przez MAH danego leku.</w:t>
      </w:r>
    </w:p>
    <w:p w14:paraId="5DA1C3EB" w14:textId="77777777" w:rsidR="00A67A13" w:rsidRDefault="00A67A13" w:rsidP="00A67A13">
      <w:pPr>
        <w:spacing w:after="0" w:line="240" w:lineRule="auto"/>
        <w:rPr>
          <w:rFonts w:ascii="Times New Roman" w:eastAsia="Times New Roman" w:hAnsi="Times New Roman" w:cs="Times New Roman"/>
          <w:color w:val="000000"/>
          <w:sz w:val="27"/>
          <w:szCs w:val="27"/>
        </w:rPr>
      </w:pPr>
      <w:r>
        <w:rPr>
          <w:rFonts w:ascii="Times New Roman" w:hAnsi="Times New Roman"/>
          <w:color w:val="000000"/>
          <w:sz w:val="27"/>
        </w:rPr>
        <w:br/>
        <w:t>Artykuł 3. Do celów stosowania niniejszego dekretu na pełnomocnika ministra wyznacza się Generalnego Administratora Federalnej Agencji ds. Leków i Produktów Leczniczych (fr. Agence fédérale des médicaments et des produits de santé – AFMPS).</w:t>
      </w:r>
      <w:r>
        <w:rPr>
          <w:rFonts w:ascii="Times New Roman" w:hAnsi="Times New Roman"/>
          <w:color w:val="000000"/>
          <w:sz w:val="27"/>
        </w:rPr>
        <w:br/>
        <w:t>Minister może również wyznaczyć innych członków personelu AFMPS jako pełnomocników, wskazując jednocześnie zakres przekazanych im uprawnień.</w:t>
      </w:r>
    </w:p>
    <w:p w14:paraId="0EEA102F" w14:textId="77777777" w:rsidR="00A67A13" w:rsidRDefault="00A67A13" w:rsidP="00A67A13">
      <w:pPr>
        <w:spacing w:after="0" w:line="240" w:lineRule="auto"/>
        <w:rPr>
          <w:rFonts w:ascii="Times New Roman" w:eastAsia="Times New Roman" w:hAnsi="Times New Roman" w:cs="Times New Roman"/>
          <w:color w:val="000000"/>
          <w:sz w:val="27"/>
          <w:szCs w:val="27"/>
        </w:rPr>
      </w:pPr>
      <w:r>
        <w:rPr>
          <w:rFonts w:ascii="Times New Roman" w:hAnsi="Times New Roman"/>
          <w:color w:val="000000"/>
          <w:sz w:val="27"/>
        </w:rPr>
        <w:br/>
        <w:t>Rozdział 2. - Poddanie wywozu leków obowiązkowi uzyskania pozwolenia</w:t>
      </w:r>
    </w:p>
    <w:p w14:paraId="55E72890" w14:textId="77777777" w:rsidR="00A67A13" w:rsidRDefault="00A67A13" w:rsidP="00A67A13">
      <w:pPr>
        <w:spacing w:after="0" w:line="240" w:lineRule="auto"/>
        <w:rPr>
          <w:rFonts w:ascii="Times New Roman" w:eastAsia="Times New Roman" w:hAnsi="Times New Roman" w:cs="Times New Roman"/>
          <w:color w:val="000000"/>
          <w:sz w:val="27"/>
          <w:szCs w:val="27"/>
        </w:rPr>
      </w:pPr>
      <w:r>
        <w:rPr>
          <w:rFonts w:ascii="Times New Roman" w:hAnsi="Times New Roman"/>
          <w:color w:val="000000"/>
          <w:sz w:val="27"/>
        </w:rPr>
        <w:br/>
        <w:t xml:space="preserve">Artykuł 4. </w:t>
      </w:r>
    </w:p>
    <w:p w14:paraId="23177491" w14:textId="77777777" w:rsidR="009E792C" w:rsidRDefault="00A67A13" w:rsidP="00A67A13">
      <w:pPr>
        <w:spacing w:after="0" w:line="240" w:lineRule="auto"/>
        <w:rPr>
          <w:rFonts w:ascii="Times New Roman" w:eastAsia="Times New Roman" w:hAnsi="Times New Roman" w:cs="Times New Roman"/>
          <w:color w:val="000000"/>
          <w:sz w:val="27"/>
          <w:szCs w:val="27"/>
        </w:rPr>
      </w:pPr>
      <w:r>
        <w:rPr>
          <w:rFonts w:ascii="Times New Roman" w:hAnsi="Times New Roman"/>
          <w:color w:val="000000"/>
          <w:sz w:val="27"/>
        </w:rPr>
        <w:t>§ 1. Minister lub jego pełnomocnik może objąć wywóz leków przeznaczonych na rynek belgijski obowiązkiem uzyskania pozwolenia, jeżeli spełnione są wszystkie następujące warunki:</w:t>
      </w:r>
    </w:p>
    <w:p w14:paraId="06B27F0D" w14:textId="2F5320A0" w:rsidR="00A67A13" w:rsidRDefault="00A67A13" w:rsidP="00A67A13">
      <w:pPr>
        <w:spacing w:after="0" w:line="240" w:lineRule="auto"/>
        <w:rPr>
          <w:rFonts w:ascii="Times New Roman" w:eastAsia="Times New Roman" w:hAnsi="Times New Roman" w:cs="Times New Roman"/>
          <w:color w:val="000000"/>
          <w:sz w:val="27"/>
          <w:szCs w:val="27"/>
        </w:rPr>
      </w:pPr>
      <w:r>
        <w:rPr>
          <w:rFonts w:ascii="Times New Roman" w:hAnsi="Times New Roman"/>
          <w:color w:val="000000"/>
          <w:sz w:val="27"/>
        </w:rPr>
        <w:t>1 niedostępność leku została zgłoszona AFMPS lub została stwierdzona przez AFMPS;</w:t>
      </w:r>
      <w:r>
        <w:rPr>
          <w:rFonts w:ascii="Times New Roman" w:hAnsi="Times New Roman"/>
          <w:color w:val="000000"/>
          <w:sz w:val="27"/>
        </w:rPr>
        <w:br/>
        <w:t xml:space="preserve">2 niedostępność danego leku jest prawdopodobna lub pewna przez co najmniej </w:t>
      </w:r>
      <w:r>
        <w:rPr>
          <w:rFonts w:ascii="Times New Roman" w:hAnsi="Times New Roman"/>
          <w:color w:val="000000"/>
          <w:sz w:val="27"/>
        </w:rPr>
        <w:lastRenderedPageBreak/>
        <w:t>jeden miesiąc;</w:t>
      </w:r>
      <w:r>
        <w:rPr>
          <w:rFonts w:ascii="Times New Roman" w:hAnsi="Times New Roman"/>
          <w:color w:val="000000"/>
          <w:sz w:val="27"/>
        </w:rPr>
        <w:br/>
        <w:t>3 podanie leku jest pilne i konieczne, natychmiast lub w ciągu kilku dni, ponieważ brak pilnej diagnozy lub leczenia danym lekiem może prowadzić do ostrego lub przewlekłego pogorszenia stanu zdrowia fizycznego lub psychicznego, które może polegać na zarażeniu się chorobą, postępie choroby, hospitalizacji lub bardziej intensywnym leczeniu lub które może prowadzić do innych rodzajów szkód, takich jak upośledzenie fizyczne lub psychiczne bądź śmierć;</w:t>
      </w:r>
      <w:r>
        <w:rPr>
          <w:rFonts w:ascii="Times New Roman" w:hAnsi="Times New Roman"/>
          <w:color w:val="000000"/>
          <w:sz w:val="27"/>
        </w:rPr>
        <w:br/>
        <w:t>4 niedostępności nie można lub nie można w wystarczającym stopniu zaradzić za pomocą innych dopuszczonych do obrotu leków o takim samym działaniu terapeutycznym, niezależnie od substancji czynnej.</w:t>
      </w:r>
      <w:r>
        <w:rPr>
          <w:rFonts w:ascii="Times New Roman" w:hAnsi="Times New Roman"/>
          <w:color w:val="000000"/>
          <w:sz w:val="27"/>
        </w:rPr>
        <w:br/>
      </w:r>
    </w:p>
    <w:p w14:paraId="5AA3510D" w14:textId="77777777" w:rsidR="00320D88" w:rsidRDefault="00A67A13" w:rsidP="00A67A13">
      <w:pPr>
        <w:spacing w:after="0" w:line="240" w:lineRule="auto"/>
        <w:rPr>
          <w:rFonts w:ascii="Times New Roman" w:eastAsia="Times New Roman" w:hAnsi="Times New Roman" w:cs="Times New Roman"/>
          <w:color w:val="000000"/>
          <w:sz w:val="27"/>
          <w:szCs w:val="27"/>
        </w:rPr>
      </w:pPr>
      <w:r>
        <w:rPr>
          <w:rFonts w:ascii="Times New Roman" w:hAnsi="Times New Roman"/>
          <w:color w:val="000000"/>
          <w:sz w:val="27"/>
        </w:rPr>
        <w:t>§ 2. Minister lub jego pełnomocnik określa okres, przez jaki wymagane jest pozwolenie, o którym mowa w akapicie 1. Okres ten nie może przekroczyć przewidywanego okresu niedostępności.</w:t>
      </w:r>
    </w:p>
    <w:p w14:paraId="29981832" w14:textId="77777777" w:rsidR="00320D88" w:rsidRDefault="00A67A13" w:rsidP="00A67A13">
      <w:pPr>
        <w:spacing w:after="0" w:line="240" w:lineRule="auto"/>
        <w:rPr>
          <w:rFonts w:ascii="Times New Roman" w:eastAsia="Times New Roman" w:hAnsi="Times New Roman" w:cs="Times New Roman"/>
          <w:color w:val="000000"/>
          <w:sz w:val="27"/>
          <w:szCs w:val="27"/>
        </w:rPr>
      </w:pPr>
      <w:r>
        <w:rPr>
          <w:rFonts w:ascii="Times New Roman" w:hAnsi="Times New Roman"/>
          <w:color w:val="000000"/>
          <w:sz w:val="27"/>
        </w:rPr>
        <w:t>Jeżeli minister lub jego pełnomocnik stwierdzi, że niedostępność ustaje lub ustała w dniu poprzedzającym przewidywany okres niedostępności, o którym mowa w akapicie pierwszym, koniec niedostępności zostaje niezwłocznie opublikowany na stronie internetowej AFMPS. Przedmiotowa publikacja na stronie internetowej AFMPS automatycznie uchyla decyzję podjętą zgodnie z § 1. Minister lub jego pełnomocnik publikuje uchylenie tej decyzji w belgijskim Dzienniku Urzędowym tak szybko, jak to możliwe.</w:t>
      </w:r>
    </w:p>
    <w:p w14:paraId="6521D026" w14:textId="56025BDB" w:rsidR="00A67A13" w:rsidRDefault="00A67A13" w:rsidP="00A67A13">
      <w:pPr>
        <w:spacing w:after="0" w:line="240" w:lineRule="auto"/>
        <w:rPr>
          <w:rFonts w:ascii="Times New Roman" w:eastAsia="Times New Roman" w:hAnsi="Times New Roman" w:cs="Times New Roman"/>
          <w:color w:val="000000"/>
          <w:sz w:val="27"/>
          <w:szCs w:val="27"/>
        </w:rPr>
      </w:pPr>
      <w:r>
        <w:rPr>
          <w:rFonts w:ascii="Times New Roman" w:hAnsi="Times New Roman"/>
          <w:color w:val="000000"/>
          <w:sz w:val="27"/>
        </w:rPr>
        <w:t>Jeżeli przewidywany okres niedostępności zostaje następnie przedłużony, minister lub jego pełnomocnik może przedłużyć okres, przez który wymagane jest pozwolenie, o którym mowa w § 1. Okres ten nie może przekroczyć przewidywanego okresu niedostępności.</w:t>
      </w:r>
    </w:p>
    <w:p w14:paraId="36370749" w14:textId="77777777" w:rsidR="00536172" w:rsidRDefault="00A67A13" w:rsidP="00A67A13">
      <w:pPr>
        <w:spacing w:after="0" w:line="240" w:lineRule="auto"/>
        <w:rPr>
          <w:rFonts w:ascii="Times New Roman" w:eastAsia="Times New Roman" w:hAnsi="Times New Roman" w:cs="Times New Roman"/>
          <w:color w:val="000000"/>
          <w:sz w:val="27"/>
          <w:szCs w:val="27"/>
        </w:rPr>
      </w:pPr>
      <w:r>
        <w:rPr>
          <w:rFonts w:ascii="Times New Roman" w:hAnsi="Times New Roman"/>
          <w:color w:val="000000"/>
          <w:sz w:val="27"/>
        </w:rPr>
        <w:br/>
        <w:t>§ 3. Decyzje ministra lub jego pełnomocnika podjęte na podstawie § 1 i 2 podlegają publikacji w belgijskim Dzienniku Urzędowym.</w:t>
      </w:r>
    </w:p>
    <w:p w14:paraId="41DF40C0" w14:textId="30C9510C" w:rsidR="00A67A13" w:rsidRDefault="00A67A13" w:rsidP="00A67A13">
      <w:pPr>
        <w:spacing w:after="0" w:line="240" w:lineRule="auto"/>
        <w:rPr>
          <w:rFonts w:ascii="Times New Roman" w:eastAsia="Times New Roman" w:hAnsi="Times New Roman" w:cs="Times New Roman"/>
          <w:color w:val="000000"/>
          <w:sz w:val="27"/>
          <w:szCs w:val="27"/>
        </w:rPr>
      </w:pPr>
      <w:r>
        <w:rPr>
          <w:rFonts w:ascii="Times New Roman" w:hAnsi="Times New Roman"/>
          <w:color w:val="000000"/>
          <w:sz w:val="27"/>
        </w:rPr>
        <w:t>Bez uszczerbku dla akapitu pierwszego, o decyzjach, o których mowa w ust. 2 pkt 3, powiadamia się wszystkich sprzedawców hurtowych. Decyzje takie są wiążące od daty ich ogłoszenia.</w:t>
      </w:r>
    </w:p>
    <w:p w14:paraId="6E8B5660" w14:textId="77777777" w:rsidR="00A67A13" w:rsidRDefault="00A67A13" w:rsidP="00A67A13">
      <w:pPr>
        <w:spacing w:after="0" w:line="240" w:lineRule="auto"/>
        <w:rPr>
          <w:rFonts w:ascii="Times New Roman" w:eastAsia="Times New Roman" w:hAnsi="Times New Roman" w:cs="Times New Roman"/>
          <w:color w:val="000000"/>
          <w:sz w:val="27"/>
          <w:szCs w:val="27"/>
        </w:rPr>
      </w:pPr>
      <w:r>
        <w:rPr>
          <w:rFonts w:ascii="Times New Roman" w:hAnsi="Times New Roman"/>
          <w:color w:val="000000"/>
          <w:sz w:val="27"/>
        </w:rPr>
        <w:br/>
        <w:t>Rozdział 3. - Pozwolenie na wywóz leków</w:t>
      </w:r>
      <w:r>
        <w:rPr>
          <w:rFonts w:ascii="Times New Roman" w:hAnsi="Times New Roman"/>
          <w:color w:val="000000"/>
          <w:sz w:val="27"/>
        </w:rPr>
        <w:br/>
      </w:r>
    </w:p>
    <w:p w14:paraId="16E3A382" w14:textId="77777777" w:rsidR="00536172" w:rsidRDefault="00A67A13" w:rsidP="00A67A13">
      <w:pPr>
        <w:spacing w:after="0" w:line="240" w:lineRule="auto"/>
        <w:rPr>
          <w:rFonts w:ascii="Times New Roman" w:eastAsia="Times New Roman" w:hAnsi="Times New Roman" w:cs="Times New Roman"/>
          <w:color w:val="000000"/>
          <w:sz w:val="27"/>
          <w:szCs w:val="27"/>
        </w:rPr>
      </w:pPr>
      <w:r>
        <w:rPr>
          <w:rFonts w:ascii="Times New Roman" w:hAnsi="Times New Roman"/>
          <w:color w:val="000000"/>
          <w:sz w:val="27"/>
        </w:rPr>
        <w:t>Artykuł 5. Jeżeli lek podlega obowiązkowi uzyskania pozwolenia, o którym mowa w art. 4, sprzedawca hurtowy, o którym mowa w art. 1, z wyprzedzeniem składa wniosek o pozwolenie na wywóz leku do AFMPS za pośrednictwem formularza opublikowanego na stronie internetowej AFMPS.</w:t>
      </w:r>
      <w:r>
        <w:rPr>
          <w:rFonts w:ascii="Times New Roman" w:hAnsi="Times New Roman"/>
          <w:color w:val="000000"/>
          <w:sz w:val="27"/>
        </w:rPr>
        <w:br/>
        <w:t>Wniosek zawiera co najmniej następujące elementy:</w:t>
      </w:r>
    </w:p>
    <w:p w14:paraId="6901A012" w14:textId="77777777" w:rsidR="00536172" w:rsidRDefault="00A67A13" w:rsidP="00A67A13">
      <w:pPr>
        <w:spacing w:after="0" w:line="240" w:lineRule="auto"/>
        <w:rPr>
          <w:rFonts w:ascii="Times New Roman" w:eastAsia="Times New Roman" w:hAnsi="Times New Roman" w:cs="Times New Roman"/>
          <w:color w:val="000000"/>
          <w:sz w:val="27"/>
          <w:szCs w:val="27"/>
        </w:rPr>
      </w:pPr>
      <w:r>
        <w:rPr>
          <w:rFonts w:ascii="Times New Roman" w:hAnsi="Times New Roman"/>
          <w:color w:val="000000"/>
          <w:sz w:val="27"/>
        </w:rPr>
        <w:t>1 nazwę leku;</w:t>
      </w:r>
      <w:r>
        <w:rPr>
          <w:rFonts w:ascii="Times New Roman" w:hAnsi="Times New Roman"/>
          <w:color w:val="000000"/>
          <w:sz w:val="27"/>
        </w:rPr>
        <w:br/>
        <w:t>2 numer lub numery PDO leku;</w:t>
      </w:r>
    </w:p>
    <w:p w14:paraId="1F7F7D73" w14:textId="77777777" w:rsidR="00536172" w:rsidRDefault="00A67A13" w:rsidP="00A67A13">
      <w:pPr>
        <w:spacing w:after="0" w:line="240" w:lineRule="auto"/>
        <w:rPr>
          <w:rFonts w:ascii="Times New Roman" w:eastAsia="Times New Roman" w:hAnsi="Times New Roman" w:cs="Times New Roman"/>
          <w:color w:val="000000"/>
          <w:sz w:val="27"/>
          <w:szCs w:val="27"/>
        </w:rPr>
      </w:pPr>
      <w:r>
        <w:rPr>
          <w:rFonts w:ascii="Times New Roman" w:hAnsi="Times New Roman"/>
          <w:color w:val="000000"/>
          <w:sz w:val="27"/>
        </w:rPr>
        <w:t>3 wielkość opakowania lub opakowań i krajowy numer lub numery kodu (CNK);</w:t>
      </w:r>
    </w:p>
    <w:p w14:paraId="20BF37DA" w14:textId="77777777" w:rsidR="00536172" w:rsidRDefault="00A67A13" w:rsidP="00A67A13">
      <w:pPr>
        <w:spacing w:after="0" w:line="240" w:lineRule="auto"/>
        <w:rPr>
          <w:rFonts w:ascii="Times New Roman" w:eastAsia="Times New Roman" w:hAnsi="Times New Roman" w:cs="Times New Roman"/>
          <w:color w:val="000000"/>
          <w:sz w:val="27"/>
          <w:szCs w:val="27"/>
        </w:rPr>
      </w:pPr>
      <w:r>
        <w:rPr>
          <w:rFonts w:ascii="Times New Roman" w:hAnsi="Times New Roman"/>
          <w:color w:val="000000"/>
          <w:sz w:val="27"/>
        </w:rPr>
        <w:t>4 liczbę opakowań lub dawek, które mają być wywiezione, w podziale na numer PDO.</w:t>
      </w:r>
    </w:p>
    <w:p w14:paraId="546BFE1F" w14:textId="24B4263B" w:rsidR="00A67A13" w:rsidRDefault="00A67A13" w:rsidP="00A67A13">
      <w:pPr>
        <w:spacing w:after="0" w:line="240" w:lineRule="auto"/>
        <w:rPr>
          <w:rFonts w:ascii="Times New Roman" w:eastAsia="Times New Roman" w:hAnsi="Times New Roman" w:cs="Times New Roman"/>
          <w:color w:val="000000"/>
          <w:sz w:val="27"/>
          <w:szCs w:val="27"/>
        </w:rPr>
      </w:pPr>
      <w:r>
        <w:rPr>
          <w:rFonts w:ascii="Times New Roman" w:hAnsi="Times New Roman"/>
          <w:color w:val="000000"/>
          <w:sz w:val="27"/>
        </w:rPr>
        <w:lastRenderedPageBreak/>
        <w:t>Dane, o których mowa w akapicie drugim, uznaje się za informacje handlowe, które ze względu na swój charakter są poufne zgodnie z art. 6 § 1 pkt 7 ustawy z dnia 11 kwietnia 1994 r. o jawności działania administracji. Niezależnie od powyższego wnioskodawca może wskazać na formularzu wniosku, że dane przedłożone zgodnie z akapitem drugim nie są poufne.</w:t>
      </w:r>
    </w:p>
    <w:p w14:paraId="2E2B7203" w14:textId="77777777" w:rsidR="00536172" w:rsidRDefault="00536172" w:rsidP="00A67A13">
      <w:pPr>
        <w:spacing w:after="0" w:line="240" w:lineRule="auto"/>
        <w:rPr>
          <w:rFonts w:ascii="Times New Roman" w:eastAsia="Times New Roman" w:hAnsi="Times New Roman" w:cs="Times New Roman"/>
          <w:color w:val="000000"/>
          <w:sz w:val="27"/>
          <w:szCs w:val="27"/>
          <w:lang w:eastAsia="fr-BE"/>
        </w:rPr>
      </w:pPr>
    </w:p>
    <w:p w14:paraId="02E0B2E6" w14:textId="77777777" w:rsidR="00A67A13" w:rsidRDefault="00A67A13" w:rsidP="00A67A13">
      <w:pPr>
        <w:spacing w:after="0" w:line="240" w:lineRule="auto"/>
        <w:rPr>
          <w:rFonts w:ascii="Times New Roman" w:eastAsia="Times New Roman" w:hAnsi="Times New Roman" w:cs="Times New Roman"/>
          <w:color w:val="000000"/>
          <w:sz w:val="27"/>
          <w:szCs w:val="27"/>
        </w:rPr>
      </w:pPr>
      <w:r>
        <w:rPr>
          <w:rFonts w:ascii="Times New Roman" w:hAnsi="Times New Roman"/>
          <w:color w:val="000000"/>
          <w:sz w:val="27"/>
        </w:rPr>
        <w:t xml:space="preserve">Artykuł 6. </w:t>
      </w:r>
    </w:p>
    <w:p w14:paraId="0F59BF54" w14:textId="010DA0DB" w:rsidR="00A67A13" w:rsidRDefault="00A67A13" w:rsidP="00A67A13">
      <w:pPr>
        <w:spacing w:after="0" w:line="240" w:lineRule="auto"/>
        <w:rPr>
          <w:rFonts w:ascii="Times New Roman" w:eastAsia="Times New Roman" w:hAnsi="Times New Roman" w:cs="Times New Roman"/>
          <w:color w:val="000000"/>
          <w:sz w:val="27"/>
          <w:szCs w:val="27"/>
        </w:rPr>
      </w:pPr>
      <w:r>
        <w:rPr>
          <w:rFonts w:ascii="Times New Roman" w:hAnsi="Times New Roman"/>
          <w:color w:val="000000"/>
          <w:sz w:val="27"/>
        </w:rPr>
        <w:t>§ 1. Na podstawie wniosku, o którym mowa w art. 5, minister lub jego pełnomocnik podejmuje decyzję o zezwoleniu lub braku zezwolenia na wywóz, ograniczeniu wielkości wywozu lub zakazie wywozu leku, dla którego wymagane jest zezwolenie zgodnie z art. 4, w terminie pięciu dni roboczych od dnia następującego po dniu otrzymania wniosku.</w:t>
      </w:r>
    </w:p>
    <w:p w14:paraId="02F1A8C3" w14:textId="77777777" w:rsidR="00635896" w:rsidRDefault="00A67A13" w:rsidP="00A67A13">
      <w:pPr>
        <w:spacing w:after="0" w:line="240" w:lineRule="auto"/>
        <w:rPr>
          <w:rFonts w:ascii="Times New Roman" w:eastAsia="Times New Roman" w:hAnsi="Times New Roman" w:cs="Times New Roman"/>
          <w:color w:val="000000"/>
          <w:sz w:val="27"/>
          <w:szCs w:val="27"/>
        </w:rPr>
      </w:pPr>
      <w:r>
        <w:rPr>
          <w:rFonts w:ascii="Times New Roman" w:hAnsi="Times New Roman"/>
          <w:color w:val="000000"/>
          <w:sz w:val="27"/>
        </w:rPr>
        <w:br/>
        <w:t>Minister lub jego pełnomocnik podejmuje decyzję na podstawie opinii AFMPS w sprawie znaczenia niedostępności na rynku belgijskim. Przy wydawaniu opinii AFMPS uwzględnia co najmniej następujące kryteria:</w:t>
      </w:r>
      <w:r>
        <w:rPr>
          <w:rFonts w:ascii="Times New Roman" w:hAnsi="Times New Roman"/>
          <w:color w:val="000000"/>
          <w:sz w:val="27"/>
        </w:rPr>
        <w:br/>
        <w:t>1 istnienie zwolnienia zgodnie z art. 6f ust. 1 akapit 7 ustawy z dnia 25 marca 1964 r. o lekach stosowanych u ludzi;</w:t>
      </w:r>
      <w:r>
        <w:rPr>
          <w:rFonts w:ascii="Times New Roman" w:hAnsi="Times New Roman"/>
          <w:color w:val="000000"/>
          <w:sz w:val="27"/>
        </w:rPr>
        <w:br/>
        <w:t>2 istnienie zalecenia AFMPS dotyczącego stosowania art. 105 dekretu królewskiego z dnia 14 grudnia 2006 r. dotyczącego leków stosowanych u ludzi i do celów weterynaryjnych w celu rozwiązania, przynajmniej częściowo, niedostępności;</w:t>
      </w:r>
    </w:p>
    <w:p w14:paraId="71A75736" w14:textId="53807ABE" w:rsidR="00A67A13" w:rsidRDefault="00A67A13" w:rsidP="00A67A13">
      <w:pPr>
        <w:spacing w:after="0" w:line="240" w:lineRule="auto"/>
        <w:rPr>
          <w:rFonts w:ascii="Times New Roman" w:eastAsia="Times New Roman" w:hAnsi="Times New Roman" w:cs="Times New Roman"/>
          <w:color w:val="000000"/>
          <w:sz w:val="27"/>
          <w:szCs w:val="27"/>
        </w:rPr>
      </w:pPr>
      <w:r>
        <w:rPr>
          <w:rFonts w:ascii="Times New Roman" w:hAnsi="Times New Roman"/>
          <w:color w:val="000000"/>
          <w:sz w:val="27"/>
        </w:rPr>
        <w:t>3 istnienie jakiegokolwiek innego środka lub zalecenia wdrożonego przez AFMPS w celu ograniczenia niedostępności.</w:t>
      </w:r>
      <w:r>
        <w:rPr>
          <w:rFonts w:ascii="Times New Roman" w:hAnsi="Times New Roman"/>
          <w:color w:val="000000"/>
          <w:sz w:val="27"/>
        </w:rPr>
        <w:br/>
      </w:r>
    </w:p>
    <w:p w14:paraId="17597D75" w14:textId="77777777" w:rsidR="00635896" w:rsidRDefault="00A67A13" w:rsidP="00A67A13">
      <w:pPr>
        <w:spacing w:after="0" w:line="240" w:lineRule="auto"/>
        <w:rPr>
          <w:rFonts w:ascii="Times New Roman" w:eastAsia="Times New Roman" w:hAnsi="Times New Roman" w:cs="Times New Roman"/>
          <w:color w:val="000000"/>
          <w:sz w:val="27"/>
          <w:szCs w:val="27"/>
        </w:rPr>
      </w:pPr>
      <w:r>
        <w:rPr>
          <w:rFonts w:ascii="Times New Roman" w:hAnsi="Times New Roman"/>
          <w:color w:val="000000"/>
          <w:sz w:val="27"/>
        </w:rPr>
        <w:t>§ 2. Minister lub jego pełnomocnik może wezwać wnioskodawcę do uzupełnienia wniosku, jeżeli nie zawiera on co najmniej wszystkich elementów, o których mowa w art. 5 § 2. Może również zażądać od wnioskodawcy dodatkowych informacji, które uzna za niezbędne do podjęcia decyzji.</w:t>
      </w:r>
    </w:p>
    <w:p w14:paraId="3FC3A3BE" w14:textId="4476A9B6" w:rsidR="00A67A13" w:rsidRDefault="00A67A13" w:rsidP="00A67A13">
      <w:pPr>
        <w:spacing w:after="0" w:line="240" w:lineRule="auto"/>
        <w:rPr>
          <w:rFonts w:ascii="Times New Roman" w:eastAsia="Times New Roman" w:hAnsi="Times New Roman" w:cs="Times New Roman"/>
          <w:color w:val="000000"/>
          <w:sz w:val="27"/>
          <w:szCs w:val="27"/>
        </w:rPr>
      </w:pPr>
      <w:r>
        <w:rPr>
          <w:rFonts w:ascii="Times New Roman" w:hAnsi="Times New Roman"/>
          <w:color w:val="000000"/>
          <w:sz w:val="27"/>
        </w:rPr>
        <w:t>W takim przypadku bieg okresu pięciu dni roboczych, o którym mowa w § 1, zostaje zawieszony do momentu otrzymania kompletnego wniosku lub dodatkowych informacji. Zawieszenie rozpoczyna się następnego dnia po złożeniu wniosku o dodatkowe informacje.</w:t>
      </w:r>
      <w:r>
        <w:rPr>
          <w:rFonts w:ascii="Times New Roman" w:hAnsi="Times New Roman"/>
          <w:color w:val="000000"/>
          <w:sz w:val="27"/>
        </w:rPr>
        <w:br/>
        <w:t>Jeżeli wniosek nie został prawidłowo wypełniony lub jeśli na pytania nie otrzymano odpowiedniej odpowiedzi, powiadomienie zostaje odrzucone.</w:t>
      </w:r>
      <w:r>
        <w:rPr>
          <w:rFonts w:ascii="Times New Roman" w:hAnsi="Times New Roman"/>
          <w:color w:val="000000"/>
          <w:sz w:val="27"/>
        </w:rPr>
        <w:br/>
      </w:r>
    </w:p>
    <w:p w14:paraId="34FEBB1C" w14:textId="77777777" w:rsidR="00A67A13" w:rsidRDefault="00A67A13" w:rsidP="00A67A13">
      <w:pPr>
        <w:spacing w:after="0" w:line="240" w:lineRule="auto"/>
        <w:rPr>
          <w:rFonts w:ascii="Times New Roman" w:eastAsia="Times New Roman" w:hAnsi="Times New Roman" w:cs="Times New Roman"/>
          <w:color w:val="000000"/>
          <w:sz w:val="27"/>
          <w:szCs w:val="27"/>
        </w:rPr>
      </w:pPr>
      <w:r>
        <w:rPr>
          <w:rFonts w:ascii="Times New Roman" w:hAnsi="Times New Roman"/>
          <w:color w:val="000000"/>
          <w:sz w:val="27"/>
        </w:rPr>
        <w:t>§ 3. Minister lub jego pełnomocnik powiadamia wnioskodawcę o swojej decyzji w terminie pięciu dni roboczych, o którym mowa w § 1. W przeciwnym razie zezwala się na wywóz.</w:t>
      </w:r>
    </w:p>
    <w:p w14:paraId="273C291A" w14:textId="77777777" w:rsidR="00A67A13" w:rsidRDefault="00A67A13" w:rsidP="00A67A13">
      <w:pPr>
        <w:spacing w:after="0" w:line="240" w:lineRule="auto"/>
        <w:rPr>
          <w:rFonts w:ascii="Times New Roman" w:eastAsia="Times New Roman" w:hAnsi="Times New Roman" w:cs="Times New Roman"/>
          <w:color w:val="000000"/>
          <w:sz w:val="27"/>
          <w:szCs w:val="27"/>
        </w:rPr>
      </w:pPr>
      <w:r>
        <w:rPr>
          <w:rFonts w:ascii="Times New Roman" w:hAnsi="Times New Roman"/>
          <w:color w:val="000000"/>
          <w:sz w:val="27"/>
        </w:rPr>
        <w:br/>
        <w:t>Artykuł 7. Za wykonanie niniejszego dekretu odpowiada Minister Zdrowia Publicznego.</w:t>
      </w:r>
    </w:p>
    <w:p w14:paraId="0927F661" w14:textId="77777777" w:rsidR="00635896" w:rsidRDefault="00A67A13" w:rsidP="00A67A13">
      <w:pPr>
        <w:spacing w:after="0" w:line="240" w:lineRule="auto"/>
        <w:jc w:val="center"/>
        <w:rPr>
          <w:rFonts w:ascii="Times New Roman" w:eastAsia="Times New Roman" w:hAnsi="Times New Roman" w:cs="Times New Roman"/>
          <w:color w:val="000000"/>
          <w:sz w:val="27"/>
          <w:szCs w:val="27"/>
        </w:rPr>
      </w:pPr>
      <w:r>
        <w:rPr>
          <w:rFonts w:ascii="Times New Roman" w:hAnsi="Times New Roman"/>
          <w:color w:val="000000"/>
          <w:sz w:val="27"/>
        </w:rPr>
        <w:br/>
        <w:t>Opublikowano w Brukseli, 19 stycznia 2023 roku.</w:t>
      </w:r>
    </w:p>
    <w:p w14:paraId="203D139E" w14:textId="77777777" w:rsidR="00635896" w:rsidRDefault="00A67A13" w:rsidP="00A67A13">
      <w:pPr>
        <w:spacing w:after="0" w:line="240" w:lineRule="auto"/>
        <w:jc w:val="center"/>
        <w:rPr>
          <w:rFonts w:ascii="Times New Roman" w:eastAsia="Times New Roman" w:hAnsi="Times New Roman" w:cs="Times New Roman"/>
          <w:color w:val="000000"/>
          <w:sz w:val="27"/>
          <w:szCs w:val="27"/>
        </w:rPr>
      </w:pPr>
      <w:r>
        <w:rPr>
          <w:rFonts w:ascii="Times New Roman" w:hAnsi="Times New Roman"/>
          <w:color w:val="000000"/>
          <w:sz w:val="27"/>
        </w:rPr>
        <w:lastRenderedPageBreak/>
        <w:t>FILIP</w:t>
      </w:r>
    </w:p>
    <w:p w14:paraId="57928907" w14:textId="77777777" w:rsidR="00635896" w:rsidRDefault="00A67A13" w:rsidP="00A67A13">
      <w:pPr>
        <w:spacing w:after="0" w:line="240" w:lineRule="auto"/>
        <w:jc w:val="center"/>
        <w:rPr>
          <w:rFonts w:ascii="Times New Roman" w:eastAsia="Times New Roman" w:hAnsi="Times New Roman" w:cs="Times New Roman"/>
          <w:color w:val="000000"/>
          <w:sz w:val="27"/>
          <w:szCs w:val="27"/>
        </w:rPr>
      </w:pPr>
      <w:r>
        <w:rPr>
          <w:rFonts w:ascii="Times New Roman" w:hAnsi="Times New Roman"/>
          <w:color w:val="000000"/>
          <w:sz w:val="27"/>
        </w:rPr>
        <w:t>W imieniu Króla:</w:t>
      </w:r>
    </w:p>
    <w:p w14:paraId="19C2B7E6" w14:textId="77777777" w:rsidR="00635896" w:rsidRDefault="00A67A13" w:rsidP="00A67A13">
      <w:pPr>
        <w:spacing w:after="0" w:line="240" w:lineRule="auto"/>
        <w:jc w:val="center"/>
        <w:rPr>
          <w:rFonts w:ascii="Times New Roman" w:eastAsia="Times New Roman" w:hAnsi="Times New Roman" w:cs="Times New Roman"/>
          <w:color w:val="000000"/>
          <w:sz w:val="27"/>
          <w:szCs w:val="27"/>
        </w:rPr>
      </w:pPr>
      <w:r>
        <w:rPr>
          <w:rFonts w:ascii="Times New Roman" w:hAnsi="Times New Roman"/>
          <w:color w:val="000000"/>
          <w:sz w:val="27"/>
        </w:rPr>
        <w:t>Minister Zdrowia Publicznego</w:t>
      </w:r>
    </w:p>
    <w:p w14:paraId="3376E9B1" w14:textId="2B7DF23C" w:rsidR="00883F5C" w:rsidRPr="00A67A13" w:rsidRDefault="00A67A13" w:rsidP="00A67A13">
      <w:pPr>
        <w:spacing w:after="0" w:line="240" w:lineRule="auto"/>
        <w:jc w:val="center"/>
        <w:rPr>
          <w:rFonts w:ascii="Times New Roman" w:eastAsia="Times New Roman" w:hAnsi="Times New Roman" w:cs="Times New Roman"/>
          <w:sz w:val="24"/>
          <w:szCs w:val="24"/>
        </w:rPr>
      </w:pPr>
      <w:r>
        <w:rPr>
          <w:rFonts w:ascii="Times New Roman" w:hAnsi="Times New Roman"/>
          <w:color w:val="000000"/>
          <w:sz w:val="27"/>
        </w:rPr>
        <w:t>F. VANDENBROUCKE</w:t>
      </w:r>
      <w:r>
        <w:rPr>
          <w:rFonts w:ascii="Times New Roman" w:hAnsi="Times New Roman"/>
          <w:color w:val="000000"/>
          <w:sz w:val="27"/>
        </w:rPr>
        <w:br/>
      </w:r>
      <w:bookmarkStart w:id="2" w:name="end"/>
      <w:bookmarkEnd w:id="2"/>
      <w:r>
        <w:rPr>
          <w:rFonts w:ascii="Times New Roman" w:hAnsi="Times New Roman"/>
          <w:color w:val="000000"/>
          <w:sz w:val="27"/>
        </w:rPr>
        <w:br/>
      </w:r>
      <w:bookmarkStart w:id="3" w:name="hit1"/>
      <w:bookmarkEnd w:id="3"/>
    </w:p>
    <w:sectPr w:rsidR="00883F5C" w:rsidRPr="00A67A13">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67A13"/>
    <w:rsid w:val="00320D88"/>
    <w:rsid w:val="00536172"/>
    <w:rsid w:val="00635896"/>
    <w:rsid w:val="00883F5C"/>
    <w:rsid w:val="00970BA8"/>
    <w:rsid w:val="009E792C"/>
    <w:rsid w:val="00A67A13"/>
  </w:rsids>
  <m:mathPr>
    <m:mathFont m:val="Cambria Math"/>
    <m:brkBin m:val="before"/>
    <m:brkBinSub m:val="--"/>
    <m:smallFrac m:val="0"/>
    <m:dispDef/>
    <m:lMargin m:val="0"/>
    <m:rMargin m:val="0"/>
    <m:defJc m:val="centerGroup"/>
    <m:wrapIndent m:val="1440"/>
    <m:intLim m:val="subSup"/>
    <m:naryLim m:val="undOvr"/>
  </m:mathPr>
  <w:themeFontLang w:val="fr-B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8DE0AA7"/>
  <w15:chartTrackingRefBased/>
  <w15:docId w15:val="{E55DE650-3063-4A72-9EE0-6DF5BAFBE7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3">
    <w:name w:val="heading 3"/>
    <w:basedOn w:val="Normal"/>
    <w:link w:val="Heading3Char"/>
    <w:uiPriority w:val="9"/>
    <w:qFormat/>
    <w:rsid w:val="00A67A13"/>
    <w:pPr>
      <w:spacing w:before="100" w:beforeAutospacing="1" w:after="100" w:afterAutospacing="1" w:line="240" w:lineRule="auto"/>
      <w:outlineLvl w:val="2"/>
    </w:pPr>
    <w:rPr>
      <w:rFonts w:ascii="Times New Roman" w:eastAsia="Times New Roman" w:hAnsi="Times New Roman" w:cs="Times New Roman"/>
      <w:b/>
      <w:bCs/>
      <w:sz w:val="27"/>
      <w:szCs w:val="27"/>
      <w:lang w:eastAsia="fr-B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trPr>
      <w:hidden/>
    </w:tr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A67A13"/>
    <w:rPr>
      <w:rFonts w:ascii="Times New Roman" w:eastAsia="Times New Roman" w:hAnsi="Times New Roman" w:cs="Times New Roman"/>
      <w:b/>
      <w:bCs/>
      <w:sz w:val="27"/>
      <w:szCs w:val="27"/>
      <w:lang w:eastAsia="fr-BE"/>
    </w:rPr>
  </w:style>
  <w:style w:type="character" w:customStyle="1" w:styleId="activelang2">
    <w:name w:val="activelang2"/>
    <w:basedOn w:val="DefaultParagraphFont"/>
    <w:rsid w:val="00A67A13"/>
  </w:style>
  <w:style w:type="character" w:styleId="Hyperlink">
    <w:name w:val="Hyperlink"/>
    <w:basedOn w:val="DefaultParagraphFont"/>
    <w:uiPriority w:val="99"/>
    <w:semiHidden/>
    <w:unhideWhenUsed/>
    <w:rsid w:val="00A67A13"/>
    <w:rPr>
      <w:color w:val="0000FF"/>
      <w:u w:val="single"/>
    </w:rPr>
  </w:style>
  <w:style w:type="paragraph" w:styleId="z-TopofForm">
    <w:name w:val="HTML Top of Form"/>
    <w:basedOn w:val="Normal"/>
    <w:next w:val="Normal"/>
    <w:link w:val="z-TopofFormChar"/>
    <w:hidden/>
    <w:uiPriority w:val="99"/>
    <w:semiHidden/>
    <w:unhideWhenUsed/>
    <w:rsid w:val="00A67A13"/>
    <w:pPr>
      <w:pBdr>
        <w:bottom w:val="single" w:sz="6" w:space="1" w:color="auto"/>
      </w:pBdr>
      <w:spacing w:after="0" w:line="240" w:lineRule="auto"/>
      <w:jc w:val="center"/>
    </w:pPr>
    <w:rPr>
      <w:rFonts w:ascii="Arial" w:eastAsia="Times New Roman" w:hAnsi="Arial" w:cs="Arial"/>
      <w:vanish/>
      <w:sz w:val="16"/>
      <w:szCs w:val="16"/>
      <w:lang w:eastAsia="fr-BE"/>
    </w:rPr>
  </w:style>
  <w:style w:type="character" w:customStyle="1" w:styleId="z-TopofFormChar">
    <w:name w:val="z-Top of Form Char"/>
    <w:basedOn w:val="DefaultParagraphFont"/>
    <w:link w:val="z-TopofForm"/>
    <w:uiPriority w:val="99"/>
    <w:semiHidden/>
    <w:rsid w:val="00A67A13"/>
    <w:rPr>
      <w:rFonts w:ascii="Arial" w:eastAsia="Times New Roman" w:hAnsi="Arial" w:cs="Arial"/>
      <w:vanish/>
      <w:sz w:val="16"/>
      <w:szCs w:val="16"/>
      <w:lang w:eastAsia="fr-BE"/>
    </w:rPr>
  </w:style>
  <w:style w:type="paragraph" w:styleId="z-BottomofForm">
    <w:name w:val="HTML Bottom of Form"/>
    <w:basedOn w:val="Normal"/>
    <w:next w:val="Normal"/>
    <w:link w:val="z-BottomofFormChar"/>
    <w:hidden/>
    <w:uiPriority w:val="99"/>
    <w:semiHidden/>
    <w:unhideWhenUsed/>
    <w:rsid w:val="00A67A13"/>
    <w:pPr>
      <w:pBdr>
        <w:top w:val="single" w:sz="6" w:space="1" w:color="auto"/>
      </w:pBdr>
      <w:spacing w:after="0" w:line="240" w:lineRule="auto"/>
      <w:jc w:val="center"/>
    </w:pPr>
    <w:rPr>
      <w:rFonts w:ascii="Arial" w:eastAsia="Times New Roman" w:hAnsi="Arial" w:cs="Arial"/>
      <w:vanish/>
      <w:sz w:val="16"/>
      <w:szCs w:val="16"/>
      <w:lang w:eastAsia="fr-BE"/>
    </w:rPr>
  </w:style>
  <w:style w:type="character" w:customStyle="1" w:styleId="z-BottomofFormChar">
    <w:name w:val="z-Bottom of Form Char"/>
    <w:basedOn w:val="DefaultParagraphFont"/>
    <w:link w:val="z-BottomofForm"/>
    <w:uiPriority w:val="99"/>
    <w:semiHidden/>
    <w:rsid w:val="00A67A13"/>
    <w:rPr>
      <w:rFonts w:ascii="Arial" w:eastAsia="Times New Roman" w:hAnsi="Arial" w:cs="Arial"/>
      <w:vanish/>
      <w:sz w:val="16"/>
      <w:szCs w:val="16"/>
      <w:lang w:eastAsia="fr-B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1313906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www.ejustice.just.fgov.be/cgi/article_body.pl?language=fr&amp;pub_date=2023-01-20&amp;caller=list&amp;numac=2023030395" TargetMode="External"/><Relationship Id="rId5" Type="http://schemas.openxmlformats.org/officeDocument/2006/relationships/hyperlink" Target="https://www.ejustice.just.fgov.be/cgi/article_body.pl?language=fr&amp;pub_date=2023-01-20&amp;caller=list&amp;numac=2023030395" TargetMode="External"/><Relationship Id="rId4" Type="http://schemas.openxmlformats.org/officeDocument/2006/relationships/hyperlink" Target="https://www.ejustice.just.fgov.be/cgi/article_body.pl?language=fr&amp;pub_date=2023-01-20&amp;caller=list&amp;numac=2023030395"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5</Pages>
  <Words>1297</Words>
  <Characters>7780</Characters>
  <Application>Microsoft Office Word</Application>
  <DocSecurity>0</DocSecurity>
  <Lines>184</Lines>
  <Paragraphs>48</Paragraphs>
  <ScaleCrop>false</ScaleCrop>
  <Company/>
  <LinksUpToDate>false</LinksUpToDate>
  <CharactersWithSpaces>9058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Laurent Wenkin (FOD Economie - SPF Economie)</dc:creator>
  <cp:keywords>class='Internal'</cp:keywords>
  <dc:description/>
  <cp:lastModifiedBy>Ragnhild Efraimsson</cp:lastModifiedBy>
  <cp:revision>2</cp:revision>
  <dcterms:created xsi:type="dcterms:W3CDTF">2023-02-13T13:59:00Z</dcterms:created>
  <dcterms:modified xsi:type="dcterms:W3CDTF">2023-02-13T13:59:00Z</dcterms:modified>
</cp:coreProperties>
</file>