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861F7" w14:textId="77777777" w:rsidR="00B767EF" w:rsidRPr="006F6F0F" w:rsidRDefault="00B767EF" w:rsidP="00B767EF">
      <w:pPr>
        <w:spacing w:before="100" w:beforeAutospacing="1" w:after="100" w:afterAutospacing="1" w:line="240" w:lineRule="auto"/>
        <w:outlineLvl w:val="1"/>
        <w:rPr>
          <w:rFonts w:ascii="Times New Roman" w:eastAsia="Times New Roman" w:hAnsi="Times New Roman" w:cs="Times New Roman"/>
          <w:b/>
          <w:bCs/>
          <w:sz w:val="36"/>
          <w:szCs w:val="36"/>
        </w:rPr>
      </w:pPr>
      <w:r w:rsidRPr="006F6F0F">
        <w:rPr>
          <w:rFonts w:ascii="Times New Roman" w:hAnsi="Times New Roman"/>
          <w:b/>
          <w:sz w:val="36"/>
        </w:rPr>
        <w:t>2019 m. gegužės 10 d. nutarimas, kuriuo iš dalies keičiamas 1980 m. birželio 25 d. nutarimas, kuriuo patvirtinamos apsaugos nuo gaisro ir panikos viešosios paskirties pastatuose taisyklių bendrosios nuostatos</w:t>
      </w:r>
    </w:p>
    <w:p w14:paraId="07833EEA" w14:textId="77777777" w:rsidR="00B767EF" w:rsidRPr="006F6F0F" w:rsidRDefault="00B767EF" w:rsidP="00B767EF">
      <w:pPr>
        <w:spacing w:before="100" w:beforeAutospacing="1" w:after="100" w:afterAutospacing="1" w:line="240" w:lineRule="auto"/>
        <w:rPr>
          <w:rFonts w:ascii="Times New Roman" w:eastAsia="Times New Roman" w:hAnsi="Times New Roman" w:cs="Times New Roman"/>
          <w:sz w:val="24"/>
          <w:szCs w:val="24"/>
        </w:rPr>
      </w:pPr>
      <w:r w:rsidRPr="006F6F0F">
        <w:rPr>
          <w:rFonts w:ascii="Times New Roman" w:hAnsi="Times New Roman"/>
          <w:sz w:val="24"/>
        </w:rPr>
        <w:br/>
        <w:t xml:space="preserve">Suinteresuoti subjektai: viešosios paskirties pastatų eksploatuotojai ir savininkai, užsakovai, projektų vadovai, architektai, saugos komitetų nariai, techniniai kontrolieriai, aušinimo skysčius naudojančių įrenginių gamintojai ir montuotojai. </w:t>
      </w:r>
      <w:r w:rsidRPr="006F6F0F">
        <w:rPr>
          <w:rFonts w:ascii="Times New Roman" w:hAnsi="Times New Roman"/>
          <w:sz w:val="24"/>
        </w:rPr>
        <w:br/>
        <w:t xml:space="preserve">Objektas: nuostatos, susijusios su aušinimo skysčių naudojimu viešosios paskirties patalpose, pakeitimas. </w:t>
      </w:r>
      <w:r w:rsidRPr="006F6F0F">
        <w:rPr>
          <w:rFonts w:ascii="Times New Roman" w:hAnsi="Times New Roman"/>
          <w:sz w:val="24"/>
        </w:rPr>
        <w:br/>
        <w:t xml:space="preserve">Įsigaliojimas: paskelbimo Prancūzijos Respublikos Oficialiajame leidinyje diena. </w:t>
      </w:r>
      <w:r w:rsidRPr="006F6F0F">
        <w:rPr>
          <w:rFonts w:ascii="Times New Roman" w:hAnsi="Times New Roman"/>
          <w:sz w:val="24"/>
        </w:rPr>
        <w:br/>
        <w:t xml:space="preserve">Santrauka: 2014 m. balandžio 16 d. Europos Parlamento ir Tarybos reglamente (ES) Nr. 517/2014 dėl fluorintų šiltnamio efektą sukeliančių dujų numatyta palaipsniui mažinti šių išmetamųjų dujų, ypač hidrofluorangliavandenilių (HFC), kiekį. Kai kurie hidrofluorangliavandeniliai naudojami įrenginiuose ar šildymo, oro kondicionavimo, klimato kontrolės ir karšto buitinio vandens paruošimo įrangoje viešosios paskirties pastatuose. Hidrofluorangliavandenilių pakaitalai, naudojami viešosios paskirties pastatų oro kondicionavimo ir |(arba) aušinimo įrenginiuose, dažniausiai būna degūs. Šiuo nutarimu siekiama leisti naudoti šiuos pakaitalus viešosios paskirties pastatuose, jei imamasi tam tikrų rizikos mažinimo priemonių. Šiame nutarime pateikta rizikos mažinimo priemonių tvarka grindžiama Rizikos prevencijos generalinio direktorato (pranc. santrumpa – DGPR) prie Ekologinės ir solidarios ekonomikos įgyvendinimo ministerijos (pranc. santrumpa – MTES) nuomone bei Nacionalinio pramoninės aplinkos ir rizikos vertinimo instituto (pranc. santrumpa – INERIS) analize. </w:t>
      </w:r>
      <w:r w:rsidRPr="006F6F0F">
        <w:rPr>
          <w:rFonts w:ascii="Times New Roman" w:hAnsi="Times New Roman"/>
          <w:sz w:val="24"/>
        </w:rPr>
        <w:br/>
        <w:t xml:space="preserve">Nuorodos: šiuo nutarimu iš dalies pakeistą tekstą galima rasti „Légifrance“ svetainėje (http://www.legifrance.gouv.fr). </w:t>
      </w:r>
    </w:p>
    <w:p w14:paraId="511145FD" w14:textId="2CFA82F1" w:rsidR="00B767EF" w:rsidRPr="006F6F0F" w:rsidRDefault="00B767EF" w:rsidP="00B767EF">
      <w:pPr>
        <w:spacing w:before="100" w:beforeAutospacing="1" w:after="100" w:afterAutospacing="1" w:line="240" w:lineRule="auto"/>
        <w:rPr>
          <w:rFonts w:ascii="Times New Roman" w:eastAsia="Times New Roman" w:hAnsi="Times New Roman" w:cs="Times New Roman"/>
          <w:sz w:val="24"/>
          <w:szCs w:val="24"/>
        </w:rPr>
      </w:pPr>
      <w:r w:rsidRPr="006F6F0F">
        <w:rPr>
          <w:rFonts w:ascii="Times New Roman" w:hAnsi="Times New Roman"/>
          <w:sz w:val="24"/>
        </w:rPr>
        <w:br/>
        <w:t>Vidaus reikalų ministras,</w:t>
      </w:r>
      <w:r w:rsidRPr="006F6F0F">
        <w:rPr>
          <w:rFonts w:ascii="Times New Roman" w:hAnsi="Times New Roman"/>
          <w:sz w:val="24"/>
        </w:rPr>
        <w:br/>
        <w:t>atsižvelgdamas į 2015 m. rugsėjo 9 d. Europos Parlamento ir Tarybos direktyvą (ES) 2015/1535, kuria nustatoma informacijos apie techninius reglamentus ir informacinės visuomenės paslaugų taisykles teikimo tvarka, visų pirma į pranešimą Nr. 2018/467/F;</w:t>
      </w:r>
      <w:r w:rsidRPr="006F6F0F">
        <w:rPr>
          <w:rFonts w:ascii="Times New Roman" w:hAnsi="Times New Roman"/>
          <w:sz w:val="24"/>
        </w:rPr>
        <w:br/>
        <w:t>atsižvelgdamas į Statybos ir apgyvendinimo kodeksą, ypač į jo R. 123-12 straipsnį</w:t>
      </w:r>
      <w:r w:rsidR="00044D0C" w:rsidRPr="006F6F0F">
        <w:rPr>
          <w:rFonts w:ascii="Times New Roman" w:hAnsi="Times New Roman"/>
          <w:sz w:val="24"/>
        </w:rPr>
        <w:t>;</w:t>
      </w:r>
      <w:r w:rsidRPr="006F6F0F">
        <w:rPr>
          <w:rFonts w:ascii="Times New Roman" w:hAnsi="Times New Roman"/>
          <w:sz w:val="24"/>
        </w:rPr>
        <w:br/>
        <w:t>atsižvelgdamas į 1980 m. birželio 25 d. iš dalies pakeistą nutarimą dėl Apsaugos nuo gaisro pavojų ir panikos viešosios paskirties pastatuose reglamento bendrųjų nuostatų patvirtinimo</w:t>
      </w:r>
      <w:r w:rsidR="007E0907">
        <w:rPr>
          <w:rFonts w:ascii="Times New Roman" w:hAnsi="Times New Roman"/>
          <w:sz w:val="24"/>
        </w:rPr>
        <w:t>;</w:t>
      </w:r>
      <w:r w:rsidRPr="006F6F0F">
        <w:rPr>
          <w:rFonts w:ascii="Times New Roman" w:hAnsi="Times New Roman"/>
          <w:sz w:val="24"/>
        </w:rPr>
        <w:t xml:space="preserve"> atsižvelgdamas į 2018 m. spalio 16 d. pateiktą Statybų ir energinio efektyvumo aukščiausiosios tarybos nuomonę;</w:t>
      </w:r>
      <w:r w:rsidRPr="006F6F0F">
        <w:rPr>
          <w:rFonts w:ascii="Times New Roman" w:hAnsi="Times New Roman"/>
          <w:sz w:val="24"/>
        </w:rPr>
        <w:br/>
        <w:t>atsižvelgdamas į 2018 m. spalio 11 d. pateiktą Standartų vertinimo konsultacinės komisijos nuomonę,</w:t>
      </w:r>
      <w:r w:rsidRPr="006F6F0F">
        <w:rPr>
          <w:rFonts w:ascii="Times New Roman" w:hAnsi="Times New Roman"/>
          <w:sz w:val="24"/>
        </w:rPr>
        <w:br/>
        <w:t>nutarė:</w:t>
      </w:r>
    </w:p>
    <w:p w14:paraId="1EB6D07B" w14:textId="77777777" w:rsidR="00B767EF" w:rsidRPr="006F6F0F" w:rsidRDefault="00B767EF" w:rsidP="00B767EF">
      <w:pPr>
        <w:spacing w:before="100" w:beforeAutospacing="1" w:after="100" w:afterAutospacing="1" w:line="240" w:lineRule="auto"/>
        <w:ind w:left="450"/>
        <w:outlineLvl w:val="3"/>
        <w:rPr>
          <w:rFonts w:ascii="Times New Roman" w:eastAsia="Times New Roman" w:hAnsi="Times New Roman" w:cs="Times New Roman"/>
          <w:b/>
          <w:bCs/>
          <w:sz w:val="24"/>
          <w:szCs w:val="24"/>
        </w:rPr>
      </w:pPr>
      <w:r w:rsidRPr="006F6F0F">
        <w:rPr>
          <w:rFonts w:ascii="Times New Roman" w:hAnsi="Times New Roman"/>
          <w:b/>
          <w:sz w:val="24"/>
        </w:rPr>
        <w:t>1 straipsnis</w:t>
      </w:r>
    </w:p>
    <w:p w14:paraId="6668C2CB" w14:textId="77777777" w:rsidR="00B767EF" w:rsidRPr="006F6F0F"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sidRPr="006F6F0F">
        <w:rPr>
          <w:rFonts w:ascii="Times New Roman" w:hAnsi="Times New Roman"/>
          <w:sz w:val="24"/>
        </w:rPr>
        <w:br/>
        <w:t>Minėtu 1980 m. birželio 25 d. nutarimu patvirtinto Saugos reglamento, kuriuo siekiama užkirsti kelią gaisro rizikai ir panikai viešosios paskirties pastatuose, II knygos I antraštinės dalies V skyrius yra iš dalies keičiamas pagal 2–3 straipsnius.</w:t>
      </w:r>
    </w:p>
    <w:p w14:paraId="5C05C3DB" w14:textId="77777777" w:rsidR="00B767EF" w:rsidRPr="006F6F0F" w:rsidRDefault="00B767EF" w:rsidP="00B767EF">
      <w:pPr>
        <w:spacing w:before="100" w:beforeAutospacing="1" w:after="100" w:afterAutospacing="1" w:line="240" w:lineRule="auto"/>
        <w:ind w:left="450"/>
        <w:outlineLvl w:val="3"/>
        <w:rPr>
          <w:rFonts w:ascii="Times New Roman" w:eastAsia="Times New Roman" w:hAnsi="Times New Roman" w:cs="Times New Roman"/>
          <w:b/>
          <w:bCs/>
          <w:sz w:val="24"/>
          <w:szCs w:val="24"/>
        </w:rPr>
      </w:pPr>
      <w:r w:rsidRPr="006F6F0F">
        <w:rPr>
          <w:rFonts w:ascii="Times New Roman" w:hAnsi="Times New Roman"/>
          <w:b/>
          <w:sz w:val="24"/>
        </w:rPr>
        <w:lastRenderedPageBreak/>
        <w:t>2 straipsnis</w:t>
      </w:r>
    </w:p>
    <w:p w14:paraId="643787CA" w14:textId="77777777" w:rsidR="00B767EF" w:rsidRPr="006F6F0F"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sidRPr="006F6F0F">
        <w:rPr>
          <w:rFonts w:ascii="Times New Roman" w:hAnsi="Times New Roman"/>
          <w:sz w:val="24"/>
        </w:rPr>
        <w:br/>
        <w:t xml:space="preserve">CH 35 straipsnis pakeičiamas taip: </w:t>
      </w:r>
      <w:r w:rsidRPr="006F6F0F">
        <w:rPr>
          <w:rFonts w:ascii="Times New Roman" w:hAnsi="Times New Roman"/>
          <w:sz w:val="24"/>
        </w:rPr>
        <w:br/>
        <w:t>„Aušinimo skysčius naudojantys prietaisai ar įrenginiai</w:t>
      </w:r>
      <w:r w:rsidRPr="006F6F0F">
        <w:rPr>
          <w:rFonts w:ascii="Times New Roman" w:hAnsi="Times New Roman"/>
          <w:sz w:val="24"/>
        </w:rPr>
        <w:br/>
        <w:t xml:space="preserve">1. Šiame straipsnyje taikomos šios apibrėžtys: </w:t>
      </w:r>
    </w:p>
    <w:p w14:paraId="41614B6A" w14:textId="77777777" w:rsidR="00B767EF" w:rsidRPr="006F6F0F"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sidRPr="006F6F0F">
        <w:rPr>
          <w:rFonts w:ascii="Times New Roman" w:hAnsi="Times New Roman"/>
          <w:sz w:val="24"/>
        </w:rPr>
        <w:br/>
        <w:t xml:space="preserve">– degūs aušinimo skysčiai – skysčiai, kurie skatina ugnies plitimą 60 °C temperatūroje esant 101,3 kPa slėgiui; </w:t>
      </w:r>
      <w:r w:rsidRPr="006F6F0F">
        <w:rPr>
          <w:rFonts w:ascii="Times New Roman" w:hAnsi="Times New Roman"/>
          <w:sz w:val="24"/>
        </w:rPr>
        <w:br/>
        <w:t xml:space="preserve">– toksiški aušinimo skysčiai – skysčiai, kurių toksiškumas yra įrodytas esant mažesnei nei 400 ppm koncentracijai. </w:t>
      </w:r>
    </w:p>
    <w:p w14:paraId="4C970516" w14:textId="77777777" w:rsidR="00B767EF" w:rsidRPr="006F6F0F"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sidRPr="006F6F0F">
        <w:rPr>
          <w:rFonts w:ascii="Times New Roman" w:hAnsi="Times New Roman"/>
          <w:sz w:val="24"/>
        </w:rPr>
        <w:br/>
        <w:t xml:space="preserve">Termodinaminiai šildymo, oro kondicionavimo, klimato kontrolės ir karšto buitinio vandens ruošimo prietaisai ir įrenginiai turi atitikti tolesnes nuostatas. </w:t>
      </w:r>
      <w:r w:rsidRPr="006F6F0F">
        <w:rPr>
          <w:rFonts w:ascii="Times New Roman" w:hAnsi="Times New Roman"/>
          <w:sz w:val="24"/>
        </w:rPr>
        <w:br/>
        <w:t xml:space="preserve">2. Nuostatos, taikomos neatsižvelgiant į naudojamą aušinimo skystį. </w:t>
      </w:r>
      <w:r w:rsidRPr="006F6F0F">
        <w:rPr>
          <w:rFonts w:ascii="Times New Roman" w:hAnsi="Times New Roman"/>
          <w:sz w:val="24"/>
        </w:rPr>
        <w:br/>
        <w:t xml:space="preserve">Jei įrenginiai su įmontuotu kompresoriumi įrengiami viešai prieinamose patalpose, kompresoriai turi būti hermetiško arba hermetiško prieinamo tipo. </w:t>
      </w:r>
      <w:r w:rsidRPr="006F6F0F">
        <w:rPr>
          <w:rFonts w:ascii="Times New Roman" w:hAnsi="Times New Roman"/>
          <w:sz w:val="24"/>
        </w:rPr>
        <w:br/>
        <w:t xml:space="preserve">Jei įrenginiai įrengiami mašinų skyriuje, šiame skyriuje turi būti bent dvi ventiliacijos angos, išeinančios į pastato išorę ir išdėstytos dviejuose skirtinguose aukščiuose. Šis skyrius negali būti katilinė ir jis negali tiesiogiai susisiekti su viešai prieinamomis patalpomis. </w:t>
      </w:r>
      <w:r w:rsidRPr="006F6F0F">
        <w:rPr>
          <w:rFonts w:ascii="Times New Roman" w:hAnsi="Times New Roman"/>
          <w:sz w:val="24"/>
        </w:rPr>
        <w:br/>
        <w:t xml:space="preserve">Aušinimo skysčius tiekiantys vamzdžiai turi būti metaliniai. </w:t>
      </w:r>
      <w:r w:rsidRPr="006F6F0F">
        <w:rPr>
          <w:rFonts w:ascii="Times New Roman" w:hAnsi="Times New Roman"/>
          <w:sz w:val="24"/>
        </w:rPr>
        <w:br/>
        <w:t xml:space="preserve">Vamzdžių šiluminio izoliavimo priemonės turi būti pagamintos iš M1 arba CL-s3, d0 klasei priskiriamos medžiagos, jei šios priemonės naudojamos viešai prieinamose patalpose ar koridoriuose, ir iš M3 arba DL-s3, d0 klasei priskiriamos medžiagos, jei jos naudojamos kitose pastato dalyse. </w:t>
      </w:r>
      <w:r w:rsidRPr="006F6F0F">
        <w:rPr>
          <w:rFonts w:ascii="Times New Roman" w:hAnsi="Times New Roman"/>
          <w:sz w:val="24"/>
        </w:rPr>
        <w:br/>
        <w:t xml:space="preserve">Vamzdžiai ir indai, kuriuose teka šalčio perdavimo skysčiai (aušalai) turi atitikti CH 25 straipsnio 3 dalies nuostatas. </w:t>
      </w:r>
      <w:r w:rsidRPr="006F6F0F">
        <w:rPr>
          <w:rFonts w:ascii="Times New Roman" w:hAnsi="Times New Roman"/>
          <w:sz w:val="24"/>
        </w:rPr>
        <w:br/>
        <w:t xml:space="preserve">Vamzdžių šiluminio izoliavimo priemonės, skirtos aušinimo skysčių ir aušalų indams, turi būti pagamintos iš M1 arba B-s3, d0 klasei priskiriamos medžiagos, jei šios priemonės naudojamos viešai prieinamose patalpose ar koridoriuose, ir iš M3 arba D-s3, d0 klasei priskiriamos medžiagos, jei jos naudojamos kitose pastato dalyse. </w:t>
      </w:r>
      <w:r w:rsidRPr="006F6F0F">
        <w:rPr>
          <w:rFonts w:ascii="Times New Roman" w:hAnsi="Times New Roman"/>
          <w:sz w:val="24"/>
        </w:rPr>
        <w:br/>
        <w:t xml:space="preserve">3. Nuostatos, taikomos naudojant degius aušinimo skysčius. </w:t>
      </w:r>
      <w:r w:rsidRPr="006F6F0F">
        <w:rPr>
          <w:rFonts w:ascii="Times New Roman" w:hAnsi="Times New Roman"/>
          <w:sz w:val="24"/>
        </w:rPr>
        <w:br/>
        <w:t xml:space="preserve">3 dalies nuostatos netaikomos hermetiškai uždarytiems ir CE ženklu paženklintiems įrenginiams. </w:t>
      </w:r>
      <w:r w:rsidRPr="006F6F0F">
        <w:rPr>
          <w:rFonts w:ascii="Times New Roman" w:hAnsi="Times New Roman"/>
          <w:sz w:val="24"/>
        </w:rPr>
        <w:br/>
        <w:t xml:space="preserve">Prie vamzdžių, kuriais teka degūs aušinimo skysčiai, draudžiama įrengti demontuojamas jungtis, išskyrus jei jos skirtos blokams prijungti. </w:t>
      </w:r>
      <w:r w:rsidRPr="006F6F0F">
        <w:rPr>
          <w:rFonts w:ascii="Times New Roman" w:hAnsi="Times New Roman"/>
          <w:sz w:val="24"/>
        </w:rPr>
        <w:br/>
        <w:t xml:space="preserve">Vamzdžiai, kuriais teka degūs aušinimo skysčiai, turi būti apsaugoti nuo bet kokio atviro įtrūkimo rizikos. Jei vamzdžiai įrengiami bent dviejų metrų atstumu nuo žemės arba įrengiama mechaninė apsauga, šis reikalavimas laikomas įvykdytu. </w:t>
      </w:r>
      <w:r w:rsidRPr="006F6F0F">
        <w:rPr>
          <w:rFonts w:ascii="Times New Roman" w:hAnsi="Times New Roman"/>
          <w:sz w:val="24"/>
        </w:rPr>
        <w:br/>
        <w:t>Vidinis vamzdžių, kuriais teka degūs aušinimo skysčiai skystu pavidalu, skersmuo turi būti mažesnis nei 50 mm.</w:t>
      </w:r>
      <w:r w:rsidRPr="006F6F0F">
        <w:rPr>
          <w:rFonts w:ascii="Times New Roman" w:hAnsi="Times New Roman"/>
          <w:sz w:val="24"/>
        </w:rPr>
        <w:br/>
        <w:t xml:space="preserve">Be 2 dalyje numatytų sąlygų, izoliavimo priemonės, skirtos vidiniams blokams, kuriuose yra degių aušinimo skysčių, izoliuoti, turi būti pagamintos iš M1 arba B-s3, d0 klasės medžiagos. </w:t>
      </w:r>
      <w:r w:rsidRPr="006F6F0F">
        <w:rPr>
          <w:rFonts w:ascii="Times New Roman" w:hAnsi="Times New Roman"/>
          <w:sz w:val="24"/>
        </w:rPr>
        <w:br/>
        <w:t xml:space="preserve">Mašinų skyriai yra vidutinės rizikos patalpos pagal CO 28 straipsnio 2 dalį. </w:t>
      </w:r>
      <w:r w:rsidRPr="006F6F0F">
        <w:rPr>
          <w:rFonts w:ascii="Times New Roman" w:hAnsi="Times New Roman"/>
          <w:sz w:val="24"/>
        </w:rPr>
        <w:br/>
        <w:t xml:space="preserve">a) Atskyrimo zona. </w:t>
      </w:r>
      <w:r w:rsidRPr="006F6F0F">
        <w:rPr>
          <w:rFonts w:ascii="Times New Roman" w:hAnsi="Times New Roman"/>
          <w:sz w:val="24"/>
        </w:rPr>
        <w:br/>
        <w:t xml:space="preserve">Aplink blokų, kuriuose yra degių aušinimo skysčių, išmontuojamas jungtis turi būti </w:t>
      </w:r>
      <w:r w:rsidRPr="006F6F0F">
        <w:rPr>
          <w:rFonts w:ascii="Times New Roman" w:hAnsi="Times New Roman"/>
          <w:sz w:val="24"/>
        </w:rPr>
        <w:lastRenderedPageBreak/>
        <w:t xml:space="preserve">nustatyta zona, kurioje draudžiamas bet koks liepsnos šaltinis, ypač bet kokia liepsna ar prietaisas, galintis sukelti kibirkštį, kad nebūtų jokios užsiliepsnojimo rizikos įvykus skysčių nutekėjimui. </w:t>
      </w:r>
      <w:r w:rsidRPr="006F6F0F">
        <w:rPr>
          <w:rFonts w:ascii="Times New Roman" w:hAnsi="Times New Roman"/>
          <w:sz w:val="24"/>
        </w:rPr>
        <w:br/>
        <w:t xml:space="preserve">Atsižvelgiant į tai, ar įrenginiai yra pastato viduje ar išorėje, taip pat atsižvelgiant į skysčio degimo charakteristikas, šios zonos spindulys nustatomas pagal toliau pateiktą lentelę. </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353"/>
        <w:gridCol w:w="1513"/>
        <w:gridCol w:w="1960"/>
        <w:gridCol w:w="2230"/>
      </w:tblGrid>
      <w:tr w:rsidR="00B767EF" w:rsidRPr="006F6F0F" w14:paraId="4C9966B3" w14:textId="77777777" w:rsidTr="00B767EF">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8AB0631" w14:textId="0DD82B3C" w:rsidR="00B767EF" w:rsidRPr="006F6F0F" w:rsidRDefault="00B767EF" w:rsidP="00B767EF">
            <w:pPr>
              <w:spacing w:after="0" w:line="240" w:lineRule="auto"/>
              <w:jc w:val="center"/>
              <w:rPr>
                <w:rFonts w:ascii="Times New Roman" w:eastAsia="Times New Roman" w:hAnsi="Times New Roman" w:cs="Times New Roman"/>
                <w:b/>
                <w:bCs/>
                <w:sz w:val="24"/>
                <w:szCs w:val="24"/>
              </w:rPr>
            </w:pPr>
            <w:r w:rsidRPr="006F6F0F">
              <w:rPr>
                <w:rFonts w:ascii="Times New Roman" w:hAnsi="Times New Roman"/>
                <w:b/>
                <w:sz w:val="24"/>
              </w:rPr>
              <w:br/>
              <w:t xml:space="preserve">Vidinis vamzdžių, kuriuose cirkuliuoja skystoji fazė, skersmuo D (mm)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419608A" w14:textId="77777777" w:rsidR="00B767EF" w:rsidRPr="006F6F0F" w:rsidRDefault="00B767EF" w:rsidP="00B767EF">
            <w:pPr>
              <w:spacing w:after="0" w:line="240" w:lineRule="auto"/>
              <w:jc w:val="center"/>
              <w:rPr>
                <w:rFonts w:ascii="Times New Roman" w:eastAsia="Times New Roman" w:hAnsi="Times New Roman" w:cs="Times New Roman"/>
                <w:b/>
                <w:bCs/>
                <w:sz w:val="24"/>
                <w:szCs w:val="24"/>
              </w:rPr>
            </w:pPr>
            <w:r w:rsidRPr="006F6F0F">
              <w:rPr>
                <w:rFonts w:ascii="Times New Roman" w:hAnsi="Times New Roman"/>
                <w:b/>
                <w:sz w:val="24"/>
              </w:rPr>
              <w:br/>
              <w:t xml:space="preserve">Spindulys (m) </w:t>
            </w:r>
          </w:p>
        </w:tc>
      </w:tr>
      <w:tr w:rsidR="00B767EF" w:rsidRPr="006F6F0F" w14:paraId="052FA11E" w14:textId="77777777" w:rsidTr="00B767EF">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405AF54" w14:textId="77777777" w:rsidR="00B767EF" w:rsidRPr="006F6F0F" w:rsidRDefault="00B767EF" w:rsidP="00B767EF">
            <w:pPr>
              <w:spacing w:after="0" w:line="240" w:lineRule="auto"/>
              <w:rPr>
                <w:rFonts w:ascii="Times New Roman" w:eastAsia="Times New Roman" w:hAnsi="Times New Roman" w:cs="Times New Roman"/>
                <w:b/>
                <w:bCs/>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923FC3C" w14:textId="448C9825" w:rsidR="00B767EF" w:rsidRPr="006F6F0F" w:rsidRDefault="00B767EF" w:rsidP="00B767EF">
            <w:pPr>
              <w:spacing w:after="0" w:line="240" w:lineRule="auto"/>
              <w:jc w:val="center"/>
              <w:rPr>
                <w:rFonts w:ascii="Times New Roman" w:eastAsia="Times New Roman" w:hAnsi="Times New Roman" w:cs="Times New Roman"/>
                <w:b/>
                <w:bCs/>
                <w:sz w:val="24"/>
                <w:szCs w:val="24"/>
              </w:rPr>
            </w:pPr>
            <w:r w:rsidRPr="006F6F0F">
              <w:rPr>
                <w:rFonts w:ascii="Times New Roman" w:hAnsi="Times New Roman"/>
                <w:b/>
                <w:sz w:val="24"/>
              </w:rPr>
              <w:br/>
              <w:t>Išoriniai įrenginiai</w:t>
            </w:r>
            <w:r w:rsidR="00044D0C" w:rsidRPr="006F6F0F">
              <w:rPr>
                <w:rFonts w:ascii="Times New Roman" w:hAnsi="Times New Roman"/>
                <w:b/>
                <w:sz w:val="24"/>
              </w:rPr>
              <w:t xml:space="preserve"> </w:t>
            </w:r>
            <w:r w:rsidRPr="006F6F0F">
              <w:rPr>
                <w:rFonts w:ascii="Times New Roman" w:hAnsi="Times New Roman"/>
                <w:b/>
                <w:sz w:val="24"/>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54907804" w14:textId="60B591E4" w:rsidR="00B767EF" w:rsidRPr="006F6F0F" w:rsidRDefault="00B767EF" w:rsidP="00B767EF">
            <w:pPr>
              <w:spacing w:after="0" w:line="240" w:lineRule="auto"/>
              <w:jc w:val="center"/>
              <w:rPr>
                <w:rFonts w:ascii="Times New Roman" w:eastAsia="Times New Roman" w:hAnsi="Times New Roman" w:cs="Times New Roman"/>
                <w:b/>
                <w:bCs/>
                <w:sz w:val="24"/>
                <w:szCs w:val="24"/>
              </w:rPr>
            </w:pPr>
            <w:r w:rsidRPr="006F6F0F">
              <w:rPr>
                <w:rFonts w:ascii="Times New Roman" w:hAnsi="Times New Roman"/>
                <w:b/>
                <w:sz w:val="24"/>
              </w:rPr>
              <w:br/>
              <w:t>Vidiniai įrenginiai</w:t>
            </w:r>
            <w:r w:rsidR="00044D0C" w:rsidRPr="006F6F0F">
              <w:rPr>
                <w:rFonts w:ascii="Times New Roman" w:hAnsi="Times New Roman"/>
                <w:b/>
                <w:sz w:val="24"/>
              </w:rPr>
              <w:t xml:space="preserve"> </w:t>
            </w:r>
            <w:r w:rsidRPr="006F6F0F">
              <w:rPr>
                <w:rFonts w:ascii="Times New Roman" w:hAnsi="Times New Roman"/>
                <w:b/>
                <w:sz w:val="24"/>
              </w:rPr>
              <w:t>(2)</w:t>
            </w:r>
            <w:r w:rsidRPr="006F6F0F">
              <w:rPr>
                <w:rFonts w:ascii="Times New Roman" w:hAnsi="Times New Roman"/>
                <w:b/>
                <w:sz w:val="24"/>
              </w:rPr>
              <w:br/>
              <w:t xml:space="preserve">Apatinė degumo riba &gt; 0,10 kg/m3 </w:t>
            </w:r>
          </w:p>
        </w:tc>
        <w:tc>
          <w:tcPr>
            <w:tcW w:w="0" w:type="auto"/>
            <w:tcBorders>
              <w:top w:val="outset" w:sz="6" w:space="0" w:color="auto"/>
              <w:left w:val="outset" w:sz="6" w:space="0" w:color="auto"/>
              <w:bottom w:val="outset" w:sz="6" w:space="0" w:color="auto"/>
              <w:right w:val="outset" w:sz="6" w:space="0" w:color="auto"/>
            </w:tcBorders>
            <w:vAlign w:val="center"/>
            <w:hideMark/>
          </w:tcPr>
          <w:p w14:paraId="455912B6" w14:textId="30AAB87D" w:rsidR="00B767EF" w:rsidRPr="006F6F0F" w:rsidRDefault="00B767EF" w:rsidP="00B767EF">
            <w:pPr>
              <w:spacing w:after="0" w:line="240" w:lineRule="auto"/>
              <w:jc w:val="center"/>
              <w:rPr>
                <w:rFonts w:ascii="Times New Roman" w:eastAsia="Times New Roman" w:hAnsi="Times New Roman" w:cs="Times New Roman"/>
                <w:b/>
                <w:bCs/>
                <w:sz w:val="24"/>
                <w:szCs w:val="24"/>
              </w:rPr>
            </w:pPr>
            <w:r w:rsidRPr="006F6F0F">
              <w:rPr>
                <w:rFonts w:ascii="Times New Roman" w:hAnsi="Times New Roman"/>
                <w:b/>
                <w:sz w:val="24"/>
              </w:rPr>
              <w:br/>
              <w:t>Vidiniai įrenginiai</w:t>
            </w:r>
            <w:r w:rsidR="00044D0C" w:rsidRPr="006F6F0F">
              <w:rPr>
                <w:rFonts w:ascii="Times New Roman" w:hAnsi="Times New Roman"/>
                <w:b/>
                <w:sz w:val="24"/>
              </w:rPr>
              <w:t xml:space="preserve"> </w:t>
            </w:r>
            <w:r w:rsidRPr="006F6F0F">
              <w:rPr>
                <w:rFonts w:ascii="Times New Roman" w:hAnsi="Times New Roman"/>
                <w:b/>
                <w:sz w:val="24"/>
              </w:rPr>
              <w:t>(3)</w:t>
            </w:r>
            <w:r w:rsidRPr="006F6F0F">
              <w:rPr>
                <w:rFonts w:ascii="Times New Roman" w:hAnsi="Times New Roman"/>
                <w:b/>
                <w:sz w:val="24"/>
              </w:rPr>
              <w:br/>
              <w:t xml:space="preserve">Apatinė degumo riba (ADR) &lt; 0,10 kg/m3 </w:t>
            </w:r>
          </w:p>
        </w:tc>
      </w:tr>
      <w:tr w:rsidR="00B767EF" w:rsidRPr="006F6F0F" w14:paraId="05AF61DD" w14:textId="77777777" w:rsidTr="00B767E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F44BCF1" w14:textId="77777777" w:rsidR="00B767EF" w:rsidRPr="006F6F0F" w:rsidRDefault="00B767EF" w:rsidP="00B767EF">
            <w:pPr>
              <w:spacing w:after="0" w:line="240" w:lineRule="auto"/>
              <w:rPr>
                <w:rFonts w:ascii="Times New Roman" w:eastAsia="Times New Roman" w:hAnsi="Times New Roman" w:cs="Times New Roman"/>
                <w:sz w:val="24"/>
                <w:szCs w:val="24"/>
              </w:rPr>
            </w:pPr>
            <w:r w:rsidRPr="006F6F0F">
              <w:rPr>
                <w:rFonts w:ascii="Times New Roman" w:hAnsi="Times New Roman"/>
                <w:sz w:val="24"/>
              </w:rPr>
              <w:br/>
              <w:t xml:space="preserve">D ≤ 10 </w:t>
            </w:r>
          </w:p>
        </w:tc>
        <w:tc>
          <w:tcPr>
            <w:tcW w:w="0" w:type="auto"/>
            <w:tcBorders>
              <w:top w:val="outset" w:sz="6" w:space="0" w:color="auto"/>
              <w:left w:val="outset" w:sz="6" w:space="0" w:color="auto"/>
              <w:bottom w:val="outset" w:sz="6" w:space="0" w:color="auto"/>
              <w:right w:val="outset" w:sz="6" w:space="0" w:color="auto"/>
            </w:tcBorders>
            <w:vAlign w:val="center"/>
            <w:hideMark/>
          </w:tcPr>
          <w:p w14:paraId="5B111023" w14:textId="77777777" w:rsidR="00B767EF" w:rsidRPr="006F6F0F" w:rsidRDefault="00B767EF" w:rsidP="00B767EF">
            <w:pPr>
              <w:spacing w:after="0" w:line="240" w:lineRule="auto"/>
              <w:rPr>
                <w:rFonts w:ascii="Times New Roman" w:eastAsia="Times New Roman" w:hAnsi="Times New Roman" w:cs="Times New Roman"/>
                <w:sz w:val="24"/>
                <w:szCs w:val="24"/>
              </w:rPr>
            </w:pPr>
            <w:r w:rsidRPr="006F6F0F">
              <w:rPr>
                <w:rFonts w:ascii="Times New Roman" w:hAnsi="Times New Roman"/>
                <w:sz w:val="24"/>
              </w:rPr>
              <w:b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38A4FD76" w14:textId="77777777" w:rsidR="00B767EF" w:rsidRPr="006F6F0F" w:rsidRDefault="00B767EF" w:rsidP="00B767EF">
            <w:pPr>
              <w:spacing w:after="0" w:line="240" w:lineRule="auto"/>
              <w:rPr>
                <w:rFonts w:ascii="Times New Roman" w:eastAsia="Times New Roman" w:hAnsi="Times New Roman" w:cs="Times New Roman"/>
                <w:sz w:val="24"/>
                <w:szCs w:val="24"/>
              </w:rPr>
            </w:pPr>
            <w:r w:rsidRPr="006F6F0F">
              <w:rPr>
                <w:rFonts w:ascii="Times New Roman" w:hAnsi="Times New Roman"/>
                <w:sz w:val="24"/>
              </w:rPr>
              <w:b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2C9C5D2D" w14:textId="77777777" w:rsidR="00B767EF" w:rsidRPr="006F6F0F" w:rsidRDefault="00B767EF" w:rsidP="00B767EF">
            <w:pPr>
              <w:spacing w:after="0" w:line="240" w:lineRule="auto"/>
              <w:rPr>
                <w:rFonts w:ascii="Times New Roman" w:eastAsia="Times New Roman" w:hAnsi="Times New Roman" w:cs="Times New Roman"/>
                <w:sz w:val="24"/>
                <w:szCs w:val="24"/>
              </w:rPr>
            </w:pPr>
            <w:r w:rsidRPr="006F6F0F">
              <w:rPr>
                <w:rFonts w:ascii="Times New Roman" w:hAnsi="Times New Roman"/>
                <w:sz w:val="24"/>
              </w:rPr>
              <w:br/>
              <w:t xml:space="preserve">2 </w:t>
            </w:r>
          </w:p>
        </w:tc>
      </w:tr>
      <w:tr w:rsidR="00B767EF" w:rsidRPr="006F6F0F" w14:paraId="3650889A" w14:textId="77777777" w:rsidTr="00B767E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44A1EF2" w14:textId="77777777" w:rsidR="00B767EF" w:rsidRPr="006F6F0F" w:rsidRDefault="00B767EF" w:rsidP="00B767EF">
            <w:pPr>
              <w:spacing w:after="0" w:line="240" w:lineRule="auto"/>
              <w:rPr>
                <w:rFonts w:ascii="Times New Roman" w:eastAsia="Times New Roman" w:hAnsi="Times New Roman" w:cs="Times New Roman"/>
                <w:sz w:val="24"/>
                <w:szCs w:val="24"/>
              </w:rPr>
            </w:pPr>
            <w:r w:rsidRPr="006F6F0F">
              <w:rPr>
                <w:rFonts w:ascii="Times New Roman" w:hAnsi="Times New Roman"/>
                <w:sz w:val="24"/>
              </w:rPr>
              <w:br/>
              <w:t xml:space="preserve">10 &lt; D ≤ 20 </w:t>
            </w:r>
          </w:p>
        </w:tc>
        <w:tc>
          <w:tcPr>
            <w:tcW w:w="0" w:type="auto"/>
            <w:tcBorders>
              <w:top w:val="outset" w:sz="6" w:space="0" w:color="auto"/>
              <w:left w:val="outset" w:sz="6" w:space="0" w:color="auto"/>
              <w:bottom w:val="outset" w:sz="6" w:space="0" w:color="auto"/>
              <w:right w:val="outset" w:sz="6" w:space="0" w:color="auto"/>
            </w:tcBorders>
            <w:vAlign w:val="center"/>
            <w:hideMark/>
          </w:tcPr>
          <w:p w14:paraId="1A920494" w14:textId="77777777" w:rsidR="00B767EF" w:rsidRPr="006F6F0F" w:rsidRDefault="00B767EF" w:rsidP="00B767EF">
            <w:pPr>
              <w:spacing w:after="0" w:line="240" w:lineRule="auto"/>
              <w:rPr>
                <w:rFonts w:ascii="Times New Roman" w:eastAsia="Times New Roman" w:hAnsi="Times New Roman" w:cs="Times New Roman"/>
                <w:sz w:val="24"/>
                <w:szCs w:val="24"/>
              </w:rPr>
            </w:pPr>
            <w:r w:rsidRPr="006F6F0F">
              <w:rPr>
                <w:rFonts w:ascii="Times New Roman" w:hAnsi="Times New Roman"/>
                <w:sz w:val="24"/>
              </w:rPr>
              <w:b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14:paraId="6EC6735C" w14:textId="77777777" w:rsidR="00B767EF" w:rsidRPr="006F6F0F" w:rsidRDefault="00B767EF" w:rsidP="00B767EF">
            <w:pPr>
              <w:spacing w:after="0" w:line="240" w:lineRule="auto"/>
              <w:rPr>
                <w:rFonts w:ascii="Times New Roman" w:eastAsia="Times New Roman" w:hAnsi="Times New Roman" w:cs="Times New Roman"/>
                <w:sz w:val="24"/>
                <w:szCs w:val="24"/>
              </w:rPr>
            </w:pPr>
            <w:r w:rsidRPr="006F6F0F">
              <w:rPr>
                <w:rFonts w:ascii="Times New Roman" w:hAnsi="Times New Roman"/>
                <w:sz w:val="24"/>
              </w:rPr>
              <w:b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4E448935" w14:textId="77777777" w:rsidR="00B767EF" w:rsidRPr="006F6F0F" w:rsidRDefault="00B767EF" w:rsidP="00B767EF">
            <w:pPr>
              <w:spacing w:after="0" w:line="240" w:lineRule="auto"/>
              <w:rPr>
                <w:rFonts w:ascii="Times New Roman" w:eastAsia="Times New Roman" w:hAnsi="Times New Roman" w:cs="Times New Roman"/>
                <w:sz w:val="24"/>
                <w:szCs w:val="24"/>
              </w:rPr>
            </w:pPr>
            <w:r w:rsidRPr="006F6F0F">
              <w:rPr>
                <w:rFonts w:ascii="Times New Roman" w:hAnsi="Times New Roman"/>
                <w:sz w:val="24"/>
              </w:rPr>
              <w:br/>
              <w:t xml:space="preserve">4 </w:t>
            </w:r>
          </w:p>
        </w:tc>
      </w:tr>
      <w:tr w:rsidR="00B767EF" w:rsidRPr="006F6F0F" w14:paraId="1020D8A8" w14:textId="77777777" w:rsidTr="00B767E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A954753" w14:textId="77777777" w:rsidR="00B767EF" w:rsidRPr="006F6F0F" w:rsidRDefault="00B767EF" w:rsidP="00B767EF">
            <w:pPr>
              <w:spacing w:after="0" w:line="240" w:lineRule="auto"/>
              <w:rPr>
                <w:rFonts w:ascii="Times New Roman" w:eastAsia="Times New Roman" w:hAnsi="Times New Roman" w:cs="Times New Roman"/>
                <w:sz w:val="24"/>
                <w:szCs w:val="24"/>
              </w:rPr>
            </w:pPr>
            <w:r w:rsidRPr="006F6F0F">
              <w:rPr>
                <w:rFonts w:ascii="Times New Roman" w:hAnsi="Times New Roman"/>
                <w:sz w:val="24"/>
              </w:rPr>
              <w:br/>
              <w:t xml:space="preserve">20 &lt; D ≤ 50 </w:t>
            </w:r>
          </w:p>
        </w:tc>
        <w:tc>
          <w:tcPr>
            <w:tcW w:w="0" w:type="auto"/>
            <w:tcBorders>
              <w:top w:val="outset" w:sz="6" w:space="0" w:color="auto"/>
              <w:left w:val="outset" w:sz="6" w:space="0" w:color="auto"/>
              <w:bottom w:val="outset" w:sz="6" w:space="0" w:color="auto"/>
              <w:right w:val="outset" w:sz="6" w:space="0" w:color="auto"/>
            </w:tcBorders>
            <w:vAlign w:val="center"/>
            <w:hideMark/>
          </w:tcPr>
          <w:p w14:paraId="5BDE0AA6" w14:textId="77777777" w:rsidR="00B767EF" w:rsidRPr="006F6F0F" w:rsidRDefault="00B767EF" w:rsidP="00B767EF">
            <w:pPr>
              <w:spacing w:after="0" w:line="240" w:lineRule="auto"/>
              <w:rPr>
                <w:rFonts w:ascii="Times New Roman" w:eastAsia="Times New Roman" w:hAnsi="Times New Roman" w:cs="Times New Roman"/>
                <w:sz w:val="24"/>
                <w:szCs w:val="24"/>
              </w:rPr>
            </w:pPr>
            <w:r w:rsidRPr="006F6F0F">
              <w:rPr>
                <w:rFonts w:ascii="Times New Roman" w:hAnsi="Times New Roman"/>
                <w:sz w:val="24"/>
              </w:rPr>
              <w:br/>
              <w:t xml:space="preserve">10 </w:t>
            </w:r>
          </w:p>
        </w:tc>
        <w:tc>
          <w:tcPr>
            <w:tcW w:w="0" w:type="auto"/>
            <w:tcBorders>
              <w:top w:val="outset" w:sz="6" w:space="0" w:color="auto"/>
              <w:left w:val="outset" w:sz="6" w:space="0" w:color="auto"/>
              <w:bottom w:val="outset" w:sz="6" w:space="0" w:color="auto"/>
              <w:right w:val="outset" w:sz="6" w:space="0" w:color="auto"/>
            </w:tcBorders>
            <w:vAlign w:val="center"/>
            <w:hideMark/>
          </w:tcPr>
          <w:p w14:paraId="704B77CA" w14:textId="77777777" w:rsidR="00B767EF" w:rsidRPr="006F6F0F" w:rsidRDefault="00B767EF" w:rsidP="00B767EF">
            <w:pPr>
              <w:spacing w:after="0" w:line="240" w:lineRule="auto"/>
              <w:rPr>
                <w:rFonts w:ascii="Times New Roman" w:eastAsia="Times New Roman" w:hAnsi="Times New Roman" w:cs="Times New Roman"/>
                <w:sz w:val="24"/>
                <w:szCs w:val="24"/>
              </w:rPr>
            </w:pPr>
            <w:r w:rsidRPr="006F6F0F">
              <w:rPr>
                <w:rFonts w:ascii="Times New Roman" w:hAnsi="Times New Roman"/>
                <w:sz w:val="24"/>
              </w:rPr>
              <w:b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14:paraId="1A3F7965" w14:textId="77777777" w:rsidR="00B767EF" w:rsidRPr="006F6F0F" w:rsidRDefault="00B767EF" w:rsidP="00B767EF">
            <w:pPr>
              <w:spacing w:after="0" w:line="240" w:lineRule="auto"/>
              <w:rPr>
                <w:rFonts w:ascii="Times New Roman" w:eastAsia="Times New Roman" w:hAnsi="Times New Roman" w:cs="Times New Roman"/>
                <w:sz w:val="24"/>
                <w:szCs w:val="24"/>
              </w:rPr>
            </w:pPr>
            <w:r w:rsidRPr="006F6F0F">
              <w:rPr>
                <w:rFonts w:ascii="Times New Roman" w:hAnsi="Times New Roman"/>
                <w:sz w:val="24"/>
              </w:rPr>
              <w:br/>
              <w:t xml:space="preserve">10 </w:t>
            </w:r>
          </w:p>
        </w:tc>
      </w:tr>
    </w:tbl>
    <w:p w14:paraId="57246B03" w14:textId="7AAC608D" w:rsidR="00B767EF" w:rsidRPr="006F6F0F"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sidRPr="006F6F0F">
        <w:rPr>
          <w:rFonts w:ascii="Times New Roman" w:hAnsi="Times New Roman"/>
          <w:sz w:val="24"/>
        </w:rPr>
        <w:br/>
        <w:t xml:space="preserve">b) Didžiausias leidžiamas apkrovos kiekis. </w:t>
      </w:r>
      <w:r w:rsidRPr="006F6F0F">
        <w:rPr>
          <w:rFonts w:ascii="Times New Roman" w:hAnsi="Times New Roman"/>
          <w:sz w:val="24"/>
        </w:rPr>
        <w:br/>
        <w:t xml:space="preserve">Didžiausias bendras degaus aušinimo skysčio kiekis aušinimo grandinėje yra ribojamas, siekiant išvengti bet kokios rizikos pasiekti apatinę degumo ribą, jei patalpoje nutekėtų skystis. </w:t>
      </w:r>
      <w:r w:rsidRPr="006F6F0F">
        <w:rPr>
          <w:rFonts w:ascii="Times New Roman" w:hAnsi="Times New Roman"/>
          <w:sz w:val="24"/>
        </w:rPr>
        <w:br/>
        <w:t xml:space="preserve">Jis apskaičiuojamas pagal šią formulę: </w:t>
      </w:r>
      <w:r w:rsidRPr="006F6F0F">
        <w:rPr>
          <w:rFonts w:ascii="Times New Roman" w:hAnsi="Times New Roman"/>
          <w:sz w:val="24"/>
        </w:rPr>
        <w:br/>
        <w:t>mmaks. = 2,5 x ADR</w:t>
      </w:r>
      <w:r w:rsidRPr="004B33C3">
        <w:rPr>
          <w:rFonts w:ascii="Times New Roman" w:hAnsi="Times New Roman"/>
          <w:sz w:val="24"/>
          <w:vertAlign w:val="superscript"/>
        </w:rPr>
        <w:t xml:space="preserve">5/4 </w:t>
      </w:r>
      <w:r w:rsidRPr="006F6F0F">
        <w:rPr>
          <w:rFonts w:ascii="Times New Roman" w:hAnsi="Times New Roman"/>
          <w:sz w:val="24"/>
        </w:rPr>
        <w:t>x h0 x P</w:t>
      </w:r>
      <w:r w:rsidRPr="004B33C3">
        <w:rPr>
          <w:rFonts w:ascii="Times New Roman" w:hAnsi="Times New Roman"/>
          <w:sz w:val="24"/>
          <w:vertAlign w:val="superscript"/>
        </w:rPr>
        <w:t>1/2</w:t>
      </w:r>
      <w:r w:rsidRPr="006F6F0F">
        <w:rPr>
          <w:rFonts w:ascii="Times New Roman" w:hAnsi="Times New Roman"/>
          <w:sz w:val="24"/>
        </w:rPr>
        <w:br/>
        <w:t xml:space="preserve">kur: </w:t>
      </w:r>
      <w:r w:rsidRPr="006F6F0F">
        <w:rPr>
          <w:rFonts w:ascii="Times New Roman" w:hAnsi="Times New Roman"/>
          <w:sz w:val="24"/>
        </w:rPr>
        <w:br/>
        <w:t xml:space="preserve">mmaks. (kg): didžiausias bendras degaus aušinimo skysčio kiekis. </w:t>
      </w:r>
      <w:r w:rsidRPr="006F6F0F">
        <w:rPr>
          <w:rFonts w:ascii="Times New Roman" w:hAnsi="Times New Roman"/>
          <w:sz w:val="24"/>
        </w:rPr>
        <w:br/>
        <w:t xml:space="preserve">ADR (kg/m3): apatinė degumo riba. </w:t>
      </w:r>
      <w:r w:rsidRPr="006F6F0F">
        <w:rPr>
          <w:rFonts w:ascii="Times New Roman" w:hAnsi="Times New Roman"/>
          <w:sz w:val="24"/>
        </w:rPr>
        <w:br/>
        <w:t xml:space="preserve">h0: koeficientas, susijęs su patalpoje žemiausiai įrengtu įrenginio aukščiu. Jo vertė yra lygi: </w:t>
      </w:r>
      <w:r w:rsidRPr="006F6F0F">
        <w:rPr>
          <w:rFonts w:ascii="Times New Roman" w:hAnsi="Times New Roman"/>
          <w:sz w:val="24"/>
        </w:rPr>
        <w:br/>
        <w:t>0,6, jeigu yra ant grindų,</w:t>
      </w:r>
      <w:r w:rsidRPr="006F6F0F">
        <w:rPr>
          <w:rFonts w:ascii="Times New Roman" w:hAnsi="Times New Roman"/>
          <w:sz w:val="24"/>
        </w:rPr>
        <w:br/>
        <w:t>1,1, jeigu primontuota prie lango,</w:t>
      </w:r>
      <w:r w:rsidRPr="006F6F0F">
        <w:rPr>
          <w:rFonts w:ascii="Times New Roman" w:hAnsi="Times New Roman"/>
          <w:sz w:val="24"/>
        </w:rPr>
        <w:br/>
        <w:t>1,8, jeigu primontuota prie sienos,</w:t>
      </w:r>
      <w:r w:rsidRPr="006F6F0F">
        <w:rPr>
          <w:rFonts w:ascii="Times New Roman" w:hAnsi="Times New Roman"/>
          <w:sz w:val="24"/>
        </w:rPr>
        <w:br/>
        <w:t>2,2, jeigu primontuota prie lubų</w:t>
      </w:r>
      <w:r w:rsidRPr="006F6F0F">
        <w:rPr>
          <w:rFonts w:ascii="Times New Roman" w:hAnsi="Times New Roman"/>
          <w:sz w:val="24"/>
        </w:rPr>
        <w:br/>
        <w:t>prijungimo aukštis patalpose, jeigu jis viršija 2,2 m.</w:t>
      </w:r>
      <w:r w:rsidRPr="006F6F0F">
        <w:rPr>
          <w:rFonts w:ascii="Times New Roman" w:hAnsi="Times New Roman"/>
          <w:sz w:val="24"/>
        </w:rPr>
        <w:br/>
      </w:r>
      <w:r w:rsidR="004B33C3">
        <w:rPr>
          <w:rFonts w:ascii="Times New Roman" w:hAnsi="Times New Roman"/>
          <w:sz w:val="24"/>
        </w:rPr>
        <w:t>P</w:t>
      </w:r>
      <w:r w:rsidRPr="006F6F0F">
        <w:rPr>
          <w:rFonts w:ascii="Times New Roman" w:hAnsi="Times New Roman"/>
          <w:sz w:val="24"/>
        </w:rPr>
        <w:t xml:space="preserve"> (m²): patalpos paviršiaus plotas. </w:t>
      </w:r>
      <w:r w:rsidRPr="006F6F0F">
        <w:rPr>
          <w:rFonts w:ascii="Times New Roman" w:hAnsi="Times New Roman"/>
          <w:sz w:val="24"/>
        </w:rPr>
        <w:br/>
        <w:t xml:space="preserve">Netaikomas joks apkrovos apribojimas degiam aušinimo skysčiui, jei įrenginio projekte numatyta aušinimo grandinės uždarymo sklendė ir ventiliacijos sistemoje įrengtas detektorius, kad patalpoje nutekėjus aušinimo skysčiui nebūtų įmanoma pasiekti apatinės degumo ribos. </w:t>
      </w:r>
      <w:r w:rsidRPr="006F6F0F">
        <w:rPr>
          <w:rFonts w:ascii="Times New Roman" w:hAnsi="Times New Roman"/>
          <w:sz w:val="24"/>
        </w:rPr>
        <w:br/>
        <w:t>Netaikomas joks apkrovos apribojimas degiam aušinimo skysčiui, jei šiuos skysčius naudojantis įrenginys įrengiamas mašinų skyriuje ir jame yra:</w:t>
      </w:r>
    </w:p>
    <w:p w14:paraId="2B2A44F5" w14:textId="77777777" w:rsidR="00B767EF" w:rsidRPr="006F6F0F"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sidRPr="006F6F0F">
        <w:rPr>
          <w:rFonts w:ascii="Times New Roman" w:hAnsi="Times New Roman"/>
          <w:sz w:val="24"/>
        </w:rPr>
        <w:lastRenderedPageBreak/>
        <w:br/>
        <w:t>– aptikimo įtaisas, kuris nutekėjus aušinimo skysčiui įjungia mechaninį oro išsiurbimo įrenginį ir nutraukia grandinėje esančio skysčio cirkuliaciją, kad būtų apribota nutekėjimo trukmė, visiškai sustabdydamas termodinaminę sistemą arba suaktyvindamas elektromagnetinį vožtuvą. Šį aptikimo įtaisą sudaro aptikimo blokas ir du jutikliai, įrengti atsižvelgiant į naudojamo skysčio pobūdį. Automatinis įspėjamasis įtaisas praneša apie bet kokį aptikimo sistemos ir oro išsiurbimo sutrikimą;</w:t>
      </w:r>
      <w:r w:rsidRPr="006F6F0F">
        <w:rPr>
          <w:rFonts w:ascii="Times New Roman" w:hAnsi="Times New Roman"/>
          <w:sz w:val="24"/>
        </w:rPr>
        <w:br/>
        <w:t xml:space="preserve">– mechaninis oro išsiurbimo įtaisas, užtikrinantis pakankamą oro atsinaujinimo greitį per valandą, kad oro išsiurbimo išmetamojoje angoje nebūtų galima pasiekti apatinės degumo ribos. Šis prietaisas turi būti 3 kategorijos pagal Direktyvą 2014/34/ES dėl valstybių narių įstatymų, susijusių su potencialiai sprogioje aplinkoje naudojama įranga ir apsaugos sistemomis, suderinimo. </w:t>
      </w:r>
    </w:p>
    <w:p w14:paraId="0FA42FF1" w14:textId="77777777" w:rsidR="00B767EF" w:rsidRPr="006F6F0F"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sidRPr="006F6F0F">
        <w:rPr>
          <w:rFonts w:ascii="Times New Roman" w:hAnsi="Times New Roman"/>
          <w:sz w:val="24"/>
        </w:rPr>
        <w:br/>
        <w:t xml:space="preserve">c) Įrengiant įrenginius ir termodinamines sistemas, turi būti laikomasi gamintojo reikalaujamų taisyklių. </w:t>
      </w:r>
      <w:r w:rsidRPr="006F6F0F">
        <w:rPr>
          <w:rFonts w:ascii="Times New Roman" w:hAnsi="Times New Roman"/>
          <w:sz w:val="24"/>
        </w:rPr>
        <w:br/>
        <w:t>Sudaromas dokumentas, kuriame nurodomi aprašomieji įrangos elementai. Jis teikiamas administracinėms įstaigoms ir darbus atliekančioms įmonėms, kurios privalo su juo susipažinti prieš atlikdamos bet kokius veiksmus. Jame privalo būti šios dalys:</w:t>
      </w:r>
    </w:p>
    <w:p w14:paraId="28CFE839" w14:textId="77777777" w:rsidR="00B767EF" w:rsidRPr="006F6F0F"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sidRPr="006F6F0F">
        <w:rPr>
          <w:rFonts w:ascii="Times New Roman" w:hAnsi="Times New Roman"/>
          <w:sz w:val="24"/>
        </w:rPr>
        <w:br/>
        <w:t>– vamzdyno planas;</w:t>
      </w:r>
      <w:r w:rsidRPr="006F6F0F">
        <w:rPr>
          <w:rFonts w:ascii="Times New Roman" w:hAnsi="Times New Roman"/>
          <w:sz w:val="24"/>
        </w:rPr>
        <w:br/>
        <w:t>– montavimo apibendrinamoji lentelė;</w:t>
      </w:r>
      <w:r w:rsidRPr="006F6F0F">
        <w:rPr>
          <w:rFonts w:ascii="Times New Roman" w:hAnsi="Times New Roman"/>
          <w:sz w:val="24"/>
        </w:rPr>
        <w:br/>
        <w:t>– išsamus ir pagrįstas aušinimo skysčių didžiausio (-ių) kiekio (-ių) skaičiavimas;</w:t>
      </w:r>
      <w:r w:rsidRPr="006F6F0F">
        <w:rPr>
          <w:rFonts w:ascii="Times New Roman" w:hAnsi="Times New Roman"/>
          <w:sz w:val="24"/>
        </w:rPr>
        <w:br/>
        <w:t>– saugumo priemonių (detektorių, elektromagnetinių vožtuvų, ventiliatorių ir pan.) įrengimo planas;</w:t>
      </w:r>
      <w:r w:rsidRPr="006F6F0F">
        <w:rPr>
          <w:rFonts w:ascii="Times New Roman" w:hAnsi="Times New Roman"/>
          <w:sz w:val="24"/>
        </w:rPr>
        <w:br/>
        <w:t>– galimi teoriniai ventiliacijos sistemos srautai viršijus didžiausią apskaičiuotą kiekį;</w:t>
      </w:r>
      <w:r w:rsidRPr="006F6F0F">
        <w:rPr>
          <w:rFonts w:ascii="Times New Roman" w:hAnsi="Times New Roman"/>
          <w:sz w:val="24"/>
        </w:rPr>
        <w:br/>
        <w:t>– aptikimo prietaiso sukalibravimo, patikimumo ir mechaninio oro išsiurbimo įtaiso oro atnaujinimo greičio įrodymas;</w:t>
      </w:r>
      <w:r w:rsidRPr="006F6F0F">
        <w:rPr>
          <w:rFonts w:ascii="Times New Roman" w:hAnsi="Times New Roman"/>
          <w:sz w:val="24"/>
        </w:rPr>
        <w:br/>
        <w:t xml:space="preserve">– įvairių saugumo priemonių, taikomų viršijus didžiausią apskaičiuotą kiekį, atitikmenų lentelė. </w:t>
      </w:r>
    </w:p>
    <w:p w14:paraId="4B0CAAF9" w14:textId="77777777" w:rsidR="00B767EF" w:rsidRPr="006F6F0F"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sidRPr="006F6F0F">
        <w:rPr>
          <w:rFonts w:ascii="Times New Roman" w:hAnsi="Times New Roman"/>
          <w:sz w:val="24"/>
        </w:rPr>
        <w:br/>
        <w:t xml:space="preserve">Šis dokumentas atnaujinamas padarius bet kokių įrenginio ar patalpų pakeitimų. </w:t>
      </w:r>
      <w:r w:rsidRPr="006F6F0F">
        <w:rPr>
          <w:rFonts w:ascii="Times New Roman" w:hAnsi="Times New Roman"/>
          <w:sz w:val="24"/>
        </w:rPr>
        <w:br/>
        <w:t xml:space="preserve">Įrangą kasmet turi tikrinti kompetentingas technikas. Jis turi parengti ataskaitą, kurioje turi būti nurodytas būtent tiesioginių arba netiesioginių aptiktų nutekėjimų rezultatas. Kasmet turi būti tikrinama bent 20 % pirmiau nurodytų saugumo priemonių ir susijusių valdymo įtaisų. Jie visi turi būti patikrinti per 5 metus. Šių bandymų rezultatas įtraukiamas į minėtą ataskaitą. </w:t>
      </w:r>
      <w:r w:rsidRPr="006F6F0F">
        <w:rPr>
          <w:rFonts w:ascii="Times New Roman" w:hAnsi="Times New Roman"/>
          <w:sz w:val="24"/>
        </w:rPr>
        <w:br/>
        <w:t>4. Leidžiama naudoti toksiškus aušinimo skysčius, jei tuo pačiu metu yra įvykdytos šios visos trys sąlygos:</w:t>
      </w:r>
    </w:p>
    <w:p w14:paraId="4007EB3F" w14:textId="77777777" w:rsidR="00B767EF" w:rsidRPr="006F6F0F"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sidRPr="006F6F0F">
        <w:rPr>
          <w:rFonts w:ascii="Times New Roman" w:hAnsi="Times New Roman"/>
          <w:sz w:val="24"/>
        </w:rPr>
        <w:br/>
        <w:t>– jų įrenginiai įrengti lauke arba mašinų skyriuje, kuris nėra katilinė;</w:t>
      </w:r>
      <w:r w:rsidRPr="006F6F0F">
        <w:rPr>
          <w:rFonts w:ascii="Times New Roman" w:hAnsi="Times New Roman"/>
          <w:sz w:val="24"/>
        </w:rPr>
        <w:br/>
        <w:t>– šie įrenginiai veikia netiesioginėje mainų sistemoje;</w:t>
      </w:r>
      <w:r w:rsidRPr="006F6F0F">
        <w:rPr>
          <w:rFonts w:ascii="Times New Roman" w:hAnsi="Times New Roman"/>
          <w:sz w:val="24"/>
        </w:rPr>
        <w:br/>
        <w:t xml:space="preserve">– visuose įrenginiuose esantis bendras skysčių kiekis yra 150 kg. </w:t>
      </w:r>
    </w:p>
    <w:p w14:paraId="0AD8B318" w14:textId="77777777" w:rsidR="00B767EF" w:rsidRPr="006F6F0F"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sidRPr="006F6F0F">
        <w:rPr>
          <w:rFonts w:ascii="Times New Roman" w:hAnsi="Times New Roman"/>
          <w:sz w:val="24"/>
        </w:rPr>
        <w:br/>
        <w:t xml:space="preserve">5. Šalto oro ruošimo prietaisai ar jų grupės, veikiantys degimo principu, įrengiami CH 5 arba CH 6 straipsniuose numatytomis sąlygomis, atsižvelgiant į jų galią.“ </w:t>
      </w:r>
    </w:p>
    <w:p w14:paraId="365B6614" w14:textId="3AA569FE" w:rsidR="00B767EF" w:rsidRPr="006F6F0F" w:rsidRDefault="00B767EF" w:rsidP="00B767EF">
      <w:pPr>
        <w:spacing w:before="100" w:beforeAutospacing="1" w:after="100" w:afterAutospacing="1" w:line="240" w:lineRule="auto"/>
        <w:rPr>
          <w:rFonts w:ascii="Times New Roman" w:eastAsia="Times New Roman" w:hAnsi="Times New Roman" w:cs="Times New Roman"/>
          <w:sz w:val="24"/>
          <w:szCs w:val="24"/>
        </w:rPr>
      </w:pPr>
      <w:r w:rsidRPr="006F6F0F">
        <w:rPr>
          <w:rFonts w:ascii="Times New Roman" w:hAnsi="Times New Roman"/>
          <w:sz w:val="24"/>
        </w:rPr>
        <w:lastRenderedPageBreak/>
        <w:br/>
        <w:t>1) Atskyrimo zona būtina tik išoriniams įrenginiams, kuriuose esančių degiųjų aušinimo skysčių liepsnos sklidimo greitis yra didesnis kaip 10 cm/s.</w:t>
      </w:r>
      <w:r w:rsidRPr="006F6F0F">
        <w:rPr>
          <w:rFonts w:ascii="Times New Roman" w:hAnsi="Times New Roman"/>
          <w:sz w:val="24"/>
        </w:rPr>
        <w:br/>
        <w:t xml:space="preserve">2) </w:t>
      </w:r>
      <w:r w:rsidR="00747A74" w:rsidRPr="00747A74">
        <w:rPr>
          <w:rFonts w:ascii="Times New Roman" w:hAnsi="Times New Roman"/>
          <w:sz w:val="24"/>
        </w:rPr>
        <w:t>Degūs aušinimo skysčiai, kurių apatinė degumo riba yra lygi ar viršija 0,10 kg/m³.</w:t>
      </w:r>
      <w:r w:rsidRPr="006F6F0F">
        <w:rPr>
          <w:rFonts w:ascii="Times New Roman" w:hAnsi="Times New Roman"/>
          <w:sz w:val="24"/>
        </w:rPr>
        <w:br/>
        <w:t>3</w:t>
      </w:r>
      <w:r w:rsidR="00044D0C" w:rsidRPr="006F6F0F">
        <w:rPr>
          <w:rFonts w:ascii="Times New Roman" w:hAnsi="Times New Roman"/>
          <w:sz w:val="24"/>
        </w:rPr>
        <w:t>)</w:t>
      </w:r>
      <w:r w:rsidRPr="006F6F0F">
        <w:rPr>
          <w:rFonts w:ascii="Times New Roman" w:hAnsi="Times New Roman"/>
          <w:sz w:val="24"/>
        </w:rPr>
        <w:t xml:space="preserve"> Degūs aušinimo skysčiai, kurių apatinė degumo riba yra mažesnė nei 0,10 kg/m³.</w:t>
      </w:r>
    </w:p>
    <w:p w14:paraId="6B67D63E" w14:textId="77777777" w:rsidR="00B767EF" w:rsidRPr="006F6F0F" w:rsidRDefault="00B767EF" w:rsidP="00B767EF">
      <w:pPr>
        <w:spacing w:before="100" w:beforeAutospacing="1" w:after="100" w:afterAutospacing="1" w:line="240" w:lineRule="auto"/>
        <w:ind w:left="450"/>
        <w:outlineLvl w:val="3"/>
        <w:rPr>
          <w:rFonts w:ascii="Times New Roman" w:eastAsia="Times New Roman" w:hAnsi="Times New Roman" w:cs="Times New Roman"/>
          <w:b/>
          <w:bCs/>
          <w:sz w:val="24"/>
          <w:szCs w:val="24"/>
        </w:rPr>
      </w:pPr>
      <w:r w:rsidRPr="006F6F0F">
        <w:rPr>
          <w:rFonts w:ascii="Times New Roman" w:hAnsi="Times New Roman"/>
          <w:b/>
          <w:sz w:val="24"/>
        </w:rPr>
        <w:t>3 straipsnis</w:t>
      </w:r>
    </w:p>
    <w:p w14:paraId="09930595" w14:textId="77777777" w:rsidR="00B767EF" w:rsidRPr="006F6F0F"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sidRPr="006F6F0F">
        <w:rPr>
          <w:rFonts w:ascii="Times New Roman" w:hAnsi="Times New Roman"/>
          <w:sz w:val="24"/>
        </w:rPr>
        <w:br/>
        <w:t>CH 45 straipsnio c punktas išbraukiamas.</w:t>
      </w:r>
    </w:p>
    <w:p w14:paraId="6849DEBF" w14:textId="77777777" w:rsidR="00B767EF" w:rsidRPr="006F6F0F" w:rsidRDefault="00B767EF" w:rsidP="00B767EF">
      <w:pPr>
        <w:spacing w:before="100" w:beforeAutospacing="1" w:after="100" w:afterAutospacing="1" w:line="240" w:lineRule="auto"/>
        <w:ind w:left="450"/>
        <w:outlineLvl w:val="3"/>
        <w:rPr>
          <w:rFonts w:ascii="Times New Roman" w:eastAsia="Times New Roman" w:hAnsi="Times New Roman" w:cs="Times New Roman"/>
          <w:b/>
          <w:bCs/>
          <w:sz w:val="24"/>
          <w:szCs w:val="24"/>
        </w:rPr>
      </w:pPr>
      <w:r w:rsidRPr="006F6F0F">
        <w:rPr>
          <w:rFonts w:ascii="Times New Roman" w:hAnsi="Times New Roman"/>
          <w:b/>
          <w:sz w:val="24"/>
        </w:rPr>
        <w:t>4 straipsnis</w:t>
      </w:r>
    </w:p>
    <w:p w14:paraId="74F3395F" w14:textId="77777777" w:rsidR="00B767EF" w:rsidRPr="006F6F0F"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sidRPr="006F6F0F">
        <w:rPr>
          <w:rFonts w:ascii="Times New Roman" w:hAnsi="Times New Roman"/>
          <w:sz w:val="24"/>
        </w:rPr>
        <w:br/>
        <w:t xml:space="preserve">Reglamento dėl apsaugos nuo gaisro ir panikos viešosios paskirties pastatuose, patvirtinto pirmiau minėtu 1980 m. birželio 25 d. nutarimu, II knygos II antraštinės dalies II skyrius yra iš dalies keičiamas taip: </w:t>
      </w:r>
      <w:r w:rsidRPr="006F6F0F">
        <w:rPr>
          <w:rFonts w:ascii="Times New Roman" w:hAnsi="Times New Roman"/>
          <w:sz w:val="24"/>
        </w:rPr>
        <w:br/>
        <w:t>M 40 straipsnio 4 dalis išbraukiama.</w:t>
      </w:r>
    </w:p>
    <w:p w14:paraId="31ECF89C" w14:textId="77777777" w:rsidR="00B767EF" w:rsidRPr="006F6F0F" w:rsidRDefault="00B767EF" w:rsidP="00B767EF">
      <w:pPr>
        <w:spacing w:before="100" w:beforeAutospacing="1" w:after="100" w:afterAutospacing="1" w:line="240" w:lineRule="auto"/>
        <w:ind w:left="450"/>
        <w:outlineLvl w:val="3"/>
        <w:rPr>
          <w:rFonts w:ascii="Times New Roman" w:eastAsia="Times New Roman" w:hAnsi="Times New Roman" w:cs="Times New Roman"/>
          <w:b/>
          <w:bCs/>
          <w:sz w:val="24"/>
          <w:szCs w:val="24"/>
        </w:rPr>
      </w:pPr>
      <w:r w:rsidRPr="006F6F0F">
        <w:rPr>
          <w:rFonts w:ascii="Times New Roman" w:hAnsi="Times New Roman"/>
          <w:b/>
          <w:sz w:val="24"/>
        </w:rPr>
        <w:t>5 straipsnis</w:t>
      </w:r>
    </w:p>
    <w:p w14:paraId="6B0A3F54" w14:textId="77777777" w:rsidR="00B767EF" w:rsidRPr="006F6F0F"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sidRPr="006F6F0F">
        <w:rPr>
          <w:rFonts w:ascii="Times New Roman" w:hAnsi="Times New Roman"/>
          <w:sz w:val="24"/>
        </w:rPr>
        <w:br/>
        <w:t>Šis nutarimas įsigalioja jo paskelbimo Prancūzijos Respublikos Oficialiajame leidinyje dieną.</w:t>
      </w:r>
    </w:p>
    <w:p w14:paraId="032C5E60" w14:textId="77777777" w:rsidR="00B767EF" w:rsidRPr="006F6F0F" w:rsidRDefault="00B767EF" w:rsidP="00B767EF">
      <w:pPr>
        <w:spacing w:before="100" w:beforeAutospacing="1" w:after="100" w:afterAutospacing="1" w:line="240" w:lineRule="auto"/>
        <w:rPr>
          <w:rFonts w:ascii="Times New Roman" w:eastAsia="Times New Roman" w:hAnsi="Times New Roman" w:cs="Times New Roman"/>
          <w:sz w:val="24"/>
          <w:szCs w:val="24"/>
        </w:rPr>
      </w:pPr>
      <w:r w:rsidRPr="006F6F0F">
        <w:rPr>
          <w:rFonts w:ascii="Times New Roman" w:hAnsi="Times New Roman"/>
          <w:sz w:val="24"/>
        </w:rPr>
        <w:br/>
        <w:t>Parengta 2019 m. gegužės 10 d.</w:t>
      </w:r>
    </w:p>
    <w:p w14:paraId="582D28DE" w14:textId="51A592E0" w:rsidR="00B767EF" w:rsidRPr="006F6F0F" w:rsidRDefault="00B767EF" w:rsidP="00B767EF">
      <w:pPr>
        <w:spacing w:before="100" w:beforeAutospacing="1" w:after="100" w:afterAutospacing="1" w:line="240" w:lineRule="auto"/>
        <w:rPr>
          <w:rFonts w:ascii="Times New Roman" w:eastAsia="Times New Roman" w:hAnsi="Times New Roman" w:cs="Times New Roman"/>
          <w:sz w:val="24"/>
          <w:szCs w:val="24"/>
        </w:rPr>
      </w:pPr>
      <w:r w:rsidRPr="006F6F0F">
        <w:rPr>
          <w:rFonts w:ascii="Times New Roman" w:hAnsi="Times New Roman"/>
          <w:sz w:val="24"/>
        </w:rPr>
        <w:br/>
        <w:t>Valstybės ministro vardu ir jo įgaliotas:</w:t>
      </w:r>
      <w:r w:rsidRPr="006F6F0F">
        <w:rPr>
          <w:rFonts w:ascii="Times New Roman" w:hAnsi="Times New Roman"/>
          <w:sz w:val="24"/>
        </w:rPr>
        <w:br/>
        <w:t>Tarnybos vadovas, Civilinio saugumo ir krizių valdymo generalinio direktoriaus pavaduotojas, atsakingas už ugniagesių direktoratą,</w:t>
      </w:r>
      <w:r w:rsidRPr="006F6F0F">
        <w:rPr>
          <w:rFonts w:ascii="Times New Roman" w:hAnsi="Times New Roman"/>
          <w:sz w:val="24"/>
        </w:rPr>
        <w:br/>
      </w:r>
      <w:r w:rsidR="00C34D2C">
        <w:rPr>
          <w:rFonts w:ascii="Times New Roman" w:hAnsi="Times New Roman"/>
          <w:sz w:val="24"/>
        </w:rPr>
        <w:t>M.</w:t>
      </w:r>
      <w:r w:rsidRPr="006F6F0F">
        <w:rPr>
          <w:rFonts w:ascii="Times New Roman" w:hAnsi="Times New Roman"/>
          <w:sz w:val="24"/>
        </w:rPr>
        <w:t xml:space="preserve"> Marquer</w:t>
      </w:r>
    </w:p>
    <w:p w14:paraId="5785BBFE" w14:textId="77777777" w:rsidR="006467BD" w:rsidRDefault="006467BD"/>
    <w:sectPr w:rsidR="006467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7EF"/>
    <w:rsid w:val="00044D0C"/>
    <w:rsid w:val="000C5691"/>
    <w:rsid w:val="004B33C3"/>
    <w:rsid w:val="00500C1C"/>
    <w:rsid w:val="006467BD"/>
    <w:rsid w:val="006F6F0F"/>
    <w:rsid w:val="00747A74"/>
    <w:rsid w:val="007E0907"/>
    <w:rsid w:val="007F1981"/>
    <w:rsid w:val="00B767EF"/>
    <w:rsid w:val="00C34D2C"/>
    <w:rsid w:val="00CC349B"/>
    <w:rsid w:val="00FB09B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4BCF1"/>
  <w15:chartTrackingRefBased/>
  <w15:docId w15:val="{9718DBF2-DF08-434E-8486-12F8ECF70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576541">
      <w:bodyDiv w:val="1"/>
      <w:marLeft w:val="0"/>
      <w:marRight w:val="0"/>
      <w:marTop w:val="0"/>
      <w:marBottom w:val="0"/>
      <w:divBdr>
        <w:top w:val="none" w:sz="0" w:space="0" w:color="auto"/>
        <w:left w:val="none" w:sz="0" w:space="0" w:color="auto"/>
        <w:bottom w:val="none" w:sz="0" w:space="0" w:color="auto"/>
        <w:right w:val="none" w:sz="0" w:space="0" w:color="auto"/>
      </w:divBdr>
      <w:divsChild>
        <w:div w:id="1240165949">
          <w:marLeft w:val="0"/>
          <w:marRight w:val="0"/>
          <w:marTop w:val="0"/>
          <w:marBottom w:val="0"/>
          <w:divBdr>
            <w:top w:val="none" w:sz="0" w:space="0" w:color="auto"/>
            <w:left w:val="none" w:sz="0" w:space="0" w:color="auto"/>
            <w:bottom w:val="none" w:sz="0" w:space="0" w:color="auto"/>
            <w:right w:val="none" w:sz="0" w:space="0" w:color="auto"/>
          </w:divBdr>
          <w:divsChild>
            <w:div w:id="43902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5</Pages>
  <Words>1676</Words>
  <Characters>9555</Characters>
  <Application>Microsoft Office Word</Application>
  <DocSecurity>0</DocSecurity>
  <Lines>79</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Secrétariat Général</Company>
  <LinksUpToDate>false</LinksUpToDate>
  <CharactersWithSpaces>11209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class='Internal'</cp:keywords>
  <dc:description/>
  <cp:lastModifiedBy>Dimitris Dimitriadis</cp:lastModifiedBy>
  <cp:revision>11</cp:revision>
  <dcterms:created xsi:type="dcterms:W3CDTF">2021-08-25T12:18:00Z</dcterms:created>
  <dcterms:modified xsi:type="dcterms:W3CDTF">2022-01-02T14:01:00Z</dcterms:modified>
</cp:coreProperties>
</file>