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61F7" w14:textId="77777777" w:rsidR="00B767EF" w:rsidRPr="00B767EF"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Verordening van 10 mei 2019 tot wijziging van de Verordening van 25 juni 1980 tot goedkeuring van de algemene voorschriften inzake brandveiligheid en anti-paniek in inrichtingen die voor het publiek toegankelijk zijn</w:t>
      </w:r>
    </w:p>
    <w:p w14:paraId="07833EEA"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Betrokken publiek: exploitanten en eigenaars van voor het publiek toegankelijke instellingen, opdrachtgevers, bouwheren, architecten, leden van veiligheidscomités, technisch controleurs, fabrikanten en installateurs van apparatuur waarbij koelvloeistoffen worden gebruikt. </w:t>
      </w:r>
      <w:r>
        <w:rPr>
          <w:rFonts w:ascii="Times New Roman" w:hAnsi="Times New Roman"/>
          <w:sz w:val="24"/>
        </w:rPr>
        <w:br/>
        <w:t xml:space="preserve">Betreft: wijziging van een bepaling inzake het gebruik van koelvloeistoffen in voor het publiek toegankelijke lokalen (PTL). </w:t>
      </w:r>
      <w:r>
        <w:rPr>
          <w:rFonts w:ascii="Times New Roman" w:hAnsi="Times New Roman"/>
          <w:sz w:val="24"/>
        </w:rPr>
        <w:br/>
        <w:t xml:space="preserve">Inwerkingtreding: de dag na publicatie in het Staatsblad van de Franse Republiek. </w:t>
      </w:r>
      <w:r>
        <w:rPr>
          <w:rFonts w:ascii="Times New Roman" w:hAnsi="Times New Roman"/>
          <w:sz w:val="24"/>
        </w:rPr>
        <w:br/>
        <w:t xml:space="preserve">Toelichting: Verordening (EU) nr. 517/2014 van het Europees Parlement en de Raad van 16 april 2014 betreffende gefluoreerde broeikasgassen voorziet in een vermindering van de uitstoot van deze gassen en meer bepaald van de hoeveelheden fluorkoolwaterstoffen (HFK’s). Bepaalde HFK’s worden gebruikt in apparatuur of installaties voor verwarming, airconditioning, klimaatregeling en productie van warm sanitair water in voor het publiek toegankelijke instellingen (PTI). De voor HFK’s gebruikte vervangers bij klimaatregeling/koeling in PTL’s zijn veelal ontvlambaar. Onderhavig besluit heeft tot doel het gebruik van deze vervangers in PTL’s toe te staan mits bepaalde risicobeheersmaatregelen worden getroffen. De in onderhavig besluit opgenomen risicobeheersbepalingen zijn gebaseerd op het advies van het directoraat-generaal Risicopreventie (DGRP) van het Franse ministerie van Ecologische en Solidaire Transitie (MEST) en op de door INERIS (Frans nationaal instituut voor industriële milieurisico’s) uitgevoerde risicoanalyse. </w:t>
      </w:r>
      <w:r>
        <w:rPr>
          <w:rFonts w:ascii="Times New Roman" w:hAnsi="Times New Roman"/>
          <w:sz w:val="24"/>
        </w:rPr>
        <w:br/>
        <w:t xml:space="preserve">Verwijzingen: de tekst die door dit besluit wordt gewijzigd, kan in de gewijzigde versie worden geraadpleegd op de website Légifrance (http://legifrance.gouv.fr). </w:t>
      </w:r>
    </w:p>
    <w:p w14:paraId="511145FD"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 minister van Binnenlandse Zaken,</w:t>
      </w:r>
      <w:r>
        <w:rPr>
          <w:rFonts w:ascii="Times New Roman" w:hAnsi="Times New Roman"/>
          <w:sz w:val="24"/>
        </w:rPr>
        <w:br/>
        <w:t>Gezien Richtlijn (EU) 2015/1535 van het Europees Parlement en de Raad van 9 september 2015 betreffende een informatieprocedure op het gebied van technische voorschriften en regels betreffende de diensten van de informatiemaatschappij, met name kennisgeving nr. 2018/467/F;</w:t>
      </w:r>
      <w:r>
        <w:rPr>
          <w:rFonts w:ascii="Times New Roman" w:hAnsi="Times New Roman"/>
          <w:sz w:val="24"/>
        </w:rPr>
        <w:br/>
        <w:t>Gezien het wetboek bouwen en wonen, en met name artikel R. 123-12;</w:t>
      </w:r>
      <w:r>
        <w:rPr>
          <w:rFonts w:ascii="Times New Roman" w:hAnsi="Times New Roman"/>
          <w:sz w:val="24"/>
        </w:rPr>
        <w:br/>
        <w:t>Gezien het gewijzigde besluit van 25 juni 1980 houdende goedkeuring van de algemene bepalingen van de veiligheidsverordening inzake het risico van brand en paniek in instellingen die voor het publiek toegankelijk zijn;</w:t>
      </w:r>
      <w:r>
        <w:rPr>
          <w:rFonts w:ascii="Times New Roman" w:hAnsi="Times New Roman"/>
          <w:sz w:val="24"/>
        </w:rPr>
        <w:br/>
        <w:t>Gezien het advies van de Hoge Raad voor Bouw en e Energie-efficiëntie van 16 oktober 2018;</w:t>
      </w:r>
      <w:r>
        <w:rPr>
          <w:rFonts w:ascii="Times New Roman" w:hAnsi="Times New Roman"/>
          <w:sz w:val="24"/>
        </w:rPr>
        <w:br/>
        <w:t>Gezien het advies van de nationale raadgevende commissie voor de beoordeling van normen van 11 oktober 2018,</w:t>
      </w:r>
      <w:r>
        <w:rPr>
          <w:rFonts w:ascii="Times New Roman" w:hAnsi="Times New Roman"/>
          <w:sz w:val="24"/>
        </w:rPr>
        <w:br/>
        <w:t>Hierbij besluit:</w:t>
      </w:r>
    </w:p>
    <w:p w14:paraId="1EB6D07B"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6668C2CB"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Hoofdstuk V van titel I van boek II van de veiligheidsverordening inzake het risico van </w:t>
      </w:r>
      <w:r>
        <w:rPr>
          <w:rFonts w:ascii="Times New Roman" w:hAnsi="Times New Roman"/>
          <w:sz w:val="24"/>
        </w:rPr>
        <w:lastRenderedPageBreak/>
        <w:t>brand en paniek in instellingen die voor het publiek toegankelijk zijn, goedgekeurd via het hierboven vermelde besluit van 25 juni 1980, wordt gewijzigd overeenkomstig de artikelen 2 tot 3.</w:t>
      </w:r>
    </w:p>
    <w:p w14:paraId="5C05C3DB"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643787CA"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CH 35 wordt vervangen door de volgende bepalingen: </w:t>
      </w:r>
      <w:r>
        <w:rPr>
          <w:rFonts w:ascii="Times New Roman" w:hAnsi="Times New Roman"/>
          <w:sz w:val="24"/>
        </w:rPr>
        <w:br/>
        <w:t>„Apparatuur of installaties die gebruikmaken van koelvloeistoffen</w:t>
      </w:r>
      <w:r>
        <w:rPr>
          <w:rFonts w:ascii="Times New Roman" w:hAnsi="Times New Roman"/>
          <w:sz w:val="24"/>
        </w:rPr>
        <w:br/>
        <w:t xml:space="preserve">§ 1. Voor de toepassing van dit artikel wordt verstaan onder: </w:t>
      </w:r>
    </w:p>
    <w:p w14:paraId="41614B6A"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„ontvlambare koelvloeistoffen”: vloeistoffen met een vlamuitbreiding bij een temperatuur van 60 °C en een druk van 101,3 kPa; </w:t>
      </w:r>
      <w:r>
        <w:rPr>
          <w:rFonts w:ascii="Times New Roman" w:hAnsi="Times New Roman"/>
          <w:sz w:val="24"/>
        </w:rPr>
        <w:br/>
        <w:t xml:space="preserve">- „toxische koelvloeistoffen”: vloeistoffen waarvan de toxiciteit werd aangetoond bij concentraties onder 400 ppm. </w:t>
      </w:r>
    </w:p>
    <w:p w14:paraId="4C970516"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De thermodynamische installaties en apparatuur die bestemd zijn voor verwarming, airconditioning, klimaatregeling en productie van warm sanitair water, moeten voldoen aan de volgende bepalingen. </w:t>
      </w:r>
      <w:r>
        <w:rPr>
          <w:rFonts w:ascii="Times New Roman" w:hAnsi="Times New Roman"/>
          <w:sz w:val="24"/>
        </w:rPr>
        <w:br/>
        <w:t xml:space="preserve">§ 2. Toepasselijke bepalingen ongeacht de gebruikte koelvloeistof. </w:t>
      </w:r>
      <w:r>
        <w:rPr>
          <w:rFonts w:ascii="Times New Roman" w:hAnsi="Times New Roman"/>
          <w:sz w:val="24"/>
        </w:rPr>
        <w:br/>
        <w:t xml:space="preserve">Wanneer de apparatuur met ingebouwde compressor in voor het publiek toegankelijke lokalen wordt geplaatst, zijn de compressoren van het hermetische of semihermetische type. </w:t>
      </w:r>
      <w:r>
        <w:rPr>
          <w:rFonts w:ascii="Times New Roman" w:hAnsi="Times New Roman"/>
          <w:sz w:val="24"/>
        </w:rPr>
        <w:br/>
        <w:t xml:space="preserve">Wanneer de apparatuur in een machinekamer wordt geplaatst, bevat deze kamer minstens twee verluchtingsopeningen die naar buiten de inrichting leiden en zich op verschillende hoogtes bevinden. De kamer is gescheiden van de stookplaats en staat niet in rechtstreekse verbinding met de voor het publiek toegankelijke lokalen. </w:t>
      </w:r>
      <w:r>
        <w:rPr>
          <w:rFonts w:ascii="Times New Roman" w:hAnsi="Times New Roman"/>
          <w:sz w:val="24"/>
        </w:rPr>
        <w:br/>
        <w:t xml:space="preserve">De buisleidingen voor het transport van de koelvloeistoffen zijn van metaal. </w:t>
      </w:r>
      <w:r>
        <w:rPr>
          <w:rFonts w:ascii="Times New Roman" w:hAnsi="Times New Roman"/>
          <w:sz w:val="24"/>
        </w:rPr>
        <w:br/>
        <w:t xml:space="preserve">Het warmte-isolerend materiaal voor de leidingen behoort tot klasse M1 of CL-s3, d0 in de voor het publiek toegankelijke lokalen en doorgangen, en tot klasse M3 of DL-s3, d0 in de andere delen van de inrichting. </w:t>
      </w:r>
      <w:r>
        <w:rPr>
          <w:rFonts w:ascii="Times New Roman" w:hAnsi="Times New Roman"/>
          <w:sz w:val="24"/>
        </w:rPr>
        <w:br/>
        <w:t xml:space="preserve">De leidingen en houders met vloeistoffen voor het transport van koude („koudedragers” genoemd) moeten voldoen aan de bepalingen van artikel CH 25, § 3. </w:t>
      </w:r>
      <w:r>
        <w:rPr>
          <w:rFonts w:ascii="Times New Roman" w:hAnsi="Times New Roman"/>
          <w:sz w:val="24"/>
        </w:rPr>
        <w:br/>
        <w:t xml:space="preserve">Het warmte-isolerend materiaal voor de houders met koelvloeistoffen en koudedragende vloeistoffen behoort tot klasse M1 of B-s3, d0 in de voor het publiek toegankelijke lokalen en doorgangen, en tot klasse M3 of D-s3, d0 in de andere delen van de inrichting. </w:t>
      </w:r>
      <w:r>
        <w:rPr>
          <w:rFonts w:ascii="Times New Roman" w:hAnsi="Times New Roman"/>
          <w:sz w:val="24"/>
        </w:rPr>
        <w:br/>
        <w:t xml:space="preserve">§ 3. Toepasselijke bepalingen bij gebruik van ontvlambare koelvloeistoffen. </w:t>
      </w:r>
      <w:r>
        <w:rPr>
          <w:rFonts w:ascii="Times New Roman" w:hAnsi="Times New Roman"/>
          <w:sz w:val="24"/>
        </w:rPr>
        <w:br/>
        <w:t xml:space="preserve">De bepalingen van lid 3 gelden niet voor hermetisch afgesloten apparatuur die voorzien is van een CE-markering. </w:t>
      </w:r>
      <w:r>
        <w:rPr>
          <w:rFonts w:ascii="Times New Roman" w:hAnsi="Times New Roman"/>
          <w:sz w:val="24"/>
        </w:rPr>
        <w:br/>
        <w:t xml:space="preserve">Het plaatsen van demonteerbare verbindingsstukken op leidingen die ontvlambare koelvloeistoffen vervoeren, is enkel toegestaan voor de aansluiting van eenheden. </w:t>
      </w:r>
      <w:r>
        <w:rPr>
          <w:rFonts w:ascii="Times New Roman" w:hAnsi="Times New Roman"/>
          <w:sz w:val="24"/>
        </w:rPr>
        <w:br/>
        <w:t xml:space="preserve">De leidingen die ontvlambare koelvloeistoffen vervoeren, zijn beschermd tegen risico’s van volledige breuk. Aan deze eis is voldaan wanneer de leidingen op minimaal twee meter hoogte ten opzichte van de vloer zijn geplaatst of wanneer een mechanische bescherming is geplaatst. </w:t>
      </w:r>
      <w:r>
        <w:rPr>
          <w:rFonts w:ascii="Times New Roman" w:hAnsi="Times New Roman"/>
          <w:sz w:val="24"/>
        </w:rPr>
        <w:br/>
        <w:t>De binnendiameter van de leidingen die ontvlambare koelvloeistoffen in hun vloeibare vorm vervoeren, bedraagt minder dan 50 mm.</w:t>
      </w:r>
      <w:r>
        <w:rPr>
          <w:rFonts w:ascii="Times New Roman" w:hAnsi="Times New Roman"/>
          <w:sz w:val="24"/>
        </w:rPr>
        <w:br/>
        <w:t xml:space="preserve">Naast de bepalingen in paragraaf 2 behoort het warmte-isolerend materiaal voor de </w:t>
      </w:r>
      <w:r>
        <w:rPr>
          <w:rFonts w:ascii="Times New Roman" w:hAnsi="Times New Roman"/>
          <w:sz w:val="24"/>
        </w:rPr>
        <w:lastRenderedPageBreak/>
        <w:t xml:space="preserve">binneneenheden die ontvlambare koelvloeistoffen bevatten, tot klasse M1 of B-s3, d0. </w:t>
      </w:r>
      <w:r>
        <w:rPr>
          <w:rFonts w:ascii="Times New Roman" w:hAnsi="Times New Roman"/>
          <w:sz w:val="24"/>
        </w:rPr>
        <w:br/>
        <w:t xml:space="preserve">De machinekamers zijn lokalen met een middelhoog risico in de zin van artikel CO 28, § 2. </w:t>
      </w:r>
      <w:r>
        <w:rPr>
          <w:rFonts w:ascii="Times New Roman" w:hAnsi="Times New Roman"/>
          <w:sz w:val="24"/>
        </w:rPr>
        <w:br/>
        <w:t xml:space="preserve">a) Voorbehouden zone. </w:t>
      </w:r>
      <w:r>
        <w:rPr>
          <w:rFonts w:ascii="Times New Roman" w:hAnsi="Times New Roman"/>
          <w:sz w:val="24"/>
        </w:rPr>
        <w:br/>
        <w:t xml:space="preserve">Rond de demonteerbare verbindingsstukken voor de eenheden met ontvlambare koelvloeistoffen wordt een zone vastgesteld waarin ontstekingsbronnen zijn verboden en met name vlammen of toestellen waaruit vonken kunnen ontstaan, teneinde ontstekingsrisico's in geval van lekkage te vermijden. </w:t>
      </w:r>
      <w:r>
        <w:rPr>
          <w:rFonts w:ascii="Times New Roman" w:hAnsi="Times New Roman"/>
          <w:sz w:val="24"/>
        </w:rPr>
        <w:br/>
        <w:t xml:space="preserve">Naargelang de installaties zich binnen of buiten de inrichting bevinden en naargelang het brandgedrag van de vloeistof wordt de straal van deze zone volgens onderstaande tabel bepaald: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3"/>
        <w:gridCol w:w="1940"/>
        <w:gridCol w:w="1994"/>
        <w:gridCol w:w="2009"/>
      </w:tblGrid>
      <w:tr w:rsidR="00B767EF" w:rsidRPr="00B767EF" w14:paraId="4C9966B3" w14:textId="77777777"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0631" w14:textId="0DD82B3C"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Binnendiameter D van de leidingen voor de circulatie van de vloeistof (mm)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19608A" w14:textId="77777777"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Straal (m) </w:t>
            </w:r>
          </w:p>
        </w:tc>
      </w:tr>
      <w:tr w:rsidR="00B767EF" w:rsidRPr="00B767EF" w14:paraId="052FA11E" w14:textId="77777777"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AF54" w14:textId="77777777" w:rsidR="00B767EF" w:rsidRPr="00B767EF"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3FC3C" w14:textId="39C83D22"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Buiteninstallaties</w:t>
            </w:r>
            <w:r w:rsidR="00DD3683">
              <w:rPr>
                <w:rFonts w:ascii="Times New Roman" w:hAnsi="Times New Roman"/>
                <w:b/>
                <w:sz w:val="24"/>
              </w:rPr>
              <w:t xml:space="preserve"> </w:t>
            </w:r>
            <w:r>
              <w:rPr>
                <w:rFonts w:ascii="Times New Roman" w:hAnsi="Times New Roman"/>
                <w:b/>
                <w:sz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7804" w14:textId="51DE12A6"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Binneninstallaties</w:t>
            </w:r>
            <w:r w:rsidR="00DD3683">
              <w:rPr>
                <w:rFonts w:ascii="Times New Roman" w:hAnsi="Times New Roman"/>
                <w:b/>
                <w:sz w:val="24"/>
              </w:rPr>
              <w:t xml:space="preserve"> </w:t>
            </w:r>
            <w:r>
              <w:rPr>
                <w:rFonts w:ascii="Times New Roman" w:hAnsi="Times New Roman"/>
                <w:b/>
                <w:sz w:val="24"/>
              </w:rPr>
              <w:t>(2)</w:t>
            </w:r>
            <w:r>
              <w:rPr>
                <w:rFonts w:ascii="Times New Roman" w:hAnsi="Times New Roman"/>
                <w:b/>
                <w:sz w:val="24"/>
              </w:rPr>
              <w:br/>
              <w:t xml:space="preserve">LII ≥ 0,10 kg/m3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2B6" w14:textId="4F7E4737"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Binneninstallaties</w:t>
            </w:r>
            <w:r w:rsidR="00DD3683">
              <w:rPr>
                <w:rFonts w:ascii="Times New Roman" w:hAnsi="Times New Roman"/>
                <w:b/>
                <w:sz w:val="24"/>
              </w:rPr>
              <w:t xml:space="preserve"> </w:t>
            </w:r>
            <w:r>
              <w:rPr>
                <w:rFonts w:ascii="Times New Roman" w:hAnsi="Times New Roman"/>
                <w:b/>
                <w:sz w:val="24"/>
              </w:rPr>
              <w:t>(3)</w:t>
            </w:r>
            <w:r>
              <w:rPr>
                <w:rFonts w:ascii="Times New Roman" w:hAnsi="Times New Roman"/>
                <w:b/>
                <w:sz w:val="24"/>
              </w:rPr>
              <w:br/>
              <w:t xml:space="preserve">LII &lt; 0,10 kg/m3 </w:t>
            </w:r>
          </w:p>
        </w:tc>
      </w:tr>
      <w:tr w:rsidR="00B767EF" w:rsidRPr="00B767EF" w14:paraId="05AF61DD"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4BCF1"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1023"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D76"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5D2D"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r>
      <w:tr w:rsidR="00B767EF" w:rsidRPr="00B767EF" w14:paraId="3650889A"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A1EF2"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0494"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735C"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8935"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r>
      <w:tr w:rsidR="00B767EF" w:rsidRPr="00B767EF" w14:paraId="1020D8A8"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4753"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AA6"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B77CA"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965"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w:t>
            </w:r>
          </w:p>
        </w:tc>
      </w:tr>
    </w:tbl>
    <w:p w14:paraId="57246B03"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b) Maximaal toegelaten vulhoeveelheid </w:t>
      </w:r>
      <w:r>
        <w:rPr>
          <w:rFonts w:ascii="Times New Roman" w:hAnsi="Times New Roman"/>
          <w:sz w:val="24"/>
        </w:rPr>
        <w:br/>
        <w:t xml:space="preserve">De maximale totaalhoeveelheid van ontvlambare koelvloeistof in het koelcircuit is beperkt, teneinde ieder risico op het bereiken van de onderste ontvlambaarheidsgrens bij lekkage in het lokaal te vermijden. </w:t>
      </w:r>
      <w:r>
        <w:rPr>
          <w:rFonts w:ascii="Times New Roman" w:hAnsi="Times New Roman"/>
          <w:sz w:val="24"/>
        </w:rPr>
        <w:br/>
        <w:t xml:space="preserve">Deze hoeveelheid wordt berekend aan de hand van de volgende formule: </w:t>
      </w:r>
      <w:r>
        <w:rPr>
          <w:rFonts w:ascii="Times New Roman" w:hAnsi="Times New Roman"/>
          <w:sz w:val="24"/>
        </w:rPr>
        <w:br/>
        <w:t>mmax = 2,5 x LII5/4 x h0 x A1/2</w:t>
      </w:r>
      <w:r>
        <w:rPr>
          <w:rFonts w:ascii="Times New Roman" w:hAnsi="Times New Roman"/>
          <w:sz w:val="24"/>
        </w:rPr>
        <w:br/>
        <w:t xml:space="preserve">Waarbij: </w:t>
      </w:r>
      <w:r>
        <w:rPr>
          <w:rFonts w:ascii="Times New Roman" w:hAnsi="Times New Roman"/>
          <w:sz w:val="24"/>
        </w:rPr>
        <w:br/>
        <w:t xml:space="preserve">mmax (kg): maximale totaalhoeveelheid van ontvlambare koelvloeistof; </w:t>
      </w:r>
      <w:r>
        <w:rPr>
          <w:rFonts w:ascii="Times New Roman" w:hAnsi="Times New Roman"/>
          <w:sz w:val="24"/>
        </w:rPr>
        <w:br/>
        <w:t xml:space="preserve">LII (kg/m3): onderste ontvlambaarheidsgrens; </w:t>
      </w:r>
      <w:r>
        <w:rPr>
          <w:rFonts w:ascii="Times New Roman" w:hAnsi="Times New Roman"/>
          <w:sz w:val="24"/>
        </w:rPr>
        <w:br/>
        <w:t xml:space="preserve">h0: coëfficiënt met betrekking tot de hoogte van de laagst gelegen apparatuur in het lokaal met als waarde: </w:t>
      </w:r>
      <w:r>
        <w:rPr>
          <w:rFonts w:ascii="Times New Roman" w:hAnsi="Times New Roman"/>
          <w:sz w:val="24"/>
        </w:rPr>
        <w:br/>
        <w:t>0,6 voor plaatsing op de vloer,</w:t>
      </w:r>
      <w:r>
        <w:rPr>
          <w:rFonts w:ascii="Times New Roman" w:hAnsi="Times New Roman"/>
          <w:sz w:val="24"/>
        </w:rPr>
        <w:br/>
        <w:t>1,1 voor raammontage,</w:t>
      </w:r>
      <w:r>
        <w:rPr>
          <w:rFonts w:ascii="Times New Roman" w:hAnsi="Times New Roman"/>
          <w:sz w:val="24"/>
        </w:rPr>
        <w:br/>
        <w:t>1,8 voor plaatsing aan de muur,</w:t>
      </w:r>
      <w:r>
        <w:rPr>
          <w:rFonts w:ascii="Times New Roman" w:hAnsi="Times New Roman"/>
          <w:sz w:val="24"/>
        </w:rPr>
        <w:br/>
        <w:t>2,2 voor plafondmontage,</w:t>
      </w:r>
      <w:r>
        <w:rPr>
          <w:rFonts w:ascii="Times New Roman" w:hAnsi="Times New Roman"/>
          <w:sz w:val="24"/>
        </w:rPr>
        <w:br/>
        <w:t>hoogte van de laagste aansluiting in het pand indien deze groter is dan 2,2 m.</w:t>
      </w:r>
      <w:r>
        <w:rPr>
          <w:rFonts w:ascii="Times New Roman" w:hAnsi="Times New Roman"/>
          <w:sz w:val="24"/>
        </w:rPr>
        <w:br/>
        <w:t xml:space="preserve">A (m²): oppervlakte van het pand. </w:t>
      </w:r>
      <w:r>
        <w:rPr>
          <w:rFonts w:ascii="Times New Roman" w:hAnsi="Times New Roman"/>
          <w:sz w:val="24"/>
        </w:rPr>
        <w:br/>
        <w:t xml:space="preserve">Geen enkele vulbeperking voor ontvlambare koelvloeistoffen wordt opgelegd indien het ontwerp van de apparatuur is uitgerust met een afsluitklep voor het koelcircuit en een ventilatiesysteem die door een detector worden gestuurd, teneinde ieder risico op het bereiken van de onderste ontvlambaarheidsgrens bij lekkage in het lokaal te vermijden. </w:t>
      </w:r>
      <w:r>
        <w:rPr>
          <w:rFonts w:ascii="Times New Roman" w:hAnsi="Times New Roman"/>
          <w:sz w:val="24"/>
        </w:rPr>
        <w:br/>
        <w:t xml:space="preserve">Geen enkele vulbeperking voor ontvlambare koelvloeistoffen wordt opgelegd indien de </w:t>
      </w:r>
      <w:r>
        <w:rPr>
          <w:rFonts w:ascii="Times New Roman" w:hAnsi="Times New Roman"/>
          <w:sz w:val="24"/>
        </w:rPr>
        <w:lastRenderedPageBreak/>
        <w:t>apparatuur die gebruik maakt van deze vloeistoffen, in een machinekamer is geplaatst en indien deze kamer is uitgerust met:</w:t>
      </w:r>
    </w:p>
    <w:p w14:paraId="2B2A44F5"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een detectiesysteem dat, in geval van lekkage, de mechanische luchtafzuiger inschakelt en de vloeistofcirculatie in het circuit afsluit om de duur van het lek te beperken, hetzij door volledige stillegging van het thermodynamisch systeem, hetzij door activatie van een elektroventiel. Dit detectiesysteem bestaat uit een detectiecentrale en twee geïntegreerde sensoren naargelang de aard van de gebruikte vloeistof. Een automatisch waarschuwingssysteem signaleert storingen van het detectiesysteem en de luchtafzuiger;</w:t>
      </w:r>
      <w:r>
        <w:rPr>
          <w:rFonts w:ascii="Times New Roman" w:hAnsi="Times New Roman"/>
          <w:sz w:val="24"/>
        </w:rPr>
        <w:br/>
        <w:t xml:space="preserve">- een mechanische luchtafzuiger die zorgt voor voldoende luchtverversing per uur om bij de afzuigafvoer onder de onderste ontvlambaarheidsgrens te blijven. Dit systeem valt onder categorie 3 in de zin van Richtlijn 2014/34/EU inzake apparaten en beveiligingssystemen bedoeld voor gebruik op plaatsen waar ontploffingsgevaar kan heersen. </w:t>
      </w:r>
    </w:p>
    <w:p w14:paraId="0FA42FF1"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c) De installatie van apparatuur en thermodynamische systemen voldoet aan de door de fabrikant voorgeschreven regels. </w:t>
      </w:r>
      <w:r>
        <w:rPr>
          <w:rFonts w:ascii="Times New Roman" w:hAnsi="Times New Roman"/>
          <w:sz w:val="24"/>
        </w:rPr>
        <w:br/>
        <w:t>Er wordt een document met de beschrijvende bestanddelen van de installatie opgesteld en ter beschikking gehouden van de administratieve overheden en van de betrokken ondernemingen die hiervan kennis moeten nemen vooraleer eventuele ingrepen worden overwogen. Dit document bevat met name de volgende elementen:</w:t>
      </w:r>
    </w:p>
    <w:p w14:paraId="28CFE839"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een plan van het leidingnet;</w:t>
      </w:r>
      <w:r>
        <w:rPr>
          <w:rFonts w:ascii="Times New Roman" w:hAnsi="Times New Roman"/>
          <w:sz w:val="24"/>
        </w:rPr>
        <w:br/>
        <w:t>- een overzicht van de installatie;</w:t>
      </w:r>
      <w:r>
        <w:rPr>
          <w:rFonts w:ascii="Times New Roman" w:hAnsi="Times New Roman"/>
          <w:sz w:val="24"/>
        </w:rPr>
        <w:br/>
        <w:t>- een gedetailleerde en gegronde berekening van de maximale hoeveelheid of hoeveelheden koelvloeistoffen;</w:t>
      </w:r>
      <w:r>
        <w:rPr>
          <w:rFonts w:ascii="Times New Roman" w:hAnsi="Times New Roman"/>
          <w:sz w:val="24"/>
        </w:rPr>
        <w:br/>
        <w:t>- een inplantingsplan van de beveiligingssystemen (detectoren, elektroventielen, ventilatie enz.);</w:t>
      </w:r>
      <w:r>
        <w:rPr>
          <w:rFonts w:ascii="Times New Roman" w:hAnsi="Times New Roman"/>
          <w:sz w:val="24"/>
        </w:rPr>
        <w:br/>
        <w:t>- de ontwerpdebieten van eventuele ventilaties bij overschrijding van de berekende maximumhoeveelheid;</w:t>
      </w:r>
      <w:r>
        <w:rPr>
          <w:rFonts w:ascii="Times New Roman" w:hAnsi="Times New Roman"/>
          <w:sz w:val="24"/>
        </w:rPr>
        <w:br/>
        <w:t>- de voorstelling van de ijking en van de betrouwbaarheid van het detectiesysteem, alsook van de luchtverversingssnelheid van de mechanische luchtafzuiger;</w:t>
      </w:r>
      <w:r>
        <w:rPr>
          <w:rFonts w:ascii="Times New Roman" w:hAnsi="Times New Roman"/>
          <w:sz w:val="24"/>
        </w:rPr>
        <w:br/>
        <w:t xml:space="preserve">- een correlatietabel van de verschillende beveiligingssystemen in geval van overschrijding van de berekende maximumhoeveelheid. </w:t>
      </w:r>
    </w:p>
    <w:p w14:paraId="4B0CAAF9"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Dit document wordt bij iedere wijziging van de installaties of van de lokalen bijgewerkt. </w:t>
      </w:r>
      <w:r>
        <w:rPr>
          <w:rFonts w:ascii="Times New Roman" w:hAnsi="Times New Roman"/>
          <w:sz w:val="24"/>
        </w:rPr>
        <w:br/>
        <w:t xml:space="preserve">De installatie moet jaarlijks worden nagekeken door een bevoegd technicus die een verslag opstelt waarin onder meer de detectieresultaten voor directe of indirecte verliezen zijn opgenomen. Minimaal 20 % van de beveiligingssystemen en verbonden servomechanismen, hierboven bedoeld, moet jaarlijks worden nagekeken en het geheel ervan moet om de vijf jaar worden nagekeken. Het resultaat van deze proeven wordt opgenomen in voornoemd verslag. </w:t>
      </w:r>
      <w:r>
        <w:rPr>
          <w:rFonts w:ascii="Times New Roman" w:hAnsi="Times New Roman"/>
          <w:sz w:val="24"/>
        </w:rPr>
        <w:br/>
        <w:t>§ 4. Het gebruik van toxische koelvloeistoffen is toegestaan indien gelijktijdig aan de drie volgende voorwaarden wordt voldaan:</w:t>
      </w:r>
    </w:p>
    <w:p w14:paraId="4007EB3F"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inplanting buiten of in een machinekamer die gescheiden is van de stookplaats;</w:t>
      </w:r>
      <w:r>
        <w:rPr>
          <w:rFonts w:ascii="Times New Roman" w:hAnsi="Times New Roman"/>
          <w:sz w:val="24"/>
        </w:rPr>
        <w:br/>
        <w:t>- werking volgens het systeem van indirecte uitwisseling;</w:t>
      </w:r>
      <w:r>
        <w:rPr>
          <w:rFonts w:ascii="Times New Roman" w:hAnsi="Times New Roman"/>
          <w:sz w:val="24"/>
        </w:rPr>
        <w:br/>
        <w:t xml:space="preserve">- totaalhoeveelheid van de vloeistoffen in alle apparatuur beperkt tot 150 kg. </w:t>
      </w:r>
    </w:p>
    <w:p w14:paraId="0AD8B318"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5. De apparaten of groep apparaten voor koudeproductie door verbranding worden naargelang hun vermogen onder de in artikel CH 5 of CH 6 gestelde voorwaarden geplaatst. ” </w:t>
      </w:r>
    </w:p>
    <w:p w14:paraId="365B6614" w14:textId="32295471"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(1) Een voorbehouden zone uitsluitend vereist voor buiteninstallaties waarvan de ontvlambare koelvloeistoffen een brandvoortplantingssnelheid hebben van meer dan 10 cm/s.</w:t>
      </w:r>
      <w:r>
        <w:rPr>
          <w:rFonts w:ascii="Times New Roman" w:hAnsi="Times New Roman"/>
          <w:sz w:val="24"/>
        </w:rPr>
        <w:br/>
        <w:t xml:space="preserve">(2) Ontvlambare koelvloeistoffen waarvan de onderste ontvlambaarheidsgrenswaarde is 0,10 kg/m³ of meer. </w:t>
      </w:r>
      <w:r>
        <w:rPr>
          <w:rFonts w:ascii="Times New Roman" w:hAnsi="Times New Roman"/>
          <w:sz w:val="24"/>
        </w:rPr>
        <w:br/>
      </w:r>
      <w:r w:rsidR="00DD3683">
        <w:rPr>
          <w:rFonts w:ascii="Times New Roman" w:hAnsi="Times New Roman"/>
          <w:sz w:val="24"/>
        </w:rPr>
        <w:t>(</w:t>
      </w:r>
      <w:r>
        <w:rPr>
          <w:rFonts w:ascii="Times New Roman" w:hAnsi="Times New Roman"/>
          <w:sz w:val="24"/>
        </w:rPr>
        <w:t>3</w:t>
      </w:r>
      <w:r w:rsidR="00DD3683">
        <w:rPr>
          <w:rFonts w:ascii="Times New Roman" w:hAnsi="Times New Roman"/>
          <w:sz w:val="24"/>
        </w:rPr>
        <w:t>)</w:t>
      </w:r>
      <w:r>
        <w:rPr>
          <w:rFonts w:ascii="Times New Roman" w:hAnsi="Times New Roman"/>
          <w:sz w:val="24"/>
        </w:rPr>
        <w:t xml:space="preserve"> Ontvlambare koelvloeistoffen waarvan de onderste ontvlambaarheidsgrens minder dan 0,10 kg/m³ bedraagt.</w:t>
      </w:r>
    </w:p>
    <w:p w14:paraId="6B67D63E"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09930595"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Artikel CH 45, punt c wordt geschrapt.</w:t>
      </w:r>
    </w:p>
    <w:p w14:paraId="6849DEBF"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4</w:t>
      </w:r>
    </w:p>
    <w:p w14:paraId="74F3395F"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Hoofdstuk II van titel II van boek II van de veiligheidsverordening inzake het risico van brand en paniek in instellingen die voor het publiek toegankelijk zijn, goedgekeurd via het hierboven vermelde besluit van 25 juni 1980, wordt als volgt gewijzigd: </w:t>
      </w:r>
      <w:r>
        <w:rPr>
          <w:rFonts w:ascii="Times New Roman" w:hAnsi="Times New Roman"/>
          <w:sz w:val="24"/>
        </w:rPr>
        <w:br/>
        <w:t>Artikel M 40, § 4 wordt geschrapt.</w:t>
      </w:r>
    </w:p>
    <w:p w14:paraId="31ECF89C"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5</w:t>
      </w:r>
    </w:p>
    <w:p w14:paraId="6B0A3F54"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Deze Verordening treedt in werking op de dag na de bekendmaking ervan in het Staatsblad van de Franse Republiek.</w:t>
      </w:r>
    </w:p>
    <w:p w14:paraId="032C5E60"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Gedaan op 10 mei 2019.</w:t>
      </w:r>
    </w:p>
    <w:p w14:paraId="582D28DE" w14:textId="25A4DEB6"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Namens de minister en bij delegatie:</w:t>
      </w:r>
      <w:r>
        <w:rPr>
          <w:rFonts w:ascii="Times New Roman" w:hAnsi="Times New Roman"/>
          <w:sz w:val="24"/>
        </w:rPr>
        <w:br/>
        <w:t>Het hoofd van Dienst, adjunct-directeur-generaal voor Civiele Veiligheid en Crisisbeheersing, verantwoordelijk voor het Directoraat van Brandweerlieden,</w:t>
      </w:r>
      <w:r>
        <w:rPr>
          <w:rFonts w:ascii="Times New Roman" w:hAnsi="Times New Roman"/>
          <w:sz w:val="24"/>
        </w:rPr>
        <w:br/>
      </w:r>
      <w:r w:rsidR="00F536CB">
        <w:rPr>
          <w:rFonts w:ascii="Times New Roman" w:hAnsi="Times New Roman"/>
          <w:sz w:val="24"/>
        </w:rPr>
        <w:t>M</w:t>
      </w:r>
      <w:r>
        <w:rPr>
          <w:rFonts w:ascii="Times New Roman" w:hAnsi="Times New Roman"/>
          <w:sz w:val="24"/>
        </w:rPr>
        <w:t>. Marquer</w:t>
      </w:r>
    </w:p>
    <w:p w14:paraId="5785BBFE" w14:textId="77777777" w:rsidR="006467BD" w:rsidRDefault="006467BD"/>
    <w:sectPr w:rsidR="00646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EF"/>
    <w:rsid w:val="00500C1C"/>
    <w:rsid w:val="006467BD"/>
    <w:rsid w:val="00B767EF"/>
    <w:rsid w:val="00DD3683"/>
    <w:rsid w:val="00F536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CF1"/>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1815</Words>
  <Characters>10352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4</cp:revision>
  <dcterms:created xsi:type="dcterms:W3CDTF">2021-08-25T12:18:00Z</dcterms:created>
  <dcterms:modified xsi:type="dcterms:W3CDTF">2022-01-02T14:12:00Z</dcterms:modified>
</cp:coreProperties>
</file>