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61F7" w14:textId="77777777" w:rsidR="00B767EF" w:rsidRPr="00B767EF"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Vyhláška z 10. mája 2019, ktorou sa mení vyhláška z 25. júna 1980, ktorou sa schvaľujú všeobecné ustanovenia bezpečnostného predpisu proti rizikám požiaru a paniky vo verejne prístupných zariadeniach (VPZ)</w:t>
      </w:r>
    </w:p>
    <w:p w14:paraId="07833EEA"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Dotknutá verejnosť: prevádzkovatelia a vlastníci verejne prístupných zariadení, zhotovitelia, dodávatelia, architekti, členovia bezpečnostných komisií, technickí kontrolóri, výrobcovia a inštalatéri zariadení využívajúcich chladivá. </w:t>
      </w:r>
      <w:r>
        <w:rPr>
          <w:rFonts w:ascii="Times New Roman" w:hAnsi="Times New Roman"/>
          <w:sz w:val="24"/>
        </w:rPr>
        <w:br/>
        <w:t xml:space="preserve">Predmet: zmena ustanovenia týkajúceho sa používania chladív v priestoroch pre verejnosť. </w:t>
      </w:r>
      <w:r>
        <w:rPr>
          <w:rFonts w:ascii="Times New Roman" w:hAnsi="Times New Roman"/>
          <w:sz w:val="24"/>
        </w:rPr>
        <w:br/>
        <w:t xml:space="preserve">Nadobudnutie účinnosti: deň po uverejnení v Úradnom vestníku Francúzskej republiky. </w:t>
      </w:r>
      <w:r>
        <w:rPr>
          <w:rFonts w:ascii="Times New Roman" w:hAnsi="Times New Roman"/>
          <w:sz w:val="24"/>
        </w:rPr>
        <w:br/>
        <w:t xml:space="preserve">Poznámka: v nariadení Európskeho parlamentu a Rady (EÚ) č. 517/2014 zo 16. apríla 2014 o fluórovaných skleníkových plynoch sa stanovuje znižovanie emisií týchto plynov a najmä množstva neúplne fluórovaných uhľovodíkov (HFC).  Niektoré HFC sa používajú vo vykurovacích zariadeniach alebo systémoch, v zariadeniach alebo systémoch na úpravu vzduchu, klimatizačných zariadeniach a systémoch a v zariadeniach a systémoch na výrobu teplej úžitkovej vody vo VPZ. Náhrady HFC používané v klimatizácii/pri chladení vo VPZ sú najčastejšie horľavé. Cieľom tejto vyhlášky je povoliť používanie týchto náhrad vo VPZ pod podmienkou, že sa budú uplatňovať niektoré opatrenia manažmentu rizík. Podmienky manažmentu rizík, ktoré obsahuje táto vyhláška, vychádzajú zo stanoviska generálneho riaditeľstva pre prevenciu rizík (DGPR) ministerstva ekologickej a solidárnej transformácie (MTES) a analýzy rizík vypracovanej INERIS (národným inštitútom pre priemyselné prostredie a riziká). </w:t>
      </w:r>
      <w:r>
        <w:rPr>
          <w:rFonts w:ascii="Times New Roman" w:hAnsi="Times New Roman"/>
          <w:sz w:val="24"/>
        </w:rPr>
        <w:br/>
        <w:t xml:space="preserve">Odkazy: text zmenený touto vyhláškou je v znení, ktoré vyplýva z tejto zmeny, dostupný na stránke Légifrance (http://www.legifrance.gouv.fr). </w:t>
      </w:r>
    </w:p>
    <w:p w14:paraId="511145FD"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vnútra,</w:t>
      </w:r>
      <w:r>
        <w:rPr>
          <w:rFonts w:ascii="Times New Roman" w:hAnsi="Times New Roman"/>
          <w:sz w:val="24"/>
        </w:rPr>
        <w:br/>
        <w:t>so zreteľom na smernicu Európskeho parlamentu a Rady 2015/1535 z 9. septembra 2015, ktorou sa stanovuje postup pri poskytovaní informácií v oblasti technických predpisov a pravidiel vzťahujúcich sa na služby informačnej spoločnosti, a najmä na oznámenie č. 2018/467/F,</w:t>
      </w:r>
      <w:r>
        <w:rPr>
          <w:rFonts w:ascii="Times New Roman" w:hAnsi="Times New Roman"/>
          <w:sz w:val="24"/>
        </w:rPr>
        <w:br/>
        <w:t>so zreteľom na zákonník výstavby a bývania a najmä na jeho článok R 123-12,</w:t>
      </w:r>
      <w:r>
        <w:rPr>
          <w:rFonts w:ascii="Times New Roman" w:hAnsi="Times New Roman"/>
          <w:sz w:val="24"/>
        </w:rPr>
        <w:br/>
        <w:t>so zreteľom na zmenenú vyhlášku z 25. júna 1980, ktorou sa schvaľujú všeobecné ustanovenia k bezpečnostnému predpisu proti rizikám požiaru a paniky vo verejne prístupných zariadeniach,</w:t>
      </w:r>
      <w:r>
        <w:rPr>
          <w:rFonts w:ascii="Times New Roman" w:hAnsi="Times New Roman"/>
          <w:sz w:val="24"/>
        </w:rPr>
        <w:br/>
        <w:t>so zreteľom na stanovisko Najvyššej rady pre stavebníctvo a energetickú účinnosť zo 16. októbra 2018,</w:t>
      </w:r>
      <w:r>
        <w:rPr>
          <w:rFonts w:ascii="Times New Roman" w:hAnsi="Times New Roman"/>
          <w:sz w:val="24"/>
        </w:rPr>
        <w:br/>
        <w:t>so zreteľom na stanovisko Štátnej rady pre posudzovanie noriem z 11. októbra 2018,</w:t>
      </w:r>
      <w:r>
        <w:rPr>
          <w:rFonts w:ascii="Times New Roman" w:hAnsi="Times New Roman"/>
          <w:sz w:val="24"/>
        </w:rPr>
        <w:br/>
        <w:t>vydáva túto vyhlášku:</w:t>
      </w:r>
    </w:p>
    <w:p w14:paraId="1EB6D07B"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Článok 1</w:t>
      </w:r>
    </w:p>
    <w:p w14:paraId="6668C2CB"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Kapitola V knihy I a knihy II bezpečnostného predpisu proti rizikám požiaru a paniky vo verejne prístupných zariadeniach, ktorý bol schválený uvedenou vyhláškou z 25. júna 1980, sa mení v súlade s článkami 2 až 3.</w:t>
      </w:r>
    </w:p>
    <w:p w14:paraId="5C05C3DB"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Článok 2</w:t>
      </w:r>
    </w:p>
    <w:p w14:paraId="643787CA" w14:textId="79AE64E4"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Článok CH 35 sa nahrádza týmito ustanoveniami: </w:t>
      </w:r>
      <w:r>
        <w:rPr>
          <w:rFonts w:ascii="Times New Roman" w:hAnsi="Times New Roman"/>
          <w:sz w:val="24"/>
        </w:rPr>
        <w:br/>
        <w:t xml:space="preserve">„Zariadenia alebo systémy používajúce chladivá </w:t>
      </w:r>
      <w:bookmarkStart w:id="0" w:name="_Hlk91774265"/>
      <w:r w:rsidR="001D2685" w:rsidRPr="00B767EF">
        <w:rPr>
          <w:rFonts w:ascii="Times New Roman" w:eastAsia="Times New Roman" w:hAnsi="Times New Roman" w:cs="Times New Roman"/>
          <w:sz w:val="24"/>
          <w:szCs w:val="24"/>
          <w:lang w:eastAsia="fr-FR"/>
        </w:rPr>
        <w:br/>
      </w:r>
      <w:bookmarkEnd w:id="0"/>
      <w:r>
        <w:rPr>
          <w:rFonts w:ascii="Times New Roman" w:hAnsi="Times New Roman"/>
          <w:sz w:val="24"/>
        </w:rPr>
        <w:t xml:space="preserve">Ods. 1 Na účely tohto článku sa pod pojmom: </w:t>
      </w:r>
    </w:p>
    <w:p w14:paraId="41614B6A"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„horľavé chladivá“ rozumejú kvapaliny, ktoré šíria oheň pri teplote 60 °C a tlaku 101,3 kPa, </w:t>
      </w:r>
      <w:r>
        <w:rPr>
          <w:rFonts w:ascii="Times New Roman" w:hAnsi="Times New Roman"/>
          <w:sz w:val="24"/>
        </w:rPr>
        <w:br/>
        <w:t xml:space="preserve">- „toxické chladivá“ rozumejú kvapaliny, pri ktorých bola preukázaná toxicita pri koncentráciách nižších ako 400 ppm. </w:t>
      </w:r>
    </w:p>
    <w:p w14:paraId="4C970516"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Termodynamické zariadenia a systémy určené na vykurovanie, úpravu vzduchu, klimatizáciu a výrobu teplej úžitkovej vody spĺňajú nasledujúce ustanovenia. </w:t>
      </w:r>
      <w:r>
        <w:rPr>
          <w:rFonts w:ascii="Times New Roman" w:hAnsi="Times New Roman"/>
          <w:sz w:val="24"/>
        </w:rPr>
        <w:br/>
        <w:t xml:space="preserve">Ods. 2 Ustanovenia platné bez ohľadu na použité chladivo. </w:t>
      </w:r>
      <w:r>
        <w:rPr>
          <w:rFonts w:ascii="Times New Roman" w:hAnsi="Times New Roman"/>
          <w:sz w:val="24"/>
        </w:rPr>
        <w:br/>
        <w:t xml:space="preserve">Ak sú zariadenia so zabudovaným motorovým kompresorom umiestnené do priestorov prístupných pre verejnosť, motorové kompresory sú hermetické alebo hermetické s prístupom. </w:t>
      </w:r>
      <w:r>
        <w:rPr>
          <w:rFonts w:ascii="Times New Roman" w:hAnsi="Times New Roman"/>
          <w:sz w:val="24"/>
        </w:rPr>
        <w:br/>
        <w:t xml:space="preserve">Ak sú zariadenia umiestnené v strojovni, strojovňa je vybavená najmenej dvomi ventilačnými otvormi, ktoré sú obrátené k vonkajšej časti zariadenia a ktoré sa nachádzajú v rôznych výškach. Líši sa od kotolne a nie je priamo prepojená s verejne prístupnými zariadeniami. </w:t>
      </w:r>
      <w:r>
        <w:rPr>
          <w:rFonts w:ascii="Times New Roman" w:hAnsi="Times New Roman"/>
          <w:sz w:val="24"/>
        </w:rPr>
        <w:br/>
        <w:t xml:space="preserve">Potrubia rozvádzajúce chladivá sú kovové. </w:t>
      </w:r>
      <w:r>
        <w:rPr>
          <w:rFonts w:ascii="Times New Roman" w:hAnsi="Times New Roman"/>
          <w:sz w:val="24"/>
        </w:rPr>
        <w:br/>
        <w:t xml:space="preserve">Tepelné izolátory, ktoré sa používajú na izoláciu potrubí, sú vyrobené z materiálu triedy M1 alebo CL-s3, d0 pre priestory prístupné verejnosti a ich prístupové cesty a z materiálu triedy M3 alebo DL-s3, d0 v prípade ostatných častí zariadenia. </w:t>
      </w:r>
      <w:r>
        <w:rPr>
          <w:rFonts w:ascii="Times New Roman" w:hAnsi="Times New Roman"/>
          <w:sz w:val="24"/>
        </w:rPr>
        <w:br/>
        <w:t xml:space="preserve">Potrubia a kontajnery obsahujúce kvapaliny určené na prenos chladu (nazývané aj „chladiace kvapaliny“) musia spĺňať ustanovenia odseku 3 článku CH 25. </w:t>
      </w:r>
      <w:r>
        <w:rPr>
          <w:rFonts w:ascii="Times New Roman" w:hAnsi="Times New Roman"/>
          <w:sz w:val="24"/>
        </w:rPr>
        <w:br/>
        <w:t xml:space="preserve">Tepelné izolátory, ktoré sa používajú v prípade kontajnerov na chladiace kvapaliny a chladivá, sú vyrobené z materiálu triedy M1 alebo B-s3, d0 pre priestory prístupné verejnosti a ich prístupové cesty a z materiálu triedy M3 alebo D-s3, d0 v prípade ostatných častí zariadenia. </w:t>
      </w:r>
      <w:r>
        <w:rPr>
          <w:rFonts w:ascii="Times New Roman" w:hAnsi="Times New Roman"/>
          <w:sz w:val="24"/>
        </w:rPr>
        <w:br/>
        <w:t xml:space="preserve">Ods. 3 Ustanovenia platné v prípade použitia horľavých chladív. </w:t>
      </w:r>
      <w:r>
        <w:rPr>
          <w:rFonts w:ascii="Times New Roman" w:hAnsi="Times New Roman"/>
          <w:sz w:val="24"/>
        </w:rPr>
        <w:br/>
        <w:t xml:space="preserve">Ustanovenia odseku 3 sa neuplatňujú na hermeticky uzavreté zariadenia, ktoré musia mať označenie CE. </w:t>
      </w:r>
      <w:r>
        <w:rPr>
          <w:rFonts w:ascii="Times New Roman" w:hAnsi="Times New Roman"/>
          <w:sz w:val="24"/>
        </w:rPr>
        <w:br/>
        <w:t xml:space="preserve">Zakazuje sa montáž demontovateľných častí na potrubia obsahujúce horľavé chladivá, okrem montáže na pripojenie jednotiek. </w:t>
      </w:r>
      <w:r>
        <w:rPr>
          <w:rFonts w:ascii="Times New Roman" w:hAnsi="Times New Roman"/>
          <w:sz w:val="24"/>
        </w:rPr>
        <w:br/>
        <w:t xml:space="preserve">Potrubia obsahujúce horľavé chladivá sú chránené pred všetkými rizikami pretrhnutia. Tejto požiadavke vyhovuje montáž potrubí vo výške minimálne dva metre nad úrovňou zeme alebo zabezpečenie mechanickej ochrany. </w:t>
      </w:r>
      <w:r>
        <w:rPr>
          <w:rFonts w:ascii="Times New Roman" w:hAnsi="Times New Roman"/>
          <w:sz w:val="24"/>
        </w:rPr>
        <w:br/>
        <w:t>Vnútorný priemer potrubí obsahujúcich horľavé chladivá v kvapalnom skupenstve je najviac 50 mm.</w:t>
      </w:r>
      <w:r>
        <w:rPr>
          <w:rFonts w:ascii="Times New Roman" w:hAnsi="Times New Roman"/>
          <w:sz w:val="24"/>
        </w:rPr>
        <w:br/>
        <w:t xml:space="preserve">Okrem podmienok uvedených v odseku 2 musia byť tepelné izolátory použité na izoláciu vnútorných jednotiek obsahujúcich horľavé chladivá vyrobené z materiálov triedy M1 alebo B-s3, d0. </w:t>
      </w:r>
      <w:r>
        <w:rPr>
          <w:rFonts w:ascii="Times New Roman" w:hAnsi="Times New Roman"/>
          <w:sz w:val="24"/>
        </w:rPr>
        <w:br/>
        <w:t xml:space="preserve">V zmysle článku CO 28 ods. 2 strojovne predstavujú priestory so stredným rizikom. </w:t>
      </w:r>
      <w:r>
        <w:rPr>
          <w:rFonts w:ascii="Times New Roman" w:hAnsi="Times New Roman"/>
          <w:sz w:val="24"/>
        </w:rPr>
        <w:br/>
        <w:t xml:space="preserve">a) Ochranná zóna. </w:t>
      </w:r>
      <w:r>
        <w:rPr>
          <w:rFonts w:ascii="Times New Roman" w:hAnsi="Times New Roman"/>
          <w:sz w:val="24"/>
        </w:rPr>
        <w:br/>
        <w:t xml:space="preserve">Okolo demontovateľných spojov jednotiek obsahujúcich horľavé chladivá sa musí </w:t>
      </w:r>
      <w:r>
        <w:rPr>
          <w:rFonts w:ascii="Times New Roman" w:hAnsi="Times New Roman"/>
          <w:sz w:val="24"/>
        </w:rPr>
        <w:lastRenderedPageBreak/>
        <w:t xml:space="preserve">vytvoriť zóna, v ktorej sú zakázané všetky zdroje vznietenia, a najmä akýkoľvek plameň alebo zariadenie, ktoré môže spôsobiť iskru, aby sa zabránilo akémukoľvek riziku vznietenia v prípade úniku chladiva. </w:t>
      </w:r>
      <w:r>
        <w:rPr>
          <w:rFonts w:ascii="Times New Roman" w:hAnsi="Times New Roman"/>
          <w:sz w:val="24"/>
        </w:rPr>
        <w:br/>
        <w:t xml:space="preserve">V závislosti od toho, či sú zariadenia umiestnené na vnútornej alebo vonkajšej časti zariadenia a od vlastností spaľovania kvapaliny, je polomer tejto zóny vymedzený v tabuľke nižšie: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87"/>
        <w:gridCol w:w="1698"/>
        <w:gridCol w:w="1728"/>
        <w:gridCol w:w="1743"/>
      </w:tblGrid>
      <w:tr w:rsidR="00B767EF" w:rsidRPr="00B767EF"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Vnútorný priemer D potrubia, ktorým obieha kvapalná fáza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Polomer (m) </w:t>
            </w:r>
          </w:p>
        </w:tc>
      </w:tr>
      <w:tr w:rsidR="00B767EF" w:rsidRPr="00B767EF"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B767EF"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326186AD"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Vonkajšie systémy</w:t>
            </w:r>
            <w:r w:rsidR="001D2685">
              <w:rPr>
                <w:rFonts w:ascii="Times New Roman" w:hAnsi="Times New Roman"/>
                <w:b/>
                <w:sz w:val="24"/>
              </w:rPr>
              <w:t xml:space="preserve"> </w:t>
            </w:r>
            <w:r>
              <w:rPr>
                <w:rFonts w:ascii="Times New Roman" w:hAnsi="Times New Roman"/>
                <w:b/>
                <w:sz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62785A76"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Vnútorné systémy</w:t>
            </w:r>
            <w:r w:rsidR="001D2685">
              <w:rPr>
                <w:rFonts w:ascii="Times New Roman" w:hAnsi="Times New Roman"/>
                <w:b/>
                <w:sz w:val="24"/>
              </w:rPr>
              <w:t xml:space="preserve"> </w:t>
            </w:r>
            <w:r>
              <w:rPr>
                <w:rFonts w:ascii="Times New Roman" w:hAnsi="Times New Roman"/>
                <w:b/>
                <w:sz w:val="24"/>
              </w:rPr>
              <w:t>(2)</w:t>
            </w:r>
            <w:r>
              <w:rPr>
                <w:rFonts w:ascii="Times New Roman" w:hAnsi="Times New Roman"/>
                <w:b/>
                <w:sz w:val="24"/>
              </w:rPr>
              <w:br/>
              <w:t xml:space="preserve">LII ≥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3E3342E0"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Vnútorné systémy</w:t>
            </w:r>
            <w:r w:rsidR="001D2685">
              <w:rPr>
                <w:rFonts w:ascii="Times New Roman" w:hAnsi="Times New Roman"/>
                <w:b/>
                <w:sz w:val="24"/>
              </w:rPr>
              <w:t xml:space="preserve"> </w:t>
            </w:r>
            <w:r>
              <w:rPr>
                <w:rFonts w:ascii="Times New Roman" w:hAnsi="Times New Roman"/>
                <w:b/>
                <w:sz w:val="24"/>
              </w:rPr>
              <w:t>(3)</w:t>
            </w:r>
            <w:r>
              <w:rPr>
                <w:rFonts w:ascii="Times New Roman" w:hAnsi="Times New Roman"/>
                <w:b/>
                <w:sz w:val="24"/>
              </w:rPr>
              <w:br/>
              <w:t xml:space="preserve">LII &lt; 0,10 kg/m3 </w:t>
            </w:r>
          </w:p>
        </w:tc>
      </w:tr>
      <w:tr w:rsidR="00B767EF" w:rsidRPr="00B767EF"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r>
      <w:tr w:rsidR="00B767EF" w:rsidRPr="00B767EF"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r>
      <w:tr w:rsidR="00B767EF" w:rsidRPr="00B767EF"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w:t>
            </w:r>
          </w:p>
        </w:tc>
      </w:tr>
    </w:tbl>
    <w:p w14:paraId="57246B03"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b) Maximálny prípustný objem odberu. </w:t>
      </w:r>
      <w:r>
        <w:rPr>
          <w:rFonts w:ascii="Times New Roman" w:hAnsi="Times New Roman"/>
          <w:sz w:val="24"/>
        </w:rPr>
        <w:br/>
        <w:t xml:space="preserve">Maximálne celkové množstvo horľavého chladiva, ktoré obieha v chladiacom okruhu, musí byť obmedzené, aby sa zabránilo akémukoľvek riziku dosiahnutia minimálneho limitu horľavosti v prípade úniku do priestorov. </w:t>
      </w:r>
      <w:r>
        <w:rPr>
          <w:rFonts w:ascii="Times New Roman" w:hAnsi="Times New Roman"/>
          <w:sz w:val="24"/>
        </w:rPr>
        <w:br/>
        <w:t xml:space="preserve">Toto množstvo sa stanovuje podľa tohto vzorca: </w:t>
      </w:r>
      <w:r>
        <w:rPr>
          <w:rFonts w:ascii="Times New Roman" w:hAnsi="Times New Roman"/>
          <w:sz w:val="24"/>
        </w:rPr>
        <w:br/>
        <w:t>mmax = 2,5 x LII5/4 x h0 x A1/2,</w:t>
      </w:r>
      <w:r>
        <w:rPr>
          <w:rFonts w:ascii="Times New Roman" w:hAnsi="Times New Roman"/>
          <w:sz w:val="24"/>
        </w:rPr>
        <w:br/>
        <w:t xml:space="preserve">kde: </w:t>
      </w:r>
      <w:r>
        <w:rPr>
          <w:rFonts w:ascii="Times New Roman" w:hAnsi="Times New Roman"/>
          <w:sz w:val="24"/>
        </w:rPr>
        <w:br/>
        <w:t xml:space="preserve">mmax (kg): maximálne celkové množstvo horľavého chladiva. </w:t>
      </w:r>
      <w:r>
        <w:rPr>
          <w:rFonts w:ascii="Times New Roman" w:hAnsi="Times New Roman"/>
          <w:sz w:val="24"/>
        </w:rPr>
        <w:br/>
        <w:t xml:space="preserve">LII (kg/m3): minimálny limit horľavosti. </w:t>
      </w:r>
      <w:r>
        <w:rPr>
          <w:rFonts w:ascii="Times New Roman" w:hAnsi="Times New Roman"/>
          <w:sz w:val="24"/>
        </w:rPr>
        <w:br/>
        <w:t xml:space="preserve">h0: koeficient závislý od výšky zariadenia umiestneného najnižšie v priestoroch, ktorého hodnota sa rovná: </w:t>
      </w:r>
      <w:r>
        <w:rPr>
          <w:rFonts w:ascii="Times New Roman" w:hAnsi="Times New Roman"/>
          <w:sz w:val="24"/>
        </w:rPr>
        <w:br/>
        <w:t>0,6 pre umiestnenie na podlahe,</w:t>
      </w:r>
      <w:r>
        <w:rPr>
          <w:rFonts w:ascii="Times New Roman" w:hAnsi="Times New Roman"/>
          <w:sz w:val="24"/>
        </w:rPr>
        <w:br/>
        <w:t>1,1 pre montáž na okná,</w:t>
      </w:r>
      <w:r>
        <w:rPr>
          <w:rFonts w:ascii="Times New Roman" w:hAnsi="Times New Roman"/>
          <w:sz w:val="24"/>
        </w:rPr>
        <w:br/>
        <w:t>1,8 pre umiestnenie na stene,</w:t>
      </w:r>
      <w:r>
        <w:rPr>
          <w:rFonts w:ascii="Times New Roman" w:hAnsi="Times New Roman"/>
          <w:sz w:val="24"/>
        </w:rPr>
        <w:br/>
        <w:t>2,2 pre umiestnenie na strope,</w:t>
      </w:r>
      <w:r>
        <w:rPr>
          <w:rFonts w:ascii="Times New Roman" w:hAnsi="Times New Roman"/>
          <w:sz w:val="24"/>
        </w:rPr>
        <w:br/>
        <w:t>výška najnižšieho spojenia v priestoroch, ak je väčšia ako 2,2 m.</w:t>
      </w:r>
      <w:r>
        <w:rPr>
          <w:rFonts w:ascii="Times New Roman" w:hAnsi="Times New Roman"/>
          <w:sz w:val="24"/>
        </w:rPr>
        <w:br/>
        <w:t xml:space="preserve">A (m²): plocha priestoru. </w:t>
      </w:r>
      <w:r>
        <w:rPr>
          <w:rFonts w:ascii="Times New Roman" w:hAnsi="Times New Roman"/>
          <w:sz w:val="24"/>
        </w:rPr>
        <w:br/>
        <w:t xml:space="preserve">Na objem odberu horľavého chladiva sa neuplatňuje žiadne obmedzenie, ak konštrukcia zariadenia obsahuje uzatvárací ventil chladiaceho okruhu a ventilačný systém ovládaný detektorom, pomocou ktorých sa zabráni zníženiu minimálneho limitu horľavosti v priestoroch v prípade úniku. </w:t>
      </w:r>
      <w:r>
        <w:rPr>
          <w:rFonts w:ascii="Times New Roman" w:hAnsi="Times New Roman"/>
          <w:sz w:val="24"/>
        </w:rPr>
        <w:br/>
        <w:t>Na objem odberu horľavého chladiva sa neuplatňuje žiadne obmedzenie, ak sa zariadenie používajúce tieto kvapaliny umiestni do strojovne, alebo ak je táto miestnosť vybavená:</w:t>
      </w:r>
    </w:p>
    <w:p w14:paraId="2B2A44F5"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detekčným zariadením, ktoré v prípade úniku spustí mechanické zariadenie na </w:t>
      </w:r>
      <w:r>
        <w:rPr>
          <w:rFonts w:ascii="Times New Roman" w:hAnsi="Times New Roman"/>
          <w:sz w:val="24"/>
        </w:rPr>
        <w:lastRenderedPageBreak/>
        <w:t>odsávanie vzduchu a preruší obeh kvapaliny v obvode s cieľom obmedziť čas trvania úniku buď úplným zastavením termodynamického systému alebo aktiváciou elektromagnetického ventilu. Toto detekčné zariadenie musí obsahovať detekčný modul a dva snímače, ktoré sa nainštalujú v závislosti od povahy použitej kvapaliny. Každé zlyhanie detekčného systému, ako aj systému odsávania vzduchu musí ohlásiť automatické výstražné zariadenie;</w:t>
      </w:r>
      <w:r>
        <w:rPr>
          <w:rFonts w:ascii="Times New Roman" w:hAnsi="Times New Roman"/>
          <w:sz w:val="24"/>
        </w:rPr>
        <w:br/>
        <w:t xml:space="preserve">- mechanickým zariadením na odsávanie vzduchu, ktoré zabezpečuje hodinovú rýchlosť obnovy vzduchu dostatočnú na to, aby prekročila minimálnu hranicu horľavosti pri výstupe z odsávacieho zariadenia. Toto zariadenie je zariadenie kategórie 3 v zmysle smernice 2014/34/EÚ o zariadeniach a ochranných systémoch určených na použitie v potenciálne výbušnej atmosfére. </w:t>
      </w:r>
    </w:p>
    <w:p w14:paraId="0FA42FF1"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c) Termodynamické zariadenia a systémy sa inštalujú v súlade s pravidlami stanovenými výrobcom. </w:t>
      </w:r>
      <w:r>
        <w:rPr>
          <w:rFonts w:ascii="Times New Roman" w:hAnsi="Times New Roman"/>
          <w:sz w:val="24"/>
        </w:rPr>
        <w:br/>
        <w:t>Dokument, ktorý obsahuje všetky opisné prvky zariadenia, sa vypracuje a uchová pre potreby správnych orgánov a zainteresovaných podnikov, ktoré si musia tento dokument pred každým zásahom prezrieť. Tento dokument musí obsahovať najmä tieto prvky:</w:t>
      </w:r>
    </w:p>
    <w:p w14:paraId="28CFE839" w14:textId="2FDE430B"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1D2685">
        <w:rPr>
          <w:rFonts w:ascii="Times New Roman" w:hAnsi="Times New Roman"/>
          <w:sz w:val="24"/>
        </w:rPr>
        <w:t xml:space="preserve">- </w:t>
      </w:r>
      <w:r>
        <w:rPr>
          <w:rFonts w:ascii="Times New Roman" w:hAnsi="Times New Roman"/>
          <w:sz w:val="24"/>
        </w:rPr>
        <w:t>plán potrubnej siete,</w:t>
      </w:r>
      <w:r>
        <w:rPr>
          <w:rFonts w:ascii="Times New Roman" w:hAnsi="Times New Roman"/>
          <w:sz w:val="24"/>
        </w:rPr>
        <w:br/>
      </w:r>
      <w:r w:rsidR="001D2685">
        <w:rPr>
          <w:rFonts w:ascii="Times New Roman" w:hAnsi="Times New Roman"/>
          <w:sz w:val="24"/>
        </w:rPr>
        <w:t xml:space="preserve">- </w:t>
      </w:r>
      <w:r>
        <w:rPr>
          <w:rFonts w:ascii="Times New Roman" w:hAnsi="Times New Roman"/>
          <w:sz w:val="24"/>
        </w:rPr>
        <w:t>synoptický diagram inštalácie</w:t>
      </w:r>
      <w:r w:rsidR="001D2685">
        <w:rPr>
          <w:rFonts w:ascii="Times New Roman" w:hAnsi="Times New Roman"/>
          <w:sz w:val="24"/>
        </w:rPr>
        <w:t>,</w:t>
      </w:r>
      <w:r>
        <w:rPr>
          <w:rFonts w:ascii="Times New Roman" w:hAnsi="Times New Roman"/>
          <w:sz w:val="24"/>
        </w:rPr>
        <w:br/>
      </w:r>
      <w:bookmarkStart w:id="1" w:name="_Hlk91775478"/>
      <w:r>
        <w:rPr>
          <w:rFonts w:ascii="Times New Roman" w:hAnsi="Times New Roman"/>
          <w:sz w:val="24"/>
        </w:rPr>
        <w:t xml:space="preserve">- </w:t>
      </w:r>
      <w:bookmarkEnd w:id="1"/>
      <w:r>
        <w:rPr>
          <w:rFonts w:ascii="Times New Roman" w:hAnsi="Times New Roman"/>
          <w:sz w:val="24"/>
        </w:rPr>
        <w:t>podrobný a odôvodnený výpočet maximálneho množstva alebo množstiev chladív,</w:t>
      </w:r>
      <w:r>
        <w:rPr>
          <w:rFonts w:ascii="Times New Roman" w:hAnsi="Times New Roman"/>
          <w:sz w:val="24"/>
        </w:rPr>
        <w:br/>
        <w:t>- plán inštalácie bezpečnostných zariadení (detektory, elektromagnetické ventily, vetranie atď.),</w:t>
      </w:r>
      <w:r>
        <w:rPr>
          <w:rFonts w:ascii="Times New Roman" w:hAnsi="Times New Roman"/>
          <w:sz w:val="24"/>
        </w:rPr>
        <w:br/>
        <w:t>- teoretické prietoky prípadných ventilačných zariadení, ak sa prekročí maximálne vypočítané množstvo,</w:t>
      </w:r>
      <w:r>
        <w:rPr>
          <w:rFonts w:ascii="Times New Roman" w:hAnsi="Times New Roman"/>
          <w:sz w:val="24"/>
        </w:rPr>
        <w:br/>
        <w:t>- dôkaz o kalibrácii a spoľahlivosti detekčného zariadenia, ako aj rýchlosť obnovy vzduchu pomocou mechanického zariadenia na odsávanie vzduchu,</w:t>
      </w:r>
      <w:r>
        <w:rPr>
          <w:rFonts w:ascii="Times New Roman" w:hAnsi="Times New Roman"/>
          <w:sz w:val="24"/>
        </w:rPr>
        <w:br/>
        <w:t xml:space="preserve">- korelačná tabuľka rôznych bezpečnostných zariadení, ak dôjde k prekročeniu maximálneho vypočítaného množstva. </w:t>
      </w:r>
    </w:p>
    <w:p w14:paraId="4B0CAAF9"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Tento dokument sa aktualizuje po každej úprave zariadení alebo priestorov. </w:t>
      </w:r>
      <w:r>
        <w:rPr>
          <w:rFonts w:ascii="Times New Roman" w:hAnsi="Times New Roman"/>
          <w:sz w:val="24"/>
        </w:rPr>
        <w:br/>
        <w:t xml:space="preserve">Inštaláciu musí každoročne skontrolovať príslušný technik, ktorý musí predložiť správu, v ktorej uvedie najmä výsledky zistení o priamych alebo nepriamych únikoch. Každý rok sa musí skontrolovať najmenej 20 % bezpečnostných zariadení a príslušných automatických ovládacích prvkov uvedených vyššie a všetky sa musia skontrolovať v priebehu 5 rokov. Výsledky týchto testov sa zapracujú do uvedenej správy. </w:t>
      </w:r>
      <w:r>
        <w:rPr>
          <w:rFonts w:ascii="Times New Roman" w:hAnsi="Times New Roman"/>
          <w:sz w:val="24"/>
        </w:rPr>
        <w:br/>
        <w:t>Ods. 4 Použitie toxických chladív je povolené, ak budú súčasne splnené nasledujúce tri podmienky:</w:t>
      </w:r>
    </w:p>
    <w:p w14:paraId="4007EB3F"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vonkajšia inštalácia alebo inštalácia v strojovni alebo strojovni, ktorá sa líši od kotolne,</w:t>
      </w:r>
      <w:r>
        <w:rPr>
          <w:rFonts w:ascii="Times New Roman" w:hAnsi="Times New Roman"/>
          <w:sz w:val="24"/>
        </w:rPr>
        <w:br/>
        <w:t>- fungovanie v rámci systému založeného na nepriamej výmene,</w:t>
      </w:r>
      <w:r>
        <w:rPr>
          <w:rFonts w:ascii="Times New Roman" w:hAnsi="Times New Roman"/>
          <w:sz w:val="24"/>
        </w:rPr>
        <w:br/>
        <w:t xml:space="preserve">- celkové množstvo kvapalín prítomné vo všetkých zariadeniach obmedzené na 150 kg. </w:t>
      </w:r>
    </w:p>
    <w:p w14:paraId="0AD8B318"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Ods. 5 Zariadenia alebo skupiny prístrojov určených na výrobu chladu spaľovaním sa </w:t>
      </w:r>
      <w:r>
        <w:rPr>
          <w:rFonts w:ascii="Times New Roman" w:hAnsi="Times New Roman"/>
          <w:sz w:val="24"/>
        </w:rPr>
        <w:lastRenderedPageBreak/>
        <w:t xml:space="preserve">inštalujú podľa podmienok stanovených v článkoch CH 5 alebo CH 6, a to v závislosti od ich výkonu. “ </w:t>
      </w:r>
    </w:p>
    <w:p w14:paraId="365B6614" w14:textId="3FDD2612"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(1) Ochranná zóna sa vyžaduje len pre vonkajšie systémy s horľavými chladivami, ktoré majú rýchlosť šírenia plameňa väčšiu ako 10 cm/s.</w:t>
      </w:r>
      <w:r>
        <w:rPr>
          <w:rFonts w:ascii="Times New Roman" w:hAnsi="Times New Roman"/>
          <w:sz w:val="24"/>
        </w:rPr>
        <w:br/>
        <w:t xml:space="preserve">(2) Horľavé chladivá s minimálnym limitom horľavosti najmenej 0,10 kg/m³. </w:t>
      </w:r>
      <w:r>
        <w:rPr>
          <w:rFonts w:ascii="Times New Roman" w:hAnsi="Times New Roman"/>
          <w:sz w:val="24"/>
        </w:rPr>
        <w:br/>
      </w:r>
      <w:r w:rsidR="001D2685">
        <w:rPr>
          <w:rFonts w:ascii="Times New Roman" w:hAnsi="Times New Roman"/>
          <w:sz w:val="24"/>
        </w:rPr>
        <w:t>(</w:t>
      </w:r>
      <w:r>
        <w:rPr>
          <w:rFonts w:ascii="Times New Roman" w:hAnsi="Times New Roman"/>
          <w:sz w:val="24"/>
        </w:rPr>
        <w:t>3</w:t>
      </w:r>
      <w:r w:rsidR="001D2685">
        <w:rPr>
          <w:rFonts w:ascii="Times New Roman" w:hAnsi="Times New Roman"/>
          <w:sz w:val="24"/>
        </w:rPr>
        <w:t>)</w:t>
      </w:r>
      <w:r>
        <w:rPr>
          <w:rFonts w:ascii="Times New Roman" w:hAnsi="Times New Roman"/>
          <w:sz w:val="24"/>
        </w:rPr>
        <w:t xml:space="preserve"> Horľavé chladivá s minimálnym limitom horľavosti menším alebo rovným 0,10 kg/m³.</w:t>
      </w:r>
    </w:p>
    <w:p w14:paraId="6B67D63E"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Článok 3</w:t>
      </w:r>
    </w:p>
    <w:p w14:paraId="09930595"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Písmeno c) článku CH 45 sa zrušuje.</w:t>
      </w:r>
    </w:p>
    <w:p w14:paraId="6849DEBF"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Článok 4</w:t>
      </w:r>
    </w:p>
    <w:p w14:paraId="74F3395F"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Kapitola II hlavy II knihy II bezpečnostného predpisu proti rizikám požiaru a paniky vo verejne prístupných zariadeniach, ktorý bol schválený uvedenou vyhláškou z 25. júna 1980, sa mení takto: </w:t>
      </w:r>
      <w:r>
        <w:rPr>
          <w:rFonts w:ascii="Times New Roman" w:hAnsi="Times New Roman"/>
          <w:sz w:val="24"/>
        </w:rPr>
        <w:br/>
        <w:t>Odsek 4 článku M 40 sa zrušuje.</w:t>
      </w:r>
    </w:p>
    <w:p w14:paraId="31ECF89C"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Článok 5</w:t>
      </w:r>
    </w:p>
    <w:p w14:paraId="6B0A3F54"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Táto vyhláška nadobudne účinnosť v deň po jej uverejnení v Úradnom vestníku Francúzskej republiky.</w:t>
      </w:r>
    </w:p>
    <w:p w14:paraId="032C5E60"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Dňa 10. mája 2019.</w:t>
      </w:r>
    </w:p>
    <w:p w14:paraId="582D28DE" w14:textId="1B9AC78B"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Za ministra a v zastúpení:</w:t>
      </w:r>
      <w:r>
        <w:rPr>
          <w:rFonts w:ascii="Times New Roman" w:hAnsi="Times New Roman"/>
          <w:sz w:val="24"/>
        </w:rPr>
        <w:br/>
        <w:t>vedúci útvaru, zástupca generálneho riaditeľa pre civilnú bezpečnosť a krízové riadenie, zodpovedný za riaditeľstvo hasičského zboru</w:t>
      </w:r>
      <w:r>
        <w:rPr>
          <w:rFonts w:ascii="Times New Roman" w:hAnsi="Times New Roman"/>
          <w:sz w:val="24"/>
        </w:rPr>
        <w:br/>
      </w:r>
      <w:r w:rsidR="00E04E7B">
        <w:rPr>
          <w:rFonts w:ascii="Times New Roman" w:hAnsi="Times New Roman"/>
          <w:sz w:val="24"/>
        </w:rPr>
        <w:t>M.</w:t>
      </w:r>
      <w:r>
        <w:rPr>
          <w:rFonts w:ascii="Times New Roman" w:hAnsi="Times New Roman"/>
          <w:sz w:val="24"/>
        </w:rPr>
        <w:t xml:space="preserve"> Marquer</w:t>
      </w:r>
    </w:p>
    <w:p w14:paraId="5785BBFE" w14:textId="77777777" w:rsidR="006467BD" w:rsidRDefault="006467BD"/>
    <w:sectPr w:rsidR="00646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036892"/>
    <w:rsid w:val="001D2685"/>
    <w:rsid w:val="00500C1C"/>
    <w:rsid w:val="006467BD"/>
    <w:rsid w:val="00B767EF"/>
    <w:rsid w:val="00E04E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1638</Words>
  <Characters>9339</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4</cp:revision>
  <dcterms:created xsi:type="dcterms:W3CDTF">2021-08-25T12:18:00Z</dcterms:created>
  <dcterms:modified xsi:type="dcterms:W3CDTF">2022-01-02T14:11:00Z</dcterms:modified>
</cp:coreProperties>
</file>