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001E" w:rsidRPr="007C6B99" w:rsidRDefault="00C7001E" w:rsidP="00C7001E">
      <w:pPr>
        <w:pStyle w:val="PlainText"/>
        <w:rPr>
          <w:rFonts w:ascii="Courier New" w:hAnsi="Courier New" w:cs="Courier New"/>
          <w:sz w:val="20"/>
          <w:szCs w:val="20"/>
        </w:rPr>
      </w:pPr>
      <w:r>
        <w:rPr>
          <w:rFonts w:ascii="Courier New" w:hAnsi="Courier New"/>
          <w:sz w:val="20"/>
        </w:rPr>
        <w:t xml:space="preserve">1. ------IND- 2019 0484 CZ- PL- ------ 20161015 --- --- PROJET </w:t>
      </w:r>
    </w:p>
    <w:p w:rsidR="004D3FE1" w:rsidRPr="007C6B99" w:rsidRDefault="004D3FE1" w:rsidP="004D3FE1">
      <w:pPr>
        <w:widowControl w:val="0"/>
        <w:spacing w:after="0" w:line="240" w:lineRule="auto"/>
        <w:jc w:val="center"/>
        <w:outlineLvl w:val="0"/>
        <w:rPr>
          <w:rFonts w:ascii="Times New Roman" w:hAnsi="Times New Roman" w:cs="Times New Roman"/>
          <w:i/>
          <w:caps/>
          <w:sz w:val="24"/>
          <w:szCs w:val="24"/>
        </w:rPr>
      </w:pPr>
      <w:r>
        <w:rPr>
          <w:rFonts w:ascii="Times New Roman" w:hAnsi="Times New Roman"/>
          <w:i/>
          <w:sz w:val="24"/>
        </w:rPr>
        <w:t>Projekt</w:t>
      </w:r>
    </w:p>
    <w:p w:rsidR="004D3FE1" w:rsidRPr="007C6B99" w:rsidRDefault="004D3FE1" w:rsidP="004D3FE1">
      <w:pPr>
        <w:widowControl w:val="0"/>
        <w:spacing w:after="0" w:line="240" w:lineRule="auto"/>
        <w:outlineLvl w:val="0"/>
        <w:rPr>
          <w:rFonts w:ascii="Times New Roman" w:hAnsi="Times New Roman" w:cs="Times New Roman"/>
          <w:sz w:val="24"/>
          <w:szCs w:val="24"/>
        </w:rPr>
      </w:pPr>
    </w:p>
    <w:p w:rsidR="004D3FE1" w:rsidRPr="007C6B99" w:rsidRDefault="004D3FE1" w:rsidP="004D3FE1">
      <w:pPr>
        <w:widowControl w:val="0"/>
        <w:spacing w:after="0" w:line="240" w:lineRule="auto"/>
        <w:jc w:val="center"/>
        <w:outlineLvl w:val="0"/>
        <w:rPr>
          <w:rFonts w:ascii="Times New Roman" w:hAnsi="Times New Roman" w:cs="Times New Roman"/>
          <w:b/>
          <w:caps/>
          <w:sz w:val="24"/>
          <w:szCs w:val="24"/>
        </w:rPr>
      </w:pPr>
      <w:r>
        <w:rPr>
          <w:rFonts w:ascii="Times New Roman" w:hAnsi="Times New Roman"/>
          <w:b/>
          <w:caps/>
          <w:sz w:val="24"/>
        </w:rPr>
        <w:t>USTAWA</w:t>
      </w:r>
    </w:p>
    <w:p w:rsidR="004D3FE1" w:rsidRPr="007C6B99" w:rsidRDefault="004D3FE1" w:rsidP="004D3FE1">
      <w:pPr>
        <w:widowControl w:val="0"/>
        <w:spacing w:after="0" w:line="240" w:lineRule="auto"/>
        <w:outlineLvl w:val="0"/>
        <w:rPr>
          <w:rFonts w:ascii="Times New Roman" w:hAnsi="Times New Roman" w:cs="Times New Roman"/>
          <w:sz w:val="24"/>
          <w:szCs w:val="24"/>
        </w:rPr>
      </w:pPr>
    </w:p>
    <w:p w:rsidR="004D3FE1" w:rsidRPr="007C6B99" w:rsidRDefault="004D3FE1" w:rsidP="004D3FE1">
      <w:pPr>
        <w:widowControl w:val="0"/>
        <w:spacing w:after="0" w:line="240" w:lineRule="auto"/>
        <w:jc w:val="center"/>
        <w:outlineLvl w:val="0"/>
        <w:rPr>
          <w:rFonts w:ascii="Times New Roman" w:hAnsi="Times New Roman" w:cs="Times New Roman"/>
          <w:sz w:val="24"/>
          <w:szCs w:val="24"/>
        </w:rPr>
      </w:pPr>
      <w:r>
        <w:rPr>
          <w:rFonts w:ascii="Times New Roman" w:hAnsi="Times New Roman"/>
          <w:sz w:val="24"/>
        </w:rPr>
        <w:t>z dnia …….….. 2019 r.</w:t>
      </w:r>
    </w:p>
    <w:p w:rsidR="004D3FE1" w:rsidRPr="007C6B99" w:rsidRDefault="004D3FE1" w:rsidP="004D3FE1">
      <w:pPr>
        <w:widowControl w:val="0"/>
        <w:spacing w:after="0" w:line="240" w:lineRule="auto"/>
        <w:outlineLvl w:val="0"/>
        <w:rPr>
          <w:rFonts w:ascii="Times New Roman" w:hAnsi="Times New Roman" w:cs="Times New Roman"/>
          <w:sz w:val="24"/>
          <w:szCs w:val="24"/>
        </w:rPr>
      </w:pPr>
    </w:p>
    <w:p w:rsidR="004D3FE1" w:rsidRPr="007C6B99" w:rsidRDefault="004D3FE1" w:rsidP="004D3FE1">
      <w:pPr>
        <w:jc w:val="center"/>
        <w:rPr>
          <w:rFonts w:ascii="Times New Roman" w:hAnsi="Times New Roman" w:cs="Times New Roman"/>
          <w:b/>
          <w:sz w:val="24"/>
          <w:szCs w:val="24"/>
        </w:rPr>
      </w:pPr>
      <w:r>
        <w:rPr>
          <w:rFonts w:ascii="Times New Roman" w:hAnsi="Times New Roman"/>
          <w:b/>
          <w:sz w:val="24"/>
        </w:rPr>
        <w:t>zmieniająca ustawę nr 378/2007 o lekach i o zmianie niektórych ustaw powiązanych (ustawa o lekach), ze zmianami, oraz ustawę nr 48/1997 o publicznym ubezpieczeniu zdrowotnym oraz o zmianie i uzupełnieniu niektórych ustaw powiązanych, ze zmianami</w:t>
      </w:r>
    </w:p>
    <w:p w:rsidR="004D3FE1" w:rsidRPr="007C6B99" w:rsidRDefault="004D3FE1" w:rsidP="004D3FE1">
      <w:pPr>
        <w:widowControl w:val="0"/>
        <w:spacing w:after="0"/>
        <w:jc w:val="center"/>
        <w:outlineLvl w:val="0"/>
        <w:rPr>
          <w:rFonts w:ascii="Times New Roman" w:hAnsi="Times New Roman" w:cs="Times New Roman"/>
          <w:b/>
          <w:sz w:val="24"/>
          <w:szCs w:val="24"/>
        </w:rPr>
      </w:pPr>
    </w:p>
    <w:p w:rsidR="004D3FE1" w:rsidRPr="007C6B99" w:rsidRDefault="004D3FE1" w:rsidP="004D3FE1">
      <w:pPr>
        <w:widowControl w:val="0"/>
        <w:spacing w:after="0"/>
        <w:outlineLvl w:val="0"/>
        <w:rPr>
          <w:rFonts w:ascii="Times New Roman" w:hAnsi="Times New Roman" w:cs="Times New Roman"/>
          <w:sz w:val="24"/>
          <w:szCs w:val="24"/>
        </w:rPr>
      </w:pPr>
    </w:p>
    <w:p w:rsidR="004D3FE1" w:rsidRPr="007C6B99" w:rsidRDefault="004D3FE1" w:rsidP="004D3FE1">
      <w:pPr>
        <w:widowControl w:val="0"/>
        <w:spacing w:after="0"/>
        <w:jc w:val="both"/>
        <w:rPr>
          <w:rFonts w:ascii="Times New Roman" w:hAnsi="Times New Roman" w:cs="Times New Roman"/>
          <w:sz w:val="24"/>
          <w:szCs w:val="24"/>
        </w:rPr>
      </w:pPr>
      <w:r>
        <w:rPr>
          <w:rFonts w:ascii="Times New Roman" w:hAnsi="Times New Roman"/>
          <w:sz w:val="24"/>
        </w:rPr>
        <w:t>Parlament Republiki Czeskiej uchwala niniejszą ustawę:</w:t>
      </w:r>
    </w:p>
    <w:p w:rsidR="004D3FE1" w:rsidRPr="007C6B99" w:rsidRDefault="004D3FE1" w:rsidP="004D3FE1">
      <w:pPr>
        <w:widowControl w:val="0"/>
        <w:spacing w:after="0"/>
        <w:rPr>
          <w:rFonts w:ascii="Times New Roman" w:hAnsi="Times New Roman" w:cs="Times New Roman"/>
          <w:b/>
          <w:sz w:val="24"/>
          <w:szCs w:val="24"/>
        </w:rPr>
      </w:pPr>
    </w:p>
    <w:p w:rsidR="004D3FE1" w:rsidRPr="007C6B99" w:rsidRDefault="004D3FE1" w:rsidP="004D3FE1">
      <w:pPr>
        <w:widowControl w:val="0"/>
        <w:spacing w:after="0"/>
        <w:jc w:val="center"/>
        <w:rPr>
          <w:rFonts w:ascii="Times New Roman" w:hAnsi="Times New Roman" w:cs="Times New Roman"/>
          <w:sz w:val="24"/>
          <w:szCs w:val="24"/>
        </w:rPr>
      </w:pPr>
      <w:r>
        <w:rPr>
          <w:rFonts w:ascii="Times New Roman" w:hAnsi="Times New Roman"/>
          <w:sz w:val="24"/>
        </w:rPr>
        <w:t>CZĘŚĆ PIERWSZA</w:t>
      </w:r>
    </w:p>
    <w:p w:rsidR="004D3FE1" w:rsidRPr="007C6B99" w:rsidRDefault="004D3FE1" w:rsidP="004D3FE1">
      <w:pPr>
        <w:widowControl w:val="0"/>
        <w:spacing w:after="0"/>
        <w:jc w:val="center"/>
        <w:rPr>
          <w:rFonts w:ascii="Times New Roman" w:hAnsi="Times New Roman" w:cs="Times New Roman"/>
          <w:b/>
          <w:sz w:val="24"/>
          <w:szCs w:val="24"/>
        </w:rPr>
      </w:pPr>
      <w:r>
        <w:rPr>
          <w:rFonts w:ascii="Times New Roman" w:hAnsi="Times New Roman"/>
          <w:b/>
          <w:sz w:val="24"/>
        </w:rPr>
        <w:t>Zmiana ustawy o lekach</w:t>
      </w:r>
    </w:p>
    <w:p w:rsidR="004D3FE1" w:rsidRPr="007C6B99" w:rsidRDefault="004D3FE1" w:rsidP="004D3FE1">
      <w:pPr>
        <w:widowControl w:val="0"/>
        <w:spacing w:after="0"/>
        <w:rPr>
          <w:rFonts w:ascii="Times New Roman" w:hAnsi="Times New Roman" w:cs="Times New Roman"/>
          <w:sz w:val="24"/>
          <w:szCs w:val="24"/>
        </w:rPr>
      </w:pPr>
    </w:p>
    <w:p w:rsidR="004D3FE1" w:rsidRPr="007C6B99" w:rsidRDefault="004D3FE1" w:rsidP="004D3FE1">
      <w:pPr>
        <w:widowControl w:val="0"/>
        <w:spacing w:after="0"/>
        <w:jc w:val="center"/>
        <w:rPr>
          <w:rFonts w:ascii="Times New Roman" w:hAnsi="Times New Roman" w:cs="Times New Roman"/>
          <w:sz w:val="24"/>
          <w:szCs w:val="24"/>
        </w:rPr>
      </w:pPr>
      <w:r>
        <w:rPr>
          <w:rFonts w:ascii="Times New Roman" w:hAnsi="Times New Roman"/>
          <w:sz w:val="24"/>
        </w:rPr>
        <w:t>Artykuł I</w:t>
      </w:r>
    </w:p>
    <w:p w:rsidR="004D3FE1" w:rsidRPr="007C6B99" w:rsidRDefault="004D3FE1" w:rsidP="004D3FE1">
      <w:pPr>
        <w:widowControl w:val="0"/>
        <w:spacing w:after="0"/>
        <w:rPr>
          <w:rFonts w:ascii="Times New Roman" w:hAnsi="Times New Roman" w:cs="Times New Roman"/>
          <w:sz w:val="24"/>
          <w:szCs w:val="24"/>
        </w:rPr>
      </w:pPr>
    </w:p>
    <w:p w:rsidR="004D3FE1" w:rsidRPr="007C6B99" w:rsidRDefault="004D3FE1" w:rsidP="004D3FE1">
      <w:pPr>
        <w:widowControl w:val="0"/>
        <w:spacing w:after="0"/>
        <w:jc w:val="both"/>
        <w:rPr>
          <w:rFonts w:ascii="Times New Roman" w:eastAsia="Times New Roman" w:hAnsi="Times New Roman" w:cs="Times New Roman"/>
          <w:sz w:val="24"/>
          <w:szCs w:val="24"/>
        </w:rPr>
      </w:pPr>
      <w:r>
        <w:rPr>
          <w:rFonts w:ascii="Times New Roman" w:hAnsi="Times New Roman"/>
          <w:sz w:val="24"/>
        </w:rPr>
        <w:t>W ustawie nr 378/2007 o lekach i o zmianie niektórych ustaw (ustawa o lekach), zmienionej ustawą nr 124/2008, ustawą nr 296/2008, ustawą nr 141/2009, ustawą nr 281/2009, ustawą nr 291/2009, ustawą nr 75/2011, ustawą nr 375/2011, ustawą nr 50/2013, ustawą nr 70/2013, ustawą nr 250/2014, ustawą nr 80/2015, ustawą nr 243/2016, ustawą nr 65/2017, ustawą nr 66/2017, ustawą nr 183/2017, ustawą nr 251/2017, ustawą nr 36/2018, ustawą nr 44/2019 oraz ustawą nr</w:t>
      </w:r>
      <w:r>
        <w:rPr>
          <w:rFonts w:ascii="Times New Roman" w:hAnsi="Times New Roman"/>
          <w:color w:val="FF0000"/>
          <w:sz w:val="24"/>
        </w:rPr>
        <w:t xml:space="preserve"> </w:t>
      </w:r>
      <w:r>
        <w:rPr>
          <w:rFonts w:ascii="Times New Roman" w:hAnsi="Times New Roman"/>
          <w:sz w:val="24"/>
        </w:rPr>
        <w:t>…/2019, wprowadza się następujące zmiany:</w:t>
      </w:r>
    </w:p>
    <w:p w:rsidR="004D3FE1" w:rsidRPr="007C6B99" w:rsidRDefault="004D3FE1" w:rsidP="004D3FE1">
      <w:pPr>
        <w:widowControl w:val="0"/>
        <w:spacing w:after="0"/>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W art. 11 lit. g) i h) otrzymują brzmienie:</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sz w:val="24"/>
        </w:rPr>
        <w:t>„g) podejmuje działania w celu zapewnienia dostępności produktów leczniczych istotnych z punktu widzenia świadczenia usług zdrowotnych i podejmuje działania wspierające badania, rozwój i dostępność sierocych produktów leczniczych i produktów leczniczych, które mogą być za takowe uznane, a także produktów leczniczych do stosowania u dzieci;</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trike/>
          <w:sz w:val="24"/>
          <w:szCs w:val="24"/>
        </w:rPr>
      </w:pP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iCs/>
          <w:sz w:val="24"/>
          <w:szCs w:val="24"/>
        </w:rPr>
      </w:pPr>
      <w:r>
        <w:rPr>
          <w:rFonts w:ascii="Times New Roman" w:hAnsi="Times New Roman"/>
          <w:sz w:val="24"/>
        </w:rPr>
        <w:t>h) podejmuje działania wobec grożących lub istniejących już niedoborów produktów leczniczych istotnych z punktu widzenia świadczenia usług zdrowotnych na terytorium Republiki Czeskiej;”.</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iCs/>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trike/>
          <w:sz w:val="24"/>
          <w:szCs w:val="24"/>
        </w:rPr>
      </w:pPr>
      <w:r>
        <w:rPr>
          <w:rFonts w:ascii="Times New Roman" w:hAnsi="Times New Roman"/>
          <w:sz w:val="24"/>
        </w:rPr>
        <w:t>Art. 11 lit. q) otrzymuje brzmienie:</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iCs/>
          <w:sz w:val="24"/>
          <w:szCs w:val="24"/>
        </w:rPr>
      </w:pPr>
      <w:r>
        <w:rPr>
          <w:rFonts w:ascii="Times New Roman" w:hAnsi="Times New Roman"/>
          <w:sz w:val="24"/>
        </w:rPr>
        <w:t>„q) przyjmuje środek, o którym mowa w art. 77c ust. 6;”.</w:t>
      </w:r>
    </w:p>
    <w:p w:rsidR="004D3FE1" w:rsidRPr="007C6B99"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W art. 13 ust. 2 lit. a) pkt 10 skreśla się wyrażenie „w warunkach ustanowionych w art. 8 ust. 6”.</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lastRenderedPageBreak/>
        <w:t>W art. 13 ust. 2 na końcu lit. a) dodaje się pkt 11 w brzmieniu:</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sz w:val="24"/>
        </w:rPr>
        <w:t>„11) środek ogólny w rozumieniu art. 77c ust. 1, którym zezwala się na dystrybucję refundowanego produktu leczniczego w innym państwie członkowskim lub państwie trzecim, oraz środek ogólny w rozumieniu art. 77d, którym ogranicza się dystrybucję produktu leczniczego w innym państwie członkowskim lub państwie trzecim lub zakazuje takiej dystrybucji, jeżeli z jej powodu zagrożona byłaby dostępność i skuteczność leczenia pacjentów w Republice Czeskiej, co wywarłoby wpływ na ochronę zdrowia publicznego;”.</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Art. 13 ust. 3 lit. q) i r) otrzymują brzmienie:</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sz w:val="24"/>
        </w:rPr>
        <w:t xml:space="preserve">„q) udostępnia usługę w ramach systemu </w:t>
      </w:r>
      <w:proofErr w:type="spellStart"/>
      <w:r>
        <w:rPr>
          <w:rFonts w:ascii="Times New Roman" w:hAnsi="Times New Roman"/>
          <w:sz w:val="24"/>
        </w:rPr>
        <w:t>eRecept</w:t>
      </w:r>
      <w:proofErr w:type="spellEnd"/>
      <w:r>
        <w:rPr>
          <w:rFonts w:ascii="Times New Roman" w:hAnsi="Times New Roman"/>
          <w:sz w:val="24"/>
        </w:rPr>
        <w:t xml:space="preserve"> zgodnie z art. 81 ust. 1 lit. h);</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sz w:val="24"/>
        </w:rPr>
        <w:t xml:space="preserve"> r) wydaje i upublicznia, w sposób umożliwiający dostęp zdalny w otwartym formacie danych, specyfikację interfejsu umożliwiającego zautomatyzowane składanie i potwierdzanie zamówień drogą elektroniczną w awaryjnym systemie informacyjnym umożliwiającym w wyjątkowych sytuacjach zamawianie i dostarczanie refundowanego produktu leczniczego (zwanym dalej »systemem awaryjnym«).”. </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W art. 33 ust. 2 po zdaniu pierwszym dodaje się następujące zdanie: „Bezzwłocznie po otrzymaniu powiadomienia o przerwaniu lub zakończeniu wprowadzania do obrotu produktu leczniczego Instytut publikuje tę informację na swoich stronach internetowych wraz z informacją, czy odnośny produkt leczniczy można zastąpić innym produktem leczniczym oraz jakim produktem leczniczym można go zastąpić.”, a po zdaniu czwartym dodaje się następujące zdania: „Jeśli zgłoszone fakty, o których mowa w zdaniach od pierwszego do trzeciego, ulegną zmianie, w tym zmianie ulegnie powód przerwania lub zakończenia wprowadzania do obrotu bądź zakładana długość przerwania, podmiot odpowiedzialny ma obowiązek bezzwłocznie powiadomić o tym fakcie Instytut lub Instytut Weterynaryjny. Przerwanie wprowadzania do obrotu produktu leczniczego, który jest refundowany z publicznego ubezpieczenia zdrowotnego, gdy jest wydawany na receptę (zwanego dalej »refundowanym produktem leczniczym«), co do którego Instytut nie stwierdził, że można go zastąpić, nie może łącznie przekraczać 120 dni w ciągu minionych 12 miesięcy.”.</w:t>
      </w:r>
    </w:p>
    <w:p w:rsidR="004D3FE1" w:rsidRPr="007C6B99" w:rsidRDefault="004D3FE1" w:rsidP="004D3FE1">
      <w:pPr>
        <w:pStyle w:val="ListParagrap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trike/>
          <w:sz w:val="24"/>
          <w:szCs w:val="24"/>
        </w:rPr>
      </w:pPr>
      <w:r>
        <w:rPr>
          <w:rFonts w:ascii="Times New Roman" w:hAnsi="Times New Roman"/>
          <w:sz w:val="24"/>
        </w:rPr>
        <w:t>Art. 33 ust. 3 lit. g) otrzymuje brzmienie:</w:t>
      </w:r>
    </w:p>
    <w:p w:rsidR="004D3FE1" w:rsidRPr="007C6B99" w:rsidRDefault="004D3FE1" w:rsidP="004D3FE1">
      <w:pPr>
        <w:ind w:left="708"/>
        <w:jc w:val="both"/>
        <w:rPr>
          <w:rFonts w:ascii="Times New Roman" w:hAnsi="Times New Roman" w:cs="Times New Roman"/>
          <w:sz w:val="24"/>
          <w:szCs w:val="24"/>
        </w:rPr>
      </w:pPr>
      <w:r>
        <w:rPr>
          <w:rFonts w:ascii="Times New Roman" w:hAnsi="Times New Roman"/>
          <w:sz w:val="24"/>
        </w:rPr>
        <w:t>„g) w przypadku produktu leczniczego do stosowania u ludzi:</w:t>
      </w:r>
    </w:p>
    <w:p w:rsidR="004D3FE1" w:rsidRPr="007C6B99" w:rsidRDefault="004D3FE1" w:rsidP="004D3FE1">
      <w:pPr>
        <w:ind w:left="1275" w:hanging="283"/>
        <w:jc w:val="both"/>
        <w:rPr>
          <w:rFonts w:ascii="Times New Roman" w:hAnsi="Times New Roman" w:cs="Times New Roman"/>
          <w:sz w:val="24"/>
          <w:szCs w:val="24"/>
        </w:rPr>
      </w:pPr>
      <w:r>
        <w:rPr>
          <w:rFonts w:ascii="Times New Roman" w:hAnsi="Times New Roman"/>
          <w:sz w:val="24"/>
        </w:rPr>
        <w:t>1) zorganizować i prowadzić dostępną publicznie specjalistyczną usługę informacyjną na temat produktów leczniczych, dla których jest podmiotem odpowiedzialnym, i informować Instytut o adresie lub ewentualnej zmianie adresu tej usługi; publicznie dostępna specjalistyczna usługa informacyjna nie może służyć reklamie</w:t>
      </w:r>
      <w:r>
        <w:rPr>
          <w:rFonts w:ascii="Times New Roman" w:hAnsi="Times New Roman"/>
          <w:sz w:val="24"/>
          <w:vertAlign w:val="superscript"/>
        </w:rPr>
        <w:t>51)</w:t>
      </w:r>
      <w:r>
        <w:rPr>
          <w:rFonts w:ascii="Times New Roman" w:hAnsi="Times New Roman"/>
          <w:sz w:val="24"/>
        </w:rPr>
        <w:t xml:space="preserve">, a informacje udzielane w jej ramach muszą być zgodne z charakterystyką produktu leczniczego; aktualne informacje o tym, czy odnośny </w:t>
      </w:r>
      <w:r>
        <w:rPr>
          <w:rFonts w:ascii="Times New Roman" w:hAnsi="Times New Roman"/>
          <w:sz w:val="24"/>
        </w:rPr>
        <w:lastRenderedPageBreak/>
        <w:t>produkt leczniczy jest dostarczany do obrotu w Republice Czeskiej, są zawarte w informacjach przekazywanych w ramach dostępnej publicznie specjalistycznej usługi informacyjnej;</w:t>
      </w:r>
    </w:p>
    <w:p w:rsidR="004D3FE1" w:rsidRPr="007C6B99" w:rsidRDefault="004D3FE1" w:rsidP="004D3FE1">
      <w:pPr>
        <w:ind w:left="1275" w:hanging="283"/>
        <w:jc w:val="both"/>
        <w:rPr>
          <w:rFonts w:ascii="Times New Roman" w:hAnsi="Times New Roman" w:cs="Times New Roman"/>
          <w:sz w:val="24"/>
          <w:szCs w:val="24"/>
        </w:rPr>
      </w:pPr>
      <w:r>
        <w:rPr>
          <w:rFonts w:ascii="Times New Roman" w:hAnsi="Times New Roman"/>
          <w:sz w:val="24"/>
        </w:rPr>
        <w:t>2) zapewnić, by przedstawiciele handlowi mieli uprawnienia odpowiadające charakterowi produktu leczniczego, zapewnić przekazywanie informacji uzyskanych przez przedstawicieli handlowych od osób, z którymi odbywają spotkania, na temat stosowania promowanych produktów leczniczych, w szczególności informacji o wszelkich działaniach niepożądanych, oraz weryfikować, czy przedstawiciele handlowi wykonują swoje obowiązki zgodnie ze szczególnym przepisem prawa</w:t>
      </w:r>
      <w:r>
        <w:rPr>
          <w:rFonts w:ascii="Times New Roman" w:hAnsi="Times New Roman"/>
          <w:sz w:val="24"/>
          <w:vertAlign w:val="superscript"/>
        </w:rPr>
        <w:t>51)</w:t>
      </w:r>
      <w:r>
        <w:rPr>
          <w:rFonts w:ascii="Times New Roman" w:hAnsi="Times New Roman"/>
          <w:sz w:val="24"/>
        </w:rPr>
        <w:t>, oraz</w:t>
      </w:r>
    </w:p>
    <w:p w:rsidR="004D3FE1" w:rsidRPr="007C6B99" w:rsidRDefault="004D3FE1" w:rsidP="004D3FE1">
      <w:pPr>
        <w:ind w:left="1275" w:hanging="283"/>
        <w:jc w:val="both"/>
        <w:rPr>
          <w:rFonts w:ascii="Times New Roman" w:hAnsi="Times New Roman" w:cs="Times New Roman"/>
          <w:sz w:val="24"/>
          <w:szCs w:val="24"/>
        </w:rPr>
      </w:pPr>
      <w:r>
        <w:rPr>
          <w:rFonts w:ascii="Times New Roman" w:hAnsi="Times New Roman"/>
          <w:sz w:val="24"/>
        </w:rPr>
        <w:t>3) po wprowadzeniu do obrotu produktu leczniczego zapewnić, by produkt leczniczy był dostarczany do Republiki Czeskiej na potrzeby pacjentów w odpowiedniej ilości i z właściwą częstotliwością; podmiot odpowiedzialny nie może spełniać tego obowiązku w znacznym stopniu za pośrednictwem dostaw w ramach systemu awaryjnego, o którym mowa w niniejszej ustawie;”.</w:t>
      </w:r>
    </w:p>
    <w:p w:rsidR="004D3FE1" w:rsidRPr="007C6B99" w:rsidRDefault="004D3FE1" w:rsidP="004D3FE1">
      <w:pPr>
        <w:pStyle w:val="ListParagrap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Po art. 33 dodaje się art. 33a–33c, wraz z tytułem, w brzmieniu:</w:t>
      </w:r>
    </w:p>
    <w:p w:rsidR="004D3FE1" w:rsidRPr="007C6B99" w:rsidRDefault="004D3FE1" w:rsidP="004D3FE1">
      <w:pPr>
        <w:pStyle w:val="ListParagraph"/>
        <w:spacing w:after="0"/>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jc w:val="center"/>
        <w:rPr>
          <w:rFonts w:ascii="Times New Roman" w:hAnsi="Times New Roman" w:cs="Times New Roman"/>
          <w:b/>
          <w:sz w:val="24"/>
          <w:szCs w:val="24"/>
        </w:rPr>
      </w:pPr>
      <w:r>
        <w:rPr>
          <w:rFonts w:ascii="Times New Roman" w:hAnsi="Times New Roman"/>
          <w:sz w:val="24"/>
        </w:rPr>
        <w:t>„</w:t>
      </w:r>
      <w:r>
        <w:rPr>
          <w:rFonts w:ascii="Times New Roman" w:hAnsi="Times New Roman"/>
          <w:b/>
          <w:sz w:val="24"/>
        </w:rPr>
        <w:t>System awaryjny</w:t>
      </w:r>
    </w:p>
    <w:p w:rsidR="004D3FE1" w:rsidRPr="007C6B99" w:rsidRDefault="004D3FE1" w:rsidP="004D3FE1">
      <w:pPr>
        <w:widowControl w:val="0"/>
        <w:autoSpaceDE w:val="0"/>
        <w:autoSpaceDN w:val="0"/>
        <w:adjustRightInd w:val="0"/>
        <w:spacing w:after="0"/>
        <w:jc w:val="center"/>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sz w:val="24"/>
        </w:rPr>
        <w:t>Artykuł 33a</w:t>
      </w:r>
    </w:p>
    <w:p w:rsidR="004D3FE1" w:rsidRPr="007C6B99" w:rsidRDefault="004D3FE1" w:rsidP="004D3FE1">
      <w:pPr>
        <w:widowControl w:val="0"/>
        <w:autoSpaceDE w:val="0"/>
        <w:autoSpaceDN w:val="0"/>
        <w:adjustRightInd w:val="0"/>
        <w:spacing w:after="0"/>
        <w:ind w:left="708"/>
        <w:jc w:val="center"/>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Pr>
          <w:rFonts w:ascii="Times New Roman" w:hAnsi="Times New Roman"/>
          <w:sz w:val="24"/>
        </w:rPr>
        <w:t>1. Zgodnie z niniejszą ustawą podmiot odpowiedzialny w zakresie refundowanego produktu leczniczego ma obowiązek zapewnić organizację i działanie systemu awaryjnego na wypadek, gdy nie ma możliwości zapewnić dostępności odnośnego produktu leczniczego dla pacjenta w inny sposób. Podmiot odpowiedzialny w zakresie refundowanego produktu leczniczego zapewnia działanie systemu awaryjnego w formie zautomatyzowanego składania i potwierdzania zamówień drogą elektroniczną za pomocą interfejsu komunikacyjnego, który Instytut publikuje zgodnie z art. 13 ust. 3 lit. r), a w przypadku jego awarii – również w formie niezautomatyzowanej. Podmiot odpowiedzialny w zakresie refundowanego produktu leczniczego ma obowiązek zapewnić utrzymanie ciągłego działania systemu awaryjnego.</w:t>
      </w:r>
    </w:p>
    <w:p w:rsidR="004D3FE1" w:rsidRPr="007C6B99" w:rsidRDefault="004D3FE1" w:rsidP="004D3FE1">
      <w:pPr>
        <w:widowControl w:val="0"/>
        <w:autoSpaceDE w:val="0"/>
        <w:autoSpaceDN w:val="0"/>
        <w:adjustRightInd w:val="0"/>
        <w:spacing w:after="0"/>
        <w:ind w:left="708" w:firstLine="720"/>
        <w:jc w:val="both"/>
        <w:rPr>
          <w:rFonts w:ascii="Times New Roman" w:hAnsi="Times New Roman" w:cs="Times New Roman"/>
          <w:strike/>
          <w:sz w:val="24"/>
          <w:szCs w:val="24"/>
        </w:rPr>
      </w:pPr>
    </w:p>
    <w:p w:rsidR="004D3FE1" w:rsidRPr="007C6B99"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Pr>
          <w:rFonts w:ascii="Times New Roman" w:hAnsi="Times New Roman"/>
          <w:sz w:val="24"/>
        </w:rPr>
        <w:t xml:space="preserve">2. Podmiot odpowiedzialny w zakresie refundowanego produktu leczniczego ma obowiązek przekazać zamawiającej aptece elektroniczne potwierdzenie zwrotne doręczenia zamówienia złożonego w systemie awaryjnym oraz podać datę i godzinę doręczenia zamówienia. </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Pr>
          <w:rFonts w:ascii="Times New Roman" w:hAnsi="Times New Roman"/>
          <w:sz w:val="24"/>
        </w:rPr>
        <w:t xml:space="preserve">3. Podmiot odpowiedzialny w zakresie refundowanego produktu leczniczego ma obowiązek na podstawie zamówienia wysłanego w systemie awaryjnym zapewnić aptece, zgodnie z niniejszą ustawą, dostawę refundowanego produktu leczniczego, w </w:t>
      </w:r>
      <w:r>
        <w:rPr>
          <w:rFonts w:ascii="Times New Roman" w:hAnsi="Times New Roman"/>
          <w:sz w:val="24"/>
        </w:rPr>
        <w:lastRenderedPageBreak/>
        <w:t>zakresie którego jest podmiotem odpowiedzialnym, w celu wydania go pacjentowi w terminie do dwóch dni roboczych od dnia doręczenia zamówienia. Jeżeli podmiot odpowiedzialny nie dysponuje zamówioną wielkością opakowania, zapewnia dostawę innej wielkości opakowania tego produktu leczniczego w odpowiedniej ilości, tak by całkowita liczba jednostek postaci farmaceutycznej zamówionego produktu leczniczego jak najbardziej odpowiadała przepisanej liczbie, lecz nie była wyższa o ponad 50 %.</w:t>
      </w:r>
    </w:p>
    <w:p w:rsidR="004D3FE1" w:rsidRPr="007C6B99"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Pr>
          <w:rFonts w:ascii="Times New Roman" w:hAnsi="Times New Roman"/>
          <w:sz w:val="24"/>
        </w:rPr>
        <w:t>4. Podmiot odpowiedzialny w zakresie refundowanego produktu leczniczego nie ma obowiązku zapewniać dostawy refundowanego produktu leczniczego zgodnie z ust. 3, jeżeli dane podane w zamówieniu są nieprawidłowe.</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Pr>
          <w:rFonts w:ascii="Times New Roman" w:hAnsi="Times New Roman"/>
          <w:sz w:val="24"/>
        </w:rPr>
        <w:t>5. Podmiot odpowiedzialny w zakresie refundowanego produktu leczniczego lub wyznaczony przez niego dystrybutor mogą w usłudze zorganizowanej przez Instytut zgodnie z art. 81 ust. 1 lit. h) zweryfikować receptę elektroniczną, której identyfikator podany jest w zamówieniu. Po wprowadzeniu identyfikatora recepty elektronicznej i kodu przepisanego produktu leczniczego nadanego przez Instytut</w:t>
      </w:r>
      <w:r>
        <w:rPr>
          <w:rFonts w:ascii="Times New Roman" w:hAnsi="Times New Roman"/>
          <w:color w:val="FF0000"/>
          <w:sz w:val="24"/>
        </w:rPr>
        <w:t xml:space="preserve"> </w:t>
      </w:r>
      <w:r>
        <w:rPr>
          <w:rFonts w:ascii="Times New Roman" w:hAnsi="Times New Roman"/>
          <w:sz w:val="24"/>
        </w:rPr>
        <w:t xml:space="preserve">usługa wysyła informację o ważności recepty elektronicznej i liczbie przepisanych opakowań. </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Pr>
          <w:rFonts w:ascii="Times New Roman" w:hAnsi="Times New Roman"/>
          <w:sz w:val="24"/>
        </w:rPr>
        <w:t>6. Podmiot odpowiedzialny w zakresie refundowanego produktu leczniczego jest zwolniony z obowiązku opisanego w ust. 3, jeżeli przerwał wprowadzanie refundowanego produktu leczniczego do obrotu w Republice Czeskiej i poinformował Instytut o tym fakcie zgodnie z art. 33 ust. 2. Ponadto podmiot odpowiedzialny jest zwolniony z obowiązku opisanego w ust. 3, jeśli udowodni, że nie był w stanie dostarczyć refundowanego produktu leczniczego ze względu na działanie siły wyższej. Podmiot odpowiedzialny w zakresie refundowanego produktu leczniczego jest zwolniony z obowiązku opisanego w ust. 3 również wtedy, gdy zakończył wprowadzanie refundowanego produktu leczniczego do obrotu w Republice Czeskiej i poinformował Instytut o tym fakcie zgodnie z art. 33 ust. 2. Jeżeli podmiot odpowiedzialny lub osoby tworzące z nim koncern nadają pierwszeństwo produkcji lub dostawom produktu leczniczego na rynek innego państwa, nie stanowi to powodu do zwolnienia z obowiązku na podstawie zdania pierwszego lub drugiego.</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Pr>
          <w:rFonts w:ascii="Times New Roman" w:hAnsi="Times New Roman"/>
          <w:sz w:val="24"/>
        </w:rPr>
        <w:t>7. Jeżeli z powodów opisanych w ust. 4 lub 6 nie ma możliwości dostarczenia produktu leczniczego lub dotrzymania terminu ustanowionego w ust. 3, podmiot odpowiedzialny w zakresie refundowanego produktu leczniczego ma obowiązek poinformować zamawiającą aptekę o powodach niedostarczenia najpóźniej w dniu roboczym następującym po dniu doręczenia zamówienia.</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Pr>
          <w:rFonts w:ascii="Times New Roman" w:hAnsi="Times New Roman"/>
          <w:sz w:val="24"/>
        </w:rPr>
        <w:t>8. Jeżeli podmiot odpowiedzialny w zakresie refundowanego produktu leczniczego zapewnia dostawę refundowanego produktu leczniczego do apteki za pośrednictwem dystrybutora, ma obowiązek poinformować dystrybutora o dacie i godzinie doręczenia zamówienia złożonego w systemie awaryjnym.</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jc w:val="center"/>
        <w:rPr>
          <w:rFonts w:ascii="Times New Roman" w:hAnsi="Times New Roman" w:cs="Times New Roman"/>
          <w:sz w:val="24"/>
          <w:szCs w:val="24"/>
        </w:rPr>
      </w:pPr>
      <w:r>
        <w:rPr>
          <w:rFonts w:ascii="Times New Roman" w:hAnsi="Times New Roman"/>
          <w:sz w:val="24"/>
        </w:rPr>
        <w:t>Artykuł 33b</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Pr>
          <w:rFonts w:ascii="Times New Roman" w:hAnsi="Times New Roman"/>
          <w:sz w:val="24"/>
        </w:rPr>
        <w:t>1. Podmiot odpowiedzialny w zakresie refundowanego produktu leczniczego ma obowiązek przekazać Instytutowi na formularzu elektronicznym udostępnionym na stronach internetowych Instytutu hiperłącze do systemu zautomatyzowanego składania i potwierdzania zamówień drogą elektroniczną oraz dane służące niezautomatyzowanemu składaniu zamówień oraz informować o zmianie tych danych w terminie nieprzekraczającym dwóch dni roboczych przed wprowadzeniem zmian.</w:t>
      </w:r>
    </w:p>
    <w:p w:rsidR="004D3FE1" w:rsidRPr="007C6B99"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Pr>
          <w:rFonts w:ascii="Times New Roman" w:hAnsi="Times New Roman"/>
          <w:sz w:val="24"/>
        </w:rPr>
        <w:t>2. Podmiot odpowiedzialny w zakresie refundowanego produktu leczniczego ma obowiązek dla każdego refundowanego produktu leczniczego udostępniać w systemie awaryjnym wykaz dystrybutorów, za których pośrednictwem zapewnia obecnie dostawy odnośnego refundowanego produktu leczniczego pacjentom w Republice Czeskiej.</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Pr>
          <w:rFonts w:ascii="Times New Roman" w:hAnsi="Times New Roman"/>
          <w:sz w:val="24"/>
        </w:rPr>
        <w:t>3. Podmiot odpowiedzialny w zakresie refundowanego produktu leczniczego ma obowiązek prowadzić elektroniczną ewidencję dystrybutorów i aptek, którym zapewnił dostawę produktu leczniczego na podstawie zamówienia złożonego w systemie awaryjnym. Ewidencja musi zawierać identyfikator dystrybutora, który dostarczył produkt leczniczy do apteki, identyfikator apteki, do której dostarczono produkt leczniczy, identyfikator dostarczonego produktu leczniczego, w tym kod nadany przez Instytut, numer partii, liczbę dostarczonych opakowań produktu leczniczego i datę dostawy produktu leczniczego do apteki. Dane te ma obowiązek przechowywać przez 5 lat od daty dostarczenia produktu leczniczego do apteki.</w:t>
      </w:r>
    </w:p>
    <w:p w:rsidR="004D3FE1" w:rsidRPr="007C6B99"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Pr>
          <w:rFonts w:ascii="Times New Roman" w:hAnsi="Times New Roman"/>
          <w:sz w:val="24"/>
        </w:rPr>
        <w:t>4. Podmiot odpowiedzialny w zakresie refundowanego produktu leczniczego przekazuje Instytutowi w formie elektronicznej pełne i prawidłowe dane, o których mowa w ust. 3. Strukturę, sposób, formę i odstępy czasowe ich przekazywania ustanawia się w przepisie wykonawczym.</w:t>
      </w:r>
    </w:p>
    <w:p w:rsidR="004D3FE1" w:rsidRPr="007C6B99"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firstLine="720"/>
        <w:jc w:val="both"/>
        <w:rPr>
          <w:rFonts w:ascii="Times New Roman" w:hAnsi="Times New Roman" w:cs="Times New Roman"/>
          <w:bCs/>
          <w:sz w:val="24"/>
          <w:szCs w:val="24"/>
        </w:rPr>
      </w:pPr>
      <w:r>
        <w:rPr>
          <w:rFonts w:ascii="Times New Roman" w:hAnsi="Times New Roman"/>
          <w:sz w:val="24"/>
        </w:rPr>
        <w:t xml:space="preserve">5. Podmiot odpowiedzialny w zakresie refundowanego produktu leczniczego, który potwierdził zamówienie w systemie awaryjnym, informuje Instytut o tymże potwierdzeniu w ciągu 24 godzin w formie sprawozdania elektronicznego, które zawiera informacje o produkcie leczniczym będącym przedmiotem zamówienia, w tym jego nazwie i kodzie nadanym przez Instytut, liczbie opakowań, kodzie identyfikacyjnym apteki nadanym przez Instytut oraz dacie potwierdzenia zamówienia. Podmiot odpowiedzialny w zakresie refundowanego produktu leczniczego informuje Instytut również o przypadkach, gdy nie dostarczył zamówionego w systemie awaryjnym produktu leczniczego zgodnie z art. 33a ust. 7. Informacje, o których mowa w zdaniu drugim, podmiot odpowiedzialny w zakresie refundowanego produktu leczniczego składa w formie sprawozdania elektronicznego nadanego najpóźniej następnego dnia roboczego po odrzuceniu zamówienia, a informacje te zawierają jego nazwę i kod nadany przez Instytut, liczbę opakowań, kod identyfikacyjny apteki nadany przez Instytut oraz datę odrzucenia zamówienia. Strukturę, sposób, formę sprawozdania, o którym mowa w zdaniu pierwszym i drugim, ustanawia się w przepisie </w:t>
      </w:r>
      <w:r>
        <w:rPr>
          <w:rFonts w:ascii="Times New Roman" w:hAnsi="Times New Roman"/>
          <w:sz w:val="24"/>
        </w:rPr>
        <w:lastRenderedPageBreak/>
        <w:t>wykonawczym. Instytut przechowuje poszczególne sprawozdania, a wszystkie sprawozdania, o których mowa w zdaniu pierwszym, za miniony miesiąc kalendarzowy upublicznia w formie skonsolidowanego wykazu metodą umożliwiającą dostęp zdalny.</w:t>
      </w:r>
    </w:p>
    <w:p w:rsidR="004D3FE1" w:rsidRPr="007C6B99"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p>
    <w:p w:rsidR="004D3FE1" w:rsidRPr="007C6B99" w:rsidRDefault="004D3FE1" w:rsidP="004D3FE1">
      <w:pPr>
        <w:widowControl w:val="0"/>
        <w:tabs>
          <w:tab w:val="left" w:pos="3490"/>
        </w:tabs>
        <w:autoSpaceDE w:val="0"/>
        <w:autoSpaceDN w:val="0"/>
        <w:adjustRightInd w:val="0"/>
        <w:spacing w:after="0"/>
        <w:ind w:left="708"/>
        <w:jc w:val="center"/>
        <w:rPr>
          <w:rFonts w:ascii="Times New Roman" w:hAnsi="Times New Roman" w:cs="Times New Roman"/>
          <w:sz w:val="24"/>
          <w:szCs w:val="24"/>
        </w:rPr>
      </w:pPr>
      <w:r>
        <w:rPr>
          <w:rFonts w:ascii="Times New Roman" w:hAnsi="Times New Roman"/>
          <w:sz w:val="24"/>
        </w:rPr>
        <w:t>Artykuł 33c</w:t>
      </w:r>
    </w:p>
    <w:p w:rsidR="004D3FE1" w:rsidRPr="007C6B99" w:rsidRDefault="004D3FE1" w:rsidP="004D3FE1">
      <w:pPr>
        <w:widowControl w:val="0"/>
        <w:autoSpaceDE w:val="0"/>
        <w:autoSpaceDN w:val="0"/>
        <w:adjustRightInd w:val="0"/>
        <w:spacing w:after="0"/>
        <w:ind w:left="708"/>
        <w:jc w:val="center"/>
        <w:rPr>
          <w:rFonts w:ascii="Times New Roman" w:hAnsi="Times New Roman" w:cs="Times New Roman"/>
          <w:b/>
          <w:sz w:val="24"/>
          <w:szCs w:val="24"/>
        </w:rPr>
      </w:pPr>
      <w:r>
        <w:rPr>
          <w:rFonts w:ascii="Times New Roman" w:hAnsi="Times New Roman"/>
          <w:b/>
          <w:sz w:val="24"/>
        </w:rPr>
        <w:t>Zamawianie w systemie awaryjnym</w:t>
      </w:r>
    </w:p>
    <w:p w:rsidR="004D3FE1" w:rsidRPr="007C6B99" w:rsidRDefault="004D3FE1" w:rsidP="004D3FE1">
      <w:pPr>
        <w:widowControl w:val="0"/>
        <w:autoSpaceDE w:val="0"/>
        <w:autoSpaceDN w:val="0"/>
        <w:adjustRightInd w:val="0"/>
        <w:spacing w:after="0"/>
        <w:ind w:left="708" w:firstLine="720"/>
        <w:jc w:val="center"/>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Pr>
          <w:rFonts w:ascii="Times New Roman" w:hAnsi="Times New Roman"/>
          <w:sz w:val="24"/>
        </w:rPr>
        <w:t xml:space="preserve">1. Jeśli apteka nie dysponuje refundowanym produktem leczniczym, którego wydania potrzebuje pacjent na podstawie wystawionej na niego recepty elektronicznej, i nie ma możliwości wykorzystania procedury opisanej w art. 83 ust. 2, a także można wykazać, że refundowanego produktu leczniczego nie można zamówić u dwóch podanych w systemie awaryjnym dystrybutorów, za których pośrednictwem podmiot odpowiedzialny w zakresie refundowanego produktu leczniczego zapewnia dostawy dla pacjentów w Republice Czeskiej, lub u jednego dystrybutora, jeżeli w systemie awaryjnym podano tylko jednego dystrybutora, podmiot prowadzący tę aptekę może zamówić przepisany produkt leczniczy przy użyciu systemu awaryjnego podmiotu odpowiedzialnego w zakresie odnośnego produktu leczniczego. W przypadku awarii systemu zautomatyzowanego składania i potwierdzania zamówień drogą elektroniczną, podmiot prowadzący aptekę, zgodnie ze zdaniem pierwszym, może zrealizować zamówienie w formie niezautomatyzowanej. </w:t>
      </w:r>
    </w:p>
    <w:p w:rsidR="004D3FE1" w:rsidRPr="007C6B99"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Pr>
          <w:rFonts w:ascii="Times New Roman" w:hAnsi="Times New Roman"/>
          <w:sz w:val="24"/>
        </w:rPr>
        <w:t>2. Zamówienie złożone w systemie awaryjnym musi zawierać kod identyfikacyjny apteki nadany przez Instytut zgodnie z niniejszą ustawą, kod identyfikacyjny zamawianego produktu leczniczego nadany przez Instytut, w razie potrzeby nazwę produktu leczniczego i uzupełnienie nazwy, liczbę zamawianych opakowań produktu leczniczego i identyfikator recepty elektronicznej w celu weryfikacji, czy zamawiany produkt leczniczy został przepisany i w jakiej ilości.</w:t>
      </w:r>
    </w:p>
    <w:p w:rsidR="004D3FE1" w:rsidRPr="007C6B99"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r>
        <w:rPr>
          <w:rFonts w:ascii="Times New Roman" w:hAnsi="Times New Roman"/>
          <w:sz w:val="24"/>
        </w:rPr>
        <w:t>3. Podmiot prowadzący aptekę ma obowiązek przyjąć produkt leczniczy dostarczony na podstawie zamówienia złożonego w systemie awaryjnym i wykorzystać go wyłącznie do wydania pacjentom na receptę.</w:t>
      </w:r>
    </w:p>
    <w:p w:rsidR="004D3FE1" w:rsidRPr="007C6B99" w:rsidRDefault="004D3FE1" w:rsidP="004D3FE1">
      <w:pPr>
        <w:widowControl w:val="0"/>
        <w:autoSpaceDE w:val="0"/>
        <w:autoSpaceDN w:val="0"/>
        <w:adjustRightInd w:val="0"/>
        <w:spacing w:after="0"/>
        <w:ind w:left="708" w:firstLine="720"/>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firstLine="708"/>
        <w:jc w:val="both"/>
        <w:rPr>
          <w:rFonts w:ascii="Times New Roman" w:hAnsi="Times New Roman" w:cs="Times New Roman"/>
          <w:sz w:val="24"/>
          <w:szCs w:val="24"/>
        </w:rPr>
      </w:pPr>
      <w:r>
        <w:rPr>
          <w:rFonts w:ascii="Times New Roman" w:hAnsi="Times New Roman"/>
          <w:sz w:val="24"/>
        </w:rPr>
        <w:t>4. Jeżeli podmiot prowadzący aptekę nie może wydać pacjentowi produktu leczniczego zamówionego w systemie awaryjnym, ma prawo zwrócić go dystrybutorowi, który go dostarczył, w terminie nieprzekraczającym dwóch tygodni od momentu dostarczenia, o ile nie uzgodniono dłuższego terminu. Dystrybutor ma obowiązek przyjąć te opakowania.”.</w:t>
      </w:r>
    </w:p>
    <w:p w:rsidR="004D3FE1" w:rsidRPr="007C6B99"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W art. 77 ust. 1 lit. c) pkt 13 słowo „lekarzom” zastępuje się wyrażeniem „podmiotom świadczącym usługi zdrowotne”.</w:t>
      </w:r>
    </w:p>
    <w:p w:rsidR="004D3FE1" w:rsidRPr="007C6B99"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W art. 77 ust. 1 lit. h) otrzymuje brzmienie:</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sz w:val="24"/>
        </w:rPr>
        <w:t xml:space="preserve">„h) zapewnić dostawy produktów leczniczych do stosowania u ludzi podmiotom </w:t>
      </w:r>
      <w:r>
        <w:rPr>
          <w:rFonts w:ascii="Times New Roman" w:hAnsi="Times New Roman"/>
          <w:sz w:val="24"/>
        </w:rPr>
        <w:lastRenderedPageBreak/>
        <w:t xml:space="preserve">uprawnionym do wydawania produktów leczniczych w ilości i z częstotliwością odpowiadającym potrzebom pacjentów w Republice Czeskiej; dystrybutor, który zapewnia dostawę refundowanego produktu leczniczego zamówionego w systemie awaryjnym do apteki, ma obowiązek dostarczyć refundowany produkt leczniczy do apteki, która go zamówiła, tak by apteka go otrzymała w terminie do dwóch dni roboczych od dnia doręczenia zamówienia podmiotowi odpowiedzialnemu; jeżeli podmiot prowadzący aptekę ma wobec dystrybutora zapewniającego dostawę refundowanego produktu leczniczego zamówionego w systemie awaryjnym co najmniej jeden dług pieniężny, którego termin spłaty minął ponad 30 dni wcześniej, warunkiem dostawy jest, że cena produktu leczniczego zostanie uiszczona najpóźniej w momencie przekazania go podmiotowi prowadzącemu aptekę;”. </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Art. 77 ust. 1 lit. q) otrzymuje brzmienie:</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bCs/>
          <w:sz w:val="24"/>
          <w:szCs w:val="24"/>
        </w:rPr>
      </w:pPr>
      <w:r>
        <w:rPr>
          <w:rFonts w:ascii="Times New Roman" w:hAnsi="Times New Roman"/>
          <w:sz w:val="24"/>
        </w:rPr>
        <w:t>„q) postępować zgodnie ze środkiem wydanym w celu zapewnienia dostępności produktów leczniczych zgodnie z art. 11 lit. g) lub h), art. 77c lub art. 77d;”.</w:t>
      </w:r>
    </w:p>
    <w:p w:rsidR="004D3FE1" w:rsidRPr="007C6B99"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Art. 77c i 77d wraz z tytułami otrzymują brzmienie:</w:t>
      </w:r>
    </w:p>
    <w:p w:rsidR="004D3FE1" w:rsidRPr="007C6B99"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sz w:val="24"/>
        </w:rPr>
        <w:t>„Artykuł 77c</w:t>
      </w:r>
    </w:p>
    <w:p w:rsidR="004D3FE1" w:rsidRPr="007C6B99" w:rsidRDefault="004D3FE1" w:rsidP="004D3FE1">
      <w:pPr>
        <w:widowControl w:val="0"/>
        <w:tabs>
          <w:tab w:val="left" w:pos="1701"/>
        </w:tabs>
        <w:autoSpaceDE w:val="0"/>
        <w:autoSpaceDN w:val="0"/>
        <w:adjustRightInd w:val="0"/>
        <w:spacing w:after="0"/>
        <w:jc w:val="center"/>
        <w:rPr>
          <w:rFonts w:ascii="Times New Roman" w:hAnsi="Times New Roman" w:cs="Times New Roman"/>
          <w:b/>
          <w:bCs/>
          <w:sz w:val="24"/>
          <w:szCs w:val="24"/>
        </w:rPr>
      </w:pPr>
      <w:r>
        <w:rPr>
          <w:rFonts w:ascii="Times New Roman" w:hAnsi="Times New Roman"/>
          <w:b/>
          <w:sz w:val="24"/>
        </w:rPr>
        <w:t>Środek zapewniający dostępność refundowanych produktów leczniczych</w:t>
      </w:r>
    </w:p>
    <w:p w:rsidR="004D3FE1" w:rsidRPr="007C6B99" w:rsidRDefault="004D3FE1" w:rsidP="004D3FE1">
      <w:pPr>
        <w:widowControl w:val="0"/>
        <w:autoSpaceDE w:val="0"/>
        <w:autoSpaceDN w:val="0"/>
        <w:adjustRightInd w:val="0"/>
        <w:spacing w:after="0"/>
        <w:jc w:val="both"/>
        <w:rPr>
          <w:rFonts w:ascii="Times New Roman" w:hAnsi="Times New Roman" w:cs="Times New Roman"/>
          <w:bCs/>
          <w:color w:val="FF0000"/>
          <w:sz w:val="24"/>
          <w:szCs w:val="24"/>
          <w:highlight w:val="yellow"/>
        </w:rPr>
      </w:pPr>
    </w:p>
    <w:p w:rsidR="004D3FE1" w:rsidRPr="007C6B99" w:rsidRDefault="004D3FE1" w:rsidP="004D3FE1">
      <w:pPr>
        <w:widowControl w:val="0"/>
        <w:autoSpaceDE w:val="0"/>
        <w:autoSpaceDN w:val="0"/>
        <w:adjustRightInd w:val="0"/>
        <w:spacing w:after="0"/>
        <w:ind w:firstLine="708"/>
        <w:jc w:val="both"/>
        <w:rPr>
          <w:rFonts w:ascii="Times New Roman" w:hAnsi="Times New Roman" w:cs="Times New Roman"/>
          <w:bCs/>
          <w:sz w:val="24"/>
          <w:szCs w:val="24"/>
        </w:rPr>
      </w:pPr>
      <w:r>
        <w:rPr>
          <w:rFonts w:ascii="Times New Roman" w:hAnsi="Times New Roman"/>
          <w:sz w:val="24"/>
        </w:rPr>
        <w:t>1. Refundowany produkt leczniczy przeznaczony do obrotu w Republice Czeskiej może do innego państwa członkowskiego lub państwa trzeciego dostarczyć tylko</w:t>
      </w:r>
    </w:p>
    <w:p w:rsidR="004D3FE1" w:rsidRPr="007C6B99" w:rsidRDefault="004D3FE1" w:rsidP="004D3FE1">
      <w:pPr>
        <w:pStyle w:val="ListParagraph"/>
        <w:widowControl w:val="0"/>
        <w:numPr>
          <w:ilvl w:val="0"/>
          <w:numId w:val="13"/>
        </w:numPr>
        <w:autoSpaceDE w:val="0"/>
        <w:autoSpaceDN w:val="0"/>
        <w:adjustRightInd w:val="0"/>
        <w:spacing w:after="0"/>
        <w:jc w:val="both"/>
        <w:rPr>
          <w:rFonts w:ascii="Times New Roman" w:hAnsi="Times New Roman" w:cs="Times New Roman"/>
          <w:bCs/>
          <w:sz w:val="24"/>
          <w:szCs w:val="24"/>
        </w:rPr>
      </w:pPr>
      <w:r>
        <w:rPr>
          <w:rFonts w:ascii="Times New Roman" w:hAnsi="Times New Roman"/>
          <w:sz w:val="24"/>
        </w:rPr>
        <w:t xml:space="preserve">podmiot odpowiedzialny w zakresie odnośnego produktu leczniczego, który ma jednocześnie zezwolenie na dystrybucję, lub </w:t>
      </w:r>
    </w:p>
    <w:p w:rsidR="004D3FE1" w:rsidRPr="007C6B99" w:rsidRDefault="004D3FE1" w:rsidP="004D3FE1">
      <w:pPr>
        <w:pStyle w:val="ListParagraph"/>
        <w:widowControl w:val="0"/>
        <w:numPr>
          <w:ilvl w:val="0"/>
          <w:numId w:val="13"/>
        </w:numPr>
        <w:autoSpaceDE w:val="0"/>
        <w:autoSpaceDN w:val="0"/>
        <w:adjustRightInd w:val="0"/>
        <w:spacing w:after="0"/>
        <w:jc w:val="both"/>
        <w:rPr>
          <w:rFonts w:ascii="Times New Roman" w:hAnsi="Times New Roman" w:cs="Times New Roman"/>
          <w:bCs/>
          <w:sz w:val="24"/>
          <w:szCs w:val="24"/>
        </w:rPr>
      </w:pPr>
      <w:r>
        <w:rPr>
          <w:rFonts w:ascii="Times New Roman" w:hAnsi="Times New Roman"/>
          <w:sz w:val="24"/>
        </w:rPr>
        <w:t xml:space="preserve">dystrybutor odnośnego produktu leczniczego, </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Pr>
          <w:rFonts w:ascii="Times New Roman" w:hAnsi="Times New Roman"/>
          <w:sz w:val="24"/>
        </w:rPr>
        <w:t>lecz jedynie wówczas, gdy jest to zgodne z obowiązującym środkiem ogólnym zezwalającym na dostawę odnośnego produktu leczniczego. Instytut wydaje środek ogólny zawsze do piątego dnia miesiąca kalendarzowego łącznie dla wszystkich produktów leczniczych spełniających wymogi zawarte w ust. 2 i zezwala w nim na dostawy tych produktów leczniczych poza terytorium Republiki Czeskiej wszystkim podmiotom odpowiedzialnym, które mają jednocześnie zezwolenie na dystrybucję, oraz dystrybutorom.</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7C6B99" w:rsidRDefault="004D3FE1" w:rsidP="004D3FE1">
      <w:pPr>
        <w:widowControl w:val="0"/>
        <w:autoSpaceDE w:val="0"/>
        <w:autoSpaceDN w:val="0"/>
        <w:adjustRightInd w:val="0"/>
        <w:spacing w:after="0"/>
        <w:ind w:firstLine="708"/>
        <w:jc w:val="both"/>
        <w:rPr>
          <w:rFonts w:ascii="Times New Roman" w:hAnsi="Times New Roman" w:cs="Times New Roman"/>
          <w:bCs/>
          <w:sz w:val="24"/>
          <w:szCs w:val="24"/>
        </w:rPr>
      </w:pPr>
      <w:r>
        <w:rPr>
          <w:rFonts w:ascii="Times New Roman" w:hAnsi="Times New Roman"/>
          <w:sz w:val="24"/>
        </w:rPr>
        <w:t>2. W środku ogólnym, o którym mowa w ust. 1, Instytut podaje wykaz refundowanych produktów leczniczych, które w każdym z 3 poprzedzających, kolejno następujących miesięcy kalendarzowych były dostarczane do aptek w Republice Czeskiej, a jednocześnie</w:t>
      </w:r>
    </w:p>
    <w:p w:rsidR="004D3FE1" w:rsidRPr="007C6B99" w:rsidRDefault="004D3FE1" w:rsidP="004D3FE1">
      <w:pPr>
        <w:widowControl w:val="0"/>
        <w:autoSpaceDE w:val="0"/>
        <w:autoSpaceDN w:val="0"/>
        <w:adjustRightInd w:val="0"/>
        <w:spacing w:after="0"/>
        <w:ind w:left="708" w:firstLine="708"/>
        <w:jc w:val="both"/>
        <w:rPr>
          <w:rFonts w:ascii="Times New Roman" w:hAnsi="Times New Roman" w:cs="Times New Roman"/>
          <w:bCs/>
          <w:sz w:val="24"/>
          <w:szCs w:val="24"/>
        </w:rPr>
      </w:pPr>
    </w:p>
    <w:p w:rsidR="004D3FE1" w:rsidRPr="007C6B99" w:rsidRDefault="004D3FE1" w:rsidP="004D3FE1">
      <w:pPr>
        <w:pStyle w:val="ListParagraph"/>
        <w:widowControl w:val="0"/>
        <w:numPr>
          <w:ilvl w:val="0"/>
          <w:numId w:val="14"/>
        </w:numPr>
        <w:autoSpaceDE w:val="0"/>
        <w:autoSpaceDN w:val="0"/>
        <w:adjustRightInd w:val="0"/>
        <w:spacing w:after="0"/>
        <w:jc w:val="both"/>
        <w:rPr>
          <w:rFonts w:ascii="Times New Roman" w:hAnsi="Times New Roman" w:cs="Times New Roman"/>
          <w:bCs/>
          <w:sz w:val="24"/>
          <w:szCs w:val="24"/>
        </w:rPr>
      </w:pPr>
      <w:r>
        <w:rPr>
          <w:rFonts w:ascii="Times New Roman" w:hAnsi="Times New Roman"/>
          <w:sz w:val="24"/>
        </w:rPr>
        <w:t xml:space="preserve">nie były w ciągu trzech poprzedzających, kolejno następujących miesięcy </w:t>
      </w:r>
      <w:r>
        <w:rPr>
          <w:rFonts w:ascii="Times New Roman" w:hAnsi="Times New Roman"/>
          <w:sz w:val="24"/>
        </w:rPr>
        <w:lastRenderedPageBreak/>
        <w:t xml:space="preserve">kalendarzowych zamawiane w systemie awaryjnym przez więcej niż pięć aptek, </w:t>
      </w:r>
    </w:p>
    <w:p w:rsidR="004D3FE1" w:rsidRPr="007C6B99" w:rsidRDefault="004D3FE1" w:rsidP="004D3FE1">
      <w:pPr>
        <w:pStyle w:val="ListParagraph"/>
        <w:widowControl w:val="0"/>
        <w:numPr>
          <w:ilvl w:val="0"/>
          <w:numId w:val="14"/>
        </w:numPr>
        <w:autoSpaceDE w:val="0"/>
        <w:autoSpaceDN w:val="0"/>
        <w:adjustRightInd w:val="0"/>
        <w:spacing w:after="0"/>
        <w:jc w:val="both"/>
        <w:rPr>
          <w:rFonts w:ascii="Times New Roman" w:hAnsi="Times New Roman" w:cs="Times New Roman"/>
          <w:bCs/>
          <w:sz w:val="24"/>
          <w:szCs w:val="24"/>
        </w:rPr>
      </w:pPr>
      <w:r>
        <w:rPr>
          <w:rFonts w:ascii="Times New Roman" w:hAnsi="Times New Roman"/>
          <w:sz w:val="24"/>
        </w:rPr>
        <w:t>w żadnym z trzech poprzedzających, kolejno następujących miesięcy kalendarzowych nie zostało przerwane wprowadzanie ich do obrotu, zgłaszane zgodnie z art. 33 ust. 2, oraz przerwanie wprowadzania ich do obrotu nie było zgłoszone na okres po wejściu w życie środka ogólnego ani przerwanie wprowadzania ich do obrotu nie trwa do dnia wydania środka ogólnego,</w:t>
      </w:r>
    </w:p>
    <w:p w:rsidR="004D3FE1" w:rsidRPr="007C6B99" w:rsidRDefault="004D3FE1" w:rsidP="004D3FE1">
      <w:pPr>
        <w:pStyle w:val="ListParagraph"/>
        <w:widowControl w:val="0"/>
        <w:numPr>
          <w:ilvl w:val="0"/>
          <w:numId w:val="14"/>
        </w:numPr>
        <w:autoSpaceDE w:val="0"/>
        <w:autoSpaceDN w:val="0"/>
        <w:adjustRightInd w:val="0"/>
        <w:spacing w:after="0"/>
        <w:jc w:val="both"/>
        <w:rPr>
          <w:rFonts w:ascii="Times New Roman" w:hAnsi="Times New Roman" w:cs="Times New Roman"/>
          <w:bCs/>
          <w:sz w:val="24"/>
          <w:szCs w:val="24"/>
        </w:rPr>
      </w:pPr>
      <w:r>
        <w:rPr>
          <w:rFonts w:ascii="Times New Roman" w:hAnsi="Times New Roman"/>
          <w:sz w:val="24"/>
        </w:rPr>
        <w:t xml:space="preserve">nie są podane na stronach internetowych Instytutu, zgodnie z art. 33 ust. 2, jako produkty lecznicze oznaczone jako zastępniki produktu leczniczego, którego wprowadzanie do obrotu zostało przerwane lub zostanie przerwane, według zgłoszenia zgodnie z art. 33 ust. 2, w okresie po wejściu w życie środka ogólnego, </w:t>
      </w:r>
    </w:p>
    <w:p w:rsidR="004D3FE1" w:rsidRPr="007C6B99" w:rsidRDefault="004D3FE1" w:rsidP="004D3FE1">
      <w:pPr>
        <w:pStyle w:val="ListParagraph"/>
        <w:widowControl w:val="0"/>
        <w:numPr>
          <w:ilvl w:val="0"/>
          <w:numId w:val="14"/>
        </w:numPr>
        <w:autoSpaceDE w:val="0"/>
        <w:autoSpaceDN w:val="0"/>
        <w:adjustRightInd w:val="0"/>
        <w:spacing w:after="0"/>
        <w:jc w:val="both"/>
        <w:rPr>
          <w:rFonts w:ascii="Times New Roman" w:hAnsi="Times New Roman" w:cs="Times New Roman"/>
          <w:bCs/>
          <w:sz w:val="24"/>
          <w:szCs w:val="24"/>
        </w:rPr>
      </w:pPr>
      <w:r>
        <w:rPr>
          <w:rFonts w:ascii="Times New Roman" w:hAnsi="Times New Roman"/>
          <w:sz w:val="24"/>
        </w:rPr>
        <w:t>nie zakończono wprowadzania ich do obrotu, o czym mowa w art. 33 ust. 2, ani nie zostało zgłoszone zakończenie wprowadzania ich do obrotu, do którego miałoby dojść w okresie po wejściu w życie środka ogólnego, albo</w:t>
      </w:r>
    </w:p>
    <w:p w:rsidR="004D3FE1" w:rsidRPr="007C6B99" w:rsidRDefault="004D3FE1" w:rsidP="004D3FE1">
      <w:pPr>
        <w:pStyle w:val="ListParagraph"/>
        <w:widowControl w:val="0"/>
        <w:numPr>
          <w:ilvl w:val="0"/>
          <w:numId w:val="14"/>
        </w:numPr>
        <w:autoSpaceDE w:val="0"/>
        <w:autoSpaceDN w:val="0"/>
        <w:adjustRightInd w:val="0"/>
        <w:spacing w:after="0"/>
        <w:jc w:val="both"/>
        <w:rPr>
          <w:rFonts w:ascii="Times New Roman" w:hAnsi="Times New Roman" w:cs="Times New Roman"/>
          <w:bCs/>
          <w:sz w:val="24"/>
          <w:szCs w:val="24"/>
        </w:rPr>
      </w:pPr>
      <w:r>
        <w:rPr>
          <w:rFonts w:ascii="Times New Roman" w:hAnsi="Times New Roman"/>
          <w:sz w:val="24"/>
        </w:rPr>
        <w:t>w żadnym z trzech poprzedzających, kolejno następujących miesięcy kalendarzowych, co do których Instytut dysponuje sprawozdaniami, o których mowa w art. 77 ust. 1 lit. f), nie były dostarczane poza terytorium Republiki Czeskiej w objętości przekraczającej 10% ich średnich miesięcznych dostaw wyliczonych z sumy ich dostaw do aptek w Republice Czeskiej w minionym roku kalendarzowym.</w:t>
      </w:r>
    </w:p>
    <w:p w:rsidR="004D3FE1" w:rsidRPr="007C6B99" w:rsidRDefault="004D3FE1" w:rsidP="004D3FE1">
      <w:pPr>
        <w:widowControl w:val="0"/>
        <w:tabs>
          <w:tab w:val="left" w:pos="7110"/>
        </w:tabs>
        <w:autoSpaceDE w:val="0"/>
        <w:autoSpaceDN w:val="0"/>
        <w:adjustRightInd w:val="0"/>
        <w:spacing w:after="0"/>
        <w:ind w:left="708"/>
        <w:jc w:val="both"/>
        <w:rPr>
          <w:rFonts w:ascii="Times New Roman" w:hAnsi="Times New Roman" w:cs="Times New Roman"/>
          <w:bCs/>
          <w:sz w:val="24"/>
          <w:szCs w:val="24"/>
        </w:rPr>
      </w:pPr>
    </w:p>
    <w:p w:rsidR="004D3FE1" w:rsidRPr="007C6B99" w:rsidRDefault="004D3FE1" w:rsidP="004D3FE1">
      <w:pPr>
        <w:widowControl w:val="0"/>
        <w:autoSpaceDE w:val="0"/>
        <w:autoSpaceDN w:val="0"/>
        <w:adjustRightInd w:val="0"/>
        <w:spacing w:after="0"/>
        <w:ind w:firstLine="708"/>
        <w:jc w:val="both"/>
        <w:rPr>
          <w:rFonts w:ascii="Times New Roman" w:hAnsi="Times New Roman" w:cs="Times New Roman"/>
          <w:bCs/>
          <w:sz w:val="24"/>
          <w:szCs w:val="24"/>
        </w:rPr>
      </w:pPr>
      <w:r>
        <w:rPr>
          <w:rFonts w:ascii="Times New Roman" w:hAnsi="Times New Roman"/>
          <w:sz w:val="24"/>
        </w:rPr>
        <w:t>3. Środek ogólny, o którym mowa w ust. 1, Instytut wydaje bez postępowania dotyczącego projektu środka ogólnego i publikuje go z uzasadnieniem w formie rozporządzenia publicznego na swojej urzędowej tablicy ogłoszeń, wyłącznie w sposób umożliwiający dostęp zdalny.</w:t>
      </w:r>
    </w:p>
    <w:p w:rsidR="004D3FE1" w:rsidRPr="007C6B99" w:rsidRDefault="004D3FE1" w:rsidP="004D3FE1">
      <w:pPr>
        <w:widowControl w:val="0"/>
        <w:autoSpaceDE w:val="0"/>
        <w:autoSpaceDN w:val="0"/>
        <w:adjustRightInd w:val="0"/>
        <w:spacing w:after="0"/>
        <w:jc w:val="both"/>
        <w:rPr>
          <w:rFonts w:ascii="Times New Roman" w:hAnsi="Times New Roman" w:cs="Times New Roman"/>
          <w:bCs/>
          <w:sz w:val="24"/>
          <w:szCs w:val="24"/>
        </w:rPr>
      </w:pPr>
    </w:p>
    <w:p w:rsidR="004D3FE1" w:rsidRPr="007C6B99" w:rsidRDefault="004D3FE1" w:rsidP="004D3FE1">
      <w:pPr>
        <w:widowControl w:val="0"/>
        <w:autoSpaceDE w:val="0"/>
        <w:autoSpaceDN w:val="0"/>
        <w:adjustRightInd w:val="0"/>
        <w:spacing w:after="0"/>
        <w:ind w:firstLine="720"/>
        <w:jc w:val="both"/>
        <w:rPr>
          <w:rFonts w:ascii="Times New Roman" w:hAnsi="Times New Roman" w:cs="Times New Roman"/>
          <w:bCs/>
          <w:sz w:val="24"/>
          <w:szCs w:val="24"/>
        </w:rPr>
      </w:pPr>
      <w:r>
        <w:rPr>
          <w:rFonts w:ascii="Times New Roman" w:hAnsi="Times New Roman"/>
          <w:sz w:val="24"/>
        </w:rPr>
        <w:t>4. Środek ogólny wydany zgodnie z ust. 1 wchodzi w życie w dniu podanym w środku ogólnym, lecz najwcześniej w dniu opublikowania rozporządzenia.</w:t>
      </w:r>
    </w:p>
    <w:p w:rsidR="004D3FE1" w:rsidRPr="007C6B99" w:rsidRDefault="004D3FE1" w:rsidP="004D3FE1">
      <w:pPr>
        <w:widowControl w:val="0"/>
        <w:autoSpaceDE w:val="0"/>
        <w:autoSpaceDN w:val="0"/>
        <w:adjustRightInd w:val="0"/>
        <w:spacing w:after="0"/>
        <w:jc w:val="both"/>
        <w:rPr>
          <w:rFonts w:ascii="Times New Roman" w:hAnsi="Times New Roman" w:cs="Times New Roman"/>
          <w:bCs/>
          <w:sz w:val="24"/>
          <w:szCs w:val="24"/>
        </w:rPr>
      </w:pPr>
    </w:p>
    <w:p w:rsidR="004D3FE1" w:rsidRPr="007C6B99" w:rsidRDefault="004D3FE1" w:rsidP="004D3FE1">
      <w:pPr>
        <w:widowControl w:val="0"/>
        <w:autoSpaceDE w:val="0"/>
        <w:autoSpaceDN w:val="0"/>
        <w:adjustRightInd w:val="0"/>
        <w:spacing w:after="0"/>
        <w:ind w:firstLine="720"/>
        <w:jc w:val="both"/>
        <w:rPr>
          <w:rFonts w:ascii="Times New Roman" w:hAnsi="Times New Roman" w:cs="Times New Roman"/>
          <w:bCs/>
          <w:sz w:val="24"/>
          <w:szCs w:val="24"/>
        </w:rPr>
      </w:pPr>
      <w:r>
        <w:rPr>
          <w:rFonts w:ascii="Times New Roman" w:hAnsi="Times New Roman"/>
          <w:sz w:val="24"/>
        </w:rPr>
        <w:t>5. W wyjątkowych przypadkach, szczególnie</w:t>
      </w:r>
      <w:r>
        <w:rPr>
          <w:rFonts w:ascii="Times New Roman" w:hAnsi="Times New Roman"/>
          <w:color w:val="FF0000"/>
          <w:sz w:val="24"/>
        </w:rPr>
        <w:t xml:space="preserve"> </w:t>
      </w:r>
      <w:r>
        <w:rPr>
          <w:rFonts w:ascii="Times New Roman" w:hAnsi="Times New Roman"/>
          <w:sz w:val="24"/>
        </w:rPr>
        <w:t>gdy zgłoszone zostało przerwanie lub zakończenie dostaw produktu leczniczego do obrotu niedługo po wydaniu środka ogólnego, nowy środek ogólny można również wydać w terminie innym niż podany w ust. 1.</w:t>
      </w:r>
    </w:p>
    <w:p w:rsidR="004D3FE1" w:rsidRPr="007C6B99" w:rsidRDefault="004D3FE1" w:rsidP="004D3FE1">
      <w:pPr>
        <w:widowControl w:val="0"/>
        <w:autoSpaceDE w:val="0"/>
        <w:autoSpaceDN w:val="0"/>
        <w:adjustRightInd w:val="0"/>
        <w:spacing w:after="0"/>
        <w:jc w:val="both"/>
        <w:rPr>
          <w:rFonts w:ascii="Times New Roman" w:hAnsi="Times New Roman" w:cs="Times New Roman"/>
          <w:bCs/>
          <w:sz w:val="24"/>
          <w:szCs w:val="24"/>
        </w:rPr>
      </w:pPr>
    </w:p>
    <w:p w:rsidR="004D3FE1" w:rsidRPr="007C6B99" w:rsidRDefault="004D3FE1" w:rsidP="004D3FE1">
      <w:pPr>
        <w:widowControl w:val="0"/>
        <w:autoSpaceDE w:val="0"/>
        <w:autoSpaceDN w:val="0"/>
        <w:adjustRightInd w:val="0"/>
        <w:spacing w:after="0"/>
        <w:ind w:firstLine="720"/>
        <w:jc w:val="both"/>
        <w:rPr>
          <w:rFonts w:ascii="Times New Roman" w:hAnsi="Times New Roman" w:cs="Times New Roman"/>
          <w:bCs/>
          <w:sz w:val="24"/>
          <w:szCs w:val="24"/>
        </w:rPr>
      </w:pPr>
      <w:r>
        <w:rPr>
          <w:rFonts w:ascii="Times New Roman" w:hAnsi="Times New Roman"/>
          <w:sz w:val="24"/>
        </w:rPr>
        <w:t>6. W wyjątkowych przypadkach Ministerstwo Zdrowia może wydać środek w formie decyzji w postępowaniu administracyjnym, którym zezwoli na dystrybucję poza terytorium Republiki Czeskiej refundowanego produktu leczniczego, który nie znalazł się w środku ogólnym, o którym mowa w ust. 2, jeżeli służy to nadrzędnemu interesowi państwa członkowskiego Unii Europejskiej z powodu istniejącej lub bezpośrednio grożącej niedostępności tego produktu leczniczego na rynku odnośnego państwa członkowskiego. Ministerstwo Zdrowia dba przy tym o interes publiczny w dziedzinie ochrony zdrowia mieszkańców oraz zapewnienie dostępności tego produktu leczniczego na potrzeby pacjentów w Republice Czeskiej.</w:t>
      </w:r>
    </w:p>
    <w:p w:rsidR="004D3FE1" w:rsidRPr="007C6B99" w:rsidRDefault="004D3FE1" w:rsidP="004D3FE1">
      <w:pPr>
        <w:widowControl w:val="0"/>
        <w:autoSpaceDE w:val="0"/>
        <w:autoSpaceDN w:val="0"/>
        <w:adjustRightInd w:val="0"/>
        <w:spacing w:after="0"/>
        <w:jc w:val="both"/>
        <w:rPr>
          <w:rFonts w:ascii="Times New Roman" w:hAnsi="Times New Roman" w:cs="Times New Roman"/>
          <w:bCs/>
          <w:sz w:val="24"/>
          <w:szCs w:val="24"/>
        </w:rPr>
      </w:pPr>
    </w:p>
    <w:p w:rsidR="004D3FE1" w:rsidRPr="007C6B99" w:rsidRDefault="004D3FE1" w:rsidP="004D3FE1">
      <w:pPr>
        <w:widowControl w:val="0"/>
        <w:autoSpaceDE w:val="0"/>
        <w:autoSpaceDN w:val="0"/>
        <w:adjustRightInd w:val="0"/>
        <w:spacing w:after="0"/>
        <w:ind w:left="708"/>
        <w:jc w:val="center"/>
        <w:rPr>
          <w:rFonts w:ascii="Times New Roman" w:hAnsi="Times New Roman" w:cs="Times New Roman"/>
          <w:bCs/>
          <w:sz w:val="24"/>
          <w:szCs w:val="24"/>
        </w:rPr>
      </w:pPr>
      <w:r>
        <w:rPr>
          <w:rFonts w:ascii="Times New Roman" w:hAnsi="Times New Roman"/>
          <w:sz w:val="24"/>
        </w:rPr>
        <w:t>Artykuł 77d</w:t>
      </w:r>
    </w:p>
    <w:p w:rsidR="004D3FE1" w:rsidRPr="007C6B99" w:rsidRDefault="004D3FE1" w:rsidP="004D3FE1">
      <w:pPr>
        <w:widowControl w:val="0"/>
        <w:autoSpaceDE w:val="0"/>
        <w:autoSpaceDN w:val="0"/>
        <w:adjustRightInd w:val="0"/>
        <w:spacing w:after="0"/>
        <w:ind w:left="708"/>
        <w:jc w:val="center"/>
        <w:rPr>
          <w:rFonts w:ascii="Times New Roman" w:hAnsi="Times New Roman" w:cs="Times New Roman"/>
          <w:b/>
          <w:bCs/>
          <w:sz w:val="24"/>
          <w:szCs w:val="24"/>
        </w:rPr>
      </w:pPr>
      <w:r>
        <w:rPr>
          <w:rFonts w:ascii="Times New Roman" w:hAnsi="Times New Roman"/>
          <w:b/>
          <w:sz w:val="24"/>
        </w:rPr>
        <w:t>Środek zapewniający dostępność produktów leczniczych</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7C6B99" w:rsidRDefault="004D3FE1" w:rsidP="004D3FE1">
      <w:pPr>
        <w:widowControl w:val="0"/>
        <w:autoSpaceDE w:val="0"/>
        <w:autoSpaceDN w:val="0"/>
        <w:adjustRightInd w:val="0"/>
        <w:spacing w:after="0"/>
        <w:ind w:left="708" w:firstLine="720"/>
        <w:jc w:val="both"/>
        <w:rPr>
          <w:rFonts w:ascii="Times New Roman" w:hAnsi="Times New Roman" w:cs="Times New Roman"/>
          <w:bCs/>
          <w:sz w:val="24"/>
          <w:szCs w:val="24"/>
        </w:rPr>
      </w:pPr>
      <w:r>
        <w:rPr>
          <w:rFonts w:ascii="Times New Roman" w:hAnsi="Times New Roman"/>
          <w:sz w:val="24"/>
        </w:rPr>
        <w:lastRenderedPageBreak/>
        <w:t>1. Jeżeli nie jest mowa o refundowanym produkcie leczniczym, Instytut wydaje środek ogólny, którym zakazuje lub ogranicza dostawy produktu leczniczego przeznaczonego na rynek Republiki Czeskiej do innego państwa członkowskiego lub państwa trzeciego, jeżeli:</w:t>
      </w:r>
    </w:p>
    <w:p w:rsidR="004D3FE1" w:rsidRPr="007C6B99" w:rsidRDefault="004D3FE1" w:rsidP="004D3FE1">
      <w:pPr>
        <w:widowControl w:val="0"/>
        <w:autoSpaceDE w:val="0"/>
        <w:autoSpaceDN w:val="0"/>
        <w:adjustRightInd w:val="0"/>
        <w:spacing w:after="0"/>
        <w:ind w:left="708" w:firstLine="720"/>
        <w:jc w:val="both"/>
        <w:rPr>
          <w:rFonts w:ascii="Times New Roman" w:hAnsi="Times New Roman" w:cs="Times New Roman"/>
          <w:bCs/>
          <w:sz w:val="24"/>
          <w:szCs w:val="24"/>
        </w:rPr>
      </w:pPr>
      <w:r>
        <w:rPr>
          <w:rFonts w:ascii="Times New Roman" w:hAnsi="Times New Roman"/>
          <w:sz w:val="24"/>
        </w:rPr>
        <w:t xml:space="preserve"> </w:t>
      </w:r>
    </w:p>
    <w:p w:rsidR="004D3FE1" w:rsidRPr="007C6B99" w:rsidRDefault="004D3FE1" w:rsidP="004D3FE1">
      <w:pPr>
        <w:pStyle w:val="ListParagraph"/>
        <w:widowControl w:val="0"/>
        <w:numPr>
          <w:ilvl w:val="0"/>
          <w:numId w:val="15"/>
        </w:numPr>
        <w:tabs>
          <w:tab w:val="left" w:pos="567"/>
        </w:tabs>
        <w:autoSpaceDE w:val="0"/>
        <w:autoSpaceDN w:val="0"/>
        <w:adjustRightInd w:val="0"/>
        <w:spacing w:after="0"/>
        <w:jc w:val="both"/>
        <w:rPr>
          <w:rFonts w:ascii="Times New Roman" w:hAnsi="Times New Roman" w:cs="Times New Roman"/>
          <w:bCs/>
          <w:sz w:val="24"/>
          <w:szCs w:val="24"/>
        </w:rPr>
      </w:pPr>
      <w:r>
        <w:rPr>
          <w:rFonts w:ascii="Times New Roman" w:hAnsi="Times New Roman"/>
          <w:sz w:val="24"/>
        </w:rPr>
        <w:t>stwierdzi, szczególnie uwzględniając dane dotyczące dostępności produktów leczniczych, które ma do dyspozycji ze względu na działalność urzędową, oraz dane przekazywane przez podmioty odpowiedzialne, dystrybutorów i apteki, że dostawy produktu leczniczego do innego państwa członkowskiego lub państwa trzeciego mogą doprowadzić do zagrożenia dostępności i skuteczności leczenia pacjentów w Republice Czeskiej, co wywarłoby bezpośredni wpływ na ochronę zdrowia publicznego, oraz</w:t>
      </w:r>
    </w:p>
    <w:p w:rsidR="004D3FE1" w:rsidRPr="007C6B99" w:rsidRDefault="004D3FE1" w:rsidP="004D3FE1">
      <w:pPr>
        <w:pStyle w:val="ListParagraph"/>
        <w:widowControl w:val="0"/>
        <w:tabs>
          <w:tab w:val="left" w:pos="567"/>
        </w:tabs>
        <w:autoSpaceDE w:val="0"/>
        <w:autoSpaceDN w:val="0"/>
        <w:adjustRightInd w:val="0"/>
        <w:spacing w:after="0"/>
        <w:ind w:left="850"/>
        <w:jc w:val="both"/>
        <w:rPr>
          <w:rFonts w:ascii="Times New Roman" w:hAnsi="Times New Roman" w:cs="Times New Roman"/>
          <w:bCs/>
          <w:sz w:val="24"/>
          <w:szCs w:val="24"/>
        </w:rPr>
      </w:pPr>
    </w:p>
    <w:p w:rsidR="004D3FE1" w:rsidRPr="007C6B99" w:rsidRDefault="004D3FE1" w:rsidP="004D3FE1">
      <w:pPr>
        <w:pStyle w:val="ListParagraph"/>
        <w:widowControl w:val="0"/>
        <w:numPr>
          <w:ilvl w:val="0"/>
          <w:numId w:val="15"/>
        </w:numPr>
        <w:tabs>
          <w:tab w:val="left" w:pos="567"/>
        </w:tabs>
        <w:autoSpaceDE w:val="0"/>
        <w:autoSpaceDN w:val="0"/>
        <w:adjustRightInd w:val="0"/>
        <w:spacing w:after="0"/>
        <w:jc w:val="both"/>
        <w:rPr>
          <w:rFonts w:ascii="Times New Roman" w:hAnsi="Times New Roman" w:cs="Times New Roman"/>
          <w:bCs/>
          <w:sz w:val="24"/>
          <w:szCs w:val="24"/>
        </w:rPr>
      </w:pPr>
      <w:r>
        <w:rPr>
          <w:rFonts w:ascii="Times New Roman" w:hAnsi="Times New Roman"/>
          <w:color w:val="000000"/>
          <w:sz w:val="24"/>
        </w:rPr>
        <w:t>wydanie środka ogólnego wynika z interesu publicznego w dziedzinie ochrony zdrowia publicznego i zapewnienia dostępności produktów leczniczych na potrzeby pacjentów w Republice Czeskiej, przy czym przyjęcie innego, mniej ograniczającego środka nie jest możliwe ze względu na stopień zagrożenia dostępności i skuteczności leczenia pacjentów w Republice Czeskiej.</w:t>
      </w:r>
      <w:r>
        <w:rPr>
          <w:rFonts w:ascii="Times New Roman" w:hAnsi="Times New Roman"/>
          <w:sz w:val="24"/>
        </w:rPr>
        <w:t xml:space="preserve"> </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7C6B99" w:rsidRDefault="004D3FE1" w:rsidP="004D3FE1">
      <w:pPr>
        <w:widowControl w:val="0"/>
        <w:autoSpaceDE w:val="0"/>
        <w:autoSpaceDN w:val="0"/>
        <w:adjustRightInd w:val="0"/>
        <w:spacing w:after="0"/>
        <w:ind w:left="708" w:firstLine="720"/>
        <w:jc w:val="both"/>
        <w:rPr>
          <w:rFonts w:ascii="Times New Roman" w:hAnsi="Times New Roman" w:cs="Times New Roman"/>
          <w:bCs/>
          <w:sz w:val="24"/>
          <w:szCs w:val="24"/>
        </w:rPr>
      </w:pPr>
      <w:r>
        <w:rPr>
          <w:rFonts w:ascii="Times New Roman" w:hAnsi="Times New Roman"/>
          <w:sz w:val="24"/>
        </w:rPr>
        <w:t xml:space="preserve">2. Środek ogólny, o którym mowa w ust. 1, Instytut wydaje bez postępowania dotyczącego projektu środka ogólnego i publikuje go z uzasadnieniem w formie rozporządzenia publicznego na swojej urzędowej tablicy ogłoszeń, wyłącznie w sposób umożliwiający dostęp zdalny. </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7C6B99" w:rsidRDefault="004D3FE1" w:rsidP="004D3FE1">
      <w:pPr>
        <w:widowControl w:val="0"/>
        <w:autoSpaceDE w:val="0"/>
        <w:autoSpaceDN w:val="0"/>
        <w:adjustRightInd w:val="0"/>
        <w:spacing w:after="0"/>
        <w:ind w:left="708" w:firstLine="720"/>
        <w:jc w:val="both"/>
        <w:rPr>
          <w:rFonts w:ascii="Times New Roman" w:hAnsi="Times New Roman" w:cs="Times New Roman"/>
          <w:bCs/>
          <w:sz w:val="24"/>
          <w:szCs w:val="24"/>
        </w:rPr>
      </w:pPr>
      <w:r>
        <w:rPr>
          <w:rFonts w:ascii="Times New Roman" w:hAnsi="Times New Roman"/>
          <w:sz w:val="24"/>
        </w:rPr>
        <w:t>3. Środek ogólny wydany zgodnie z ust. 1 doręczony jest z dniem umieszczenia rozporządzenia publicznego na urzędowej tablicy ogłoszeń zgodnie z ust. 2.</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7C6B99" w:rsidRDefault="004D3FE1" w:rsidP="004D3FE1">
      <w:pPr>
        <w:widowControl w:val="0"/>
        <w:autoSpaceDE w:val="0"/>
        <w:autoSpaceDN w:val="0"/>
        <w:adjustRightInd w:val="0"/>
        <w:spacing w:after="0"/>
        <w:ind w:left="708" w:firstLine="720"/>
        <w:jc w:val="both"/>
        <w:rPr>
          <w:rFonts w:ascii="Times New Roman" w:hAnsi="Times New Roman" w:cs="Times New Roman"/>
          <w:bCs/>
          <w:sz w:val="24"/>
          <w:szCs w:val="24"/>
        </w:rPr>
      </w:pPr>
      <w:r>
        <w:rPr>
          <w:rFonts w:ascii="Times New Roman" w:hAnsi="Times New Roman"/>
          <w:sz w:val="24"/>
        </w:rPr>
        <w:t>4. Środek ogólny wydany zgodnie z ust. 1 wchodzi w życie w dniu podanym w środku ogólnym, lecz najwcześniej w dniu opublikowania rozporządzenia.</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7C6B99" w:rsidRDefault="004D3FE1" w:rsidP="004D3FE1">
      <w:pPr>
        <w:widowControl w:val="0"/>
        <w:autoSpaceDE w:val="0"/>
        <w:autoSpaceDN w:val="0"/>
        <w:adjustRightInd w:val="0"/>
        <w:spacing w:after="0"/>
        <w:ind w:left="708" w:firstLine="720"/>
        <w:jc w:val="both"/>
        <w:rPr>
          <w:rFonts w:ascii="Times New Roman" w:hAnsi="Times New Roman" w:cs="Times New Roman"/>
          <w:b/>
          <w:bCs/>
          <w:sz w:val="24"/>
          <w:szCs w:val="24"/>
        </w:rPr>
      </w:pPr>
      <w:r>
        <w:rPr>
          <w:rFonts w:ascii="Times New Roman" w:hAnsi="Times New Roman"/>
          <w:sz w:val="24"/>
        </w:rPr>
        <w:t xml:space="preserve">5. Instytut, postępując zgodnie z ust. 2–4, niezwłocznie uchyla środek ogólny, jeżeli powody jego wydania przestaną występować.”. </w:t>
      </w:r>
    </w:p>
    <w:p w:rsidR="004D3FE1" w:rsidRPr="007C6B99"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W art. 81 ust. 1 na końcu lit. f) słowo „i” zastępuje się przecinkiem.</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W art. 81 kropkę na końcu ust. 1 zastępuje się słowem „i” oraz dodaje się lit. h) w brzmieniu:</w:t>
      </w:r>
    </w:p>
    <w:p w:rsidR="004D3FE1" w:rsidRPr="007C6B99"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20"/>
        <w:jc w:val="both"/>
        <w:rPr>
          <w:rFonts w:ascii="Times New Roman" w:hAnsi="Times New Roman" w:cs="Times New Roman"/>
          <w:bCs/>
          <w:sz w:val="24"/>
          <w:szCs w:val="24"/>
        </w:rPr>
      </w:pPr>
      <w:r>
        <w:rPr>
          <w:rFonts w:ascii="Times New Roman" w:hAnsi="Times New Roman"/>
          <w:sz w:val="24"/>
        </w:rPr>
        <w:t>„h) usługi weryfikujące, na podstawie podanego identyfikatora recepty elektronicznej i nadanego przez Instytut kodu przepisanego produktu leczniczego, ważność odnośnej recepty elektronicznej i liczbę przepisanych opakowań.”.</w:t>
      </w:r>
    </w:p>
    <w:p w:rsidR="004D3FE1" w:rsidRPr="007C6B99" w:rsidRDefault="004D3FE1" w:rsidP="004D3FE1">
      <w:pPr>
        <w:widowControl w:val="0"/>
        <w:autoSpaceDE w:val="0"/>
        <w:autoSpaceDN w:val="0"/>
        <w:adjustRightInd w:val="0"/>
        <w:spacing w:after="0"/>
        <w:ind w:firstLine="708"/>
        <w:jc w:val="bot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 xml:space="preserve">W art. 81 kropkę na końcu ust. 3 zastępuje się przecinkiem i dodaje się lit. n) w </w:t>
      </w:r>
      <w:r>
        <w:rPr>
          <w:rFonts w:ascii="Times New Roman" w:hAnsi="Times New Roman"/>
          <w:sz w:val="24"/>
        </w:rPr>
        <w:lastRenderedPageBreak/>
        <w:t>brzmieniu:</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20"/>
        <w:jc w:val="both"/>
        <w:rPr>
          <w:rFonts w:ascii="Times New Roman" w:hAnsi="Times New Roman" w:cs="Times New Roman"/>
          <w:b/>
          <w:bCs/>
          <w:sz w:val="24"/>
          <w:szCs w:val="24"/>
          <w:highlight w:val="yellow"/>
        </w:rPr>
      </w:pPr>
      <w:r>
        <w:rPr>
          <w:rFonts w:ascii="Times New Roman" w:hAnsi="Times New Roman"/>
          <w:sz w:val="24"/>
        </w:rPr>
        <w:t>„n) nieprzerwany dostęp do usługi, o której mowa w ust. 1 lit. h).”.</w:t>
      </w:r>
    </w:p>
    <w:p w:rsidR="004D3FE1" w:rsidRPr="007C6B99"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Po art. 81g dodaje się art. 81h, który wraz z tytułem otrzymuje brzmienie:</w:t>
      </w:r>
    </w:p>
    <w:p w:rsidR="004D3FE1" w:rsidRPr="007C6B99" w:rsidRDefault="004D3FE1" w:rsidP="004D3FE1">
      <w:pPr>
        <w:pStyle w:val="ListParagraph"/>
        <w:widowControl w:val="0"/>
        <w:autoSpaceDE w:val="0"/>
        <w:autoSpaceDN w:val="0"/>
        <w:adjustRightInd w:val="0"/>
        <w:spacing w:after="0"/>
        <w:jc w:val="center"/>
        <w:rPr>
          <w:rFonts w:ascii="Times New Roman" w:hAnsi="Times New Roman" w:cs="Times New Roman"/>
          <w:sz w:val="24"/>
          <w:szCs w:val="24"/>
        </w:rPr>
      </w:pPr>
    </w:p>
    <w:p w:rsidR="004D3FE1" w:rsidRPr="007C6B99" w:rsidRDefault="004D3FE1" w:rsidP="004D3FE1">
      <w:pPr>
        <w:pStyle w:val="ListParagraph"/>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sz w:val="24"/>
        </w:rPr>
        <w:t>„Artykuł 81h</w:t>
      </w:r>
    </w:p>
    <w:p w:rsidR="004D3FE1" w:rsidRPr="007C6B99" w:rsidRDefault="004D3FE1" w:rsidP="004D3FE1">
      <w:pPr>
        <w:pStyle w:val="ListParagraph"/>
        <w:widowControl w:val="0"/>
        <w:autoSpaceDE w:val="0"/>
        <w:autoSpaceDN w:val="0"/>
        <w:adjustRightInd w:val="0"/>
        <w:spacing w:after="0"/>
        <w:jc w:val="center"/>
        <w:rPr>
          <w:rFonts w:ascii="Times New Roman" w:hAnsi="Times New Roman" w:cs="Times New Roman"/>
          <w:b/>
          <w:sz w:val="24"/>
          <w:szCs w:val="24"/>
        </w:rPr>
      </w:pPr>
      <w:r>
        <w:rPr>
          <w:rFonts w:ascii="Times New Roman" w:hAnsi="Times New Roman"/>
          <w:b/>
          <w:sz w:val="24"/>
        </w:rPr>
        <w:t>Produkt leczniczy zamówiony w systemie awaryjnym</w:t>
      </w:r>
    </w:p>
    <w:p w:rsidR="004D3FE1" w:rsidRPr="007C6B99" w:rsidRDefault="004D3FE1" w:rsidP="004D3FE1">
      <w:pPr>
        <w:pStyle w:val="ListParagraph"/>
        <w:autoSpaceDE w:val="0"/>
        <w:autoSpaceDN w:val="0"/>
        <w:spacing w:after="0"/>
        <w:jc w:val="both"/>
        <w:rPr>
          <w:rFonts w:ascii="Times New Roman" w:hAnsi="Times New Roman" w:cs="Times New Roman"/>
          <w:sz w:val="24"/>
          <w:szCs w:val="24"/>
        </w:rPr>
      </w:pPr>
    </w:p>
    <w:p w:rsidR="004D3FE1" w:rsidRPr="007C6B99" w:rsidRDefault="004D3FE1" w:rsidP="004D3FE1">
      <w:pPr>
        <w:pStyle w:val="ListParagraph"/>
        <w:autoSpaceDE w:val="0"/>
        <w:autoSpaceDN w:val="0"/>
        <w:spacing w:after="0"/>
        <w:ind w:firstLine="696"/>
        <w:jc w:val="both"/>
        <w:rPr>
          <w:rFonts w:ascii="Times New Roman" w:hAnsi="Times New Roman" w:cs="Times New Roman"/>
          <w:sz w:val="24"/>
          <w:szCs w:val="24"/>
        </w:rPr>
      </w:pPr>
      <w:r>
        <w:rPr>
          <w:rFonts w:ascii="Times New Roman" w:hAnsi="Times New Roman"/>
          <w:sz w:val="24"/>
        </w:rPr>
        <w:t xml:space="preserve">1. Jeżeli refundowany produkt leczniczy zamawia się dla pacjenta w systemie awaryjnym, farmaceuta tworzy w systemie </w:t>
      </w:r>
      <w:proofErr w:type="spellStart"/>
      <w:r>
        <w:rPr>
          <w:rFonts w:ascii="Times New Roman" w:hAnsi="Times New Roman"/>
          <w:sz w:val="24"/>
        </w:rPr>
        <w:t>eRecept</w:t>
      </w:r>
      <w:proofErr w:type="spellEnd"/>
      <w:r>
        <w:rPr>
          <w:rFonts w:ascii="Times New Roman" w:hAnsi="Times New Roman"/>
          <w:sz w:val="24"/>
        </w:rPr>
        <w:t xml:space="preserve"> w centralnym repozytorium recept elektronicznych zapis dotyczący zamówienia przepisanego produktu leczniczego. Jeżeli podmiot odpowiedzialny, zgodnie z art. 33a ust. 7, informuje, że dostawa zamówionego produktu leczniczego jest niemożliwa, farmaceuta usuwa zapis, który stworzył zgodnie ze zdaniem pierwszym.</w:t>
      </w:r>
    </w:p>
    <w:p w:rsidR="004D3FE1" w:rsidRPr="007C6B99" w:rsidRDefault="004D3FE1" w:rsidP="004D3FE1">
      <w:pPr>
        <w:autoSpaceDE w:val="0"/>
        <w:autoSpaceDN w:val="0"/>
        <w:spacing w:after="0"/>
        <w:ind w:left="360"/>
        <w:jc w:val="both"/>
        <w:rPr>
          <w:rFonts w:ascii="Times New Roman" w:hAnsi="Times New Roman" w:cs="Times New Roman"/>
          <w:sz w:val="24"/>
          <w:szCs w:val="24"/>
        </w:rPr>
      </w:pPr>
    </w:p>
    <w:p w:rsidR="004D3FE1" w:rsidRPr="007C6B99" w:rsidRDefault="004D3FE1" w:rsidP="004D3FE1">
      <w:pPr>
        <w:pStyle w:val="ListParagraph"/>
        <w:autoSpaceDE w:val="0"/>
        <w:autoSpaceDN w:val="0"/>
        <w:spacing w:after="0"/>
        <w:ind w:firstLine="696"/>
        <w:jc w:val="both"/>
        <w:rPr>
          <w:rFonts w:ascii="Times New Roman" w:hAnsi="Times New Roman" w:cs="Times New Roman"/>
          <w:sz w:val="24"/>
          <w:szCs w:val="24"/>
        </w:rPr>
      </w:pPr>
      <w:r>
        <w:rPr>
          <w:rFonts w:ascii="Times New Roman" w:hAnsi="Times New Roman"/>
          <w:sz w:val="24"/>
        </w:rPr>
        <w:t>2. W okresie, gdy zapis, o którym mowa w ust. 1, obecny jest w systemie, nie ma możliwości wydania tak oznakowanego produktu leczniczego w innej aptece, o czym farmaceuta ma obowiązek poinformować pacjenta.”.</w:t>
      </w:r>
    </w:p>
    <w:p w:rsidR="004D3FE1" w:rsidRPr="007C6B99" w:rsidRDefault="004D3FE1" w:rsidP="004D3FE1">
      <w:pPr>
        <w:pStyle w:val="ListParagraph"/>
        <w:autoSpaceDE w:val="0"/>
        <w:autoSpaceDN w:val="0"/>
        <w:spacing w:after="0"/>
        <w:jc w:val="both"/>
        <w:rPr>
          <w:rFonts w:ascii="Times New Roman" w:hAnsi="Times New Roman" w:cs="Times New Roman"/>
          <w:b/>
          <w:sz w:val="24"/>
          <w:szCs w:val="24"/>
          <w:highlight w:val="yellow"/>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 xml:space="preserve">W art. 82 ust. 3 lit. d) po wyrażeniu „z publicznego ubezpieczenia zdrowotnego” dodaje się słowa „; ponadto mają obowiązek w formie elektronicznej przekazać Instytutowi dane o produktach leczniczych przekazanych innej aptece zgodnie z ust. 4; przekazane dane obejmują identyfikator podmiotu uprawionego do wydawania, identyfikator apteki odbierającej, identyfikator przekazanego produktu leczniczego i liczbę przekazanych opakowań;”. </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W art. 82 ust. 3 lit. j) po wyrażeniu „uprawnione do wydawania produktów leczniczych” dodaje się wyrażenie „zgodnie z ust. 2 zdanie trzecie”.</w:t>
      </w:r>
    </w:p>
    <w:p w:rsidR="004D3FE1" w:rsidRPr="007C6B99" w:rsidRDefault="004D3FE1" w:rsidP="004D3FE1">
      <w:pPr>
        <w:pStyle w:val="ListParagrap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W art. 82 ust. 4 otrzymuje brzmienie:</w:t>
      </w:r>
    </w:p>
    <w:p w:rsidR="004D3FE1" w:rsidRPr="007C6B99" w:rsidRDefault="004D3FE1" w:rsidP="004D3FE1">
      <w:pPr>
        <w:pStyle w:val="ListParagraph"/>
        <w:rPr>
          <w:rFonts w:ascii="Times New Roman" w:hAnsi="Times New Roman" w:cs="Times New Roman"/>
          <w:sz w:val="24"/>
          <w:szCs w:val="24"/>
        </w:rPr>
      </w:pPr>
    </w:p>
    <w:p w:rsidR="004D3FE1" w:rsidRPr="007C6B99" w:rsidRDefault="004D3FE1" w:rsidP="004D3FE1">
      <w:pPr>
        <w:pStyle w:val="ListParagraph"/>
        <w:widowControl w:val="0"/>
        <w:autoSpaceDE w:val="0"/>
        <w:autoSpaceDN w:val="0"/>
        <w:adjustRightInd w:val="0"/>
        <w:spacing w:after="0"/>
        <w:ind w:firstLine="696"/>
        <w:jc w:val="both"/>
        <w:rPr>
          <w:rFonts w:ascii="Times New Roman" w:hAnsi="Times New Roman" w:cs="Times New Roman"/>
          <w:sz w:val="24"/>
          <w:szCs w:val="24"/>
        </w:rPr>
      </w:pPr>
      <w:r>
        <w:rPr>
          <w:rFonts w:ascii="Times New Roman" w:hAnsi="Times New Roman"/>
          <w:sz w:val="24"/>
        </w:rPr>
        <w:t xml:space="preserve">„4. Jeżeli apteka wydaje produkty lecznicze podmiotom świadczącym opiekę stacjonarną, podmiot świadczący opiekę stacjonarną musi być uwzględniony w decyzji wydanej tej wydającej aptece zgodnie z ustawą o usługach opieki zdrowotnej. Jeżeli nie jest mowa o produktach leczniczych, które przygotowuje się w aptece, apteka, która wydaje produkty lecznicze podmiotowi świadczącemu opiekę stacjonarną, może produkty lecznicze odebrać od innej apteki tylko w drodze wyjątku, w przypadku gdy nie dysponuje odnośnym produktem leczniczym i nie może w odpowiednim czasie uzyskać go od dystrybutora lub gdy inna apteka ma niewykorzystane zapasy produktu leczniczego, którego nie może zwrócić dystrybutorowi. W ten sposób odebrany produkt leczniczy może być wydany tylko podmiotowi świadczącemu opiekę stacjonarną i może być wykorzystany przez ten podmiot tylko do świadczenia opieki stacjonarnej. </w:t>
      </w:r>
      <w:r>
        <w:rPr>
          <w:rFonts w:ascii="Times New Roman" w:hAnsi="Times New Roman"/>
          <w:sz w:val="24"/>
        </w:rPr>
        <w:lastRenderedPageBreak/>
        <w:t>Przekazywania i odbierania produktów leczniczych w ten sposób między podmiotami świadczącymi usługi zdrowotne, które świadczą usługi farmaceutyczne</w:t>
      </w:r>
      <w:r>
        <w:rPr>
          <w:rFonts w:ascii="Times New Roman" w:hAnsi="Times New Roman"/>
          <w:sz w:val="24"/>
          <w:vertAlign w:val="superscript"/>
        </w:rPr>
        <w:t>9)</w:t>
      </w:r>
      <w:r>
        <w:rPr>
          <w:rFonts w:ascii="Times New Roman" w:hAnsi="Times New Roman"/>
          <w:sz w:val="24"/>
        </w:rPr>
        <w:t>, nie uznaje się za dystrybucję, a apteka prowadzi ewidencję tych działań, której zakres i metodę określa się w przepisie wykonawczym. Apteka, która nie wydaje produktów leczniczych podmiotowi świadczącemu opiekę stacjonarną, nie może odbierać produktów leczniczych od innej apteki. Jeżeli podmiot prowadzący aptekę ma jednocześnie zezwolenie na dystrybucję, nie ma prawa dystrybuować produktów leczniczych, które odebrał jako apteka.</w:t>
      </w:r>
      <w:r>
        <w:rPr>
          <w:rFonts w:ascii="Times New Roman" w:hAnsi="Times New Roman"/>
          <w:b/>
          <w:sz w:val="24"/>
        </w:rPr>
        <w:t xml:space="preserve"> </w:t>
      </w:r>
      <w:r>
        <w:rPr>
          <w:rFonts w:ascii="Times New Roman" w:hAnsi="Times New Roman"/>
          <w:sz w:val="24"/>
        </w:rPr>
        <w:t>Przepisy zawarte w zdaniu drugim, trzecim i piątym nie mają zastosowania do sytuacji uzyskania produktu leczniczego od podmiotu prowadzącego aptekę, który kończy działalność apteki.”.</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 xml:space="preserve">W art. 99 ust. 1 skreśla się lit. c) i d). </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sz w:val="24"/>
        </w:rPr>
        <w:t>Dotychczasowe lit. e)–o) oznacza się jako lit. c)–m).</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W art. 99 ust. 1 lit. c) skreśla się pkt 2.</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sz w:val="24"/>
        </w:rPr>
        <w:t>Dotychczasowe pkt 3–8 oznacza się jako pkt 2–7.</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W art. 99 ust. 1 lit. c) skreśla się pkt 3.</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sz w:val="24"/>
        </w:rPr>
        <w:t>Dotychczasowe pkt 4–7 oznacza się jako pkt 3–6.</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W art. 99 ust. 1 lit. d) skreśla się pkt 3.</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sz w:val="24"/>
        </w:rPr>
        <w:t>Dotychczasowe pkt 4 i 5 oznacza się jako pkt 3 i 4.</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W art. 99 ust. 1 skreśla się lit. f).</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sz w:val="24"/>
        </w:rPr>
        <w:t>Dotychczasowe lit. g)–m) oznacza się jako lit. f)–l).</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Art. 99 ust. 1 lit. l) otrzymuje brzmienie:</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sz w:val="24"/>
        </w:rPr>
        <w:t>„l) informacje o systemach awaryjnych podmiotów odpowiedzialnych, które zawierają dane identyfikacyjne podmiotu odpowiedzialnego, który organizuje i prowadzi system awaryjny, hiperłącze do systemu zautomatyzowanego składania i potwierdzania zamówień drogą elektroniczną oraz dane służące niezautomatyzowanemu składaniu zamówień.”.</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W art. 99 po ust. 1 dodaje się nowe ust. 2 i 3 w brzmieniu:</w:t>
      </w:r>
    </w:p>
    <w:p w:rsidR="004D3FE1" w:rsidRPr="007C6B99" w:rsidRDefault="004D3FE1" w:rsidP="004D3FE1">
      <w:pPr>
        <w:widowControl w:val="0"/>
        <w:autoSpaceDE w:val="0"/>
        <w:autoSpaceDN w:val="0"/>
        <w:adjustRightInd w:val="0"/>
        <w:spacing w:after="0"/>
        <w:ind w:left="708" w:firstLine="708"/>
        <w:jc w:val="both"/>
        <w:rPr>
          <w:rFonts w:ascii="Times New Roman" w:hAnsi="Times New Roman" w:cs="Times New Roman"/>
          <w:bCs/>
          <w:sz w:val="24"/>
          <w:szCs w:val="24"/>
        </w:rPr>
      </w:pPr>
      <w:r>
        <w:rPr>
          <w:rFonts w:ascii="Times New Roman" w:hAnsi="Times New Roman"/>
          <w:sz w:val="24"/>
        </w:rPr>
        <w:t>„2. Instytut publikuje na swoich stronach internetowych, w sposób umożliwiający dostęp zdalny i w otwartym formacie danych nadającym się do odczytu maszynowego:</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Pr>
          <w:rFonts w:ascii="Times New Roman" w:hAnsi="Times New Roman"/>
          <w:sz w:val="24"/>
        </w:rPr>
        <w:t>a) wykaz produktów leczniczych w podziale według kodu nadanego przez Instytut, które można zgodnie z niniejszą ustawą wprowadzać do obrotu w Republice Czeskiej, wraz z identyfikatorami podmiotów odpowiedzialnych lub podmiotów uprawnionych do równoległych dostaw, a także klasyfikacją tych produktów leczniczych do wydawania lub sprzedaży zgodnie z art. 39;</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Pr>
          <w:rFonts w:ascii="Times New Roman" w:hAnsi="Times New Roman"/>
          <w:sz w:val="24"/>
        </w:rPr>
        <w:lastRenderedPageBreak/>
        <w:t>b) zbiorcze dane o produktach leczniczych udostępnianych na rynku Republiki Czeskiej, przygotowane na podstawie danych zgłoszonych zgodnie z art. 33 ust. 2 zdanie siódme, wraz z kodem identyfikacyjnym produktu leczniczego nadanym przez Instytut, nazwą i uzupełnieniem nazwy, bez podawania zgłoszonej ceny, a także z uwzględnieniem identyfikatora podmiotu odpowiedzialnego, liczby opakowań produktu leczniczego z rozróżnieniem, czy były one dostarczone dystrybutorowi lub aptece, czy też zostały zwrócone przez dystrybutora lub aptekę;</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Pr>
          <w:rFonts w:ascii="Times New Roman" w:hAnsi="Times New Roman"/>
          <w:sz w:val="24"/>
        </w:rPr>
        <w:t>c) zbiorcze dane zgłoszone zgodnie z art. 33 ust. 2 zdanie pierwsze i drugie dotyczące wprowadzania do obrotu, przerwania lub zakończenia wprowadzania do obrotu produktu leczniczego w Republice Czeskiej;</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Pr>
          <w:rFonts w:ascii="Times New Roman" w:hAnsi="Times New Roman"/>
          <w:sz w:val="24"/>
        </w:rPr>
        <w:t xml:space="preserve">d) zbiorcze zanonimizowane dane o produktach leczniczych dystrybuowanych w Republice Czeskiej przygotowane na podstawie danych zgłoszonych na podstawie art. 77 ust. 1 lit. f) o produktach leczniczych, które dystrybutor dystrybuował do aptek, innych podmiotów świadczących usługi zdrowotne, innym dystrybutorom, sprzedawcom w placówkach obrotu </w:t>
      </w:r>
      <w:proofErr w:type="spellStart"/>
      <w:r>
        <w:rPr>
          <w:rFonts w:ascii="Times New Roman" w:hAnsi="Times New Roman"/>
          <w:sz w:val="24"/>
        </w:rPr>
        <w:t>pozaaptecznego</w:t>
      </w:r>
      <w:proofErr w:type="spellEnd"/>
      <w:r>
        <w:rPr>
          <w:rFonts w:ascii="Times New Roman" w:hAnsi="Times New Roman"/>
          <w:sz w:val="24"/>
        </w:rPr>
        <w:t>, lekarzom weterynarii i podmiotom odpowiedzialnym, wraz z kodem identyfikacyjnym dystrybuowanego produktu leczniczego nadanym przez Instytut, nazwą i uzupełnieniem nazwy, liczbą opakowań, ceną producenta i oznaczeniem, jakiemu typowi podmiotu uprawnionego dystrybuowano produkt leczniczy, bez identyfikacji dystrybutora zgłaszającego lub podmiotu, któremu dystrybuowano produkt leczniczy;</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Pr>
          <w:rFonts w:ascii="Times New Roman" w:hAnsi="Times New Roman"/>
          <w:sz w:val="24"/>
        </w:rPr>
        <w:t>e) zbiorcze dane o produktach leczniczych wydawanych wyłącznie na receptę lekarską dystrybuowanych na rynki poza Republiką Czeską przygotowane na podstawie danych zgłoszonych na podstawie art. 77 ust. 1 lit. f) o produktach leczniczych, które dystrybutor dystrybuował innym podmiotom w celu dystrybucji lub wydawania poza Republiką Czeską, wraz z identyfikatorem dystrybutora, kodem identyfikacyjnym dystrybuowanego produktu leczniczego nadanym przez Instytut, nazwą i uzupełnieniem nazwy, liczbą opakowań, ceną producenta i oznaczeniem, jakiemu typowi podmiotu odbierającego dystrybuowano produkt leczniczy, bez identyfikacji podmiotu, któremu dystrybuowano produkt leczniczy;</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Pr>
          <w:rFonts w:ascii="Times New Roman" w:hAnsi="Times New Roman"/>
          <w:sz w:val="24"/>
        </w:rPr>
        <w:t xml:space="preserve">f) zbiorcze zanonimizowane dane zagregowane o produktach leczniczych przepisanych na receptach elektronicznych i wydanych na nie, zawarte w systemie </w:t>
      </w:r>
      <w:proofErr w:type="spellStart"/>
      <w:r>
        <w:rPr>
          <w:rFonts w:ascii="Times New Roman" w:hAnsi="Times New Roman"/>
          <w:sz w:val="24"/>
        </w:rPr>
        <w:t>eRecept</w:t>
      </w:r>
      <w:proofErr w:type="spellEnd"/>
      <w:r>
        <w:rPr>
          <w:rFonts w:ascii="Times New Roman" w:hAnsi="Times New Roman"/>
          <w:sz w:val="24"/>
        </w:rPr>
        <w:t>, z podaniem łącznej liczby opakowań w poszczególnych</w:t>
      </w:r>
      <w:r>
        <w:rPr>
          <w:rFonts w:ascii="Times New Roman" w:hAnsi="Times New Roman"/>
          <w:color w:val="FF0000"/>
          <w:sz w:val="24"/>
        </w:rPr>
        <w:t xml:space="preserve"> </w:t>
      </w:r>
      <w:r>
        <w:rPr>
          <w:rFonts w:ascii="Times New Roman" w:hAnsi="Times New Roman"/>
          <w:sz w:val="24"/>
        </w:rPr>
        <w:t>miesiącach kalendarzowych dla każdego przepisanego lub wydanego produktu leczniczego z rozróżnieniem według okręgu w systemie opieki zdrowotnej, w którym przepisano lub wydano produkt leczniczy;</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Pr>
          <w:rFonts w:ascii="Times New Roman" w:hAnsi="Times New Roman"/>
          <w:sz w:val="24"/>
        </w:rPr>
        <w:t xml:space="preserve">g) zbiorcze zanonimizowane dane zagregowane o wydanych produktach leczniczych, przygotowane na podstawie danych zgłoszonych zgodnie z art. 82 ust. 3 lit. d), z podaniem łącznej liczby opakowań w poszczególnych miesiącach kalendarzowych dla każdego produktu leczniczego zidentyfikowanego kodem nadanym przez Instytut, </w:t>
      </w:r>
      <w:r>
        <w:rPr>
          <w:rFonts w:ascii="Times New Roman" w:hAnsi="Times New Roman"/>
          <w:sz w:val="24"/>
        </w:rPr>
        <w:lastRenderedPageBreak/>
        <w:t>nazwą i uzupełnieniem nazwy, sposobu wydania i średniej ważonej jego ceny, uwzględniającej liczbę opakowań w poszczególnych miesiącach kalendarzowych dla każdego wydanego produktu leczniczego;</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Pr>
          <w:rFonts w:ascii="Times New Roman" w:hAnsi="Times New Roman"/>
          <w:sz w:val="24"/>
        </w:rPr>
        <w:t>h) zbiorcze zanonimizowane dane o produktach leczniczych przekazywanych między aptekami przygotowane na podstawie danych zgłoszonych zgodnie z art. 82 ust. 3 lit. d) o produktach leczniczych przekazanych innej aptece zgodnie z art. 82 ust. 4 z podaniem kodu identyfikacyjnego przekazanego produktu leczniczego nadanego przez Instytut, nazwy i uzupełnienia nazwy, liczby opakowań, bez identyfikacji apteki zgłaszającej lub apteki, której przekazano produkt leczniczy;</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Pr>
          <w:rFonts w:ascii="Times New Roman" w:hAnsi="Times New Roman"/>
          <w:sz w:val="24"/>
        </w:rPr>
        <w:t>i) rejestr pośredników zgodnie z art. 77b z podaniem w przypadku osoby fizycznej: imienia lub imion, nazwiska, adresu miejsca, gdzie prowadzona jest działalność, lub w przypadku osoby prawnej: nazwy i adresu siedziby, a także numeru identyfikacyjnego pośrednika i zgłoszonych danych kontaktowych;</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Pr>
          <w:rFonts w:ascii="Times New Roman" w:hAnsi="Times New Roman"/>
          <w:sz w:val="24"/>
        </w:rPr>
        <w:t>j) rejestr dystrybutorów zgodnie z art. 75 ust. 3 i dystrybutorów zgodnie z art. 75 ust. 4, wraz z ich składem, z podaniem w przypadku osoby fizycznej: imienia lub imion, nazwiska, adresu miejsca, gdzie prowadzona jest działalność, lub w przypadku osoby prawnej: nazwy i adresu siedziby, a także numeru identyfikacyjnego dystrybutora i zgłoszonych danych kontaktowych oraz osoby kompetentnej dystrybutora, oraz</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r>
        <w:rPr>
          <w:rFonts w:ascii="Times New Roman" w:hAnsi="Times New Roman"/>
          <w:sz w:val="24"/>
        </w:rPr>
        <w:t>k) wykaz aptek i podmiotów je prowadzących z podaniem w przypadku osoby fizycznej: imienia lub imion, nazwiska, adresu miejsca, gdzie jest prowadzona działalność, lub w przypadku osoby prawnej: nazwy i adresu siedziby, a także numeru identyfikacyjnego podmiotu prowadzącego i zgłoszonych danych kontaktowych oraz farmaceuty-kierownika dla każdej apteki, a także informacji, czy apteka oferuje również wydawanie wysyłkowe lub czy apteka pełni funkcję apteki dyżurnej.</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bCs/>
          <w:sz w:val="24"/>
          <w:szCs w:val="24"/>
        </w:rPr>
      </w:pPr>
    </w:p>
    <w:p w:rsidR="004D3FE1" w:rsidRPr="007C6B99" w:rsidRDefault="004D3FE1" w:rsidP="004D3FE1">
      <w:pPr>
        <w:widowControl w:val="0"/>
        <w:autoSpaceDE w:val="0"/>
        <w:autoSpaceDN w:val="0"/>
        <w:adjustRightInd w:val="0"/>
        <w:spacing w:after="0"/>
        <w:ind w:left="708" w:firstLine="708"/>
        <w:jc w:val="both"/>
        <w:rPr>
          <w:rFonts w:ascii="Times New Roman" w:hAnsi="Times New Roman" w:cs="Times New Roman"/>
          <w:sz w:val="24"/>
          <w:szCs w:val="24"/>
        </w:rPr>
      </w:pPr>
      <w:r>
        <w:rPr>
          <w:rFonts w:ascii="Times New Roman" w:hAnsi="Times New Roman"/>
          <w:sz w:val="24"/>
        </w:rPr>
        <w:t xml:space="preserve">3. Instytut Weterynaryjny udostępnia w sposób umożliwiający dostęp zdalny wykaz weterynaryjnych produktów leczniczych zarejestrowanych w Republice Czeskiej i w ramach Unii Europejskiej z podziałem na weterynaryjne produkty lecznicze wydawane na receptę lekarską, z możliwością wydania bez recepty lekarskiej lub produkty lecznicze dostępne w obrocie </w:t>
      </w:r>
      <w:proofErr w:type="spellStart"/>
      <w:r>
        <w:rPr>
          <w:rFonts w:ascii="Times New Roman" w:hAnsi="Times New Roman"/>
          <w:sz w:val="24"/>
        </w:rPr>
        <w:t>pozaaptecznym</w:t>
      </w:r>
      <w:proofErr w:type="spellEnd"/>
      <w:r>
        <w:rPr>
          <w:rFonts w:ascii="Times New Roman" w:hAnsi="Times New Roman"/>
          <w:sz w:val="24"/>
        </w:rPr>
        <w:t>, z zapewnieniem dostępności odpowiednich charakterystyk weterynaryjnych produktów leczniczych z podziałem według zawartej substancji czynnej oraz drogi podania, wykaz dystrybutorów zgodnie z art. 75 ust. 4, wykaz podmiotów zgodnie z art. 77 ust. 5 lit. a) pkt 1–3 oraz informacje o udzielonym uprawnieniu do równoległych dostaw weterynaryjnego produktu leczniczego.”.</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sz w:val="24"/>
        </w:rPr>
        <w:t>Dotychczasowe ust. 2–8 oznacza się jako ust. 4–10.</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 xml:space="preserve"> Art. 99 ust. 4 lit. a) otrzymuje brzmienie:</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sz w:val="24"/>
        </w:rPr>
        <w:lastRenderedPageBreak/>
        <w:t>„a) informacje o wydanych zezwoleniach na działalność i certyfikatach oraz pozostałe informacje dotyczące produktów leczniczych i postępowania z nimi, jeżeli nie zostały opublikowane zgodnie z ust. 1, 2 lub 3;”.</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W art. 99 ust. 4 skreśla się lit. e).</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sz w:val="24"/>
        </w:rPr>
        <w:t>Dotychczasowe lit. f)–j) oznacza się jako lit. e)–i).</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W art. 99 ust. 7 po wyrażeniu „przekazują i publikują” dodaje się wyrażenie „wyłącznie w sposób, o którym mowa w ust. 2 lub 3, oraz”.</w:t>
      </w:r>
    </w:p>
    <w:p w:rsidR="004D3FE1" w:rsidRPr="007C6B99" w:rsidRDefault="004D3FE1" w:rsidP="004D3FE1">
      <w:pPr>
        <w:spacing w:after="0"/>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W art. 101 na końcu ust. 5 dodaje się zdanie „W decyzji o zawieszeniu wykonywania uprawnień zgodnie z lit. c) właściwy organ administracyjny ustanawia okres zawieszenia uprawnień i działalności, po którym nie wolno ich wykonywać.”.</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W art. 103 ust. 10 na końcu lit. f) dodaje się wyrażenie „lub art. 33c ust. 3”.</w:t>
      </w:r>
    </w:p>
    <w:p w:rsidR="004D3FE1" w:rsidRPr="007C6B99" w:rsidRDefault="004D3FE1" w:rsidP="004D3FE1">
      <w:pPr>
        <w:pStyle w:val="ListParagraph"/>
        <w:rPr>
          <w:rFonts w:ascii="Times New Roman" w:hAnsi="Times New Roman" w:cs="Times New Roman"/>
          <w:sz w:val="24"/>
          <w:szCs w:val="24"/>
        </w:rPr>
      </w:pPr>
    </w:p>
    <w:p w:rsidR="004D3FE1" w:rsidRPr="007C6B99" w:rsidRDefault="004D3FE1" w:rsidP="004D3FE1">
      <w:pPr>
        <w:pStyle w:val="ListParagraph"/>
        <w:numPr>
          <w:ilvl w:val="0"/>
          <w:numId w:val="1"/>
        </w:numPr>
        <w:rPr>
          <w:rFonts w:ascii="Times New Roman" w:hAnsi="Times New Roman" w:cs="Times New Roman"/>
          <w:sz w:val="24"/>
          <w:szCs w:val="24"/>
        </w:rPr>
      </w:pPr>
      <w:r>
        <w:rPr>
          <w:rFonts w:ascii="Times New Roman" w:hAnsi="Times New Roman"/>
          <w:sz w:val="24"/>
        </w:rPr>
        <w:t>Art. 103 ust. 10 lit. g) otrzymuje brzmienie:</w:t>
      </w:r>
    </w:p>
    <w:p w:rsidR="004D3FE1" w:rsidRPr="007C6B99" w:rsidRDefault="004D3FE1" w:rsidP="004D3FE1">
      <w:pPr>
        <w:pStyle w:val="ListParagraph"/>
        <w:jc w:val="both"/>
        <w:rPr>
          <w:rFonts w:ascii="Times New Roman" w:hAnsi="Times New Roman" w:cs="Times New Roman"/>
          <w:sz w:val="24"/>
          <w:szCs w:val="24"/>
        </w:rPr>
      </w:pPr>
      <w:r>
        <w:rPr>
          <w:rFonts w:ascii="Times New Roman" w:hAnsi="Times New Roman"/>
          <w:sz w:val="24"/>
        </w:rPr>
        <w:t xml:space="preserve">„g) przy wydawaniu produktów leczniczych na receptę elektroniczną, nie zgłosi, zgodnie z art. 81g ust. 4, centralnemu repozytorium recept elektronicznych w systemie </w:t>
      </w:r>
      <w:proofErr w:type="spellStart"/>
      <w:r>
        <w:rPr>
          <w:rFonts w:ascii="Times New Roman" w:hAnsi="Times New Roman"/>
          <w:sz w:val="24"/>
        </w:rPr>
        <w:t>eRecept</w:t>
      </w:r>
      <w:proofErr w:type="spellEnd"/>
      <w:r>
        <w:rPr>
          <w:rFonts w:ascii="Times New Roman" w:hAnsi="Times New Roman"/>
          <w:sz w:val="24"/>
        </w:rPr>
        <w:t xml:space="preserve">, że przepisany produkt leczniczy został już wydany, lub nie stworzy, zgodnie z art. 81h ust. 1, w systemie </w:t>
      </w:r>
      <w:proofErr w:type="spellStart"/>
      <w:r>
        <w:rPr>
          <w:rFonts w:ascii="Times New Roman" w:hAnsi="Times New Roman"/>
          <w:sz w:val="24"/>
        </w:rPr>
        <w:t>eRecept</w:t>
      </w:r>
      <w:proofErr w:type="spellEnd"/>
      <w:r>
        <w:rPr>
          <w:rFonts w:ascii="Times New Roman" w:hAnsi="Times New Roman"/>
          <w:sz w:val="24"/>
        </w:rPr>
        <w:t xml:space="preserve"> w centralnym repozytorium recept elektronicznych zapisu o tym, że przepisany produkt leczniczy został zamówiony w systemie awaryjnym, albo nie usunie tego zapisu;”.</w:t>
      </w:r>
    </w:p>
    <w:p w:rsidR="004D3FE1" w:rsidRPr="007C6B99" w:rsidRDefault="004D3FE1" w:rsidP="004D3FE1">
      <w:pPr>
        <w:pStyle w:val="ListParagrap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 xml:space="preserve"> W art. 103 ust. 10 na końcu lit. h) skreśla się słowo „lub”.</w:t>
      </w:r>
    </w:p>
    <w:p w:rsidR="004D3FE1" w:rsidRPr="007C6B99" w:rsidRDefault="004D3FE1" w:rsidP="004D3FE1">
      <w:pPr>
        <w:pStyle w:val="ListParagrap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W art. 103 kropkę na końcu ust. 10 zastępuje się przecinkiem i dodaje się lit. j)–n) w brzmieniu:</w:t>
      </w:r>
    </w:p>
    <w:p w:rsidR="004D3FE1" w:rsidRPr="007C6B99" w:rsidRDefault="004D3FE1" w:rsidP="004D3FE1">
      <w:pPr>
        <w:pStyle w:val="ListParagraph"/>
        <w:rPr>
          <w:rFonts w:ascii="Times New Roman" w:hAnsi="Times New Roman" w:cs="Times New Roman"/>
          <w:sz w:val="24"/>
          <w:szCs w:val="24"/>
        </w:rPr>
      </w:pP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sz w:val="24"/>
        </w:rPr>
        <w:t>„j) zamówi produkt leczniczy w systemie awaryjnym podmiotu odpowiedzialnego, choć nie spełniono warunków ustanowionych w art. 33c ust. 1;</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bCs/>
          <w:strike/>
          <w:sz w:val="24"/>
          <w:szCs w:val="24"/>
        </w:rPr>
      </w:pPr>
      <w:r>
        <w:rPr>
          <w:rFonts w:ascii="Times New Roman" w:hAnsi="Times New Roman"/>
          <w:sz w:val="24"/>
        </w:rPr>
        <w:t xml:space="preserve">k) przyjmie od innej apteki produkt leczniczy wbrew art. 82 ust. 4; </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bCs/>
          <w:sz w:val="24"/>
          <w:szCs w:val="24"/>
        </w:rPr>
      </w:pP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bCs/>
          <w:strike/>
          <w:sz w:val="24"/>
          <w:szCs w:val="24"/>
        </w:rPr>
      </w:pPr>
      <w:r>
        <w:rPr>
          <w:rFonts w:ascii="Times New Roman" w:hAnsi="Times New Roman"/>
          <w:sz w:val="24"/>
        </w:rPr>
        <w:t xml:space="preserve">l) wyda produkt leczniczy odebrany od innej apteki wbrew art. 82 ust. 4 innemu podmiotowi niż podmiot świadczący opiekę stacjonarną; </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bCs/>
          <w:sz w:val="24"/>
          <w:szCs w:val="24"/>
        </w:rPr>
      </w:pP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bCs/>
          <w:sz w:val="24"/>
          <w:szCs w:val="24"/>
        </w:rPr>
      </w:pPr>
      <w:r>
        <w:rPr>
          <w:rFonts w:ascii="Times New Roman" w:hAnsi="Times New Roman"/>
          <w:sz w:val="24"/>
        </w:rPr>
        <w:t>m) przekaże innej aptece produkt leczniczy wbrew art. 82 ust. 4, lub</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bCs/>
          <w:sz w:val="24"/>
          <w:szCs w:val="24"/>
        </w:rPr>
      </w:pP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bCs/>
          <w:sz w:val="24"/>
          <w:szCs w:val="24"/>
        </w:rPr>
      </w:pPr>
      <w:r>
        <w:rPr>
          <w:rFonts w:ascii="Times New Roman" w:hAnsi="Times New Roman"/>
          <w:sz w:val="24"/>
        </w:rPr>
        <w:t xml:space="preserve">n) nie przekaże Instytutowi danych o produkcie leczniczym przekazanym innej aptece zgodnie z art. 82 ust. 3 lit. d).”. </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b/>
          <w:strike/>
          <w:sz w:val="24"/>
          <w:szCs w:val="24"/>
        </w:rPr>
      </w:pPr>
    </w:p>
    <w:p w:rsidR="004D3FE1" w:rsidRPr="007C6B99" w:rsidRDefault="004D3FE1" w:rsidP="004D3FE1">
      <w:pPr>
        <w:pStyle w:val="ListParagraph"/>
        <w:numPr>
          <w:ilvl w:val="0"/>
          <w:numId w:val="1"/>
        </w:numPr>
        <w:spacing w:after="0"/>
        <w:jc w:val="both"/>
        <w:rPr>
          <w:rFonts w:ascii="Times New Roman" w:hAnsi="Times New Roman" w:cs="Times New Roman"/>
          <w:sz w:val="24"/>
          <w:szCs w:val="24"/>
        </w:rPr>
      </w:pPr>
      <w:r>
        <w:rPr>
          <w:rFonts w:ascii="Times New Roman" w:hAnsi="Times New Roman"/>
          <w:sz w:val="24"/>
        </w:rPr>
        <w:t>Art. 105 ust. 2 lit. s) i t) otrzymują brzmienie:</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trike/>
          <w:sz w:val="24"/>
          <w:szCs w:val="24"/>
        </w:rPr>
      </w:pPr>
      <w:r>
        <w:rPr>
          <w:rFonts w:ascii="Times New Roman" w:hAnsi="Times New Roman"/>
          <w:sz w:val="24"/>
        </w:rPr>
        <w:t xml:space="preserve">„s) wbrew środkowi ogólnemu, o którym mowa w art. 77d, dostarczy produkt leczniczy </w:t>
      </w:r>
      <w:r>
        <w:rPr>
          <w:rFonts w:ascii="Times New Roman" w:hAnsi="Times New Roman"/>
          <w:sz w:val="24"/>
        </w:rPr>
        <w:lastRenderedPageBreak/>
        <w:t>do innego państwa członkowskiego lub państwa trzeciego;</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sz w:val="24"/>
        </w:rPr>
        <w:t xml:space="preserve"> </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sz w:val="24"/>
        </w:rPr>
        <w:t xml:space="preserve">„t) nie postępuje zgodnie ze środkiem wydanym przez Ministerstwo Zdrowia w celu zapewnienia dostępności produktów leczniczych zgodnie z art. 11 lit. g) lub h);”. </w:t>
      </w:r>
    </w:p>
    <w:p w:rsidR="004D3FE1" w:rsidRPr="007C6B99" w:rsidRDefault="004D3FE1" w:rsidP="004D3FE1">
      <w:pPr>
        <w:pStyle w:val="ListParagraph"/>
        <w:spacing w:after="0"/>
        <w:jc w:val="both"/>
        <w:rPr>
          <w:rFonts w:ascii="Times New Roman" w:hAnsi="Times New Roman" w:cs="Times New Roman"/>
          <w:sz w:val="24"/>
          <w:szCs w:val="24"/>
        </w:rPr>
      </w:pPr>
    </w:p>
    <w:p w:rsidR="004D3FE1" w:rsidRPr="007C6B99" w:rsidRDefault="004D3FE1" w:rsidP="004D3FE1">
      <w:pPr>
        <w:pStyle w:val="ListParagraph"/>
        <w:numPr>
          <w:ilvl w:val="0"/>
          <w:numId w:val="1"/>
        </w:numPr>
        <w:spacing w:after="0"/>
        <w:jc w:val="both"/>
        <w:rPr>
          <w:rFonts w:ascii="Times New Roman" w:hAnsi="Times New Roman" w:cs="Times New Roman"/>
          <w:sz w:val="24"/>
          <w:szCs w:val="24"/>
        </w:rPr>
      </w:pPr>
      <w:r>
        <w:rPr>
          <w:rFonts w:ascii="Times New Roman" w:hAnsi="Times New Roman"/>
          <w:sz w:val="24"/>
        </w:rPr>
        <w:t>W art. 105 na końcu ust. 2 dodaje się lit. u)–w) w brzmieniu:</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sz w:val="24"/>
        </w:rPr>
        <w:t xml:space="preserve">„u) wbrew środkowi ogólnemu, o którym mowa w art. 77c ust. 1, dostarczy produkt leczniczy do innego państwa członkowskiego lub państwa trzeciego; </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color w:val="FF0000"/>
          <w:sz w:val="24"/>
          <w:szCs w:val="24"/>
        </w:rPr>
      </w:pPr>
      <w:r>
        <w:rPr>
          <w:rFonts w:ascii="Times New Roman" w:hAnsi="Times New Roman"/>
          <w:sz w:val="24"/>
        </w:rPr>
        <w:t>v) wbrew art. 33c ust. 4 nie odbierze od apteki zwróconego refundowanego produktu leczniczego dostarczonego w systemie awaryjnym, lub</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color w:val="FF0000"/>
          <w:sz w:val="24"/>
          <w:szCs w:val="24"/>
        </w:rPr>
      </w:pP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sz w:val="24"/>
        </w:rPr>
        <w:t>w) dystrybuuje refundowany produkt leczniczy wbrew środkowi, o którym mowa w art. 77c ust. 6.”.</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 xml:space="preserve"> Art. 105 ust. 5 lit. j) otrzymuje brzmienie:</w:t>
      </w:r>
    </w:p>
    <w:p w:rsidR="004D3FE1" w:rsidRPr="007C6B99" w:rsidRDefault="004D3FE1" w:rsidP="004D3FE1">
      <w:pPr>
        <w:pStyle w:val="ListParagraph"/>
        <w:widowControl w:val="0"/>
        <w:autoSpaceDE w:val="0"/>
        <w:autoSpaceDN w:val="0"/>
        <w:adjustRightInd w:val="0"/>
        <w:spacing w:after="0"/>
        <w:ind w:left="1002" w:hanging="294"/>
        <w:jc w:val="both"/>
        <w:rPr>
          <w:rFonts w:ascii="Times New Roman" w:hAnsi="Times New Roman" w:cs="Times New Roman"/>
          <w:sz w:val="24"/>
          <w:szCs w:val="24"/>
        </w:rPr>
      </w:pPr>
      <w:r>
        <w:rPr>
          <w:rFonts w:ascii="Times New Roman" w:hAnsi="Times New Roman"/>
          <w:sz w:val="24"/>
        </w:rPr>
        <w:t>„j) nie zapewni dostawy produktu leczniczego zgodnie z art. 33 ust. 3 lit. g) pkt 3;”.</w:t>
      </w:r>
    </w:p>
    <w:p w:rsidR="004D3FE1" w:rsidRPr="007C6B99"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W art. 105 kropkę na końcu ust. 5 zastępuje się wyrażeniem „, lub” i dodaje się lit. z) w brzmieniu:</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sz w:val="24"/>
        </w:rPr>
        <w:t>„z) w przypadku refundowanego produktu leczniczego, którego nie można zastąpić, przerwie dostawy do obrotu, zgodnie z art. 33 ust. 2, łącznie na okres dłuższy niż 120 dni w ciągu minionych 12 miesięcy.”.</w:t>
      </w:r>
    </w:p>
    <w:p w:rsidR="004D3FE1" w:rsidRPr="007C6B99"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W art. 105 dodaje się ust. 11 w brzmieniu:</w:t>
      </w:r>
    </w:p>
    <w:p w:rsidR="004D3FE1" w:rsidRPr="007C6B99" w:rsidRDefault="004D3FE1" w:rsidP="004D3FE1">
      <w:pPr>
        <w:widowControl w:val="0"/>
        <w:autoSpaceDE w:val="0"/>
        <w:autoSpaceDN w:val="0"/>
        <w:adjustRightInd w:val="0"/>
        <w:spacing w:after="0"/>
        <w:ind w:firstLine="720"/>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firstLine="708"/>
        <w:jc w:val="both"/>
        <w:rPr>
          <w:rFonts w:ascii="Times New Roman" w:hAnsi="Times New Roman" w:cs="Times New Roman"/>
          <w:sz w:val="24"/>
          <w:szCs w:val="24"/>
        </w:rPr>
      </w:pPr>
      <w:r>
        <w:rPr>
          <w:rFonts w:ascii="Times New Roman" w:hAnsi="Times New Roman"/>
          <w:sz w:val="24"/>
        </w:rPr>
        <w:t>11. Podmiot odpowiedzialny w zakresie refundowanego produktu leczniczego dopuszcza się wykroczenia, gdy:</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sz w:val="24"/>
          <w:szCs w:val="24"/>
        </w:rPr>
      </w:pPr>
      <w:r>
        <w:rPr>
          <w:rFonts w:ascii="Times New Roman" w:hAnsi="Times New Roman"/>
          <w:sz w:val="24"/>
        </w:rPr>
        <w:t>a) nie zapewni organizacji lub działania systemu awaryjnego lub nie zapewni ciągłego utrzymania jego działania zgodnie z art. 33a ust. 1;</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sz w:val="24"/>
          <w:szCs w:val="24"/>
        </w:rPr>
      </w:pPr>
      <w:r>
        <w:rPr>
          <w:rFonts w:ascii="Times New Roman" w:hAnsi="Times New Roman"/>
          <w:sz w:val="24"/>
        </w:rPr>
        <w:t>b) nie zapewni potwierdzenia zwrotnego doręczenia zamówienia złożonego w systemie awaryjnym zgodnie z art. 33a ust. 2;</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sz w:val="24"/>
          <w:szCs w:val="24"/>
        </w:rPr>
      </w:pPr>
      <w:r>
        <w:rPr>
          <w:rFonts w:ascii="Times New Roman" w:hAnsi="Times New Roman"/>
          <w:sz w:val="24"/>
        </w:rPr>
        <w:t>c) nie zapewni dostawy refundowanego produktu leczniczego zamówionego w systemie awaryjnym do apteki wbrew art. 33a ust. 3;</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sz w:val="24"/>
          <w:szCs w:val="24"/>
        </w:rPr>
      </w:pPr>
      <w:r>
        <w:rPr>
          <w:rFonts w:ascii="Times New Roman" w:hAnsi="Times New Roman"/>
          <w:sz w:val="24"/>
        </w:rPr>
        <w:t>d) nie zapewni aptece zamawiającej informacji o powodach niedostarczenia zgodnie z art. 33a ust. 7;</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sz w:val="24"/>
          <w:szCs w:val="24"/>
        </w:rPr>
      </w:pPr>
      <w:r>
        <w:rPr>
          <w:rFonts w:ascii="Times New Roman" w:hAnsi="Times New Roman"/>
          <w:sz w:val="24"/>
        </w:rPr>
        <w:t>e) nie zapewni przekazania dystrybutorowi informacji o godzinie i dacie doręczenia zamówienia zgodnie z art. 33a ust. 8;</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sz w:val="24"/>
          <w:szCs w:val="24"/>
        </w:rPr>
      </w:pPr>
      <w:r>
        <w:rPr>
          <w:rFonts w:ascii="Times New Roman" w:hAnsi="Times New Roman"/>
          <w:sz w:val="24"/>
        </w:rPr>
        <w:t>f) nie wywiąże się z obowiązku przekazania informacji, o którym mowa w art. 33b ust. 1;</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sz w:val="24"/>
          <w:szCs w:val="24"/>
        </w:rPr>
      </w:pPr>
      <w:r>
        <w:rPr>
          <w:rFonts w:ascii="Times New Roman" w:hAnsi="Times New Roman"/>
          <w:sz w:val="24"/>
        </w:rPr>
        <w:t xml:space="preserve">g) nie prowadzi ewidencji elektronicznej dystrybutorów i aptek, którym zapewniał dostawy produktu leczniczego na podstawie zamówienia w systemie awaryjnym, zgodnie z art. 33b ust. 3; </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sz w:val="24"/>
          <w:szCs w:val="24"/>
        </w:rPr>
      </w:pPr>
      <w:r>
        <w:rPr>
          <w:rFonts w:ascii="Times New Roman" w:hAnsi="Times New Roman"/>
          <w:sz w:val="24"/>
        </w:rPr>
        <w:t>h) nie udzieli Instytutowi pełnych i prawidłowych informacji zgodnie z art. 33b ust. 4;</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sz w:val="24"/>
          <w:szCs w:val="24"/>
        </w:rPr>
      </w:pPr>
      <w:r>
        <w:rPr>
          <w:rFonts w:ascii="Times New Roman" w:hAnsi="Times New Roman"/>
          <w:sz w:val="24"/>
        </w:rPr>
        <w:t>i) nie udzieli pełnych i prawidłowych informacji o potwierdzeniu zamówienia zgodnie z art. 33b ust. 5 zdanie pierwsze, lub</w:t>
      </w:r>
    </w:p>
    <w:p w:rsidR="004D3FE1" w:rsidRPr="007C6B99"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rPr>
          <w:rFonts w:ascii="Times New Roman" w:hAnsi="Times New Roman" w:cs="Times New Roman"/>
          <w:sz w:val="24"/>
          <w:szCs w:val="24"/>
        </w:rPr>
      </w:pPr>
      <w:r>
        <w:rPr>
          <w:rFonts w:ascii="Times New Roman" w:hAnsi="Times New Roman"/>
          <w:sz w:val="24"/>
        </w:rPr>
        <w:t>j) nie udzieli pełnych i prawidłowych informacji o niedostarczeniu refundowanego produktu leczniczego zgodnie z art. 33b ust. 5 zdanie drugie.”.</w:t>
      </w:r>
      <w:r>
        <w:rPr>
          <w:rFonts w:ascii="Times New Roman" w:hAnsi="Times New Roman" w:cs="Times New Roman"/>
          <w:b/>
          <w:sz w:val="24"/>
          <w:szCs w:val="24"/>
        </w:rPr>
        <w:br/>
      </w: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W art. 107 ust. 1 lit. b) wyrażenie „lub g)” zastępuje się wyrażeniem „, g), j) lub n)”.</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W art. 107 ust. 1 lit. c) wyrażenie „d), f) lub i)” zastępuje się wyrażeniem „d), f), i), k), l) lub m)”, po wyrażeniu „m)–p),” dodaje się wyrażenie „t) lub v),”, wyrażenie „x) lub y) lub” zastępuje się wyrażeniem „x), y) lub z),”, a wyrażenie „lub art. 105 ust. 7, 8, 9 lub 10, art. 106 ust. 3 lit. d), e) lub f) lub art. 106 ust. 4” zastępuje się wyrażeniem: „, art. 105 ust. 7–11, art. 106 ust. 3 lit. d), e) lub f) lub art. 106 ust. 4”.</w:t>
      </w:r>
    </w:p>
    <w:p w:rsidR="004D3FE1" w:rsidRPr="007C6B99" w:rsidRDefault="004D3FE1" w:rsidP="004D3FE1">
      <w:pPr>
        <w:pStyle w:val="ListParagrap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W art. 107 ust. 1 lit. e) wyrażenie „do t)” zastępuje się wyrażeniem „, s), u) lub w)”.</w:t>
      </w:r>
    </w:p>
    <w:p w:rsidR="004D3FE1" w:rsidRPr="007C6B99" w:rsidRDefault="004D3FE1" w:rsidP="004D3FE1">
      <w:pPr>
        <w:pStyle w:val="ListParagrap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W art. 107 ust. 2 słowo „t)” zastępuje się wyrażeniem „s) lub u)”.</w:t>
      </w:r>
    </w:p>
    <w:p w:rsidR="004D3FE1" w:rsidRPr="007C6B99" w:rsidRDefault="004D3FE1" w:rsidP="004D3FE1">
      <w:pPr>
        <w:pStyle w:val="ListParagrap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W art. 114 ust. 1 po wyrażeniu „art. 33 ust. 2,” dodaje się wyrażenie „art. 33b ust. 4 i 5,”, a na końcu tekstu ustępu dodaje się wyrażenie „i art. 82 ust. 4”.</w:t>
      </w:r>
    </w:p>
    <w:p w:rsidR="004D3FE1" w:rsidRPr="007C6B99" w:rsidRDefault="004D3FE1" w:rsidP="004D3FE1">
      <w:pPr>
        <w:pStyle w:val="ListParagraph"/>
        <w:rPr>
          <w:rFonts w:ascii="Times New Roman" w:hAnsi="Times New Roman" w:cs="Times New Roman"/>
          <w:sz w:val="24"/>
          <w:szCs w:val="24"/>
        </w:rPr>
      </w:pPr>
    </w:p>
    <w:p w:rsidR="004D3FE1" w:rsidRPr="007C6B99" w:rsidRDefault="004D3FE1" w:rsidP="004D3FE1">
      <w:pPr>
        <w:pStyle w:val="ListParagraph"/>
        <w:widowControl w:val="0"/>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sz w:val="24"/>
        </w:rPr>
        <w:t>W art. 114 ust. 2 skreśla się wyrażenie „art. 33 ust. 3 lit. g) pkt 3,”.</w:t>
      </w:r>
    </w:p>
    <w:p w:rsidR="004D3FE1" w:rsidRPr="007C6B99" w:rsidRDefault="004D3FE1" w:rsidP="004D3FE1">
      <w:pPr>
        <w:widowControl w:val="0"/>
        <w:autoSpaceDE w:val="0"/>
        <w:autoSpaceDN w:val="0"/>
        <w:adjustRightInd w:val="0"/>
        <w:spacing w:after="0"/>
        <w:rPr>
          <w:rFonts w:ascii="Times New Roman" w:hAnsi="Times New Roman" w:cs="Times New Roman"/>
          <w:sz w:val="24"/>
          <w:szCs w:val="24"/>
        </w:rPr>
      </w:pPr>
    </w:p>
    <w:p w:rsidR="004D3FE1" w:rsidRPr="007C6B99" w:rsidRDefault="004D3FE1" w:rsidP="004D3FE1">
      <w:pPr>
        <w:pStyle w:val="ListParagraph"/>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sz w:val="24"/>
        </w:rPr>
        <w:t>Artykuł II</w:t>
      </w:r>
    </w:p>
    <w:p w:rsidR="004D3FE1" w:rsidRPr="007C6B99" w:rsidRDefault="004D3FE1" w:rsidP="004D3FE1">
      <w:pPr>
        <w:pStyle w:val="ListParagraph"/>
        <w:widowControl w:val="0"/>
        <w:autoSpaceDE w:val="0"/>
        <w:autoSpaceDN w:val="0"/>
        <w:adjustRightInd w:val="0"/>
        <w:spacing w:after="0"/>
        <w:jc w:val="center"/>
        <w:rPr>
          <w:rFonts w:ascii="Times New Roman" w:hAnsi="Times New Roman" w:cs="Times New Roman"/>
          <w:b/>
          <w:sz w:val="24"/>
          <w:szCs w:val="24"/>
        </w:rPr>
      </w:pPr>
      <w:r>
        <w:rPr>
          <w:rFonts w:ascii="Times New Roman" w:hAnsi="Times New Roman"/>
          <w:b/>
          <w:sz w:val="24"/>
        </w:rPr>
        <w:t>Przepisy przejściowe</w:t>
      </w:r>
    </w:p>
    <w:p w:rsidR="004D3FE1" w:rsidRPr="007C6B99" w:rsidRDefault="004D3FE1" w:rsidP="004D3FE1">
      <w:pPr>
        <w:pStyle w:val="ListParagraph"/>
        <w:widowControl w:val="0"/>
        <w:autoSpaceDE w:val="0"/>
        <w:autoSpaceDN w:val="0"/>
        <w:adjustRightInd w:val="0"/>
        <w:spacing w:after="0"/>
        <w:jc w:val="both"/>
        <w:rPr>
          <w:rFonts w:ascii="Times New Roman" w:hAnsi="Times New Roman" w:cs="Times New Roman"/>
          <w:b/>
          <w:sz w:val="24"/>
          <w:szCs w:val="24"/>
        </w:rPr>
      </w:pPr>
    </w:p>
    <w:p w:rsidR="004D3FE1" w:rsidRPr="007C6B99" w:rsidRDefault="004D3FE1" w:rsidP="004D3FE1">
      <w:pPr>
        <w:spacing w:after="0"/>
        <w:ind w:left="708"/>
        <w:jc w:val="both"/>
        <w:rPr>
          <w:rFonts w:ascii="Times New Roman" w:eastAsia="Times New Roman" w:hAnsi="Times New Roman" w:cs="Times New Roman"/>
          <w:sz w:val="24"/>
          <w:szCs w:val="24"/>
        </w:rPr>
      </w:pPr>
      <w:r>
        <w:rPr>
          <w:rFonts w:ascii="Times New Roman" w:hAnsi="Times New Roman"/>
          <w:sz w:val="24"/>
        </w:rPr>
        <w:t>1. Państwowy Instytut Kontroli Produktów Leczniczych (zwany dalej „Instytutem”) publikuje na swoich stronach internetowych specyfikację interfejsu komunikacyjnego, o którym mowa w art. 13 ust. 3 lit. r) ustawy nr 378/2007, ze zmianami wchodzącymi w życie w dniu wejścia w życie niniejszej ustawy, najpóźniej do końca drugiego miesiąca kalendarzowego po dniu wejścia w życie niniejszej ustawy.</w:t>
      </w:r>
    </w:p>
    <w:p w:rsidR="004D3FE1" w:rsidRPr="007C6B99" w:rsidRDefault="004D3FE1" w:rsidP="004D3FE1">
      <w:pPr>
        <w:spacing w:after="0"/>
        <w:ind w:left="1428"/>
        <w:contextualSpacing/>
        <w:jc w:val="both"/>
        <w:rPr>
          <w:rFonts w:ascii="Times New Roman" w:hAnsi="Times New Roman" w:cs="Times New Roman"/>
          <w:sz w:val="24"/>
          <w:szCs w:val="24"/>
        </w:rPr>
      </w:pPr>
    </w:p>
    <w:p w:rsidR="004D3FE1" w:rsidRPr="007C6B99" w:rsidRDefault="004D3FE1" w:rsidP="004D3FE1">
      <w:pPr>
        <w:spacing w:after="0"/>
        <w:ind w:left="708"/>
        <w:jc w:val="both"/>
        <w:rPr>
          <w:rFonts w:ascii="Times New Roman" w:eastAsia="Times New Roman" w:hAnsi="Times New Roman" w:cs="Times New Roman"/>
          <w:sz w:val="24"/>
          <w:szCs w:val="24"/>
        </w:rPr>
      </w:pPr>
      <w:r>
        <w:rPr>
          <w:rFonts w:ascii="Times New Roman" w:hAnsi="Times New Roman"/>
          <w:sz w:val="24"/>
        </w:rPr>
        <w:t xml:space="preserve">2. Podmiot odpowiedzialny w zakresie produktu leczniczego, co do którego ustanowiono refundację z publicznego ubezpieczenia zdrowotnego, gdy wydawany jest </w:t>
      </w:r>
      <w:r>
        <w:rPr>
          <w:rFonts w:ascii="Times New Roman" w:hAnsi="Times New Roman"/>
          <w:sz w:val="24"/>
        </w:rPr>
        <w:lastRenderedPageBreak/>
        <w:t>na receptę (zwanego dalej „refundowanym produktem leczniczym”), do dnia wejścia w życie niniejszej ustawy zobowiązany jest przekazać Instytutowi informację o awaryjnym systemie informacyjnym służącym wyjątkowym zamówieniom i dostawom refundowanego produktu leczniczego (zwanym dalej „systemem awaryjnym”), którego organizację i działanie zapewnia zgodnie z art. 33b ust. 1 ustawy nr 378/2007, ze zmianami wchodzącymi w życie w dniu wejścia w życie niniejszej ustawy, najpóźniej do końca czwartego miesiąca od dnia, w którym Instytut opublikował specyfikację interfejsu komunikacyjnego zgodnie z pkt 1.</w:t>
      </w:r>
    </w:p>
    <w:p w:rsidR="004D3FE1" w:rsidRPr="007C6B99" w:rsidRDefault="004D3FE1" w:rsidP="004D3FE1">
      <w:pPr>
        <w:spacing w:after="0"/>
        <w:ind w:left="1428"/>
        <w:contextualSpacing/>
        <w:jc w:val="both"/>
        <w:rPr>
          <w:rFonts w:ascii="Times New Roman" w:hAnsi="Times New Roman" w:cs="Times New Roman"/>
          <w:sz w:val="24"/>
          <w:szCs w:val="24"/>
        </w:rPr>
      </w:pPr>
    </w:p>
    <w:p w:rsidR="004D3FE1" w:rsidRPr="007C6B99" w:rsidRDefault="004D3FE1" w:rsidP="004D3FE1">
      <w:pPr>
        <w:ind w:left="708"/>
        <w:jc w:val="both"/>
        <w:rPr>
          <w:rFonts w:ascii="Times New Roman" w:eastAsia="Times New Roman" w:hAnsi="Times New Roman" w:cs="Times New Roman"/>
          <w:sz w:val="24"/>
          <w:szCs w:val="24"/>
        </w:rPr>
      </w:pPr>
      <w:r>
        <w:rPr>
          <w:rFonts w:ascii="Times New Roman" w:hAnsi="Times New Roman"/>
          <w:sz w:val="24"/>
        </w:rPr>
        <w:t>3. Instytut w pierwszej kolejności publikuje na swoich stronach internetowych informacje o systemach awaryjnych podmiotów odpowiedzialnych zgodnie z art. 99 ust. 1 lit. l) ustawy nr 378/2007, ze zmianami wchodzącymi w życie w dniu wejścia w życie niniejszej ustawy, najpóźniej do 20 dni kalendarzowych od dnia, w którym podmiot odpowiedzialny w zakresie produktu leczniczego spełnił swój obowiązek zgodnie z pkt 2.</w:t>
      </w:r>
    </w:p>
    <w:p w:rsidR="004D3FE1" w:rsidRPr="007C6B99"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widowControl w:val="0"/>
        <w:spacing w:after="0"/>
        <w:jc w:val="center"/>
        <w:rPr>
          <w:rFonts w:ascii="Times New Roman" w:hAnsi="Times New Roman" w:cs="Times New Roman"/>
          <w:sz w:val="24"/>
          <w:szCs w:val="24"/>
        </w:rPr>
      </w:pPr>
      <w:r>
        <w:rPr>
          <w:rFonts w:ascii="Times New Roman" w:hAnsi="Times New Roman"/>
          <w:sz w:val="24"/>
        </w:rPr>
        <w:t>CZĘŚĆ DRUGA</w:t>
      </w:r>
    </w:p>
    <w:p w:rsidR="004D3FE1" w:rsidRPr="007C6B99" w:rsidRDefault="004D3FE1" w:rsidP="004D3FE1">
      <w:pPr>
        <w:widowControl w:val="0"/>
        <w:spacing w:after="0"/>
        <w:jc w:val="center"/>
        <w:rPr>
          <w:rFonts w:ascii="Times New Roman" w:hAnsi="Times New Roman" w:cs="Times New Roman"/>
          <w:b/>
          <w:sz w:val="24"/>
          <w:szCs w:val="24"/>
        </w:rPr>
      </w:pPr>
      <w:r>
        <w:rPr>
          <w:rFonts w:ascii="Times New Roman" w:hAnsi="Times New Roman"/>
          <w:b/>
          <w:sz w:val="24"/>
        </w:rPr>
        <w:t>Zmiana ustawy o publicznym ubezpieczeniu zdrowotnym</w:t>
      </w:r>
    </w:p>
    <w:p w:rsidR="004D3FE1" w:rsidRPr="007C6B99" w:rsidRDefault="004D3FE1" w:rsidP="004D3FE1">
      <w:pPr>
        <w:widowControl w:val="0"/>
        <w:spacing w:after="0"/>
        <w:rPr>
          <w:rFonts w:ascii="Times New Roman" w:hAnsi="Times New Roman" w:cs="Times New Roman"/>
          <w:sz w:val="24"/>
          <w:szCs w:val="24"/>
        </w:rPr>
      </w:pPr>
    </w:p>
    <w:p w:rsidR="004D3FE1" w:rsidRPr="007C6B99" w:rsidRDefault="004D3FE1" w:rsidP="004D3FE1">
      <w:pPr>
        <w:widowControl w:val="0"/>
        <w:spacing w:after="0"/>
        <w:jc w:val="center"/>
        <w:rPr>
          <w:rFonts w:ascii="Times New Roman" w:hAnsi="Times New Roman" w:cs="Times New Roman"/>
          <w:sz w:val="24"/>
          <w:szCs w:val="24"/>
        </w:rPr>
      </w:pPr>
      <w:r>
        <w:rPr>
          <w:rFonts w:ascii="Times New Roman" w:hAnsi="Times New Roman"/>
          <w:sz w:val="24"/>
        </w:rPr>
        <w:t>Artykuł III</w:t>
      </w:r>
    </w:p>
    <w:p w:rsidR="004D3FE1" w:rsidRPr="007C6B99" w:rsidRDefault="004D3FE1" w:rsidP="004D3FE1">
      <w:pPr>
        <w:jc w:val="both"/>
        <w:rPr>
          <w:rFonts w:ascii="Times New Roman" w:hAnsi="Times New Roman" w:cs="Times New Roman"/>
          <w:sz w:val="24"/>
          <w:szCs w:val="24"/>
        </w:rPr>
      </w:pPr>
      <w:r>
        <w:rPr>
          <w:rFonts w:ascii="Times New Roman" w:hAnsi="Times New Roman"/>
          <w:sz w:val="24"/>
        </w:rPr>
        <w:t>W ustawie nr 48/1997 o publicznym ubezpieczeniu zdrowotnym oraz o zmianie i uzupełnieniu niektórych ustaw powiązanych, zmienionej ustawą nr 242/1997, ustawą nr 2/1998, ustawą nr 127/1998, ustawą nr 225/1999, ustawą nr 363/1999, ustawą nr 18/2000, ustawą nr 132/2000, ustawą nr 155/2000, orzeczeniem Trybunału Konstytucyjnego nr 167/2000, ustawą nr 220/2000, ustawą nr 258/2000, ustawą nr 459/2000, ustawą nr 176/2002, ustawą nr 198/2002, ustawą nr 285/2002, ustawą nr 309/2002, ustawą nr 320/2002, ustawą nr 222/2003, ustawą nr 274/2003, ustawą nr 362/2003, ustawą nr 424/2003, ustawą nr 425/2003, ustawą nr 455/2003, ustawą nr 85/2004, ustawą nr 359/2004, ustawą nr 422/2004, ustawą nr 436/2004, ustawą nr 438/2004, ustawą nr 123/2005, ustawą nr 168/2005, ustawą nr 253/2005, ustawą nr 350/2005, ustawą nr 361/2005, ustawą nr 47/2006, ustawą nr 109/2006, ustawą nr 112/2006, ustawą nr 117/2006, ustawą nr 165/2006, ustawą nr 189/2006, ustawą nr 214/2006, ustawą nr 245/2006, ustawą nr 264/2006, ustawą nr 340/2006, orzeczeniem Trybunału Konstytucyjnego nr 57/2007, ustawą nr 181/2007, ustawą nr 261/2007, ustawą nr 296/2007, ustawą nr 129/2008, ustawą nr 137/2008, ustawą nr 270/2008, ustawą nr 274/2008, ustawą nr 306/2008, ustawą nr 59/2009, ustawą nr 158/2009, ustawą nr 227/2009, ustawą nr 281/2009, ustawą nr 362/2009, ustawą nr 298/2011, ustawą nr 365/2011, ustawą nr 369/2011, ustawą nr 458/2011, ustawą nr 1/2012, ustawą nr 275/2012, ustawą nr 401/2012, ustawą nr 403/2012, ustawą nr 44/2013, orzeczeniem Trybunału Konstytucyjnego nr 238/2013, ustawą nr 60/2014, ustawą nr 109/2014, ustawą nr 250/2014, ustawą nr 256/2014, ustawą nr 267/2014, ustawą nr 1/2015, ustawą nr 200/2015, ustawą nr 314/2015, ustawą nr 47/2016, ustawą nr 66/2017, ustawą nr 150/2017, ustawą nr 183/2017, ustawą nr 200/2017, orzeczeniem Trybunału Konstytucyjnego nr 231/2017, ustawą nr 290/2017, ustawą nr 282/2018, ustawą nr 45/2019, ustawą nr 111/2019,</w:t>
      </w:r>
      <w:r>
        <w:rPr>
          <w:rFonts w:ascii="Times New Roman" w:hAnsi="Times New Roman"/>
          <w:color w:val="FF0000"/>
          <w:sz w:val="24"/>
        </w:rPr>
        <w:t xml:space="preserve"> </w:t>
      </w:r>
      <w:r>
        <w:rPr>
          <w:rFonts w:ascii="Times New Roman" w:hAnsi="Times New Roman"/>
          <w:sz w:val="24"/>
        </w:rPr>
        <w:t xml:space="preserve">ustawą nr …/2019 i ustawą nr …/2019, art. 39k wraz z tytułem otrzymuje brzmienie: </w:t>
      </w:r>
    </w:p>
    <w:p w:rsidR="004D3FE1" w:rsidRPr="007C6B99" w:rsidRDefault="004D3FE1" w:rsidP="004D3FE1">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sz w:val="24"/>
        </w:rPr>
        <w:lastRenderedPageBreak/>
        <w:t>„Artykuł 39k</w:t>
      </w:r>
    </w:p>
    <w:p w:rsidR="004D3FE1" w:rsidRPr="007C6B99" w:rsidRDefault="004D3FE1" w:rsidP="004D3FE1">
      <w:pPr>
        <w:widowControl w:val="0"/>
        <w:autoSpaceDE w:val="0"/>
        <w:autoSpaceDN w:val="0"/>
        <w:adjustRightInd w:val="0"/>
        <w:spacing w:after="0"/>
        <w:jc w:val="center"/>
        <w:rPr>
          <w:rFonts w:ascii="Times New Roman" w:hAnsi="Times New Roman" w:cs="Times New Roman"/>
          <w:b/>
          <w:sz w:val="24"/>
          <w:szCs w:val="24"/>
        </w:rPr>
      </w:pPr>
      <w:r>
        <w:rPr>
          <w:rFonts w:ascii="Times New Roman" w:hAnsi="Times New Roman"/>
          <w:b/>
          <w:sz w:val="24"/>
        </w:rPr>
        <w:t>Nadzwyczajny środek na rzecz zachowania dostępności refundowanych produktów leczniczych nieposiadających zastępników</w:t>
      </w:r>
    </w:p>
    <w:p w:rsidR="004D3FE1" w:rsidRPr="007C6B99" w:rsidRDefault="004D3FE1" w:rsidP="004D3FE1">
      <w:pPr>
        <w:widowControl w:val="0"/>
        <w:autoSpaceDE w:val="0"/>
        <w:autoSpaceDN w:val="0"/>
        <w:adjustRightInd w:val="0"/>
        <w:spacing w:after="0"/>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firstLine="708"/>
        <w:jc w:val="both"/>
        <w:rPr>
          <w:rFonts w:ascii="Times New Roman" w:hAnsi="Times New Roman" w:cs="Times New Roman"/>
          <w:sz w:val="24"/>
          <w:szCs w:val="24"/>
        </w:rPr>
      </w:pPr>
      <w:r>
        <w:rPr>
          <w:rFonts w:ascii="Times New Roman" w:hAnsi="Times New Roman"/>
          <w:sz w:val="24"/>
        </w:rPr>
        <w:t>1. Instytut może w przypadku istotnego z punktu widzenia świadczenia usług zdrowotnych zagrożenia niedostępnością produktu leczniczego lub wystąpienia takiej niedostępności wydać decyzję (zwaną dalej „środkiem nadzwyczajnym”), którą tymczasowo ustanawia lub zmienia maksymalną cenę oraz wysokość i warunki refundacji, by zachować dostępność usług refundowanych dla ubezpieczonych. Instytut może wydać środek nadzwyczajny, gdy leży to w interesie publicznym, a Ministerstwo Zdrowia wydało środek lub decyzję zgodnie z art. 11 lit. a), h) lub o) ustawy o lekach</w:t>
      </w:r>
      <w:r>
        <w:rPr>
          <w:rFonts w:ascii="Times New Roman" w:hAnsi="Times New Roman"/>
          <w:sz w:val="24"/>
          <w:vertAlign w:val="superscript"/>
        </w:rPr>
        <w:t>44a)</w:t>
      </w:r>
      <w:r>
        <w:rPr>
          <w:rFonts w:ascii="Times New Roman" w:hAnsi="Times New Roman"/>
          <w:sz w:val="24"/>
        </w:rPr>
        <w:t xml:space="preserve"> lub Instytut wydał decyzję zgodnie z art. 38 ustawy o lekach.</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firstLine="708"/>
        <w:jc w:val="both"/>
        <w:rPr>
          <w:rFonts w:ascii="Times New Roman" w:hAnsi="Times New Roman" w:cs="Times New Roman"/>
          <w:sz w:val="24"/>
          <w:szCs w:val="24"/>
        </w:rPr>
      </w:pPr>
      <w:r>
        <w:rPr>
          <w:rFonts w:ascii="Times New Roman" w:hAnsi="Times New Roman"/>
          <w:sz w:val="24"/>
        </w:rPr>
        <w:t>2. Jeżeli chodzi o produkt leczniczy, który dotychczas nie był refundowany z ubezpieczenia zdrowotnego, ale z terapeutycznego punktu widzenia co do zasady stanowi zastępnik niedostępnego refundowanego produktu leczniczego, Instytut środkiem nadzwyczajnym ustanawia maksymalną cenę producenta produktu leczniczego na wysokości ceny producenta produktu leczniczego, określonej w pisemnym porozumieniu zawartym w interesie publicznym zgodnie z art. 17 ust. 2 między podmiotem odpowiedzialnym lub podmiotem posiadającym zezwolenie na dystrybucję produktów leczniczych zgodnie z</w:t>
      </w:r>
      <w:r>
        <w:rPr>
          <w:rFonts w:ascii="Times New Roman" w:hAnsi="Times New Roman"/>
          <w:color w:val="FF0000"/>
          <w:sz w:val="24"/>
        </w:rPr>
        <w:t xml:space="preserve"> </w:t>
      </w:r>
      <w:r>
        <w:rPr>
          <w:rFonts w:ascii="Times New Roman" w:hAnsi="Times New Roman"/>
          <w:sz w:val="24"/>
        </w:rPr>
        <w:t>ustawą o lekach a zakładem ubezpieczeń zdrowotnych lub, jeśli nie zawarto takiego porozumienia, na wysokości kosztów zakupu odnośnego produktu leczniczego w państwie, z którego można go pozyskać w celu dystrybucji w Republice Czeskiej. Instytut w drodze środka nadzwyczajnego ustanawia jednocześnie wysokość refundacji produktu leczniczego, tak by po uwzględnieniu dawkowania i wielkości opakowań wielkość różnicy między maksymalną ceną dla konsumenta końcowego, która w kontekście ustanawiania środka nadzwyczajnego oznacza sumę maksymalnej ceny producenta, maksymalnej marży handlowej i podatku od wartości dodanej, a najwyższą możliwą refundacją dla konsumenta końcowego odpowiadała wysokości różnicy między maksymalną ceną dla konsumenta końcowego a najwyższą możliwą refundacją dla konsumenta końcowego w przypadku produktu leczniczego, którego niedostępność jest przyczyną wydania środka nadzwyczajnego. Instytut ustanawia maksymalną cenę i wysokość oraz warunki refundacji na czas określony, czyli okres przewidywanej niedostępności produktu leczniczego, którego niedostępność jest przyczyną wydania środka nadzwyczajnego, jednak na okres nie dłuższy niż rok, bez możliwości przedłużenia. Warunki refundacji Instytut ustanawia zgodnie z warunkami refundacji produktu leczniczego, którego niedostępność jest przyczyną wydania środka nadzwyczajnego, a jeśli jest to w interesie publicznym, ustanawia je tak, by produkt leczniczy był refundowany wyłącznie przy wskazaniach, dla których nie można zastosować innych dostępnych produktów leczniczych.</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firstLine="708"/>
        <w:jc w:val="both"/>
        <w:rPr>
          <w:rFonts w:ascii="Times New Roman" w:hAnsi="Times New Roman" w:cs="Times New Roman"/>
          <w:sz w:val="24"/>
          <w:szCs w:val="24"/>
        </w:rPr>
      </w:pPr>
      <w:r>
        <w:rPr>
          <w:rFonts w:ascii="Times New Roman" w:hAnsi="Times New Roman"/>
          <w:sz w:val="24"/>
        </w:rPr>
        <w:t xml:space="preserve">3. Jeżeli chodzi o produkt leczniczy, który jest refundowany z ubezpieczenia zdrowotnego, Instytut środkiem nadzwyczajnym zmienia maksymalną cenę producenta produktu leczniczego do wysokości ceny producenta produktu leczniczego określonej </w:t>
      </w:r>
      <w:r>
        <w:rPr>
          <w:rFonts w:ascii="Times New Roman" w:hAnsi="Times New Roman"/>
          <w:sz w:val="24"/>
        </w:rPr>
        <w:lastRenderedPageBreak/>
        <w:t>w pisemnym porozumieniu zawartym w interesie publicznym zgodnie z art. 17 ust. 2 między podmiotem odpowiedzialnym lub podmiotem posiadającym zezwolenie na dystrybucję produktów leczniczych zgodnie z</w:t>
      </w:r>
      <w:r>
        <w:rPr>
          <w:rFonts w:ascii="Times New Roman" w:hAnsi="Times New Roman"/>
          <w:sz w:val="24"/>
          <w:vertAlign w:val="superscript"/>
        </w:rPr>
        <w:t xml:space="preserve"> </w:t>
      </w:r>
      <w:r>
        <w:rPr>
          <w:rFonts w:ascii="Times New Roman" w:hAnsi="Times New Roman"/>
          <w:sz w:val="24"/>
        </w:rPr>
        <w:t>ustawą o lekach a zakładem ubezpieczeń zdrowotnych lub, jeśli nie zawarto takiego porozumienia, do wysokości kosztów zakupu odnośnego produktu leczniczego w państwie, z którego można go pozyskać w celu dystrybucji w Republice Czeskiej. Instytut zmienia wysokość refundacji produktu leczniczego w taki sposób, by po uwzględnieniu dawkowania i wielkości opakowań wielkość różnicy między maksymalną ceną dla konsumenta końcowego a najwyższą możliwą refundacją dla konsumenta końcowego odpowiadała wysokości różnicy między maksymalną ceną dla konsumenta końcowego a najwyższą możliwą refundacją dla konsumenta końcowego ustanowionej dla produktu leczniczego przed przyjęciem środka nadzwyczajnego. Warunki refundacji odnośnego produktu leczniczego Instytut ustanawia tak samo, jak ustanawiał je w postępowaniu, o którym mowa w art. 39g, a jeśli jest to w interesie publicznym, ustanawia je tak, by produkt leczniczy był refundowany wyłącznie przy wskazaniach, dla których nie można zastosować innych dostępnych produktów leczniczych. Instytut zmienia maksymalną cenę i wysokość oraz warunki refundacji na czas określony, czyli okres przewidywanej niedostępności produktu leczniczego, która jest przyczyną wydania środka nadzwyczajnego, jednak na okres nie dłuższy niż rok, bez możliwości przedłużenia. Egzekwowanie pierwotnej decyzji wydanej zgodnie z art. 39h w przypadku produktu leczniczego, którego niedostępność jest przyczyną wydania środka nadzwyczajnego, zawiesza się na czas egzekwowania środka nadzwyczajnego. Nie stoi to na przeszkodzie rozpoczęciu i prowadzeniu postępowania i wydaniu decyzji o zmianie maksymalnej ceny lub wysokości i warunków refundacji odnośnego produktu leczniczego zgodnie z art. 39i, a także przeprowadzeniu dogłębnego albo skróconego przeglądu grupy odniesienia, do której należy odnośny produkt leczniczy, wraz z tymże produktem leczniczym; decyzja ta w odniesieniu do tegoż produktu leczniczego jest egzekwowalna najwcześniej po upływie okresu egzekwowania środka nadzwyczajnego.</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firstLine="708"/>
        <w:jc w:val="both"/>
        <w:rPr>
          <w:rFonts w:ascii="Times New Roman" w:hAnsi="Times New Roman" w:cs="Times New Roman"/>
          <w:sz w:val="24"/>
          <w:szCs w:val="24"/>
        </w:rPr>
      </w:pPr>
      <w:r>
        <w:rPr>
          <w:rFonts w:ascii="Times New Roman" w:hAnsi="Times New Roman"/>
          <w:sz w:val="24"/>
        </w:rPr>
        <w:t>4. Instytut wydaje środek nadzwyczajny z urzędu lub na wniosek podmiotu określonego w art. 39f ust. 2 lub podmiotu posiadającego zezwolenie na dystrybucję produktów leczniczych. Wniosek musi zawierać dane, o których mowa w art. 39f ust. 5 lit. a)–e), h) oraz i), art. 39f ust. 6 lit. b), kopię środka lub decyzji zgodnie z ustawą o lekach, o której mowa w ust. 1, oraz dowód świadczący o wysokości kosztów zakupu lub pisemne porozumienie zgodnie z ust. 2 lub 3. Stronami postępowania są wnioskodawca i podmioty, o których mowa w art. 39f ust. 2.</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firstLine="708"/>
        <w:jc w:val="both"/>
        <w:rPr>
          <w:rFonts w:ascii="Times New Roman" w:hAnsi="Times New Roman" w:cs="Times New Roman"/>
          <w:sz w:val="24"/>
          <w:szCs w:val="24"/>
        </w:rPr>
      </w:pPr>
      <w:r>
        <w:rPr>
          <w:rFonts w:ascii="Times New Roman" w:hAnsi="Times New Roman"/>
          <w:sz w:val="24"/>
        </w:rPr>
        <w:t>5. W okresie obowiązywania środka nadzwyczajnego zgodnie z ust. 2 lub 3 Instytut podejmuje decyzję o wcześniejszym zakończeniu obowiązywania takiego środka nadzwyczajnego, jeśli jest to w interesie publicznym, szczególnie jeśli nie grozi już ani nie występuje niedostępność usług refundowanych dla ubezpieczonych.</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firstLine="708"/>
        <w:jc w:val="both"/>
        <w:rPr>
          <w:rFonts w:ascii="Times New Roman" w:hAnsi="Times New Roman" w:cs="Times New Roman"/>
          <w:sz w:val="24"/>
          <w:szCs w:val="24"/>
        </w:rPr>
      </w:pPr>
      <w:r>
        <w:rPr>
          <w:rFonts w:ascii="Times New Roman" w:hAnsi="Times New Roman"/>
          <w:sz w:val="24"/>
        </w:rPr>
        <w:t xml:space="preserve">6. Jeżeli wniosek spełnia wszystkie wymogi określone w przepisach i nie zawiera błędów, Instytut powiadamia wszystkie znane mu strony i jednocześnie wzywa </w:t>
      </w:r>
      <w:r>
        <w:rPr>
          <w:rFonts w:ascii="Times New Roman" w:hAnsi="Times New Roman"/>
          <w:sz w:val="24"/>
        </w:rPr>
        <w:lastRenderedPageBreak/>
        <w:t>je do udzielenia wyjaśnień na temat dowodów na rzecz wydania środka nadzwyczajnego zgodnie z ust. 2 lub 3 lub decyzji zgodnie z ust. 5. W przypadku postępowania z urzędu Instytut wzywa strony do udzielenia wyjaśnień na temat dowodów na rzecz wydania środka nadzwyczajnego zgodnie z ust. 2 lub 3 lub decyzji zgodnie z ust. 5 wraz z powiadomieniem o rozpoczęciu postępowania.</w:t>
      </w:r>
      <w:r>
        <w:rPr>
          <w:rFonts w:ascii="Times New Roman" w:hAnsi="Times New Roman"/>
          <w:b/>
          <w:sz w:val="24"/>
        </w:rPr>
        <w:t xml:space="preserve"> </w:t>
      </w:r>
      <w:r>
        <w:rPr>
          <w:rFonts w:ascii="Times New Roman" w:hAnsi="Times New Roman"/>
          <w:sz w:val="24"/>
        </w:rPr>
        <w:t>Strony postępowania mają prawo udzielić w terminie pięciu dni wyjaśnień dotyczących dowodów; Instytut może przyjąć uchwałę przedłużającą ten termin. W postępowaniu zgodnie ze zdaniem pierwszym wszystkie pisma doręcza się zgodnie z art. 39o. Środek nadzwyczajny zgodnie z ust. 2 i 3 oraz decyzję zgodnie z ust. 5 egzekwuje się wraz z wydaniem najbliższego następującego wykazu zgodnie z art. 39n ust. 1; nie wykorzystuje się postanowień zawartych w art. 39h ust. 3.</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firstLine="708"/>
        <w:jc w:val="both"/>
        <w:rPr>
          <w:rFonts w:ascii="Times New Roman" w:hAnsi="Times New Roman" w:cs="Times New Roman"/>
          <w:sz w:val="24"/>
          <w:szCs w:val="24"/>
        </w:rPr>
      </w:pPr>
      <w:r>
        <w:rPr>
          <w:rFonts w:ascii="Times New Roman" w:hAnsi="Times New Roman"/>
          <w:sz w:val="24"/>
        </w:rPr>
        <w:t>7. Od środka nadzwyczajnego, o którym mowa w ust. 2 lub 3, oraz od decyzji, o której mowa w ust. 5, przysługuje odwołanie. Termin złożenia odwołania wynosi pięć dni od dnia doręczenia środka nadzwyczajnego. Odwołanie od środka nadzwyczajnego, o którym mowa w ust. 2 lub 3, oraz od</w:t>
      </w:r>
      <w:r>
        <w:rPr>
          <w:rFonts w:ascii="Times New Roman" w:hAnsi="Times New Roman"/>
          <w:color w:val="FF0000"/>
          <w:sz w:val="24"/>
        </w:rPr>
        <w:t xml:space="preserve"> </w:t>
      </w:r>
      <w:r>
        <w:rPr>
          <w:rFonts w:ascii="Times New Roman" w:hAnsi="Times New Roman"/>
          <w:sz w:val="24"/>
        </w:rPr>
        <w:t>decyzji, o</w:t>
      </w:r>
      <w:r>
        <w:rPr>
          <w:rFonts w:ascii="Times New Roman" w:hAnsi="Times New Roman"/>
          <w:color w:val="FF0000"/>
          <w:sz w:val="24"/>
        </w:rPr>
        <w:t xml:space="preserve"> </w:t>
      </w:r>
      <w:r>
        <w:rPr>
          <w:rFonts w:ascii="Times New Roman" w:hAnsi="Times New Roman"/>
          <w:sz w:val="24"/>
        </w:rPr>
        <w:t>której mowa w ust. 5, nie ma skutku zawieszającego. Jeżeli od środka nadzwyczajnego lub decyzji zostanie wniesione odwołanie zgodnie ze zdaniem pierwszym, nadal wstępnie egzekwuje się je zgodnie z ust. 6.</w:t>
      </w:r>
    </w:p>
    <w:p w:rsidR="004D3FE1" w:rsidRPr="007C6B99" w:rsidRDefault="004D3FE1" w:rsidP="004D3FE1">
      <w:pPr>
        <w:widowControl w:val="0"/>
        <w:autoSpaceDE w:val="0"/>
        <w:autoSpaceDN w:val="0"/>
        <w:adjustRightInd w:val="0"/>
        <w:spacing w:after="0"/>
        <w:ind w:left="708"/>
        <w:jc w:val="both"/>
        <w:rPr>
          <w:rFonts w:ascii="Times New Roman" w:hAnsi="Times New Roman" w:cs="Times New Roman"/>
          <w:sz w:val="24"/>
          <w:szCs w:val="24"/>
        </w:rPr>
      </w:pPr>
    </w:p>
    <w:p w:rsidR="004D3FE1" w:rsidRPr="007C6B99" w:rsidRDefault="004D3FE1" w:rsidP="004D3FE1">
      <w:pPr>
        <w:widowControl w:val="0"/>
        <w:autoSpaceDE w:val="0"/>
        <w:autoSpaceDN w:val="0"/>
        <w:adjustRightInd w:val="0"/>
        <w:spacing w:after="0"/>
        <w:ind w:left="708" w:firstLine="708"/>
        <w:jc w:val="both"/>
        <w:rPr>
          <w:rFonts w:ascii="Times New Roman" w:hAnsi="Times New Roman" w:cs="Times New Roman"/>
          <w:sz w:val="24"/>
          <w:szCs w:val="24"/>
        </w:rPr>
      </w:pPr>
      <w:r>
        <w:rPr>
          <w:rFonts w:ascii="Times New Roman" w:hAnsi="Times New Roman"/>
          <w:sz w:val="24"/>
        </w:rPr>
        <w:t>8. Instytut bezzwłocznie informuje Ministerstwo Zdrowia o wydanych środkach nadzwyczajnych, o których mowa w ust. 2 lub 3, oraz decyzjach, o których mowa w ust. 5.”.</w:t>
      </w:r>
    </w:p>
    <w:p w:rsidR="004D3FE1" w:rsidRPr="007C6B99" w:rsidRDefault="004D3FE1" w:rsidP="004D3FE1">
      <w:pPr>
        <w:keepNext/>
        <w:spacing w:after="0"/>
        <w:rPr>
          <w:rFonts w:ascii="Times New Roman" w:hAnsi="Times New Roman" w:cs="Times New Roman"/>
          <w:color w:val="FF0000"/>
          <w:sz w:val="24"/>
          <w:szCs w:val="24"/>
        </w:rPr>
      </w:pPr>
    </w:p>
    <w:p w:rsidR="004D3FE1" w:rsidRPr="007C6B99" w:rsidRDefault="004D3FE1" w:rsidP="004D3FE1">
      <w:pPr>
        <w:keepNext/>
        <w:jc w:val="center"/>
        <w:rPr>
          <w:rFonts w:ascii="Times New Roman" w:hAnsi="Times New Roman" w:cs="Times New Roman"/>
          <w:sz w:val="24"/>
          <w:szCs w:val="24"/>
        </w:rPr>
      </w:pPr>
      <w:r>
        <w:rPr>
          <w:rFonts w:ascii="Times New Roman" w:hAnsi="Times New Roman"/>
          <w:sz w:val="24"/>
        </w:rPr>
        <w:t>CZĘŚĆ TRZECIA</w:t>
      </w:r>
    </w:p>
    <w:p w:rsidR="004D3FE1" w:rsidRPr="007C6B99" w:rsidRDefault="004D3FE1" w:rsidP="004D3FE1">
      <w:pPr>
        <w:keepNext/>
        <w:autoSpaceDE w:val="0"/>
        <w:autoSpaceDN w:val="0"/>
        <w:adjustRightInd w:val="0"/>
        <w:spacing w:after="0"/>
        <w:ind w:left="708" w:hanging="708"/>
        <w:jc w:val="center"/>
        <w:rPr>
          <w:rFonts w:ascii="Times New Roman" w:hAnsi="Times New Roman" w:cs="Times New Roman"/>
          <w:b/>
          <w:sz w:val="24"/>
          <w:szCs w:val="24"/>
        </w:rPr>
      </w:pPr>
      <w:r>
        <w:rPr>
          <w:rFonts w:ascii="Times New Roman" w:hAnsi="Times New Roman"/>
          <w:b/>
          <w:sz w:val="24"/>
        </w:rPr>
        <w:t>PRZEPIS TECHNICZNY</w:t>
      </w:r>
    </w:p>
    <w:p w:rsidR="004D3FE1" w:rsidRPr="007C6B99" w:rsidRDefault="004D3FE1" w:rsidP="004D3FE1">
      <w:pPr>
        <w:pStyle w:val="lnek"/>
        <w:keepLines w:val="0"/>
        <w:spacing w:before="0" w:after="0"/>
        <w:rPr>
          <w:rFonts w:ascii="Times New Roman" w:hAnsi="Times New Roman" w:cs="Times New Roman"/>
          <w:sz w:val="24"/>
          <w:szCs w:val="24"/>
        </w:rPr>
      </w:pPr>
    </w:p>
    <w:p w:rsidR="004D3FE1" w:rsidRPr="007C6B99" w:rsidRDefault="004D3FE1" w:rsidP="004D3FE1">
      <w:pPr>
        <w:pStyle w:val="lnek"/>
        <w:keepLines w:val="0"/>
        <w:spacing w:before="0" w:after="0"/>
        <w:rPr>
          <w:rFonts w:ascii="Times New Roman" w:hAnsi="Times New Roman" w:cs="Times New Roman"/>
          <w:sz w:val="24"/>
          <w:szCs w:val="24"/>
        </w:rPr>
      </w:pPr>
      <w:r>
        <w:rPr>
          <w:rFonts w:ascii="Times New Roman" w:hAnsi="Times New Roman"/>
          <w:sz w:val="24"/>
        </w:rPr>
        <w:t>Artykuł IV</w:t>
      </w:r>
    </w:p>
    <w:p w:rsidR="004D3FE1" w:rsidRPr="007C6B99" w:rsidRDefault="004D3FE1" w:rsidP="004D3FE1">
      <w:pPr>
        <w:spacing w:after="0"/>
        <w:rPr>
          <w:sz w:val="24"/>
          <w:szCs w:val="24"/>
        </w:rPr>
      </w:pPr>
    </w:p>
    <w:p w:rsidR="004D3FE1" w:rsidRPr="007C6B99" w:rsidRDefault="004D3FE1" w:rsidP="004D3FE1">
      <w:pPr>
        <w:pStyle w:val="Textodstavce"/>
        <w:keepNext/>
        <w:numPr>
          <w:ilvl w:val="0"/>
          <w:numId w:val="0"/>
        </w:numPr>
        <w:spacing w:before="0" w:after="0"/>
        <w:jc w:val="both"/>
        <w:rPr>
          <w:rFonts w:ascii="Times New Roman" w:hAnsi="Times New Roman" w:cs="Times New Roman"/>
          <w:sz w:val="24"/>
          <w:szCs w:val="24"/>
        </w:rPr>
      </w:pPr>
      <w:r>
        <w:tab/>
      </w:r>
      <w:r>
        <w:rPr>
          <w:rFonts w:ascii="Times New Roman" w:hAnsi="Times New Roman"/>
          <w:sz w:val="24"/>
        </w:rPr>
        <w:t>Niniejsza ustawa została notyfikowana zgodnie z dyrektywą Parlamentu Europejskiego i Rady (UE) 2015/1535 z dnia 9 września 2015 r. ustanawiającą procedurę udzielania informacji w dziedzinie przepisów technicznych oraz zasad dotyczących usług społeczeństwa informacyjnego.</w:t>
      </w:r>
    </w:p>
    <w:p w:rsidR="004D3FE1" w:rsidRPr="007C6B99" w:rsidRDefault="004D3FE1" w:rsidP="004D3FE1">
      <w:pPr>
        <w:rPr>
          <w:rFonts w:ascii="Times New Roman" w:hAnsi="Times New Roman" w:cs="Times New Roman"/>
          <w:sz w:val="24"/>
          <w:szCs w:val="24"/>
        </w:rPr>
      </w:pPr>
    </w:p>
    <w:p w:rsidR="004D3FE1" w:rsidRPr="007C6B99" w:rsidRDefault="004D3FE1" w:rsidP="004D3FE1">
      <w:pPr>
        <w:keepNext/>
        <w:jc w:val="center"/>
        <w:rPr>
          <w:rFonts w:ascii="Times New Roman" w:hAnsi="Times New Roman" w:cs="Times New Roman"/>
          <w:sz w:val="24"/>
          <w:szCs w:val="24"/>
        </w:rPr>
      </w:pPr>
      <w:r>
        <w:rPr>
          <w:rFonts w:ascii="Times New Roman" w:hAnsi="Times New Roman"/>
          <w:sz w:val="24"/>
        </w:rPr>
        <w:t>CZĘŚĆ CZWARTA</w:t>
      </w:r>
    </w:p>
    <w:p w:rsidR="004D3FE1" w:rsidRPr="007C6B99" w:rsidRDefault="004D3FE1" w:rsidP="004D3FE1">
      <w:pPr>
        <w:keepNext/>
        <w:autoSpaceDE w:val="0"/>
        <w:autoSpaceDN w:val="0"/>
        <w:adjustRightInd w:val="0"/>
        <w:spacing w:after="0"/>
        <w:ind w:left="708" w:hanging="708"/>
        <w:jc w:val="center"/>
        <w:rPr>
          <w:rFonts w:ascii="Times New Roman" w:hAnsi="Times New Roman" w:cs="Times New Roman"/>
          <w:b/>
          <w:sz w:val="24"/>
          <w:szCs w:val="24"/>
        </w:rPr>
      </w:pPr>
      <w:r>
        <w:rPr>
          <w:rFonts w:ascii="Times New Roman" w:hAnsi="Times New Roman"/>
          <w:b/>
          <w:sz w:val="24"/>
        </w:rPr>
        <w:t>WEJŚCIE W ŻYCIE</w:t>
      </w:r>
    </w:p>
    <w:p w:rsidR="004D3FE1" w:rsidRPr="007C6B99" w:rsidRDefault="004D3FE1" w:rsidP="004D3FE1">
      <w:pPr>
        <w:keepNext/>
        <w:autoSpaceDE w:val="0"/>
        <w:autoSpaceDN w:val="0"/>
        <w:adjustRightInd w:val="0"/>
        <w:spacing w:after="0"/>
        <w:ind w:left="708" w:hanging="708"/>
        <w:jc w:val="center"/>
        <w:rPr>
          <w:rFonts w:ascii="Times New Roman" w:hAnsi="Times New Roman" w:cs="Times New Roman"/>
          <w:b/>
          <w:sz w:val="24"/>
          <w:szCs w:val="24"/>
        </w:rPr>
      </w:pPr>
    </w:p>
    <w:p w:rsidR="004D3FE1" w:rsidRPr="007C6B99" w:rsidRDefault="004D3FE1" w:rsidP="004D3FE1">
      <w:pPr>
        <w:pStyle w:val="ListParagraph"/>
        <w:widowControl w:val="0"/>
        <w:autoSpaceDE w:val="0"/>
        <w:autoSpaceDN w:val="0"/>
        <w:adjustRightInd w:val="0"/>
        <w:spacing w:after="0"/>
        <w:ind w:left="0"/>
        <w:jc w:val="center"/>
        <w:rPr>
          <w:rFonts w:ascii="Times New Roman" w:hAnsi="Times New Roman" w:cs="Times New Roman"/>
          <w:sz w:val="24"/>
          <w:szCs w:val="24"/>
        </w:rPr>
      </w:pPr>
      <w:r>
        <w:rPr>
          <w:rFonts w:ascii="Times New Roman" w:hAnsi="Times New Roman"/>
          <w:sz w:val="24"/>
        </w:rPr>
        <w:t>Artykuł V</w:t>
      </w:r>
    </w:p>
    <w:p w:rsidR="004D3FE1" w:rsidRPr="007C6B99" w:rsidRDefault="004D3FE1" w:rsidP="004D3FE1">
      <w:pPr>
        <w:pStyle w:val="ListParagraph"/>
        <w:widowControl w:val="0"/>
        <w:tabs>
          <w:tab w:val="left" w:pos="1140"/>
        </w:tabs>
        <w:autoSpaceDE w:val="0"/>
        <w:autoSpaceDN w:val="0"/>
        <w:adjustRightInd w:val="0"/>
        <w:spacing w:after="0"/>
        <w:jc w:val="both"/>
        <w:rPr>
          <w:rFonts w:ascii="Times New Roman" w:hAnsi="Times New Roman" w:cs="Times New Roman"/>
          <w:b/>
          <w:sz w:val="24"/>
          <w:szCs w:val="24"/>
        </w:rPr>
      </w:pPr>
    </w:p>
    <w:p w:rsidR="004D3FE1" w:rsidRPr="007C6B99" w:rsidRDefault="004D3FE1" w:rsidP="004D3FE1">
      <w:pPr>
        <w:ind w:firstLine="708"/>
        <w:jc w:val="both"/>
        <w:rPr>
          <w:rFonts w:ascii="Times New Roman" w:hAnsi="Times New Roman" w:cs="Times New Roman"/>
          <w:sz w:val="24"/>
          <w:szCs w:val="24"/>
        </w:rPr>
      </w:pPr>
      <w:r>
        <w:rPr>
          <w:rFonts w:ascii="Times New Roman" w:hAnsi="Times New Roman"/>
          <w:sz w:val="24"/>
        </w:rPr>
        <w:t>Niniejsza ustawa wchodzi w życie z dniem ……………… z wyjątkiem przepisów art. I pkt 8, które wchodzą w życie z pierwszym dniem szóstego miesiąca kalendarzowego po jej ogłoszeniu.</w:t>
      </w:r>
      <w:bookmarkStart w:id="0" w:name="_GoBack"/>
      <w:bookmarkEnd w:id="0"/>
    </w:p>
    <w:sectPr w:rsidR="004D3FE1" w:rsidRPr="007C6B9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43D" w:rsidRDefault="00E1343D" w:rsidP="00537584">
      <w:pPr>
        <w:spacing w:after="0" w:line="240" w:lineRule="auto"/>
      </w:pPr>
      <w:r>
        <w:separator/>
      </w:r>
    </w:p>
  </w:endnote>
  <w:endnote w:type="continuationSeparator" w:id="0">
    <w:p w:rsidR="00E1343D" w:rsidRDefault="00E1343D" w:rsidP="00537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B99" w:rsidRDefault="007C6B9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3718940"/>
      <w:docPartObj>
        <w:docPartGallery w:val="Page Numbers (Bottom of Page)"/>
        <w:docPartUnique/>
      </w:docPartObj>
    </w:sdtPr>
    <w:sdtEndPr/>
    <w:sdtContent>
      <w:p w:rsidR="00E1343D" w:rsidRPr="007C6B99" w:rsidRDefault="00E1343D">
        <w:pPr>
          <w:pStyle w:val="Footer"/>
          <w:jc w:val="center"/>
        </w:pPr>
        <w:r w:rsidRPr="007C6B99">
          <w:fldChar w:fldCharType="begin"/>
        </w:r>
        <w:r w:rsidRPr="007C6B99">
          <w:instrText>PAGE   \* MERGEFORMAT</w:instrText>
        </w:r>
        <w:r w:rsidRPr="007C6B99">
          <w:fldChar w:fldCharType="separate"/>
        </w:r>
        <w:r w:rsidR="00CA590D">
          <w:rPr>
            <w:noProof/>
          </w:rPr>
          <w:t>18</w:t>
        </w:r>
        <w:r w:rsidRPr="007C6B99">
          <w:fldChar w:fldCharType="end"/>
        </w:r>
      </w:p>
    </w:sdtContent>
  </w:sdt>
  <w:p w:rsidR="00E1343D" w:rsidRPr="007C6B99" w:rsidRDefault="00E1343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B99" w:rsidRDefault="007C6B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43D" w:rsidRDefault="00E1343D" w:rsidP="00537584">
      <w:pPr>
        <w:spacing w:after="0" w:line="240" w:lineRule="auto"/>
      </w:pPr>
      <w:r>
        <w:separator/>
      </w:r>
    </w:p>
  </w:footnote>
  <w:footnote w:type="continuationSeparator" w:id="0">
    <w:p w:rsidR="00E1343D" w:rsidRDefault="00E1343D" w:rsidP="005375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B99" w:rsidRDefault="007C6B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B99" w:rsidRPr="007C6B99" w:rsidRDefault="007C6B9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B99" w:rsidRDefault="007C6B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E1A0E"/>
    <w:multiLevelType w:val="hybridMultilevel"/>
    <w:tmpl w:val="A94C71AE"/>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0E0A570B"/>
    <w:multiLevelType w:val="hybridMultilevel"/>
    <w:tmpl w:val="D0365B6C"/>
    <w:lvl w:ilvl="0" w:tplc="C0BA2DBE">
      <w:start w:val="7"/>
      <w:numFmt w:val="decimal"/>
      <w:lvlText w:val="%1."/>
      <w:lvlJc w:val="left"/>
      <w:pPr>
        <w:ind w:left="9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A9420C5"/>
    <w:multiLevelType w:val="hybridMultilevel"/>
    <w:tmpl w:val="3412E388"/>
    <w:lvl w:ilvl="0" w:tplc="7FBE20B4">
      <w:start w:val="1"/>
      <w:numFmt w:val="decimal"/>
      <w:lvlText w:val="%1."/>
      <w:lvlJc w:val="left"/>
      <w:pPr>
        <w:ind w:left="720" w:hanging="360"/>
      </w:pPr>
      <w:rPr>
        <w:b w:val="0"/>
        <w:i w:val="0"/>
        <w:strike w:val="0"/>
        <w:dstrike w:val="0"/>
        <w:u w:val="none"/>
        <w:effect w:val="no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391100ED"/>
    <w:multiLevelType w:val="hybridMultilevel"/>
    <w:tmpl w:val="5CFC8DEA"/>
    <w:lvl w:ilvl="0" w:tplc="98A21476">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15:restartNumberingAfterBreak="0">
    <w:nsid w:val="3DA943C8"/>
    <w:multiLevelType w:val="hybridMultilevel"/>
    <w:tmpl w:val="5CFC8DEA"/>
    <w:lvl w:ilvl="0" w:tplc="98A21476">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5" w15:restartNumberingAfterBreak="0">
    <w:nsid w:val="50E11C3E"/>
    <w:multiLevelType w:val="hybridMultilevel"/>
    <w:tmpl w:val="E9EA3452"/>
    <w:lvl w:ilvl="0" w:tplc="2A76579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5D571DE6"/>
    <w:multiLevelType w:val="hybridMultilevel"/>
    <w:tmpl w:val="DF2AE7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3B723F9"/>
    <w:multiLevelType w:val="hybridMultilevel"/>
    <w:tmpl w:val="A94C71AE"/>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6AAF1A1F"/>
    <w:multiLevelType w:val="multilevel"/>
    <w:tmpl w:val="23528C00"/>
    <w:lvl w:ilvl="0">
      <w:start w:val="1"/>
      <w:numFmt w:val="decimal"/>
      <w:pStyle w:val="Textodstavce"/>
      <w:isLgl/>
      <w:lvlText w:val="(%1)"/>
      <w:lvlJc w:val="left"/>
      <w:pPr>
        <w:tabs>
          <w:tab w:val="num" w:pos="785"/>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9" w15:restartNumberingAfterBreak="0">
    <w:nsid w:val="6E4929D7"/>
    <w:multiLevelType w:val="hybridMultilevel"/>
    <w:tmpl w:val="6252407A"/>
    <w:lvl w:ilvl="0" w:tplc="04050017">
      <w:start w:val="9"/>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E77157D"/>
    <w:multiLevelType w:val="hybridMultilevel"/>
    <w:tmpl w:val="ABB6EE0E"/>
    <w:lvl w:ilvl="0" w:tplc="47528E9E">
      <w:start w:val="1"/>
      <w:numFmt w:val="lowerRoman"/>
      <w:lvlText w:val="%1)"/>
      <w:lvlJc w:val="left"/>
      <w:pPr>
        <w:ind w:left="1428" w:hanging="72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1" w15:restartNumberingAfterBreak="0">
    <w:nsid w:val="705E09A7"/>
    <w:multiLevelType w:val="hybridMultilevel"/>
    <w:tmpl w:val="D8C8EFA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7"/>
  </w:num>
  <w:num w:numId="4">
    <w:abstractNumId w:val="0"/>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0"/>
  </w:num>
  <w:num w:numId="8">
    <w:abstractNumId w:val="9"/>
  </w:num>
  <w:num w:numId="9">
    <w:abstractNumId w:val="4"/>
  </w:num>
  <w:num w:numId="10">
    <w:abstractNumId w:val="1"/>
  </w:num>
  <w:num w:numId="11">
    <w:abstractNumId w:val="11"/>
  </w:num>
  <w:num w:numId="12">
    <w:abstractNumId w:val="6"/>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oNotHyphenateCap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F2A"/>
    <w:rsid w:val="00004C38"/>
    <w:rsid w:val="000158D9"/>
    <w:rsid w:val="00041334"/>
    <w:rsid w:val="0004455B"/>
    <w:rsid w:val="00072052"/>
    <w:rsid w:val="000D28A0"/>
    <w:rsid w:val="000D4969"/>
    <w:rsid w:val="000E3CF5"/>
    <w:rsid w:val="0011319C"/>
    <w:rsid w:val="0012676F"/>
    <w:rsid w:val="0013001D"/>
    <w:rsid w:val="00141714"/>
    <w:rsid w:val="001611D1"/>
    <w:rsid w:val="001761D9"/>
    <w:rsid w:val="00193B6A"/>
    <w:rsid w:val="001A069F"/>
    <w:rsid w:val="001A1F2D"/>
    <w:rsid w:val="001B499B"/>
    <w:rsid w:val="001C051F"/>
    <w:rsid w:val="001C0DDA"/>
    <w:rsid w:val="001D05BC"/>
    <w:rsid w:val="001E20E1"/>
    <w:rsid w:val="00244A1D"/>
    <w:rsid w:val="0025040C"/>
    <w:rsid w:val="002B0D6F"/>
    <w:rsid w:val="002B1D13"/>
    <w:rsid w:val="002B6C5B"/>
    <w:rsid w:val="002D293C"/>
    <w:rsid w:val="002F6A0E"/>
    <w:rsid w:val="00326D1B"/>
    <w:rsid w:val="00343095"/>
    <w:rsid w:val="003935F2"/>
    <w:rsid w:val="003A2838"/>
    <w:rsid w:val="003F0EB5"/>
    <w:rsid w:val="00425B5A"/>
    <w:rsid w:val="00440E89"/>
    <w:rsid w:val="00441162"/>
    <w:rsid w:val="004419E2"/>
    <w:rsid w:val="00443690"/>
    <w:rsid w:val="00484941"/>
    <w:rsid w:val="00486259"/>
    <w:rsid w:val="004A6470"/>
    <w:rsid w:val="004C2DD7"/>
    <w:rsid w:val="004D3FE1"/>
    <w:rsid w:val="004D7332"/>
    <w:rsid w:val="00517492"/>
    <w:rsid w:val="0052115E"/>
    <w:rsid w:val="00523DF5"/>
    <w:rsid w:val="005347AA"/>
    <w:rsid w:val="00537584"/>
    <w:rsid w:val="005420D8"/>
    <w:rsid w:val="005B487B"/>
    <w:rsid w:val="005C49E9"/>
    <w:rsid w:val="00600997"/>
    <w:rsid w:val="006013D8"/>
    <w:rsid w:val="006037A0"/>
    <w:rsid w:val="00612BB3"/>
    <w:rsid w:val="00625DEE"/>
    <w:rsid w:val="00634961"/>
    <w:rsid w:val="00650F58"/>
    <w:rsid w:val="00656AFC"/>
    <w:rsid w:val="0067789B"/>
    <w:rsid w:val="0069676C"/>
    <w:rsid w:val="006D0776"/>
    <w:rsid w:val="006D4164"/>
    <w:rsid w:val="007057DA"/>
    <w:rsid w:val="00740442"/>
    <w:rsid w:val="00753B90"/>
    <w:rsid w:val="00757089"/>
    <w:rsid w:val="00776480"/>
    <w:rsid w:val="007977FB"/>
    <w:rsid w:val="007A60D1"/>
    <w:rsid w:val="007B5AED"/>
    <w:rsid w:val="007C6B99"/>
    <w:rsid w:val="007F6B87"/>
    <w:rsid w:val="00800262"/>
    <w:rsid w:val="00804BEC"/>
    <w:rsid w:val="00804E5F"/>
    <w:rsid w:val="0081305D"/>
    <w:rsid w:val="00833B60"/>
    <w:rsid w:val="008376FC"/>
    <w:rsid w:val="00847351"/>
    <w:rsid w:val="00885D69"/>
    <w:rsid w:val="0089439D"/>
    <w:rsid w:val="008948B0"/>
    <w:rsid w:val="008B00D7"/>
    <w:rsid w:val="008B790F"/>
    <w:rsid w:val="008D18D8"/>
    <w:rsid w:val="008D3A95"/>
    <w:rsid w:val="009045A6"/>
    <w:rsid w:val="009305F8"/>
    <w:rsid w:val="009313B7"/>
    <w:rsid w:val="009537BB"/>
    <w:rsid w:val="009576F0"/>
    <w:rsid w:val="00961597"/>
    <w:rsid w:val="009729C4"/>
    <w:rsid w:val="009772CE"/>
    <w:rsid w:val="009829BD"/>
    <w:rsid w:val="00997D43"/>
    <w:rsid w:val="009A1C3F"/>
    <w:rsid w:val="009A4780"/>
    <w:rsid w:val="009A5D93"/>
    <w:rsid w:val="009B502A"/>
    <w:rsid w:val="009C3470"/>
    <w:rsid w:val="009E720D"/>
    <w:rsid w:val="00A07DA4"/>
    <w:rsid w:val="00A45756"/>
    <w:rsid w:val="00A57B59"/>
    <w:rsid w:val="00AB276C"/>
    <w:rsid w:val="00AB549D"/>
    <w:rsid w:val="00AC7E35"/>
    <w:rsid w:val="00AE2B51"/>
    <w:rsid w:val="00B02593"/>
    <w:rsid w:val="00B02D4E"/>
    <w:rsid w:val="00B13C2B"/>
    <w:rsid w:val="00B24797"/>
    <w:rsid w:val="00B41895"/>
    <w:rsid w:val="00B44A67"/>
    <w:rsid w:val="00B518A5"/>
    <w:rsid w:val="00B52F52"/>
    <w:rsid w:val="00B901EB"/>
    <w:rsid w:val="00BA120E"/>
    <w:rsid w:val="00BB0ACA"/>
    <w:rsid w:val="00BB7558"/>
    <w:rsid w:val="00BC42D6"/>
    <w:rsid w:val="00BC721C"/>
    <w:rsid w:val="00BF1F81"/>
    <w:rsid w:val="00BF414E"/>
    <w:rsid w:val="00C070D1"/>
    <w:rsid w:val="00C42503"/>
    <w:rsid w:val="00C515B1"/>
    <w:rsid w:val="00C52480"/>
    <w:rsid w:val="00C549D5"/>
    <w:rsid w:val="00C5752E"/>
    <w:rsid w:val="00C66177"/>
    <w:rsid w:val="00C663C4"/>
    <w:rsid w:val="00C7001E"/>
    <w:rsid w:val="00C710FB"/>
    <w:rsid w:val="00C71BA6"/>
    <w:rsid w:val="00C90A9A"/>
    <w:rsid w:val="00CA0028"/>
    <w:rsid w:val="00CA570D"/>
    <w:rsid w:val="00CA590D"/>
    <w:rsid w:val="00CC7A06"/>
    <w:rsid w:val="00CE4E33"/>
    <w:rsid w:val="00D16F2A"/>
    <w:rsid w:val="00D17E71"/>
    <w:rsid w:val="00D32C0B"/>
    <w:rsid w:val="00D56383"/>
    <w:rsid w:val="00D64096"/>
    <w:rsid w:val="00D73BE1"/>
    <w:rsid w:val="00D806F6"/>
    <w:rsid w:val="00D97D15"/>
    <w:rsid w:val="00DA37D4"/>
    <w:rsid w:val="00E1343D"/>
    <w:rsid w:val="00E37918"/>
    <w:rsid w:val="00E4199E"/>
    <w:rsid w:val="00E45786"/>
    <w:rsid w:val="00E4781D"/>
    <w:rsid w:val="00E50B34"/>
    <w:rsid w:val="00E51405"/>
    <w:rsid w:val="00E5382C"/>
    <w:rsid w:val="00E5703F"/>
    <w:rsid w:val="00EA1975"/>
    <w:rsid w:val="00EC489B"/>
    <w:rsid w:val="00EC4E44"/>
    <w:rsid w:val="00ED2802"/>
    <w:rsid w:val="00F222CE"/>
    <w:rsid w:val="00F3427C"/>
    <w:rsid w:val="00F401C1"/>
    <w:rsid w:val="00F434B4"/>
    <w:rsid w:val="00F45285"/>
    <w:rsid w:val="00FA3637"/>
    <w:rsid w:val="00FB0C6A"/>
    <w:rsid w:val="00FC0276"/>
    <w:rsid w:val="00FC5105"/>
    <w:rsid w:val="00FD5A97"/>
    <w:rsid w:val="00FE7CC7"/>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41C18A-FE75-4806-82F4-4CE711D72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pl-P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Odstavec_muj"/>
    <w:basedOn w:val="Normal"/>
    <w:link w:val="ListParagraphChar"/>
    <w:uiPriority w:val="34"/>
    <w:qFormat/>
    <w:rsid w:val="00E51405"/>
    <w:pPr>
      <w:ind w:left="720"/>
      <w:contextualSpacing/>
    </w:pPr>
  </w:style>
  <w:style w:type="paragraph" w:styleId="BalloonText">
    <w:name w:val="Balloon Text"/>
    <w:basedOn w:val="Normal"/>
    <w:link w:val="BalloonTextChar"/>
    <w:uiPriority w:val="99"/>
    <w:semiHidden/>
    <w:unhideWhenUsed/>
    <w:rsid w:val="00E514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1405"/>
    <w:rPr>
      <w:rFonts w:ascii="Tahoma" w:hAnsi="Tahoma" w:cs="Tahoma"/>
      <w:sz w:val="16"/>
      <w:szCs w:val="16"/>
    </w:rPr>
  </w:style>
  <w:style w:type="character" w:styleId="CommentReference">
    <w:name w:val="annotation reference"/>
    <w:basedOn w:val="DefaultParagraphFont"/>
    <w:uiPriority w:val="99"/>
    <w:unhideWhenUsed/>
    <w:rsid w:val="005420D8"/>
    <w:rPr>
      <w:rFonts w:cs="Times New Roman"/>
      <w:sz w:val="16"/>
      <w:szCs w:val="16"/>
    </w:rPr>
  </w:style>
  <w:style w:type="paragraph" w:styleId="CommentText">
    <w:name w:val="annotation text"/>
    <w:basedOn w:val="Normal"/>
    <w:link w:val="CommentTextChar"/>
    <w:unhideWhenUsed/>
    <w:rsid w:val="005420D8"/>
    <w:rPr>
      <w:rFonts w:eastAsiaTheme="minorEastAsia"/>
      <w:sz w:val="20"/>
      <w:szCs w:val="20"/>
    </w:rPr>
  </w:style>
  <w:style w:type="character" w:customStyle="1" w:styleId="CommentTextChar">
    <w:name w:val="Comment Text Char"/>
    <w:basedOn w:val="DefaultParagraphFont"/>
    <w:link w:val="CommentText"/>
    <w:rsid w:val="005420D8"/>
    <w:rPr>
      <w:rFonts w:eastAsiaTheme="minorEastAsia"/>
      <w:sz w:val="20"/>
      <w:szCs w:val="20"/>
      <w:lang w:eastAsia="pl-PL"/>
    </w:rPr>
  </w:style>
  <w:style w:type="character" w:styleId="HTMLVariable">
    <w:name w:val="HTML Variable"/>
    <w:basedOn w:val="DefaultParagraphFont"/>
    <w:uiPriority w:val="99"/>
    <w:unhideWhenUsed/>
    <w:rsid w:val="005420D8"/>
    <w:rPr>
      <w:i/>
      <w:iCs/>
    </w:rPr>
  </w:style>
  <w:style w:type="character" w:customStyle="1" w:styleId="ListParagraphChar">
    <w:name w:val="List Paragraph Char"/>
    <w:aliases w:val="Odstavec_muj Char"/>
    <w:link w:val="ListParagraph"/>
    <w:uiPriority w:val="34"/>
    <w:rsid w:val="00D32C0B"/>
  </w:style>
  <w:style w:type="paragraph" w:styleId="CommentSubject">
    <w:name w:val="annotation subject"/>
    <w:basedOn w:val="CommentText"/>
    <w:next w:val="CommentText"/>
    <w:link w:val="CommentSubjectChar"/>
    <w:uiPriority w:val="99"/>
    <w:semiHidden/>
    <w:unhideWhenUsed/>
    <w:rsid w:val="00B52F52"/>
    <w:pPr>
      <w:spacing w:line="240" w:lineRule="auto"/>
    </w:pPr>
    <w:rPr>
      <w:rFonts w:eastAsiaTheme="minorHAnsi"/>
      <w:b/>
      <w:bCs/>
    </w:rPr>
  </w:style>
  <w:style w:type="character" w:customStyle="1" w:styleId="CommentSubjectChar">
    <w:name w:val="Comment Subject Char"/>
    <w:basedOn w:val="CommentTextChar"/>
    <w:link w:val="CommentSubject"/>
    <w:uiPriority w:val="99"/>
    <w:semiHidden/>
    <w:rsid w:val="00B52F52"/>
    <w:rPr>
      <w:rFonts w:eastAsiaTheme="minorEastAsia"/>
      <w:b/>
      <w:bCs/>
      <w:sz w:val="20"/>
      <w:szCs w:val="20"/>
      <w:lang w:eastAsia="pl-PL"/>
    </w:rPr>
  </w:style>
  <w:style w:type="paragraph" w:styleId="Header">
    <w:name w:val="header"/>
    <w:basedOn w:val="Normal"/>
    <w:link w:val="HeaderChar"/>
    <w:uiPriority w:val="99"/>
    <w:unhideWhenUsed/>
    <w:rsid w:val="00537584"/>
    <w:pPr>
      <w:tabs>
        <w:tab w:val="center" w:pos="4536"/>
        <w:tab w:val="right" w:pos="9072"/>
      </w:tabs>
      <w:spacing w:after="0" w:line="240" w:lineRule="auto"/>
    </w:pPr>
  </w:style>
  <w:style w:type="character" w:customStyle="1" w:styleId="HeaderChar">
    <w:name w:val="Header Char"/>
    <w:basedOn w:val="DefaultParagraphFont"/>
    <w:link w:val="Header"/>
    <w:uiPriority w:val="99"/>
    <w:rsid w:val="00537584"/>
  </w:style>
  <w:style w:type="paragraph" w:styleId="Footer">
    <w:name w:val="footer"/>
    <w:basedOn w:val="Normal"/>
    <w:link w:val="FooterChar"/>
    <w:uiPriority w:val="99"/>
    <w:unhideWhenUsed/>
    <w:rsid w:val="0053758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37584"/>
  </w:style>
  <w:style w:type="paragraph" w:customStyle="1" w:styleId="Textbodu">
    <w:name w:val="Text bodu"/>
    <w:basedOn w:val="Normal"/>
    <w:uiPriority w:val="99"/>
    <w:rsid w:val="007057DA"/>
    <w:pPr>
      <w:numPr>
        <w:ilvl w:val="2"/>
        <w:numId w:val="5"/>
      </w:numPr>
      <w:outlineLvl w:val="8"/>
    </w:pPr>
  </w:style>
  <w:style w:type="paragraph" w:customStyle="1" w:styleId="Textpsmene">
    <w:name w:val="Text písmene"/>
    <w:basedOn w:val="Normal"/>
    <w:uiPriority w:val="99"/>
    <w:rsid w:val="007057DA"/>
    <w:pPr>
      <w:numPr>
        <w:ilvl w:val="1"/>
        <w:numId w:val="5"/>
      </w:numPr>
      <w:outlineLvl w:val="7"/>
    </w:pPr>
  </w:style>
  <w:style w:type="paragraph" w:customStyle="1" w:styleId="Textodstavce">
    <w:name w:val="Text odstavce"/>
    <w:basedOn w:val="Normal"/>
    <w:uiPriority w:val="99"/>
    <w:rsid w:val="007057DA"/>
    <w:pPr>
      <w:numPr>
        <w:numId w:val="5"/>
      </w:numPr>
      <w:tabs>
        <w:tab w:val="left" w:pos="851"/>
      </w:tabs>
      <w:spacing w:before="120" w:after="120"/>
      <w:outlineLvl w:val="6"/>
    </w:pPr>
  </w:style>
  <w:style w:type="paragraph" w:customStyle="1" w:styleId="lnek">
    <w:name w:val="Článek"/>
    <w:basedOn w:val="Normal"/>
    <w:next w:val="Normal"/>
    <w:rsid w:val="007057DA"/>
    <w:pPr>
      <w:keepNext/>
      <w:keepLines/>
      <w:spacing w:before="240"/>
      <w:jc w:val="center"/>
      <w:outlineLvl w:val="5"/>
    </w:pPr>
  </w:style>
  <w:style w:type="paragraph" w:customStyle="1" w:styleId="Nadpislnku">
    <w:name w:val="Nadpis článku"/>
    <w:basedOn w:val="lnek"/>
    <w:next w:val="Normal"/>
    <w:rsid w:val="007057DA"/>
    <w:rPr>
      <w:b/>
    </w:rPr>
  </w:style>
  <w:style w:type="paragraph" w:styleId="Revision">
    <w:name w:val="Revision"/>
    <w:hidden/>
    <w:uiPriority w:val="99"/>
    <w:semiHidden/>
    <w:rsid w:val="00F434B4"/>
    <w:pPr>
      <w:spacing w:after="0" w:line="240" w:lineRule="auto"/>
    </w:pPr>
  </w:style>
  <w:style w:type="paragraph" w:customStyle="1" w:styleId="RIA-odstavec">
    <w:name w:val="RIA - odstavec"/>
    <w:basedOn w:val="Normal"/>
    <w:rsid w:val="00B13C2B"/>
    <w:pPr>
      <w:spacing w:before="120" w:after="120" w:line="288" w:lineRule="auto"/>
      <w:ind w:firstLine="540"/>
      <w:jc w:val="both"/>
    </w:pPr>
    <w:rPr>
      <w:rFonts w:ascii="Times New Roman" w:eastAsia="Times New Roman" w:hAnsi="Times New Roman" w:cs="Times New Roman"/>
    </w:rPr>
  </w:style>
  <w:style w:type="paragraph" w:styleId="NoSpacing">
    <w:name w:val="No Spacing"/>
    <w:uiPriority w:val="1"/>
    <w:qFormat/>
    <w:rsid w:val="00B13C2B"/>
    <w:pPr>
      <w:spacing w:after="0" w:line="240" w:lineRule="auto"/>
    </w:pPr>
  </w:style>
  <w:style w:type="paragraph" w:styleId="PlainText">
    <w:name w:val="Plain Text"/>
    <w:basedOn w:val="Normal"/>
    <w:link w:val="PlainTextChar"/>
    <w:uiPriority w:val="99"/>
    <w:unhideWhenUsed/>
    <w:rsid w:val="00C7001E"/>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C7001E"/>
    <w:rPr>
      <w:rFonts w:ascii="Consolas" w:eastAsia="Times New Roman" w:hAnsi="Consolas" w:cs="Times New Roman"/>
      <w:sz w:val="21"/>
      <w:szCs w:val="21"/>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448072">
      <w:bodyDiv w:val="1"/>
      <w:marLeft w:val="0"/>
      <w:marRight w:val="0"/>
      <w:marTop w:val="0"/>
      <w:marBottom w:val="0"/>
      <w:divBdr>
        <w:top w:val="none" w:sz="0" w:space="0" w:color="auto"/>
        <w:left w:val="none" w:sz="0" w:space="0" w:color="auto"/>
        <w:bottom w:val="none" w:sz="0" w:space="0" w:color="auto"/>
        <w:right w:val="none" w:sz="0" w:space="0" w:color="auto"/>
      </w:divBdr>
    </w:div>
    <w:div w:id="710497910">
      <w:bodyDiv w:val="1"/>
      <w:marLeft w:val="0"/>
      <w:marRight w:val="0"/>
      <w:marTop w:val="0"/>
      <w:marBottom w:val="0"/>
      <w:divBdr>
        <w:top w:val="none" w:sz="0" w:space="0" w:color="auto"/>
        <w:left w:val="none" w:sz="0" w:space="0" w:color="auto"/>
        <w:bottom w:val="none" w:sz="0" w:space="0" w:color="auto"/>
        <w:right w:val="none" w:sz="0" w:space="0" w:color="auto"/>
      </w:divBdr>
    </w:div>
    <w:div w:id="900601855">
      <w:bodyDiv w:val="1"/>
      <w:marLeft w:val="0"/>
      <w:marRight w:val="0"/>
      <w:marTop w:val="0"/>
      <w:marBottom w:val="0"/>
      <w:divBdr>
        <w:top w:val="none" w:sz="0" w:space="0" w:color="auto"/>
        <w:left w:val="none" w:sz="0" w:space="0" w:color="auto"/>
        <w:bottom w:val="none" w:sz="0" w:space="0" w:color="auto"/>
        <w:right w:val="none" w:sz="0" w:space="0" w:color="auto"/>
      </w:divBdr>
    </w:div>
    <w:div w:id="1224292358">
      <w:bodyDiv w:val="1"/>
      <w:marLeft w:val="0"/>
      <w:marRight w:val="0"/>
      <w:marTop w:val="0"/>
      <w:marBottom w:val="0"/>
      <w:divBdr>
        <w:top w:val="none" w:sz="0" w:space="0" w:color="auto"/>
        <w:left w:val="none" w:sz="0" w:space="0" w:color="auto"/>
        <w:bottom w:val="none" w:sz="0" w:space="0" w:color="auto"/>
        <w:right w:val="none" w:sz="0" w:space="0" w:color="auto"/>
      </w:divBdr>
    </w:div>
    <w:div w:id="1856655041">
      <w:bodyDiv w:val="1"/>
      <w:marLeft w:val="0"/>
      <w:marRight w:val="0"/>
      <w:marTop w:val="0"/>
      <w:marBottom w:val="0"/>
      <w:divBdr>
        <w:top w:val="none" w:sz="0" w:space="0" w:color="auto"/>
        <w:left w:val="none" w:sz="0" w:space="0" w:color="auto"/>
        <w:bottom w:val="none" w:sz="0" w:space="0" w:color="auto"/>
        <w:right w:val="none" w:sz="0" w:space="0" w:color="auto"/>
      </w:divBdr>
    </w:div>
    <w:div w:id="191674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DA96A-180C-4CCA-AF1D-18A2BFA20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7483</Words>
  <Characters>42659</Characters>
  <Application>Microsoft Office Word</Application>
  <DocSecurity>0</DocSecurity>
  <Lines>355</Lines>
  <Paragraphs>100</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50042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c:creator>
  <cp:lastModifiedBy>Liu, Lei</cp:lastModifiedBy>
  <cp:revision>2</cp:revision>
  <cp:lastPrinted>2019-08-20T11:37:00Z</cp:lastPrinted>
  <dcterms:created xsi:type="dcterms:W3CDTF">2019-09-20T09:23:00Z</dcterms:created>
  <dcterms:modified xsi:type="dcterms:W3CDTF">2019-10-16T05:57:00Z</dcterms:modified>
</cp:coreProperties>
</file>