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C7AB" w14:textId="4F1CE8E0" w:rsidR="00D43FA1" w:rsidRPr="00D43FA1" w:rsidRDefault="00D43FA1" w:rsidP="00D43FA1">
      <w:pPr>
        <w:spacing w:before="0" w:after="0"/>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0510 D-- PL- ------ 20200830 --- --- PROJET</w:t>
      </w:r>
    </w:p>
    <w:p w14:paraId="78D3E792" w14:textId="77777777" w:rsidR="00D43FA1" w:rsidRPr="00D43FA1" w:rsidRDefault="00D43FA1" w:rsidP="00612652">
      <w:pPr>
        <w:pStyle w:val="Dokumentstatus"/>
      </w:pPr>
    </w:p>
    <w:p w14:paraId="2ADEED2D" w14:textId="02FDEE8E" w:rsidR="006444D5" w:rsidRPr="00D43FA1" w:rsidRDefault="00A5434C" w:rsidP="00D43FA1">
      <w:pPr>
        <w:pStyle w:val="Dokumentstatus"/>
        <w:keepNext/>
        <w:keepLines/>
      </w:pPr>
      <w:r>
        <w:t xml:space="preserve">Projekt Federalnego Ministerstwa Żywności i Rolnictwa</w:t>
      </w:r>
    </w:p>
    <w:p w14:paraId="453D9A69" w14:textId="77777777" w:rsidR="006444D5" w:rsidRPr="00D43FA1" w:rsidRDefault="006444D5" w:rsidP="00D43FA1">
      <w:pPr>
        <w:pStyle w:val="Bezeichnungnderungsdokument"/>
        <w:keepNext/>
        <w:keepLines/>
      </w:pPr>
      <w:r>
        <w:t xml:space="preserve">Dwudzieste drugie rozporządzenie zmieniające rozporządzenie w sprawie artykułów użytkowych</w:t>
      </w:r>
      <w:r>
        <w:rPr>
          <w:rStyle w:val="FootnoteReference"/>
        </w:rPr>
        <w:footnoteReference w:customMarkFollows="1" w:id="1"/>
        <w:t xml:space="preserve">1)</w:t>
      </w:r>
      <w:r>
        <w:t xml:space="preserve"> </w:t>
      </w:r>
    </w:p>
    <w:p w14:paraId="6759776C" w14:textId="77777777" w:rsidR="006444D5" w:rsidRPr="00D43FA1" w:rsidRDefault="006444D5" w:rsidP="00D43FA1">
      <w:pPr>
        <w:pStyle w:val="Ausfertigungsdatumnderungsdokument"/>
        <w:keepNext/>
        <w:keepLines/>
      </w:pPr>
      <w:r>
        <w:t xml:space="preserve">Z dnia ... 2020 r.</w:t>
      </w:r>
    </w:p>
    <w:p w14:paraId="6E475CCC" w14:textId="77777777" w:rsidR="006444D5" w:rsidRPr="00D43FA1" w:rsidRDefault="006444D5" w:rsidP="000511BF">
      <w:pPr>
        <w:pStyle w:val="EingangsformelStandardnderungsdokument"/>
      </w:pPr>
      <w:r>
        <w:t xml:space="preserve">Federalne Ministerstwo Żywności i Rolnictwa, na podstawie</w:t>
      </w:r>
      <w:r>
        <w:t xml:space="preserve"> </w:t>
      </w:r>
    </w:p>
    <w:p w14:paraId="42BFF3E6" w14:textId="77777777" w:rsidR="000511BF" w:rsidRPr="00D43FA1" w:rsidRDefault="006444D5" w:rsidP="00C74C74">
      <w:pPr>
        <w:pStyle w:val="EingangsformelStandardnderungsdokument"/>
        <w:numPr>
          <w:ilvl w:val="0"/>
          <w:numId w:val="1"/>
        </w:numPr>
        <w:ind w:left="0" w:firstLine="425"/>
      </w:pPr>
      <w:r>
        <w:t xml:space="preserve">§ 31 ust. 2 zdanie pierwsze pkt 2, także w związku z § 4 ust. 2 pkt 2, i § 46 ust. 2 zdanie pierwsze pkt 1 lit. a) kodeksu środków spożywczych, artykułów użytkowych i pasz w brzmieniu opublikowanym dnia 3 czerwca 2013 r. (Federalny Dz.U.</w:t>
      </w:r>
      <w:r>
        <w:t xml:space="preserve"> </w:t>
      </w:r>
      <w:r>
        <w:t xml:space="preserve">I s. 1426) oraz</w:t>
      </w:r>
    </w:p>
    <w:p w14:paraId="58FC86B6" w14:textId="77777777" w:rsidR="006444D5" w:rsidRPr="00D43FA1" w:rsidRDefault="000511BF" w:rsidP="00C74C74">
      <w:pPr>
        <w:pStyle w:val="EingangsformelStandardnderungsdokument"/>
        <w:numPr>
          <w:ilvl w:val="0"/>
          <w:numId w:val="1"/>
        </w:numPr>
        <w:ind w:left="0" w:firstLine="425"/>
      </w:pPr>
      <w:r>
        <w:t xml:space="preserve">§ 34 zdanie pierwsze pkt 2, zmienionego artykułem 67 pkt 6 rozporządzenia z dnia 31 sierpnia 2015 r. (Federalny Dz.U.</w:t>
      </w:r>
      <w:r>
        <w:t xml:space="preserve"> </w:t>
      </w:r>
      <w:r>
        <w:t xml:space="preserve">I s. 1474), także w związku z § 4 ust. 2 pkt 2, kodeksu środków spożywczych, artykułów użytkowych i pasz w brzmieniu opublikowanym dnia 3 czerwca 2013 r. (Federalny Dz.U.</w:t>
      </w:r>
      <w:r>
        <w:t xml:space="preserve"> </w:t>
      </w:r>
      <w:r>
        <w:t xml:space="preserve">I s. 1426), w porozumieniu z Federalnym Ministerstwem Gospodarki i Energetyki, rozporządza, co następuje:</w:t>
      </w:r>
    </w:p>
    <w:p w14:paraId="6AC8CAE2" w14:textId="1699357E" w:rsidR="006444D5" w:rsidRPr="00D43FA1" w:rsidRDefault="00D43FA1" w:rsidP="00D43FA1">
      <w:pPr>
        <w:pStyle w:val="ArtikelBezeichner"/>
        <w:keepLines/>
        <w:numPr>
          <w:ilvl w:val="0"/>
          <w:numId w:val="0"/>
        </w:numPr>
      </w:pPr>
      <w:r>
        <w:t xml:space="preserve">Artykuł 1</w:t>
      </w:r>
    </w:p>
    <w:p w14:paraId="37102DCC" w14:textId="1749B86C" w:rsidR="006444D5" w:rsidRPr="007E01A6" w:rsidRDefault="006444D5" w:rsidP="00D43FA1">
      <w:pPr>
        <w:pStyle w:val="Artikelberschrift"/>
        <w:keepLines/>
      </w:pPr>
      <w:r>
        <w:t xml:space="preserve">Zmiana rozporządzenia w sprawie artykułów użytkowych</w:t>
      </w:r>
    </w:p>
    <w:p w14:paraId="504DEE92" w14:textId="4F2C4E22" w:rsidR="00E24BD3" w:rsidRPr="007E01A6" w:rsidRDefault="00E24BD3" w:rsidP="00D43FA1">
      <w:pPr>
        <w:pStyle w:val="JuristischerAbsatznichtnummeriert"/>
        <w:keepNext/>
        <w:keepLines/>
        <w:rPr>
          <w:rStyle w:val="Marker"/>
          <w:color w:val="auto"/>
        </w:rPr>
      </w:pPr>
      <w:r>
        <w:rPr>
          <w:rStyle w:val="Marker"/>
          <w:color w:val="auto"/>
        </w:rPr>
        <w:t xml:space="preserve">W rozporządzeniu w sprawie artykułów użytkowych w brzmieniu opublikowanym dnia 23 grudnia 1997 r. (Federalny Dz.U.</w:t>
      </w:r>
      <w:r>
        <w:rPr>
          <w:rStyle w:val="Marker"/>
          <w:color w:val="auto"/>
        </w:rPr>
        <w:t xml:space="preserve"> </w:t>
      </w:r>
      <w:r>
        <w:rPr>
          <w:rStyle w:val="Marker"/>
          <w:color w:val="auto"/>
        </w:rPr>
        <w:t xml:space="preserve">1998 I s. 5), ostatnio zmienionym artykułem 2 ust. 1 ustawy z dnia 15 lutego 2016 r. (Federalny Dz.U.</w:t>
      </w:r>
      <w:r>
        <w:rPr>
          <w:rStyle w:val="Marker"/>
          <w:color w:val="auto"/>
        </w:rPr>
        <w:t xml:space="preserve"> </w:t>
      </w:r>
      <w:r>
        <w:rPr>
          <w:rStyle w:val="Marker"/>
          <w:color w:val="auto"/>
        </w:rPr>
        <w:t xml:space="preserve">I s. 198), wprowadza się następujące zmiany:</w:t>
      </w:r>
    </w:p>
    <w:p w14:paraId="02B9B0F2" w14:textId="7CA490A4" w:rsidR="00846C2F" w:rsidRPr="00D43FA1" w:rsidRDefault="00846C2F" w:rsidP="00846C2F">
      <w:pPr>
        <w:pStyle w:val="NummerierungStufe1"/>
      </w:pPr>
      <w:r>
        <w:t xml:space="preserve">W § 2 wprowadza się następujące zmiany:</w:t>
      </w:r>
    </w:p>
    <w:p w14:paraId="28C5F27B" w14:textId="77777777" w:rsidR="00846C2F" w:rsidRPr="00D43FA1" w:rsidRDefault="00846C2F" w:rsidP="00846C2F">
      <w:pPr>
        <w:pStyle w:val="NummerierungStufe2"/>
        <w:rPr>
          <w:rStyle w:val="Marker"/>
          <w:color w:val="auto"/>
        </w:rPr>
      </w:pPr>
      <w:r>
        <w:rPr>
          <w:rStyle w:val="Marker"/>
          <w:color w:val="auto"/>
        </w:rPr>
        <w:t xml:space="preserve">W pkt 6 kropkę na końcu zastępuje się średnikiem.</w:t>
      </w:r>
    </w:p>
    <w:p w14:paraId="4CF425DD" w14:textId="26F4A3C3" w:rsidR="00846C2F" w:rsidRPr="00D43FA1" w:rsidRDefault="003B2E93" w:rsidP="00846C2F">
      <w:pPr>
        <w:pStyle w:val="NummerierungStufe2"/>
        <w:rPr>
          <w:rStyle w:val="Marker"/>
          <w:color w:val="auto"/>
        </w:rPr>
      </w:pPr>
      <w:r>
        <w:rPr>
          <w:rStyle w:val="Marker"/>
          <w:color w:val="auto"/>
        </w:rPr>
        <w:t xml:space="preserve">Dodaje się punkty 7–10 w brzmieniu:</w:t>
      </w:r>
    </w:p>
    <w:p w14:paraId="4D5D5D36" w14:textId="062BC587" w:rsidR="006444D5" w:rsidRPr="00D43FA1" w:rsidRDefault="00E24BD3" w:rsidP="00067EA9">
      <w:pPr>
        <w:pStyle w:val="JuristischerAbsatznichtnummeriert"/>
        <w:ind w:left="850" w:firstLine="295"/>
        <w:rPr>
          <w:rStyle w:val="Marker"/>
          <w:color w:val="auto"/>
        </w:rPr>
      </w:pPr>
      <w:r>
        <w:rPr>
          <w:rStyle w:val="Marker"/>
          <w:color w:val="auto"/>
        </w:rPr>
        <w:t xml:space="preserve">„7.</w:t>
      </w:r>
      <w:r>
        <w:rPr>
          <w:rStyle w:val="Marker"/>
          <w:color w:val="auto"/>
        </w:rPr>
        <w:t xml:space="preserve"> </w:t>
      </w:r>
      <w:r>
        <w:rPr>
          <w:rStyle w:val="Marker"/>
          <w:color w:val="auto"/>
        </w:rPr>
        <w:t xml:space="preserve">materiał makulaturowy to pozyskiwany z makulatury w procesie przetwarzania materiał włóknisty do produkcji papieru, tektury lub kartonu;</w:t>
      </w:r>
    </w:p>
    <w:p w14:paraId="0106737F" w14:textId="4BB05830" w:rsidR="00E24BD3" w:rsidRPr="00D43FA1" w:rsidRDefault="00E24BD3" w:rsidP="00067EA9">
      <w:pPr>
        <w:pStyle w:val="JuristischerAbsatznichtnummeriert"/>
        <w:ind w:left="850" w:firstLine="295"/>
      </w:pPr>
      <w:r>
        <w:rPr>
          <w:rStyle w:val="Marker"/>
          <w:color w:val="auto"/>
        </w:rPr>
        <w:t xml:space="preserve">8. </w:t>
      </w:r>
      <w:r>
        <w:t xml:space="preserve">węglowodory aromatyczne oleju mineralnego to węglowodory alkiloaromatyczne o liczbach atomów węgla od C16 do C35, które zawierają jeden lub kilka pierścieni, z wyjątkiem diizopropylonaftalenu; liczby atomów węgla są powiązane z zakresami elucji bądź z czasami retencji odpowiadających im n</w:t>
      </w:r>
      <w:r>
        <w:noBreakHyphen/>
      </w:r>
      <w:r>
        <w:t xml:space="preserve">alkanów przy analizie metodą chromatografii gazowej na kolumnie rozdzielającej pokrytej dimetylopolisiloksanem;</w:t>
      </w:r>
    </w:p>
    <w:p w14:paraId="1BECF263" w14:textId="3D179D1B" w:rsidR="00846C2F" w:rsidRPr="00D43FA1" w:rsidRDefault="00E24BD3" w:rsidP="00D43FA1">
      <w:pPr>
        <w:pStyle w:val="JuristischerAbsatznichtnummeriert"/>
        <w:keepNext/>
        <w:keepLines/>
        <w:ind w:left="425" w:firstLine="720"/>
      </w:pPr>
      <w:r>
        <w:rPr>
          <w:rStyle w:val="Marker"/>
          <w:color w:val="auto"/>
        </w:rPr>
        <w:t xml:space="preserve">9. </w:t>
      </w:r>
      <w:r>
        <w:t xml:space="preserve">bariera funkcjonalna to:</w:t>
      </w:r>
    </w:p>
    <w:p w14:paraId="74FD3E26" w14:textId="39827560" w:rsidR="00B643B8" w:rsidRPr="00D43FA1" w:rsidRDefault="002F7BDF" w:rsidP="00067EA9">
      <w:pPr>
        <w:pStyle w:val="JuristischerAbsatznichtnummeriert"/>
        <w:ind w:left="851" w:firstLine="589"/>
      </w:pPr>
      <w:r>
        <w:rPr>
          <w:rStyle w:val="Marker"/>
          <w:color w:val="auto"/>
        </w:rPr>
        <w:t xml:space="preserve">a) </w:t>
      </w:r>
      <w:r>
        <w:t xml:space="preserve">jedna lub kilka warstw lub powłok artykułu użytkowego przeznaczonego do kontaktu z żywnością lub</w:t>
      </w:r>
    </w:p>
    <w:p w14:paraId="6C74E0DD" w14:textId="61F756EB" w:rsidR="002F7BDF" w:rsidRPr="00D43FA1" w:rsidRDefault="002F7BDF" w:rsidP="00067EA9">
      <w:pPr>
        <w:pStyle w:val="JuristischerAbsatznichtnummeriert"/>
        <w:ind w:left="720" w:firstLine="720"/>
      </w:pPr>
      <w:r>
        <w:rPr>
          <w:rStyle w:val="Marker"/>
          <w:color w:val="auto"/>
        </w:rPr>
        <w:t xml:space="preserve">b) osłona środka spożywczego,</w:t>
      </w:r>
    </w:p>
    <w:p w14:paraId="326B7F41" w14:textId="0B4EE35B" w:rsidR="00E24BD3" w:rsidRPr="00D43FA1" w:rsidRDefault="00E24BD3" w:rsidP="00067EA9">
      <w:pPr>
        <w:pStyle w:val="JuristischerAbsatznichtnummeriert"/>
        <w:ind w:left="851" w:firstLine="0"/>
      </w:pPr>
      <w:r>
        <w:t xml:space="preserve">która zapewnia, że określone substancje nie przenoszą się na żywność z artykułów użytkowych;</w:t>
      </w:r>
    </w:p>
    <w:p w14:paraId="4B18F3E3" w14:textId="70788493" w:rsidR="00846C2F" w:rsidRPr="00D43FA1" w:rsidRDefault="00E24BD3" w:rsidP="00067EA9">
      <w:pPr>
        <w:pStyle w:val="JuristischerAbsatznichtnummeriert"/>
        <w:ind w:left="851" w:firstLine="294"/>
      </w:pPr>
      <w:r>
        <w:rPr>
          <w:rStyle w:val="Marker"/>
          <w:color w:val="auto"/>
        </w:rPr>
        <w:t xml:space="preserve">10.</w:t>
      </w:r>
      <w:r>
        <w:rPr>
          <w:rStyle w:val="Marker"/>
          <w:color w:val="auto"/>
        </w:rPr>
        <w:t xml:space="preserve"> </w:t>
      </w:r>
      <w:r>
        <w:t xml:space="preserve">płyn modelowy imitujący żywność to:</w:t>
      </w:r>
      <w:r>
        <w:t xml:space="preserve"> </w:t>
      </w:r>
      <w:r>
        <w:t xml:space="preserve">płyn modelowy imitujący żywność w rozumieniu art. 3 pkt 12 rozporządzenia (UE) nr 10/2011.”.</w:t>
      </w:r>
    </w:p>
    <w:p w14:paraId="17512622" w14:textId="77777777" w:rsidR="00846C2F" w:rsidRPr="00D43FA1" w:rsidRDefault="00846C2F" w:rsidP="00D43FA1">
      <w:pPr>
        <w:pStyle w:val="NummerierungStufe1"/>
        <w:keepNext/>
        <w:keepLines/>
        <w:rPr>
          <w:rStyle w:val="Marker"/>
          <w:color w:val="auto"/>
        </w:rPr>
      </w:pPr>
      <w:r>
        <w:rPr>
          <w:rStyle w:val="Marker"/>
          <w:color w:val="auto"/>
        </w:rPr>
        <w:t xml:space="preserve">Po § 6 dodaje się § 6a w brzmieniu:</w:t>
      </w:r>
    </w:p>
    <w:p w14:paraId="254DF9EA" w14:textId="256D5011" w:rsidR="00846C2F" w:rsidRPr="00D43FA1" w:rsidRDefault="00846C2F" w:rsidP="007E01A6">
      <w:pPr>
        <w:pStyle w:val="RevisionParagraphBezeichnermanuell"/>
        <w:keepLines/>
        <w:ind w:left="425" w:hanging="75"/>
        <w:rPr>
          <w:color w:val="auto"/>
        </w:rPr>
      </w:pPr>
      <w:r>
        <w:rPr>
          <w:color w:val="auto"/>
        </w:rPr>
        <w:t xml:space="preserve">„§ </w:t>
      </w:r>
      <w:r>
        <w:rPr>
          <w:color w:val="auto"/>
          <w:rStyle w:val="Marker"/>
        </w:rPr>
        <w:t xml:space="preserve">6a</w:t>
        <w:br/>
        <w:t xml:space="preserve">Przeznaczone do kontaktu z żywnością artykuły użytkowe z papieru, tektury lub kartonu z zawartością materiału makulaturowego</w:t>
      </w:r>
    </w:p>
    <w:p w14:paraId="393F6670" w14:textId="6F9EF356" w:rsidR="00756335" w:rsidRPr="007E01A6" w:rsidRDefault="00E24BD3" w:rsidP="00067EA9">
      <w:pPr>
        <w:pStyle w:val="JuristischerAbsatznichtnummeriert"/>
        <w:ind w:left="425" w:firstLine="295"/>
        <w:rPr>
          <w:rStyle w:val="Marker"/>
          <w:color w:val="auto"/>
        </w:rPr>
      </w:pPr>
      <w:r>
        <w:rPr>
          <w:rStyle w:val="Marker"/>
          <w:color w:val="auto"/>
        </w:rPr>
        <w:t xml:space="preserve">(1) Przeznaczone do kontaktu z żywnością artykuły użytkowe z papieru, tektury lub kartonu mogą być produkowane z wykorzystaniem materiału makulaturowego i wprowadzane do obrotu tylko wtedy, gdy bariera funkcjonalna w rozumieniu § 2 pkt 9 zapewnia, że z artykułu użytkowego nie przeniosą się na żywność węglowodory aromatyczne oleju mineralnego.</w:t>
      </w:r>
      <w:r>
        <w:rPr>
          <w:rStyle w:val="Marker"/>
          <w:color w:val="auto"/>
        </w:rPr>
        <w:t xml:space="preserve"> </w:t>
      </w:r>
      <w:r>
        <w:rPr>
          <w:rStyle w:val="Marker"/>
          <w:color w:val="auto"/>
        </w:rPr>
        <w:t xml:space="preserve">Przenoszenie się jest uważane za niemające miejsca, jeżeli</w:t>
      </w:r>
      <w:r>
        <w:rPr>
          <w:rStyle w:val="Marker"/>
          <w:color w:val="auto"/>
        </w:rPr>
        <w:t xml:space="preserve"> </w:t>
      </w:r>
    </w:p>
    <w:p w14:paraId="16C207F7" w14:textId="77777777" w:rsidR="002F7BDF" w:rsidRPr="00D43FA1" w:rsidRDefault="002F7BDF" w:rsidP="00067EA9">
      <w:pPr>
        <w:pStyle w:val="JuristischerAbsatznichtnummeriert"/>
        <w:ind w:left="425" w:firstLine="0"/>
        <w:rPr>
          <w:szCs w:val="24"/>
        </w:rPr>
      </w:pPr>
      <w:r>
        <w:t xml:space="preserve">1. nie jest przekroczona granica wykrywalności wynosząca 0,5 miligrama sumy węglowodorów aromatycznych oleju mineralnego na kilogram żywności lub</w:t>
      </w:r>
      <w:r>
        <w:t xml:space="preserve"> </w:t>
      </w:r>
    </w:p>
    <w:p w14:paraId="172F3F97" w14:textId="20287DA3" w:rsidR="00C74C74" w:rsidRPr="007E01A6" w:rsidRDefault="002F7BDF" w:rsidP="00067EA9">
      <w:pPr>
        <w:pStyle w:val="JuristischerAbsatznichtnummeriert"/>
        <w:ind w:left="425" w:firstLine="0"/>
        <w:rPr>
          <w:szCs w:val="24"/>
        </w:rPr>
      </w:pPr>
      <w:r>
        <w:t xml:space="preserve">2. nie jest przekroczona granica wykrywalności wynosząca 0,15 miligrama sumy węglowodorów aromatycznych oleju mineralnego na kilogram płynu modelowego imitującego żywność.</w:t>
      </w:r>
      <w:r>
        <w:t xml:space="preserve"> </w:t>
      </w:r>
    </w:p>
    <w:p w14:paraId="4CAF2837" w14:textId="266BC0F6" w:rsidR="00C74C74" w:rsidRPr="00D43FA1" w:rsidRDefault="00E24BD3" w:rsidP="00067EA9">
      <w:pPr>
        <w:pStyle w:val="JuristischerAbsatznichtnummeriert"/>
        <w:ind w:left="425" w:firstLine="295"/>
      </w:pPr>
      <w:r>
        <w:rPr>
          <w:rStyle w:val="Marker"/>
          <w:color w:val="auto"/>
        </w:rPr>
        <w:t xml:space="preserve">(2) </w:t>
      </w:r>
      <w:r>
        <w:t xml:space="preserve">Ust. 1 zdanie pierwsze nie obowiązuje, jeżeli przenoszenie się węglowodorów aromatycznych oleju mineralnego na żywność z artykułu użytkowego przeznaczonego do kontaktu z nią zgodnie z ust. 1 zdanie drugie jest wykluczone, ponieważ</w:t>
      </w:r>
    </w:p>
    <w:p w14:paraId="6CBC600B" w14:textId="68240402" w:rsidR="002F7BDF" w:rsidRPr="00D43FA1" w:rsidRDefault="002F7BDF" w:rsidP="00067EA9">
      <w:pPr>
        <w:pStyle w:val="JuristischerAbsatznichtnummeriert"/>
        <w:ind w:left="425" w:firstLine="0"/>
      </w:pPr>
      <w:r>
        <w:rPr>
          <w:rStyle w:val="Marker"/>
          <w:color w:val="auto"/>
        </w:rPr>
        <w:t xml:space="preserve">1. istnieją specjalne warunki w przypadku artykułu użytkowego przeznaczonego do kontaktu z żywnością, w szczególności to, że w artykule tym obecna jest tylko niewielka zawartość węglowodorów aromatycznych oleju mineralnego, lub</w:t>
      </w:r>
    </w:p>
    <w:p w14:paraId="05A8EA42" w14:textId="0B5F5620" w:rsidR="00123700" w:rsidRPr="00D43FA1" w:rsidRDefault="002F7BDF" w:rsidP="00067EA9">
      <w:pPr>
        <w:pStyle w:val="JuristischerAbsatznichtnummeriert"/>
        <w:ind w:left="425" w:firstLine="0"/>
      </w:pPr>
      <w:r>
        <w:rPr>
          <w:rStyle w:val="Marker"/>
          <w:color w:val="auto"/>
        </w:rPr>
        <w:t xml:space="preserve">2. </w:t>
      </w:r>
      <w:r>
        <w:t xml:space="preserve">producent artykułu użytkowego przeznaczonego do kontaktu z żywnością lub podmiot wprowadzający go do obrotu podjął stosowne środki w celu uniemożliwienia przenoszenia się.</w:t>
      </w:r>
    </w:p>
    <w:p w14:paraId="0AD974E6" w14:textId="6D982343" w:rsidR="00735843" w:rsidRPr="00D43FA1" w:rsidRDefault="00E24BD3" w:rsidP="00067EA9">
      <w:pPr>
        <w:pStyle w:val="JuristischerAbsatznichtnummeriert"/>
        <w:ind w:left="425" w:firstLine="295"/>
      </w:pPr>
      <w:r>
        <w:rPr>
          <w:rStyle w:val="Marker"/>
          <w:color w:val="auto"/>
        </w:rPr>
        <w:t xml:space="preserve">(3) </w:t>
      </w:r>
      <w:r>
        <w:t xml:space="preserve">W drodze odstępstwa od ust. 1 zdanie pierwsze określone tam artykuły użytkowe przeznaczone do kontaktu z żywnością mogą być produkowane i wprowadzane do obrotu bez bariery funkcjonalnej, jeżeli podmiot prowadzący przedsiębiorstwo spożywcze, który przez zapakowanie lub w inny sposób styka po raz pierwszy z żywnością artykuł użytkowy, przed dostawą artykułu użytkowego pisemnie lub drogą elektroniczną oświadczy producentowi artykułu użytkowego lub podmiotowi wprowadzającemu go do obrotu, że rezygnuje z bariery funkcjonalnej w rozumieniu § 2 pkt 9.</w:t>
      </w:r>
      <w:r>
        <w:t xml:space="preserve"> </w:t>
      </w:r>
    </w:p>
    <w:p w14:paraId="789B1568" w14:textId="520EFB10" w:rsidR="00E24BD3" w:rsidRPr="00D43FA1" w:rsidRDefault="00E24BD3" w:rsidP="00067EA9">
      <w:pPr>
        <w:pStyle w:val="JuristischerAbsatznichtnummeriert"/>
        <w:ind w:left="425" w:firstLine="295"/>
      </w:pPr>
      <w:r>
        <w:rPr>
          <w:rStyle w:val="Marker"/>
          <w:color w:val="auto"/>
        </w:rPr>
        <w:t xml:space="preserve">(4)</w:t>
      </w:r>
      <w:r>
        <w:t xml:space="preserve"> W przypadkach określonych w ust. 3 podmiot prowadzący przedsiębiorstwo spożywcze, który wykorzystuje artykuł użytkowy do kontaktu z żywnością, zadba o to, by przenoszenie się węglowodorów aromatycznych oleju mineralnego na żywność z artykułu użytkowego do kontaktu z żywnością w rozumieniu ust. 1 zdanie drugie było wykluczone.</w:t>
      </w:r>
      <w:r>
        <w:t xml:space="preserve"> </w:t>
      </w:r>
      <w:r>
        <w:t xml:space="preserve">Użyje on do tego bariery funkcjonalnej w rozumieniu § 2 pkt 9 lit. b) lub podejmie inne stosowne środki.</w:t>
      </w:r>
      <w:r>
        <w:t xml:space="preserve"> </w:t>
      </w:r>
      <w:r>
        <w:t xml:space="preserve">Zdanie drugie nie obowiązuje, jeżeli w szczególności z uwagi na właściwości żywności, która wchodzi w styczność z artykułem użytkowym przeznaczonym do kontaktu z nią, lub z uwagi na przewidziane warunki stosowania artykułu użytkowego istnieją specjalne warunki, które wykluczają przenoszenie się węglowodorów aromatycznych oleju mineralnego na żywność z artykułu użytkowego w rozumieniu ust. 1 zdanie drugie.</w:t>
      </w:r>
    </w:p>
    <w:p w14:paraId="5366601D" w14:textId="03640CCF" w:rsidR="00313AFD" w:rsidRPr="00D43FA1" w:rsidRDefault="00E24BD3" w:rsidP="00C62066">
      <w:pPr>
        <w:pStyle w:val="JuristischerAbsatznichtnummeriert"/>
        <w:ind w:firstLine="720"/>
      </w:pPr>
      <w:r>
        <w:rPr>
          <w:rStyle w:val="Marker"/>
          <w:color w:val="auto"/>
        </w:rPr>
        <w:t xml:space="preserve">(5) </w:t>
      </w:r>
      <w:r>
        <w:t xml:space="preserve">Na żądanie właściwego organu:</w:t>
      </w:r>
    </w:p>
    <w:p w14:paraId="77519757" w14:textId="4193C14E" w:rsidR="002F7BDF" w:rsidRPr="007E01A6" w:rsidRDefault="002F7BDF" w:rsidP="00C62066">
      <w:pPr>
        <w:pStyle w:val="JuristischerAbsatznichtnummeriert"/>
        <w:ind w:left="425" w:firstLine="0"/>
        <w:rPr>
          <w:rStyle w:val="Marker"/>
          <w:color w:val="auto"/>
        </w:rPr>
      </w:pPr>
      <w:r>
        <w:rPr>
          <w:rStyle w:val="Marker"/>
          <w:color w:val="auto"/>
        </w:rPr>
        <w:t xml:space="preserve">1. producent artykułu użytkowego przeznaczonego do kontaktu z żywnością lub podmiot wprowadzający go do obrotu wykaże przestrzeganie wymagań określonych w ust. 2 i 3, a</w:t>
      </w:r>
    </w:p>
    <w:p w14:paraId="2F2FD13A" w14:textId="19286176" w:rsidR="00313AFD" w:rsidRPr="007E01A6" w:rsidRDefault="002F7BDF" w:rsidP="00C62066">
      <w:pPr>
        <w:pStyle w:val="JuristischerAbsatznichtnummeriert"/>
        <w:ind w:left="425" w:firstLine="0"/>
        <w:rPr>
          <w:rStyle w:val="Marker"/>
          <w:color w:val="auto"/>
        </w:rPr>
      </w:pPr>
      <w:r>
        <w:rPr>
          <w:rStyle w:val="Marker"/>
          <w:color w:val="auto"/>
        </w:rPr>
        <w:t xml:space="preserve">2. podmiot prowadzący przedsiębiorstwo spożywcze wykaże przestrzeganie wymagań określonych w ust. 4.</w:t>
      </w:r>
    </w:p>
    <w:p w14:paraId="587A74FC" w14:textId="6F4A63D4" w:rsidR="004F1DB4" w:rsidRPr="00D43FA1" w:rsidRDefault="00E24BD3" w:rsidP="00C62066">
      <w:pPr>
        <w:pStyle w:val="JuristischerAbsatznichtnummeriert"/>
        <w:ind w:left="425" w:firstLine="0"/>
      </w:pPr>
      <w:r>
        <w:t xml:space="preserve">Podmioty zobowiązane zgodnie ze zdaniem pierwszym udostępnią dokumenty wykazujące, że przenoszenie się węglowodorów aromatycznych oleju mineralnego na żywność lub na płyny modelowe imitujące żywność z artykułu użytkowego przeznaczonego do kontaktu z żywnością według ust. 1 zdanie drugie jest wykluczone.</w:t>
      </w:r>
    </w:p>
    <w:p w14:paraId="0AA413D8" w14:textId="1C6B2756" w:rsidR="007F06A5" w:rsidRPr="00D43FA1" w:rsidRDefault="00E24BD3" w:rsidP="00C62066">
      <w:pPr>
        <w:pStyle w:val="JuristischerAbsatznichtnummeriert"/>
        <w:ind w:left="425" w:firstLine="295"/>
      </w:pPr>
      <w:r>
        <w:rPr>
          <w:rStyle w:val="Marker"/>
          <w:color w:val="auto"/>
        </w:rPr>
        <w:t xml:space="preserve">(6) </w:t>
      </w:r>
      <w:r>
        <w:t xml:space="preserve">Zabronione jest wprowadzanie do obrotu środków spożywczych jako żywności, którą poddano obróbce z wykorzystaniem artykułu użytkowego przeznaczonego do kontaktu z żywnością, jeżeli nie są spełnione wymagania określone w ust. 1 zdanie pierwsze lub ust. 4 zdanie pierwsze.”.</w:t>
      </w:r>
    </w:p>
    <w:p w14:paraId="6FA09614" w14:textId="77777777" w:rsidR="00D10507" w:rsidRPr="00D43FA1" w:rsidRDefault="00D10507" w:rsidP="00D43FA1">
      <w:pPr>
        <w:pStyle w:val="NummerierungStufe1"/>
        <w:keepNext/>
        <w:keepLines/>
      </w:pPr>
      <w:r>
        <w:t xml:space="preserve">W § 7 ust. 1 cyfrę „6” zastępuje się wyrażeniem „6a ust. 4”.</w:t>
      </w:r>
    </w:p>
    <w:p w14:paraId="7EAA6364" w14:textId="77777777" w:rsidR="00D10507" w:rsidRPr="00D43FA1" w:rsidRDefault="00634FE4" w:rsidP="00D43FA1">
      <w:pPr>
        <w:pStyle w:val="NummerierungStufe1"/>
        <w:keepNext/>
        <w:keepLines/>
      </w:pPr>
      <w:r>
        <w:t xml:space="preserve">W § 12 wprowadza się następujące zmiany:</w:t>
      </w:r>
      <w:r>
        <w:t xml:space="preserve"> </w:t>
      </w:r>
    </w:p>
    <w:p w14:paraId="69B3E358" w14:textId="77777777" w:rsidR="005068AC" w:rsidRPr="00D43FA1" w:rsidRDefault="005068AC" w:rsidP="00D43FA1">
      <w:pPr>
        <w:pStyle w:val="NummerierungStufe2"/>
        <w:keepNext/>
        <w:keepLines/>
        <w:rPr>
          <w:rStyle w:val="Marker"/>
          <w:color w:val="auto"/>
        </w:rPr>
      </w:pPr>
      <w:r>
        <w:rPr>
          <w:rStyle w:val="Marker"/>
          <w:color w:val="auto"/>
        </w:rPr>
        <w:t xml:space="preserve">W ust. 2 wprowadza się następujące zmiany:</w:t>
      </w:r>
    </w:p>
    <w:p w14:paraId="35259617" w14:textId="77777777" w:rsidR="005068AC" w:rsidRPr="00D43FA1" w:rsidRDefault="00AC0D2A" w:rsidP="005068AC">
      <w:pPr>
        <w:pStyle w:val="NummerierungStufe3"/>
        <w:rPr>
          <w:rStyle w:val="Marker"/>
          <w:color w:val="auto"/>
        </w:rPr>
      </w:pPr>
      <w:r>
        <w:rPr>
          <w:rStyle w:val="Marker"/>
          <w:color w:val="auto"/>
        </w:rPr>
        <w:t xml:space="preserve">W pkt 3 słowo „lub” zastępuje się przecinkiem.</w:t>
      </w:r>
    </w:p>
    <w:p w14:paraId="7DFBB224" w14:textId="77777777" w:rsidR="005068AC" w:rsidRPr="00D43FA1" w:rsidRDefault="00AC0D2A" w:rsidP="005068AC">
      <w:pPr>
        <w:pStyle w:val="NummerierungStufe3"/>
        <w:rPr>
          <w:rStyle w:val="Marker"/>
          <w:color w:val="auto"/>
        </w:rPr>
      </w:pPr>
      <w:r>
        <w:rPr>
          <w:rStyle w:val="Marker"/>
          <w:color w:val="auto"/>
        </w:rPr>
        <w:t xml:space="preserve">W punkcie 4 kropkę na końcu zastępuje się przecinkiem.</w:t>
      </w:r>
    </w:p>
    <w:p w14:paraId="3BEDFB5A" w14:textId="6B87E8A4" w:rsidR="00AC0D2A" w:rsidRPr="00D43FA1" w:rsidRDefault="003B2E93" w:rsidP="00D43FA1">
      <w:pPr>
        <w:pStyle w:val="NummerierungStufe3"/>
        <w:keepNext/>
        <w:keepLines/>
        <w:ind w:hanging="425"/>
        <w:rPr>
          <w:rStyle w:val="Marker"/>
          <w:color w:val="auto"/>
        </w:rPr>
      </w:pPr>
      <w:r>
        <w:rPr>
          <w:rStyle w:val="Marker"/>
          <w:color w:val="auto"/>
        </w:rPr>
        <w:t xml:space="preserve">Dodaje się pkt 5 i 6 w brzmieniu:</w:t>
      </w:r>
    </w:p>
    <w:p w14:paraId="33D0714E" w14:textId="1077FDEF" w:rsidR="00241B36" w:rsidRPr="00D43FA1" w:rsidRDefault="00E24BD3" w:rsidP="00E24BD3">
      <w:pPr>
        <w:pStyle w:val="JuristischerAbsatznichtnummeriert"/>
        <w:ind w:left="850" w:firstLine="426"/>
        <w:rPr>
          <w:rStyle w:val="Marker"/>
          <w:color w:val="auto"/>
        </w:rPr>
      </w:pPr>
      <w:r>
        <w:rPr>
          <w:rStyle w:val="Marker"/>
          <w:color w:val="auto"/>
        </w:rPr>
        <w:t xml:space="preserve">„5. wbrew § 6a ust. 1 zdanie pierwsze lub ust. 6 wprowadza do obrotu artykuł użytkowy przeznaczony do kontaktu z żywnością lub żywność lub</w:t>
      </w:r>
      <w:r>
        <w:rPr>
          <w:rStyle w:val="Marker"/>
          <w:color w:val="auto"/>
        </w:rPr>
        <w:t xml:space="preserve"> </w:t>
      </w:r>
    </w:p>
    <w:p w14:paraId="5E978D5C" w14:textId="45631538" w:rsidR="00B77970" w:rsidRPr="00D43FA1" w:rsidRDefault="00E24BD3" w:rsidP="00E24BD3">
      <w:pPr>
        <w:pStyle w:val="JuristischerAbsatznichtnummeriert"/>
        <w:ind w:left="850" w:firstLine="426"/>
      </w:pPr>
      <w:r>
        <w:rPr>
          <w:rStyle w:val="Marker"/>
          <w:color w:val="auto"/>
        </w:rPr>
        <w:t xml:space="preserve">6. wbrew § 6a ust. 4 zdanie pierwsze nie zapewni, aby przenoszenie się węglowodorów aromatycznych oleju mineralnego było wykluczone.”.</w:t>
      </w:r>
      <w:r>
        <w:rPr>
          <w:rStyle w:val="Marker"/>
          <w:color w:val="auto"/>
        </w:rPr>
        <w:t xml:space="preserve"> </w:t>
      </w:r>
    </w:p>
    <w:p w14:paraId="7716DBF5" w14:textId="4D9148FD" w:rsidR="005068AC" w:rsidRPr="00D43FA1" w:rsidRDefault="005068AC" w:rsidP="00D43FA1">
      <w:pPr>
        <w:pStyle w:val="NummerierungStufe2"/>
        <w:keepNext/>
        <w:keepLines/>
        <w:rPr>
          <w:rStyle w:val="Marker"/>
          <w:color w:val="auto"/>
        </w:rPr>
      </w:pPr>
      <w:r>
        <w:rPr>
          <w:rStyle w:val="Marker"/>
          <w:color w:val="auto"/>
        </w:rPr>
        <w:t xml:space="preserve">W ust. 6 wprowadza się następujące zmiany:</w:t>
      </w:r>
    </w:p>
    <w:p w14:paraId="43014887" w14:textId="0AE6F9B7" w:rsidR="005068AC" w:rsidRPr="00D43FA1" w:rsidRDefault="003B2E93" w:rsidP="00D43FA1">
      <w:pPr>
        <w:pStyle w:val="NummerierungStufe3"/>
        <w:keepNext/>
        <w:keepLines/>
        <w:ind w:hanging="425"/>
        <w:rPr>
          <w:rStyle w:val="Marker"/>
          <w:color w:val="auto"/>
        </w:rPr>
      </w:pPr>
      <w:r>
        <w:rPr>
          <w:rStyle w:val="Marker"/>
          <w:color w:val="auto"/>
        </w:rPr>
        <w:t xml:space="preserve">Przed pkt. 1 dodaje się pkt 1 w brzmieniu:</w:t>
      </w:r>
    </w:p>
    <w:p w14:paraId="008549AE" w14:textId="466291BF" w:rsidR="00E24BD3" w:rsidRPr="007E01A6" w:rsidRDefault="00E24BD3" w:rsidP="00E24BD3">
      <w:pPr>
        <w:pStyle w:val="JuristischerAbsatznichtnummeriert"/>
        <w:ind w:left="720" w:firstLine="556"/>
        <w:rPr>
          <w:rStyle w:val="Marker"/>
          <w:color w:val="auto"/>
        </w:rPr>
      </w:pPr>
      <w:r>
        <w:rPr>
          <w:rStyle w:val="Marker"/>
          <w:color w:val="auto"/>
        </w:rPr>
        <w:t xml:space="preserve">„1. wbrew § 6a ust. 5 zdanie drugie nie udostępni dokumentu, udostępni go niewłaściwie lub nie w całości,”.</w:t>
      </w:r>
    </w:p>
    <w:p w14:paraId="27C15FD7" w14:textId="64F26C1B" w:rsidR="005068AC" w:rsidRPr="00D43FA1" w:rsidRDefault="00504030" w:rsidP="00E53816">
      <w:pPr>
        <w:pStyle w:val="NummerierungStufe3"/>
      </w:pPr>
      <w:r>
        <w:rPr>
          <w:rStyle w:val="Marker"/>
          <w:color w:val="auto"/>
        </w:rPr>
        <w:t xml:space="preserve">Dotychczasowy pkt 1 otrzymuje oznaczenie 2.</w:t>
      </w:r>
    </w:p>
    <w:p w14:paraId="40868CB4" w14:textId="77777777" w:rsidR="00DA7A9F" w:rsidRPr="00D43FA1" w:rsidRDefault="00DA7A9F" w:rsidP="00D43FA1">
      <w:pPr>
        <w:pStyle w:val="NummerierungStufe1"/>
        <w:keepNext/>
        <w:keepLines/>
      </w:pPr>
      <w:r>
        <w:t xml:space="preserve">W § 16 dodaje się ust. 15 i 16 w brzmieniu:</w:t>
      </w:r>
    </w:p>
    <w:p w14:paraId="53C2A8E8" w14:textId="4612D6D2" w:rsidR="002666C4" w:rsidRPr="00D43FA1" w:rsidRDefault="00C07FE5" w:rsidP="00C07FE5">
      <w:pPr>
        <w:pStyle w:val="JuristischerAbsatznichtnummeriert"/>
        <w:ind w:left="425" w:firstLine="295"/>
      </w:pPr>
      <w:r>
        <w:rPr>
          <w:rStyle w:val="Marker"/>
          <w:color w:val="auto"/>
        </w:rPr>
        <w:t xml:space="preserve">„(15) § 6a </w:t>
      </w:r>
      <w:r>
        <w:t xml:space="preserve">stosuje się dopiero od dnia … [podać datę przypadającą na pierwszy dzień trzydziestego siódmego miesiąca kalendarzowego następującego po miesiącu ogłoszenia niniejszego rozporządzenia] r.</w:t>
      </w:r>
    </w:p>
    <w:p w14:paraId="0BC81A17" w14:textId="18B7C145" w:rsidR="00C07FE5" w:rsidRPr="00D43FA1" w:rsidRDefault="00C07FE5" w:rsidP="00C07FE5">
      <w:pPr>
        <w:pStyle w:val="JuristischerAbsatznichtnummeriert"/>
        <w:tabs>
          <w:tab w:val="left" w:pos="1134"/>
          <w:tab w:val="left" w:pos="1418"/>
        </w:tabs>
        <w:ind w:left="425" w:firstLine="295"/>
      </w:pPr>
      <w:r>
        <w:t xml:space="preserve">(16)</w:t>
        <w:tab/>
        <w:t xml:space="preserve">Artykuły użytkowe przeznaczone do kontaktu z żywnością, które zostały wyprodukowane z wykorzystaniem materiału makulaturowego stosownie do przepisów mających zastosowanie do dnia podanego w ust. 15, mogą być wciąż wprowadzane do obrotu i używane do dnia … [podać datę przypadającą na pierwszy dzień sześćdziesiątego pierwszego miesiąca kalendarzowego następującego po ogłoszeniu niniejszego rozporządzenia] r.”</w:t>
      </w:r>
    </w:p>
    <w:p w14:paraId="6DD6BE05" w14:textId="1E96CDA2" w:rsidR="00C86A55" w:rsidRPr="00D43FA1" w:rsidRDefault="00D43FA1" w:rsidP="00D43FA1">
      <w:pPr>
        <w:pStyle w:val="ArtikelBezeichner"/>
        <w:numPr>
          <w:ilvl w:val="0"/>
          <w:numId w:val="0"/>
        </w:numPr>
        <w:ind w:left="720" w:hanging="720"/>
      </w:pPr>
      <w:r>
        <w:t xml:space="preserve">Artykuł 2</w:t>
      </w:r>
    </w:p>
    <w:p w14:paraId="6244BBAD" w14:textId="77777777" w:rsidR="00C86A55" w:rsidRPr="00D43FA1" w:rsidRDefault="000B2DB8" w:rsidP="00C86A55">
      <w:pPr>
        <w:pStyle w:val="Artikelberschrift"/>
      </w:pPr>
      <w:r>
        <w:t xml:space="preserve">Zezwolenie na ogłoszenie</w:t>
      </w:r>
    </w:p>
    <w:p w14:paraId="01E0D16A" w14:textId="3D86B3E2" w:rsidR="00C86A55" w:rsidRPr="00D43FA1" w:rsidRDefault="00C86A55" w:rsidP="00B643B8">
      <w:pPr>
        <w:pStyle w:val="JuristischerAbsatznichtnummeriert"/>
      </w:pPr>
      <w:r>
        <w:t xml:space="preserve">Federalne Ministerstwo Żywności i Rolnictwa może ogłosić w Federalnym Dzienniku Ustaw brzmienie rozporządzenia w sprawie artykułów użytkowych w ujęciu obowiązującym od dnia … [podać dzień wejścia w życie niniejszego rozporządzenia] r.</w:t>
      </w:r>
    </w:p>
    <w:p w14:paraId="28CE82C3" w14:textId="25904053" w:rsidR="006444D5" w:rsidRPr="00D43FA1" w:rsidRDefault="00D43FA1" w:rsidP="00D43FA1">
      <w:pPr>
        <w:pStyle w:val="ArtikelBezeichner"/>
        <w:numPr>
          <w:ilvl w:val="0"/>
          <w:numId w:val="0"/>
        </w:numPr>
      </w:pPr>
      <w:r>
        <w:t xml:space="preserve">Artykuł 3</w:t>
      </w:r>
    </w:p>
    <w:p w14:paraId="157B2F9D" w14:textId="77777777" w:rsidR="006444D5" w:rsidRPr="00D43FA1" w:rsidRDefault="006444D5" w:rsidP="00612652">
      <w:pPr>
        <w:pStyle w:val="Artikelberschrift"/>
      </w:pPr>
      <w:r>
        <w:rPr>
          <w:rStyle w:val="Marker"/>
          <w:color w:val="auto"/>
        </w:rPr>
        <w:t xml:space="preserve">Wejście w życie</w:t>
      </w:r>
    </w:p>
    <w:p w14:paraId="31DE4A11" w14:textId="77777777" w:rsidR="006444D5" w:rsidRPr="00D43FA1" w:rsidRDefault="00C86A55" w:rsidP="00612652">
      <w:pPr>
        <w:pStyle w:val="JuristischerAbsatznichtnummeriert"/>
      </w:pPr>
      <w:r>
        <w:rPr>
          <w:rStyle w:val="Marker"/>
          <w:color w:val="auto"/>
        </w:rPr>
        <w:t xml:space="preserve">Niniejsze rozporządzenie wchodzi w życie w dniu następującym po jego ogłoszeniu.</w:t>
      </w:r>
    </w:p>
    <w:p w14:paraId="37CC3236" w14:textId="77777777" w:rsidR="006444D5" w:rsidRPr="00D43FA1" w:rsidRDefault="006444D5" w:rsidP="006444D5">
      <w:pPr>
        <w:pStyle w:val="Schlussformel"/>
        <w:rPr>
          <w:rStyle w:val="Marker"/>
          <w:color w:val="auto"/>
        </w:rPr>
      </w:pPr>
      <w:r>
        <w:rPr>
          <w:rStyle w:val="Marker"/>
          <w:color w:val="auto"/>
        </w:rPr>
        <w:t xml:space="preserve">Bundesrat wyraził zgodę na te przepisy.</w:t>
      </w:r>
    </w:p>
    <w:p w14:paraId="2FAF18C3" w14:textId="5D4D10CB" w:rsidR="00646A3B" w:rsidRPr="00D43FA1" w:rsidRDefault="001B10CC" w:rsidP="00646A3B">
      <w:pPr>
        <w:pStyle w:val="OrtDatum"/>
      </w:pPr>
      <w:r>
        <w:t xml:space="preserve">Bonn, dnia…..2020 r.</w:t>
      </w:r>
    </w:p>
    <w:p w14:paraId="6B55ADD4" w14:textId="5958D35B" w:rsidR="00646A3B" w:rsidRPr="00D43FA1" w:rsidRDefault="00646A3B" w:rsidP="00646A3B">
      <w:pPr>
        <w:pStyle w:val="Organisation"/>
        <w:rPr>
          <w:spacing w:val="0"/>
        </w:rPr>
      </w:pPr>
    </w:p>
    <w:p w14:paraId="50FA98AC" w14:textId="24B1EF63" w:rsidR="00646A3B" w:rsidRPr="00D43FA1" w:rsidRDefault="00646A3B" w:rsidP="00646A3B">
      <w:pPr>
        <w:pStyle w:val="Organisation"/>
        <w:rPr>
          <w:spacing w:val="0"/>
        </w:rPr>
      </w:pPr>
      <w:r>
        <w:t xml:space="preserve">Federalna Minister</w:t>
      </w:r>
      <w:r>
        <w:t xml:space="preserve"> </w:t>
      </w:r>
    </w:p>
    <w:p w14:paraId="38BFE5A9" w14:textId="2AF85087" w:rsidR="00646A3B" w:rsidRPr="00D43FA1" w:rsidRDefault="00646A3B" w:rsidP="00646A3B">
      <w:pPr>
        <w:pStyle w:val="Organisation"/>
        <w:rPr>
          <w:spacing w:val="0"/>
        </w:rPr>
      </w:pPr>
      <w:r>
        <w:t xml:space="preserve">Żywności i Rolnictwa</w:t>
      </w:r>
    </w:p>
    <w:p w14:paraId="390D4D95" w14:textId="18482467" w:rsidR="006444D5" w:rsidRPr="00D43FA1" w:rsidRDefault="006444D5" w:rsidP="00D43FA1">
      <w:pPr>
        <w:pStyle w:val="BegrndungTitel"/>
        <w:keepLines/>
        <w:pageBreakBefore/>
      </w:pPr>
      <w:r>
        <w:t xml:space="preserve">Uzasadnienie</w:t>
      </w:r>
    </w:p>
    <w:p w14:paraId="4E661150" w14:textId="77777777" w:rsidR="006444D5" w:rsidRPr="00D43FA1" w:rsidRDefault="006444D5" w:rsidP="00D43FA1">
      <w:pPr>
        <w:pStyle w:val="BegrndungAllgemeinerTeil"/>
        <w:keepLines/>
      </w:pPr>
      <w:r>
        <w:t xml:space="preserve">A. Część ogólna</w:t>
      </w:r>
    </w:p>
    <w:p w14:paraId="3CB30F24" w14:textId="77777777" w:rsidR="006444D5" w:rsidRPr="00D43FA1" w:rsidRDefault="006444D5" w:rsidP="00D43FA1">
      <w:pPr>
        <w:pStyle w:val="berschriftrmischBegrndung"/>
        <w:keepLines/>
      </w:pPr>
      <w:r>
        <w:t xml:space="preserve">Cel i konieczność stworzenia regulacji</w:t>
      </w:r>
    </w:p>
    <w:p w14:paraId="3C58B331" w14:textId="65DA7301" w:rsidR="00CB5E99" w:rsidRPr="00D43FA1" w:rsidRDefault="00CB5E99" w:rsidP="00CB5E99">
      <w:pPr>
        <w:pStyle w:val="Text"/>
      </w:pPr>
      <w:r>
        <w:t xml:space="preserve">Żywność może być zanieczyszczona olejem mineralnym, jak pokazały m.in. badania prowadzone w ramach projektu badawczego wspieranego przez Federalne Ministerstwo Żywności i Rolnictwa (Wielkość migracji niepożądanych substancji z materiałów opakowaniowych z makulatury do żywności – raport specjalny dotyczący analizy „119 środków spożywczych” pod kątem niepożądanych substancji z makulatury, numer grantu 2809HS012).</w:t>
      </w:r>
      <w:r>
        <w:t xml:space="preserve"> </w:t>
      </w:r>
      <w:r>
        <w:t xml:space="preserve">Istotną przyczyną tego są, obok innych źródeł przenikania, również opakowania do żywności z papieru, tektury lub kartonu, w szczególności z papieru recyklingowego.</w:t>
      </w:r>
      <w:r>
        <w:t xml:space="preserve"> </w:t>
      </w:r>
    </w:p>
    <w:p w14:paraId="31DF33D8" w14:textId="77777777" w:rsidR="00CB5E99" w:rsidRPr="00D43FA1" w:rsidRDefault="00CB5E99" w:rsidP="00CB5E99">
      <w:pPr>
        <w:pStyle w:val="Text"/>
      </w:pPr>
      <w:r>
        <w:t xml:space="preserve">Olej mineralny może poprzez odzysk makulatury przeniknąć do papieru recyklingowego.</w:t>
      </w:r>
      <w:r>
        <w:t xml:space="preserve"> </w:t>
      </w:r>
      <w:r>
        <w:t xml:space="preserve">Papier recyklingowy zawiera materiał włóknisty pozyskiwany z makulatury (tzw. materiał makulaturowy).</w:t>
      </w:r>
      <w:r>
        <w:t xml:space="preserve"> </w:t>
      </w:r>
      <w:r>
        <w:t xml:space="preserve">Materiał makulaturowy składa się przeważnie z gazet, czasopism, katalogów i innych papierów graficznych oraz z papierów opakowaniowych.</w:t>
      </w:r>
      <w:r>
        <w:t xml:space="preserve"> </w:t>
      </w:r>
      <w:r>
        <w:t xml:space="preserve">Do drukowania na tych papierach używane są farby drukarskie, które zależnie od metody druku i zakresu stosowania zawierają również olej mineralny.</w:t>
      </w:r>
    </w:p>
    <w:p w14:paraId="5AD4C587" w14:textId="1F6D1D80" w:rsidR="00CB5E99" w:rsidRPr="00D43FA1" w:rsidRDefault="00CB5E99" w:rsidP="00CB5E99">
      <w:pPr>
        <w:pStyle w:val="Text"/>
      </w:pPr>
      <w:r>
        <w:t xml:space="preserve">Olej mineralny jest pozyskiwany z ropy naftowej i stanowi złożoną mieszankę, która składa się głównie z węglowodorów nasyconych (łańcuchowych i pierścieniowych) oraz aromatycznych (zazwyczaj alkilowych).</w:t>
      </w:r>
      <w:r>
        <w:t xml:space="preserve"> </w:t>
      </w:r>
      <w:r>
        <w:t xml:space="preserve">W żywności stwierdzono po części znaczne ilości węglowodorów oleju mineralnego.</w:t>
      </w:r>
      <w:r>
        <w:t xml:space="preserve"> </w:t>
      </w:r>
      <w:r>
        <w:t xml:space="preserve">Zawarte są w niej również węglowodory aromatyczne oleju mineralnego (MOAH).</w:t>
      </w:r>
      <w:r>
        <w:t xml:space="preserve"> </w:t>
      </w:r>
      <w:r>
        <w:t xml:space="preserve">Wchłanianie MOAH powinno zdaniem Federalnego Instytutu Oceny Ryzyka (BfR) zostać zmniejszone do minimum (np. opinia BfR nr 008/2010, informacja prasowa BfR 41/2012, BfR-FAQ z 30 listopada 2012/26 listopada 2015 r.), ponieważ nie można wykluczyć, że wśród MOAH znajdują się substancje, które już w najmniejszych ilościach mogą powodować szkody dla zdrowia, jak np. raka.</w:t>
      </w:r>
      <w:r>
        <w:t xml:space="preserve"> </w:t>
      </w:r>
      <w:r>
        <w:t xml:space="preserve">Również Europejski Urząd ds. Bezpieczeństwa Żywności (EFSA) w swojej opinii z dnia 3 maja 2012 r. (EFSA Journal 2012;10(6):2704) wyraził wątpliwości w odniesieniu do ekspozycji na MOAH z uwagi na możliwe działanie rakotwórcze.</w:t>
      </w:r>
      <w:r>
        <w:t xml:space="preserve"> </w:t>
      </w:r>
      <w:r>
        <w:t xml:space="preserve">EFSA stwierdził poza tym, że opakowania do żywności oparte na materiale makulaturowym mogą w znacznym stopniu przyczyniać się do ekspozycji żywności na węglowodory oleju mineralnego.</w:t>
      </w:r>
    </w:p>
    <w:p w14:paraId="2FAAA0A3" w14:textId="77777777" w:rsidR="00612652" w:rsidRPr="007E01A6" w:rsidRDefault="00612652">
      <w:pPr>
        <w:pStyle w:val="Text"/>
      </w:pPr>
      <w:r>
        <w:t xml:space="preserve">Niniejszym rozporządzeniem znacznie poprawiona ma zostać ochrona konsumentów przed możliwymi zagrożeniami dla zdrowia ze strony przeznaczonych do kontaktu z żywnością artykułów użytkowych z papieru, tektury lub kartonu, które są produkowane z wykorzystaniem materiału makulaturowego i z których MOAH mogą przenosić się na żywność.</w:t>
      </w:r>
    </w:p>
    <w:p w14:paraId="3FE169D4" w14:textId="0217AD32" w:rsidR="006444D5" w:rsidRPr="00D43FA1" w:rsidRDefault="006444D5">
      <w:pPr>
        <w:pStyle w:val="berschriftrmischBegrndung"/>
      </w:pPr>
      <w:r>
        <w:t xml:space="preserve">Istotna treść</w:t>
      </w:r>
    </w:p>
    <w:p w14:paraId="45A5B0F9" w14:textId="2B0307C3" w:rsidR="00F04D45" w:rsidRPr="007E01A6" w:rsidRDefault="00F04D45">
      <w:pPr>
        <w:pStyle w:val="Text"/>
        <w:rPr>
          <w:szCs w:val="24"/>
        </w:rPr>
      </w:pPr>
      <w:r>
        <w:t xml:space="preserve">Niniejszym rozporządzeniem ograniczone w jak największym stopniu ma zostać przenoszenie się MOAH na żywność z przeznaczonych do kontaktu z nią artykułów użytkowych z papieru, tektury lub kartonu, wyprodukowanych z wykorzystaniem materiału makulaturowego.</w:t>
      </w:r>
      <w:r>
        <w:t xml:space="preserve"> </w:t>
      </w:r>
      <w:r>
        <w:t xml:space="preserve">Stosowną możliwością dokonania takiego ograniczenia jest bariera funkcjonalna.</w:t>
      </w:r>
      <w:r>
        <w:t xml:space="preserve"> </w:t>
      </w:r>
      <w:r>
        <w:t xml:space="preserve">Z tego powodu ustanawiany jest zasadniczy obowiązek wyposażenia w taką barierę funkcjonalną odnośnych artykułów użytkowych przeznaczonych do kontaktu z żywnością.</w:t>
      </w:r>
      <w:r>
        <w:t xml:space="preserve"> </w:t>
      </w:r>
      <w:r>
        <w:t xml:space="preserve">Funkcjonalność bariery jest ustalana zgodnie z niniejszym rozporządzeniem przez granicę wykrywalności wynoszącą 0,5 miligrama MOAH na kilogram żywności dla przenoszenia się z artykułu użytkowego przeznaczonego do kontaktu z żywnością.</w:t>
      </w:r>
      <w:r>
        <w:t xml:space="preserve"> </w:t>
      </w:r>
      <w:r>
        <w:t xml:space="preserve">Podczas badania w płynach modelowych imitujących żywność obowiązuje granica wykrywalności wynosząca 0,15 miligrama MOAH na kilogram płynu.</w:t>
      </w:r>
      <w:r>
        <w:t xml:space="preserve"> </w:t>
      </w:r>
      <w:r>
        <w:t xml:space="preserve">Spoczywający na producencie artykułów użytkowych przeznaczonych do kontaktu z żywnością bądź podmiocie wprowadzającym je do obrotu obowiązek wyposażenia tych artykułów w barierę funkcjonalną nie zachodzi jednak, jeżeli podmiot prowadzący przedsiębiorstwo spożywcze, który nabywa taki artykuł, przed dostawą oświadczy producentowi lub podmiotowi wprowadzającemu do obrotu, że rezygnuje z bariery funkcjonalnej.</w:t>
      </w:r>
      <w:r>
        <w:t xml:space="preserve"> </w:t>
      </w:r>
      <w:r>
        <w:t xml:space="preserve">W tym przypadku podmiot prowadzący przedsiębiorstwo spożywcze musi podjąć właściwe środki zapewniające, że nie będzie miało miejsca przenoszenie się MOAH na żywność, chyba że istnieją specjalne warunki, np. w odniesieniu do właściwości żywności, które uniemożliwiają przenoszenie się MOAH na żywność.</w:t>
      </w:r>
      <w:r>
        <w:t xml:space="preserve"> </w:t>
      </w:r>
      <w:r>
        <w:t xml:space="preserve">Obowiązek wyposażenia artykułów użytkowych przeznaczonych do kontaktu z żywnością w barierę funkcjonalną nie ma zachodzi również, jeżeli ich producent bądź podmiot wprowadzający je do obrotu może w inny sposób niż przez zastosowanie bariery funkcjonalnej zapewnić uniemożliwienie przenoszenia się MOAH na żywność.</w:t>
      </w:r>
      <w:r>
        <w:t xml:space="preserve"> </w:t>
      </w:r>
      <w:r>
        <w:t xml:space="preserve">Może mieć to miejsce np. wtedy, gdy zawartość MOAH w samym papierze, w tekturze lub w kartonie jest już tak mała, że nie następuje przenoszenie się MOAH na żywność powyżej granicy wykrywalności.</w:t>
      </w:r>
    </w:p>
    <w:p w14:paraId="00831AD3" w14:textId="77777777" w:rsidR="006444D5" w:rsidRPr="00D43FA1" w:rsidRDefault="006444D5">
      <w:pPr>
        <w:pStyle w:val="berschriftrmischBegrndung"/>
      </w:pPr>
      <w:r>
        <w:t xml:space="preserve">Alternatywy</w:t>
      </w:r>
    </w:p>
    <w:p w14:paraId="40A8C660" w14:textId="77777777" w:rsidR="00CB5E99" w:rsidRPr="00D43FA1" w:rsidRDefault="00E53816" w:rsidP="00CB5E99">
      <w:pPr>
        <w:pStyle w:val="Text"/>
      </w:pPr>
      <w:r>
        <w:t xml:space="preserve">Brak.</w:t>
      </w:r>
      <w:r>
        <w:t xml:space="preserve"> </w:t>
      </w:r>
      <w:r>
        <w:t xml:space="preserve">Do zagwarantowania ochrony zdrowia konsumentów i jednolitej realizacji wymagane są odpowiednie wytyczne prawne i wiążące stosowanie granicy wykrywalności MOAH w żywności.</w:t>
      </w:r>
      <w:r>
        <w:t xml:space="preserve"> </w:t>
      </w:r>
    </w:p>
    <w:p w14:paraId="25CF33C9" w14:textId="77777777" w:rsidR="00F279DE" w:rsidRPr="00D43FA1" w:rsidRDefault="00F279DE">
      <w:pPr>
        <w:pStyle w:val="berschriftrmischBegrndung"/>
      </w:pPr>
      <w:r>
        <w:t xml:space="preserve">Kompetencja ustawodawcza</w:t>
      </w:r>
    </w:p>
    <w:p w14:paraId="19025BF8" w14:textId="613F8FF1" w:rsidR="00F279DE" w:rsidRPr="00D43FA1" w:rsidRDefault="007525FC" w:rsidP="00F279DE">
      <w:pPr>
        <w:pStyle w:val="Text"/>
      </w:pPr>
      <w:r>
        <w:t xml:space="preserve">Federalne Ministerstwo Żywności i Rolnictwa jest na mocy § 31 ust. 2 zdanie pierwsze pkt 2 kodeksu środków spożywczych, artykułów użytkowych i pasz (LFGB), także w związku z § 4 ust. 2 pkt 2, i § 46 ust. 2 zdanie pierwsze pkt 1 lit. a) kodeksu LFGB, oraz § 34 zdanie pierwsze pkt 2, także w związku z § 4 ust. 2 pkt 2 kodeksu LFGB, upoważniane do wydania niniejszej regulacji.</w:t>
      </w:r>
    </w:p>
    <w:p w14:paraId="0A8F0A8B" w14:textId="77777777" w:rsidR="00CD79FA" w:rsidRPr="00D43FA1" w:rsidRDefault="00CD79FA">
      <w:pPr>
        <w:pStyle w:val="berschriftrmischBegrndung"/>
      </w:pPr>
      <w:r>
        <w:t xml:space="preserve">Zgodność z prawem Unii Europejskiej i umowami prawa międzynarodowego</w:t>
      </w:r>
    </w:p>
    <w:p w14:paraId="2C943AFB" w14:textId="0C4761B7" w:rsidR="00CD79FA" w:rsidRPr="00D43FA1" w:rsidRDefault="00CD79FA" w:rsidP="00CD79FA">
      <w:pPr>
        <w:pStyle w:val="Text"/>
      </w:pPr>
      <w:r>
        <w:t xml:space="preserve">Prawo unijne w zakresie artykułów użytkowych przeznaczonych do kontaktu z żywnością nie jest jak dotąd całkowicie zharmonizowane.</w:t>
      </w:r>
      <w:r>
        <w:t xml:space="preserve"> </w:t>
      </w:r>
      <w:r>
        <w:t xml:space="preserve">Rozporządzenie (WE) nr 1935/2004 przewiduje wprawdzie wymagania ogólne,</w:t>
      </w:r>
      <w:r>
        <w:t xml:space="preserve"> </w:t>
      </w:r>
      <w:r>
        <w:t xml:space="preserve">jednak szczególne środki prawne istnieją jak dotąd tylko dla pojedynczych grup materiałów.</w:t>
      </w:r>
      <w:r>
        <w:t xml:space="preserve"> </w:t>
      </w:r>
      <w:r>
        <w:t xml:space="preserve">Art. 6 rozporządzenia (WE) nr 1935/2004 pozwala państwom członkowskim UE na utrzymanie lub wydanie przepisów krajowych dla takich grup materiałów i artykułów, dla których na szczeblu UE nie podjęto do tej pory środków szczególnych.</w:t>
      </w:r>
      <w:r>
        <w:t xml:space="preserve"> </w:t>
      </w:r>
      <w:r>
        <w:t xml:space="preserve">Dla przeznaczonych do kontaktu z żywnością artykułów użytkowych z papieru, tektury lub kartonu – zarówno z włókna pierwotnego, jak i z materiału makulaturowego – nie istnieją takie unijne środki szczególne.</w:t>
      </w:r>
      <w:r>
        <w:t xml:space="preserve"> </w:t>
      </w:r>
      <w:r>
        <w:t xml:space="preserve">Zgodność z prawem Unii jest zapewniona pod tym względem.</w:t>
      </w:r>
      <w:r>
        <w:t xml:space="preserve"> </w:t>
      </w:r>
      <w:r>
        <w:t xml:space="preserve">Umowy międzynarodowe nie są naruszone.</w:t>
      </w:r>
    </w:p>
    <w:p w14:paraId="4DA789C5" w14:textId="77777777" w:rsidR="006444D5" w:rsidRPr="00D43FA1" w:rsidRDefault="006444D5">
      <w:pPr>
        <w:pStyle w:val="berschriftrmischBegrndung"/>
      </w:pPr>
      <w:r>
        <w:t xml:space="preserve">Skutki prawne</w:t>
      </w:r>
    </w:p>
    <w:p w14:paraId="2F5D3B8F" w14:textId="77777777" w:rsidR="009809AB" w:rsidRPr="00D43FA1" w:rsidRDefault="009809AB">
      <w:pPr>
        <w:pStyle w:val="berschriftarabischBegrndung"/>
      </w:pPr>
      <w:r>
        <w:t xml:space="preserve">Uproszczenie prawa i procedur administracyjnych</w:t>
      </w:r>
    </w:p>
    <w:p w14:paraId="26C2B37E" w14:textId="16E58B47" w:rsidR="009809AB" w:rsidRPr="00D43FA1" w:rsidRDefault="009809AB" w:rsidP="009809AB">
      <w:pPr>
        <w:pStyle w:val="Text"/>
      </w:pPr>
      <w:r>
        <w:t xml:space="preserve">Uproszczenie lub uchylenie regulacji nie jest przewidziane przez niniejsze rozporządzenie.</w:t>
      </w:r>
      <w:r>
        <w:t xml:space="preserve"> </w:t>
      </w:r>
      <w:r>
        <w:t xml:space="preserve">Ujednolicane są jednak wymagania dotyczące zapobiegania przenoszeniu się MOAH z przeznaczonych do kontaktu z żywnością artykułów użytkowych z papieru, tektury lub kartonu z zawartością materiału makulaturowego i znacznie zwiększana jest przez to pewność prawa zarówno dla właściwych organów krajów związkowych, jak i dla zainteresowanych przedsiębiorstw.</w:t>
      </w:r>
      <w:r>
        <w:t xml:space="preserve"> </w:t>
      </w:r>
    </w:p>
    <w:p w14:paraId="166CBABF" w14:textId="77777777" w:rsidR="006444D5" w:rsidRPr="00D43FA1" w:rsidRDefault="006444D5">
      <w:pPr>
        <w:pStyle w:val="berschriftarabischBegrndung"/>
      </w:pPr>
      <w:r>
        <w:t xml:space="preserve">Aspekty dotyczące zrównoważonego rozwoju</w:t>
      </w:r>
    </w:p>
    <w:p w14:paraId="64450049" w14:textId="6C431023" w:rsidR="00612652" w:rsidRPr="00D43FA1" w:rsidRDefault="00B269E6">
      <w:pPr>
        <w:pStyle w:val="Text"/>
      </w:pPr>
      <w:r>
        <w:t xml:space="preserve">Dokonano oceny wpływu na zrównoważony rozwój zgodnie z § 44 ust. 1 zdanie czwarte wspólnego regulaminu wewnętrznego ministerstw federalnych (GGO).</w:t>
      </w:r>
      <w:r>
        <w:t xml:space="preserve"> </w:t>
      </w:r>
      <w:r>
        <w:t xml:space="preserve">Niniejsze regulacje są trwale zrównoważone w rozumieniu strategii Niemiec na rzecz zrównoważonego rozwoju.</w:t>
      </w:r>
      <w:r>
        <w:t xml:space="preserve"> </w:t>
      </w:r>
      <w:r>
        <w:t xml:space="preserve">Istotny jest w szczególności globalny cel zrównoważonego rozwoju nr 3</w:t>
      </w:r>
      <w:r>
        <w:t xml:space="preserve"> </w:t>
      </w:r>
      <w:r>
        <w:t xml:space="preserve">„Zapewnić wszystkim ludziom w każdym wieku zdrowego życie oraz promować dobrobyt”.</w:t>
      </w:r>
      <w:r>
        <w:t xml:space="preserve"> </w:t>
      </w:r>
      <w:r>
        <w:t xml:space="preserve">Ponadto uwzględnia się zasadę zrównoważonego rozwoju nr 3) b) „Zapobiegać zagrożeniom i niedopuszczalnemu ryzyku dla zdrowia człowieka”.</w:t>
      </w:r>
      <w:r>
        <w:t xml:space="preserve"> </w:t>
      </w:r>
      <w:r>
        <w:t xml:space="preserve">Poza tym wnoszony jest wkład w globalny cel nr 12 „Zapewnić wzorce zrównoważonej konsumpcji i produkcji”.</w:t>
      </w:r>
      <w:r>
        <w:t xml:space="preserve"> </w:t>
      </w:r>
      <w:r>
        <w:t xml:space="preserve">W celu zapewnienia zrównoważonego charakteru umożliwione zostanie w przyszłości również stosowanie materiałów pochodzących z recyklingu do produkcji przeznaczonych do kontaktu z żywnością artykułów użytkowych z papieru, tektury lub kartonu, o ile spełnione zostaną skonkretyzowane w niniejszym rozporządzeniu wymagania względem ochrony konsumentów.</w:t>
      </w:r>
      <w:r>
        <w:t xml:space="preserve"> </w:t>
      </w:r>
      <w:r>
        <w:t xml:space="preserve">Rozporządzenie gwarantuje, że konsumenci nie będą zatruwani składnikami oleju mineralnego z przeznaczonych do kontaktu z żywnością artykułów użytkowych z papieru, tektury lub kartonu, które zostały wyprodukowane z wykorzystaniem materiału makulaturowego.</w:t>
      </w:r>
      <w:r>
        <w:t xml:space="preserve"> </w:t>
      </w:r>
      <w:r>
        <w:t xml:space="preserve">Służy ono ochronie zdrowia konsumentów i przyczynia się przez to do zrównoważonego rozwoju.</w:t>
      </w:r>
      <w:r>
        <w:t xml:space="preserve"> </w:t>
      </w:r>
    </w:p>
    <w:p w14:paraId="4628D4A0" w14:textId="77777777" w:rsidR="006444D5" w:rsidRPr="00D43FA1" w:rsidRDefault="006444D5">
      <w:pPr>
        <w:pStyle w:val="berschriftarabischBegrndung"/>
      </w:pPr>
      <w:r>
        <w:t xml:space="preserve">Wydatki budżetowe bez kosztów realizacji</w:t>
      </w:r>
    </w:p>
    <w:p w14:paraId="2771CB61" w14:textId="77777777" w:rsidR="003923C4" w:rsidRPr="00D43FA1" w:rsidRDefault="00CB5E99">
      <w:pPr>
        <w:pStyle w:val="Text"/>
      </w:pPr>
      <w:r>
        <w:t xml:space="preserve">Budżety publiczne nie są obciążane przez wydatki budżetowe bez kosztów realizacji.</w:t>
      </w:r>
    </w:p>
    <w:p w14:paraId="53940621" w14:textId="77777777" w:rsidR="006444D5" w:rsidRPr="00D43FA1" w:rsidRDefault="006444D5" w:rsidP="0070360F">
      <w:pPr>
        <w:pStyle w:val="berschriftarabischBegrndung"/>
        <w:keepLines/>
      </w:pPr>
      <w:r>
        <w:t xml:space="preserve">Koszty realizacji</w:t>
      </w:r>
    </w:p>
    <w:p w14:paraId="70BBFB2C" w14:textId="77777777" w:rsidR="00D25113" w:rsidRPr="00D43FA1" w:rsidRDefault="00D25113" w:rsidP="0070360F">
      <w:pPr>
        <w:pStyle w:val="Text"/>
        <w:keepNext/>
        <w:keepLines/>
        <w:rPr>
          <w:u w:val="single"/>
        </w:rPr>
      </w:pPr>
      <w:r>
        <w:rPr>
          <w:u w:val="single"/>
        </w:rPr>
        <w:t xml:space="preserve">a) Koszty realizacji obciążające administrację</w:t>
      </w:r>
    </w:p>
    <w:p w14:paraId="769FC95B" w14:textId="77777777" w:rsidR="00612652" w:rsidRPr="00D43FA1" w:rsidRDefault="00612652" w:rsidP="0070360F">
      <w:pPr>
        <w:pStyle w:val="Text"/>
        <w:keepNext/>
        <w:keepLines/>
      </w:pPr>
      <w:r>
        <w:t xml:space="preserve">Dla administracji federalnej nie powstają dodatkowe koszty w związku z rozporządzeniem.</w:t>
      </w:r>
      <w:r>
        <w:t xml:space="preserve"> </w:t>
      </w:r>
    </w:p>
    <w:p w14:paraId="6AFCAA5B" w14:textId="77777777" w:rsidR="00AD0A9D" w:rsidRPr="00D43FA1" w:rsidRDefault="006A578D" w:rsidP="0070360F">
      <w:pPr>
        <w:pStyle w:val="Text"/>
        <w:keepNext/>
        <w:keepLines/>
      </w:pPr>
      <w:r>
        <w:t xml:space="preserve">W oparciu o informacje przekazane przez kraje związkowe stwierdza się, że dla ich administracji powstają z uwagi na dodatkowe czynności nadzorcze i kontrolne w związku z rozporządzeniem następujące dodatkowe koszty realizacji:</w:t>
      </w:r>
    </w:p>
    <w:tbl>
      <w:tblPr>
        <w:tblStyle w:val="TableGrid"/>
        <w:tblW w:w="0" w:type="auto"/>
        <w:tblLook w:val="04A0" w:firstRow="1" w:lastRow="0" w:firstColumn="1" w:lastColumn="0" w:noHBand="0" w:noVBand="1"/>
      </w:tblPr>
      <w:tblGrid>
        <w:gridCol w:w="4401"/>
        <w:gridCol w:w="4378"/>
      </w:tblGrid>
      <w:tr w:rsidR="00AD0A9D" w:rsidRPr="00D43FA1" w14:paraId="6E6BEC6C" w14:textId="77777777" w:rsidTr="007905CF">
        <w:tc>
          <w:tcPr>
            <w:tcW w:w="4464" w:type="dxa"/>
          </w:tcPr>
          <w:p w14:paraId="7A206076" w14:textId="77777777" w:rsidR="00AD0A9D" w:rsidRPr="00D43FA1" w:rsidRDefault="00E77C05" w:rsidP="007905CF">
            <w:pPr>
              <w:pStyle w:val="Text"/>
            </w:pPr>
            <w:r>
              <w:t xml:space="preserve">Jednorazowe koszty rzeczowe</w:t>
            </w:r>
          </w:p>
        </w:tc>
        <w:tc>
          <w:tcPr>
            <w:tcW w:w="4465" w:type="dxa"/>
          </w:tcPr>
          <w:p w14:paraId="4721955D" w14:textId="77777777" w:rsidR="00AD0A9D" w:rsidRPr="00D43FA1" w:rsidRDefault="00AD0A9D" w:rsidP="009969BE">
            <w:pPr>
              <w:pStyle w:val="Text"/>
              <w:jc w:val="left"/>
            </w:pPr>
            <w:r>
              <w:t xml:space="preserve">ok. 1 058 000 EUR</w:t>
            </w:r>
          </w:p>
        </w:tc>
      </w:tr>
      <w:tr w:rsidR="00AD0A9D" w:rsidRPr="00D43FA1" w14:paraId="7EA31554" w14:textId="77777777" w:rsidTr="007905CF">
        <w:tc>
          <w:tcPr>
            <w:tcW w:w="4464" w:type="dxa"/>
          </w:tcPr>
          <w:p w14:paraId="3D59CAB2" w14:textId="77777777" w:rsidR="00AD0A9D" w:rsidRPr="00D43FA1" w:rsidRDefault="00E77C05" w:rsidP="007905CF">
            <w:pPr>
              <w:pStyle w:val="Text"/>
            </w:pPr>
            <w:r>
              <w:t xml:space="preserve">Jednorazowe koszty osobowe</w:t>
            </w:r>
          </w:p>
        </w:tc>
        <w:tc>
          <w:tcPr>
            <w:tcW w:w="4465" w:type="dxa"/>
          </w:tcPr>
          <w:p w14:paraId="38C1D206" w14:textId="77777777" w:rsidR="00AD0A9D" w:rsidRPr="00D43FA1" w:rsidRDefault="00AD0A9D" w:rsidP="009969BE">
            <w:pPr>
              <w:pStyle w:val="Text"/>
              <w:jc w:val="left"/>
            </w:pPr>
            <w:r>
              <w:t xml:space="preserve">ok. 123 000 EUR</w:t>
            </w:r>
          </w:p>
        </w:tc>
      </w:tr>
      <w:tr w:rsidR="00AD0A9D" w:rsidRPr="00D43FA1" w14:paraId="1F558430" w14:textId="77777777" w:rsidTr="007905CF">
        <w:tc>
          <w:tcPr>
            <w:tcW w:w="4464" w:type="dxa"/>
          </w:tcPr>
          <w:p w14:paraId="51763FF6" w14:textId="77777777" w:rsidR="00AD0A9D" w:rsidRPr="00D43FA1" w:rsidRDefault="00E77C05" w:rsidP="007905CF">
            <w:pPr>
              <w:pStyle w:val="Text"/>
            </w:pPr>
            <w:r>
              <w:t xml:space="preserve">Roczne koszty rzeczowe</w:t>
            </w:r>
          </w:p>
        </w:tc>
        <w:tc>
          <w:tcPr>
            <w:tcW w:w="4465" w:type="dxa"/>
          </w:tcPr>
          <w:p w14:paraId="4080915D" w14:textId="77777777" w:rsidR="00AD0A9D" w:rsidRPr="00D43FA1" w:rsidRDefault="00AD0A9D" w:rsidP="009969BE">
            <w:pPr>
              <w:pStyle w:val="Text"/>
              <w:jc w:val="left"/>
            </w:pPr>
            <w:r>
              <w:t xml:space="preserve">ok. 80 000 EUR</w:t>
            </w:r>
          </w:p>
        </w:tc>
      </w:tr>
      <w:tr w:rsidR="00AD0A9D" w:rsidRPr="00D43FA1" w14:paraId="525A416D" w14:textId="77777777" w:rsidTr="007905CF">
        <w:tc>
          <w:tcPr>
            <w:tcW w:w="4464" w:type="dxa"/>
          </w:tcPr>
          <w:p w14:paraId="2EBCF264" w14:textId="77777777" w:rsidR="00AD0A9D" w:rsidRPr="00D43FA1" w:rsidRDefault="00E77C05" w:rsidP="007905CF">
            <w:pPr>
              <w:pStyle w:val="Text"/>
            </w:pPr>
            <w:r>
              <w:t xml:space="preserve">Roczne koszty osobowe</w:t>
            </w:r>
          </w:p>
        </w:tc>
        <w:tc>
          <w:tcPr>
            <w:tcW w:w="4465" w:type="dxa"/>
          </w:tcPr>
          <w:p w14:paraId="21ABAEB6" w14:textId="77777777" w:rsidR="00AD0A9D" w:rsidRPr="00D43FA1" w:rsidRDefault="00AD0A9D" w:rsidP="000636B3">
            <w:pPr>
              <w:pStyle w:val="Text"/>
              <w:jc w:val="left"/>
            </w:pPr>
            <w:r>
              <w:t xml:space="preserve">ok. 292 000 EUR</w:t>
            </w:r>
          </w:p>
        </w:tc>
      </w:tr>
    </w:tbl>
    <w:p w14:paraId="6B8CCD1C" w14:textId="77777777" w:rsidR="00E6133B" w:rsidRPr="00D43FA1" w:rsidRDefault="00E6133B" w:rsidP="00612652">
      <w:pPr>
        <w:pStyle w:val="Text"/>
      </w:pPr>
      <w:r>
        <w:t xml:space="preserve">Wynikają z tego przeciętne jednorazowe koszty realizacji w wysokości 236 200 euro i przeciętne roczne koszty realizacji w wysokości 74 400 euro.</w:t>
      </w:r>
      <w:r>
        <w:t xml:space="preserve"> </w:t>
      </w:r>
    </w:p>
    <w:p w14:paraId="525979E7" w14:textId="108FCA64" w:rsidR="00891D8C" w:rsidRPr="007E01A6" w:rsidRDefault="007C7B00" w:rsidP="00E24BD3">
      <w:pPr>
        <w:pStyle w:val="Text"/>
      </w:pPr>
      <w:r>
        <w:t xml:space="preserve">Koszty te składają się z poniższych pozycji stosownie do podanych niżej indywidualnych informacji z krajów związkowych.</w:t>
      </w:r>
      <w:r>
        <w:t xml:space="preserve"> </w:t>
      </w:r>
      <w:r>
        <w:t xml:space="preserve">Nie wszystkie kraje związkowe zgłosiły wpływ na koszty spowodowany rozporządzeniem.</w:t>
      </w:r>
      <w:r>
        <w:t xml:space="preserve"> </w:t>
      </w:r>
      <w:r>
        <w:t xml:space="preserve">Może być to uzasadnione np. tym, że na razie nie są prowadzone odpowiednie badania lub odbywają się one we współpracy z innymi krajami związkowymi.</w:t>
      </w:r>
      <w:r>
        <w:t xml:space="preserve"> </w:t>
      </w:r>
    </w:p>
    <w:p w14:paraId="4DA66B7C" w14:textId="77777777" w:rsidR="007C7B00" w:rsidRPr="00D43FA1" w:rsidRDefault="007C7B00" w:rsidP="0070360F">
      <w:pPr>
        <w:pStyle w:val="Text"/>
        <w:keepNext/>
        <w:keepLines/>
        <w:tabs>
          <w:tab w:val="left" w:pos="0"/>
        </w:tabs>
        <w:spacing w:before="0" w:after="0"/>
        <w:rPr>
          <w:u w:val="single"/>
        </w:rPr>
      </w:pPr>
      <w:r>
        <w:rPr>
          <w:u w:val="single"/>
        </w:rPr>
        <w:t xml:space="preserve">Badenia-Wirtembergia:</w:t>
      </w:r>
    </w:p>
    <w:p w14:paraId="0476425A" w14:textId="77777777" w:rsidR="009969BE" w:rsidRPr="00D43FA1" w:rsidRDefault="009969BE" w:rsidP="0070360F">
      <w:pPr>
        <w:pStyle w:val="Text"/>
        <w:keepNext/>
        <w:keepLines/>
        <w:tabs>
          <w:tab w:val="left" w:pos="0"/>
        </w:tabs>
        <w:spacing w:before="0" w:after="0"/>
      </w:pPr>
    </w:p>
    <w:tbl>
      <w:tblPr>
        <w:tblStyle w:val="TableGrid"/>
        <w:tblW w:w="0" w:type="auto"/>
        <w:tblLook w:val="04A0" w:firstRow="1" w:lastRow="0" w:firstColumn="1" w:lastColumn="0" w:noHBand="0" w:noVBand="1"/>
      </w:tblPr>
      <w:tblGrid>
        <w:gridCol w:w="4380"/>
        <w:gridCol w:w="4399"/>
      </w:tblGrid>
      <w:tr w:rsidR="009969BE" w:rsidRPr="00D43FA1" w14:paraId="3386D9CF" w14:textId="77777777" w:rsidTr="0070360F">
        <w:tc>
          <w:tcPr>
            <w:tcW w:w="4464" w:type="dxa"/>
          </w:tcPr>
          <w:p w14:paraId="47DC230D" w14:textId="0F7E0FFB" w:rsidR="009969BE" w:rsidRPr="00D43FA1" w:rsidRDefault="009969BE" w:rsidP="00E24BD3">
            <w:pPr>
              <w:pStyle w:val="Text"/>
              <w:tabs>
                <w:tab w:val="left" w:pos="0"/>
              </w:tabs>
            </w:pPr>
            <w:r>
              <w:t xml:space="preserve">Jednorazowe koszty rzeczowe:</w:t>
            </w:r>
          </w:p>
        </w:tc>
        <w:tc>
          <w:tcPr>
            <w:tcW w:w="4465" w:type="dxa"/>
          </w:tcPr>
          <w:p w14:paraId="633997F1" w14:textId="77777777" w:rsidR="009969BE" w:rsidRPr="00D43FA1" w:rsidRDefault="000636B3" w:rsidP="000636B3">
            <w:pPr>
              <w:pStyle w:val="Text"/>
            </w:pPr>
            <w:r>
              <w:t xml:space="preserve">220 000 EUR (nabycie sprzętu)</w:t>
            </w:r>
            <w:r>
              <w:t xml:space="preserve"> </w:t>
            </w:r>
          </w:p>
        </w:tc>
      </w:tr>
      <w:tr w:rsidR="009969BE" w:rsidRPr="00D43FA1" w14:paraId="0B1C7BA1" w14:textId="77777777" w:rsidTr="0070360F">
        <w:tc>
          <w:tcPr>
            <w:tcW w:w="4464" w:type="dxa"/>
          </w:tcPr>
          <w:p w14:paraId="575EAB32" w14:textId="77777777" w:rsidR="009969BE" w:rsidRPr="00D43FA1" w:rsidRDefault="009969BE" w:rsidP="000636B3">
            <w:pPr>
              <w:pStyle w:val="Text"/>
              <w:tabs>
                <w:tab w:val="left" w:pos="0"/>
              </w:tabs>
            </w:pPr>
            <w:r>
              <w:t xml:space="preserve">Jednorazowe koszty osobowe:</w:t>
            </w:r>
            <w:r>
              <w:t xml:space="preserve"> </w:t>
            </w:r>
          </w:p>
        </w:tc>
        <w:tc>
          <w:tcPr>
            <w:tcW w:w="4465" w:type="dxa"/>
          </w:tcPr>
          <w:p w14:paraId="65DA8490" w14:textId="77777777" w:rsidR="009969BE" w:rsidRPr="00D43FA1" w:rsidRDefault="000636B3" w:rsidP="000636B3">
            <w:pPr>
              <w:pStyle w:val="Text"/>
              <w:tabs>
                <w:tab w:val="left" w:pos="0"/>
              </w:tabs>
              <w:jc w:val="left"/>
            </w:pPr>
            <w:r>
              <w:t xml:space="preserve">35 000 EUR (ustanowienie znormalizowanej analizy bez pomiaru próbek rutynowych)</w:t>
            </w:r>
          </w:p>
        </w:tc>
      </w:tr>
      <w:tr w:rsidR="009969BE" w:rsidRPr="00D43FA1" w14:paraId="55E9234D" w14:textId="77777777" w:rsidTr="0070360F">
        <w:tc>
          <w:tcPr>
            <w:tcW w:w="4464" w:type="dxa"/>
          </w:tcPr>
          <w:p w14:paraId="5EBF97DE" w14:textId="117BCA06" w:rsidR="009969BE" w:rsidRPr="00D43FA1" w:rsidRDefault="009969BE" w:rsidP="00E24BD3">
            <w:pPr>
              <w:pStyle w:val="Text"/>
              <w:tabs>
                <w:tab w:val="left" w:pos="0"/>
              </w:tabs>
            </w:pPr>
            <w:r>
              <w:t xml:space="preserve">Roczne koszty rzeczowe:</w:t>
            </w:r>
          </w:p>
        </w:tc>
        <w:tc>
          <w:tcPr>
            <w:tcW w:w="4465" w:type="dxa"/>
          </w:tcPr>
          <w:p w14:paraId="77320B51" w14:textId="77777777" w:rsidR="009969BE" w:rsidRPr="00D43FA1" w:rsidRDefault="009969BE" w:rsidP="000636B3">
            <w:pPr>
              <w:pStyle w:val="Text"/>
              <w:jc w:val="left"/>
            </w:pPr>
            <w:r>
              <w:t xml:space="preserve">ok. 10 000 EUR (oszacowanie) (konserwacja sprzętu, materiały eksploatacyjne, naprawy itd.)</w:t>
            </w:r>
          </w:p>
        </w:tc>
      </w:tr>
      <w:tr w:rsidR="009969BE" w:rsidRPr="00D43FA1" w14:paraId="5B2A82B8" w14:textId="77777777" w:rsidTr="0070360F">
        <w:tc>
          <w:tcPr>
            <w:tcW w:w="4464" w:type="dxa"/>
          </w:tcPr>
          <w:p w14:paraId="6BFC2AFE" w14:textId="76CDD47F" w:rsidR="009969BE" w:rsidRPr="00D43FA1" w:rsidRDefault="009969BE" w:rsidP="00E24BD3">
            <w:pPr>
              <w:pStyle w:val="Text"/>
              <w:tabs>
                <w:tab w:val="left" w:pos="0"/>
              </w:tabs>
            </w:pPr>
            <w:r>
              <w:t xml:space="preserve">Roczne koszty osobowe:</w:t>
            </w:r>
          </w:p>
        </w:tc>
        <w:tc>
          <w:tcPr>
            <w:tcW w:w="4465" w:type="dxa"/>
          </w:tcPr>
          <w:p w14:paraId="440A534D" w14:textId="6BDB973C" w:rsidR="000636B3" w:rsidRPr="00D43FA1" w:rsidRDefault="000636B3" w:rsidP="00E24BD3">
            <w:pPr>
              <w:contextualSpacing/>
              <w:jc w:val="left"/>
            </w:pPr>
            <w:r>
              <w:t xml:space="preserve">ok. 60 000 EUR (przy założeniu 50</w:t>
            </w:r>
            <w:r>
              <w:noBreakHyphen/>
            </w:r>
            <w:r>
              <w:t xml:space="preserve">procentowego zaangażowania asystenta chemiczno-technicznego lub kierownika laboratorium; rzeczywiste roczne koszty osobowe są zależne od rzeczywistej liczby próbek i faktycznego nakładu pracy na kontrolę dokumentów).</w:t>
            </w:r>
          </w:p>
        </w:tc>
      </w:tr>
    </w:tbl>
    <w:p w14:paraId="08E5AD35" w14:textId="2F20F6E7" w:rsidR="007C7B00" w:rsidRPr="00D43FA1" w:rsidRDefault="007C7B00" w:rsidP="009969BE">
      <w:pPr>
        <w:pStyle w:val="Text"/>
        <w:spacing w:before="0" w:after="0"/>
      </w:pPr>
    </w:p>
    <w:p w14:paraId="37B8C963" w14:textId="77777777" w:rsidR="00D43FA1" w:rsidRDefault="007C7B00" w:rsidP="00BE6637">
      <w:pPr>
        <w:pStyle w:val="ListParagraph"/>
        <w:ind w:left="0"/>
        <w:contextualSpacing/>
        <w:rPr>
          <w:sz w:val="22"/>
          <w:szCs w:val="22"/>
          <w:rFonts w:ascii="Arial" w:hAnsi="Arial" w:cs="Arial"/>
        </w:rPr>
      </w:pPr>
      <w:r>
        <w:rPr>
          <w:sz w:val="22"/>
          <w:szCs w:val="22"/>
          <w:rFonts w:ascii="Arial" w:hAnsi="Arial"/>
        </w:rPr>
        <w:t xml:space="preserve">Podane koszty obejmują nakłady na analizę i koszty kontroli jedynie części dokumentów w instytucji badawczej, ponieważ w zakresie produkcji i wprowadzania do obrotu artykułów użytkowych przeznaczonych do kontaktu z żywnością nie istnieje obowiązek rejestracji zakładów i nie są przez to dostępne kompletne dane dotyczące liczby producentów tych artykułów objętych rozporządzeniem i podmiotów wprowadzających je do obrotu.</w:t>
      </w:r>
      <w:r>
        <w:rPr>
          <w:sz w:val="22"/>
          <w:szCs w:val="22"/>
          <w:rFonts w:ascii="Arial" w:hAnsi="Arial"/>
        </w:rPr>
        <w:t xml:space="preserve"> </w:t>
      </w:r>
    </w:p>
    <w:p w14:paraId="2817F13E" w14:textId="50A3D1E9" w:rsidR="00BE6637" w:rsidRPr="00D43FA1" w:rsidRDefault="00BE6637" w:rsidP="00BE6637">
      <w:pPr>
        <w:pStyle w:val="ListParagraph"/>
        <w:ind w:left="0"/>
        <w:contextualSpacing/>
        <w:rPr>
          <w:rFonts w:ascii="Arial" w:hAnsi="Arial" w:cs="Arial"/>
          <w:sz w:val="22"/>
          <w:szCs w:val="22"/>
        </w:rPr>
      </w:pPr>
    </w:p>
    <w:p w14:paraId="151285E1" w14:textId="733E5B75" w:rsidR="007C7B00" w:rsidRPr="00D43FA1" w:rsidRDefault="007C7B00" w:rsidP="0070360F">
      <w:pPr>
        <w:pStyle w:val="Text"/>
        <w:keepNext/>
        <w:keepLines/>
        <w:spacing w:before="0" w:after="0"/>
        <w:rPr>
          <w:u w:val="single"/>
        </w:rPr>
      </w:pPr>
      <w:r>
        <w:rPr>
          <w:u w:val="single"/>
        </w:rPr>
        <w:t xml:space="preserve">Bawaria:</w:t>
      </w:r>
    </w:p>
    <w:p w14:paraId="02A6CCC7"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402"/>
        <w:gridCol w:w="4377"/>
      </w:tblGrid>
      <w:tr w:rsidR="00C27F02" w:rsidRPr="00D43FA1" w14:paraId="34B0347D" w14:textId="77777777" w:rsidTr="00C27F02">
        <w:tc>
          <w:tcPr>
            <w:tcW w:w="4464" w:type="dxa"/>
          </w:tcPr>
          <w:p w14:paraId="540A9F12" w14:textId="26DBDA32" w:rsidR="00C27F02" w:rsidRPr="00D43FA1" w:rsidRDefault="00C27F02" w:rsidP="00E24BD3">
            <w:pPr>
              <w:pStyle w:val="Text"/>
              <w:rPr>
                <w:u w:val="single"/>
              </w:rPr>
            </w:pPr>
            <w:r>
              <w:rPr>
                <w:color w:val="000000"/>
              </w:rPr>
              <w:t xml:space="preserve">Jednorazowe koszty rzeczowe:</w:t>
            </w:r>
          </w:p>
        </w:tc>
        <w:tc>
          <w:tcPr>
            <w:tcW w:w="4465" w:type="dxa"/>
          </w:tcPr>
          <w:p w14:paraId="368558E6" w14:textId="77777777" w:rsidR="000636B3" w:rsidRPr="00D43FA1" w:rsidRDefault="000636B3" w:rsidP="000636B3">
            <w:pPr>
              <w:pStyle w:val="Text"/>
              <w:rPr>
                <w:color w:val="000000"/>
              </w:rPr>
            </w:pPr>
            <w:r>
              <w:rPr>
                <w:color w:val="000000"/>
              </w:rPr>
              <w:t xml:space="preserve">ok. 200 000 EUR</w:t>
            </w:r>
            <w:r>
              <w:rPr>
                <w:color w:val="000000"/>
              </w:rPr>
              <w:t xml:space="preserve"> </w:t>
            </w:r>
          </w:p>
        </w:tc>
      </w:tr>
      <w:tr w:rsidR="00C27F02" w:rsidRPr="00D43FA1" w14:paraId="39092A00" w14:textId="77777777" w:rsidTr="00C27F02">
        <w:tc>
          <w:tcPr>
            <w:tcW w:w="4464" w:type="dxa"/>
          </w:tcPr>
          <w:p w14:paraId="66DA7D71" w14:textId="368D4C6E" w:rsidR="00C27F02" w:rsidRPr="00D43FA1" w:rsidRDefault="00C27F02" w:rsidP="00E24BD3">
            <w:pPr>
              <w:pStyle w:val="Text"/>
              <w:rPr>
                <w:u w:val="single"/>
              </w:rPr>
            </w:pPr>
            <w:r>
              <w:rPr>
                <w:color w:val="000000"/>
              </w:rPr>
              <w:t xml:space="preserve">Roczne koszty osobowe:</w:t>
            </w:r>
          </w:p>
        </w:tc>
        <w:tc>
          <w:tcPr>
            <w:tcW w:w="4465" w:type="dxa"/>
          </w:tcPr>
          <w:p w14:paraId="670B56AD" w14:textId="77777777" w:rsidR="000636B3" w:rsidRPr="00D43FA1" w:rsidRDefault="000636B3" w:rsidP="000636B3">
            <w:pPr>
              <w:pStyle w:val="Text"/>
              <w:rPr>
                <w:color w:val="000000"/>
              </w:rPr>
            </w:pPr>
            <w:r>
              <w:rPr>
                <w:color w:val="000000"/>
              </w:rPr>
              <w:t xml:space="preserve">ok. 72 000 EUR</w:t>
            </w:r>
            <w:r>
              <w:rPr>
                <w:color w:val="000000"/>
              </w:rPr>
              <w:t xml:space="preserve"> </w:t>
            </w:r>
          </w:p>
        </w:tc>
      </w:tr>
      <w:tr w:rsidR="00C27F02" w:rsidRPr="00D43FA1" w14:paraId="0687D805" w14:textId="77777777" w:rsidTr="00C27F02">
        <w:tc>
          <w:tcPr>
            <w:tcW w:w="4464" w:type="dxa"/>
          </w:tcPr>
          <w:p w14:paraId="2F9D2535" w14:textId="77777777" w:rsidR="00C27F02" w:rsidRPr="00D43FA1" w:rsidRDefault="00C27F02" w:rsidP="000636B3">
            <w:pPr>
              <w:pStyle w:val="Text"/>
              <w:rPr>
                <w:u w:val="single"/>
              </w:rPr>
            </w:pPr>
            <w:r>
              <w:rPr>
                <w:color w:val="000000"/>
              </w:rPr>
              <w:t xml:space="preserve">Roczne koszty rzeczowe:</w:t>
            </w:r>
            <w:r>
              <w:rPr>
                <w:color w:val="000000"/>
              </w:rPr>
              <w:t xml:space="preserve"> </w:t>
            </w:r>
          </w:p>
        </w:tc>
        <w:tc>
          <w:tcPr>
            <w:tcW w:w="4465" w:type="dxa"/>
          </w:tcPr>
          <w:p w14:paraId="3AA9289D" w14:textId="77777777" w:rsidR="000636B3" w:rsidRPr="00D43FA1" w:rsidRDefault="000636B3" w:rsidP="000636B3">
            <w:pPr>
              <w:pStyle w:val="Text"/>
              <w:rPr>
                <w:color w:val="000000"/>
              </w:rPr>
            </w:pPr>
            <w:r>
              <w:rPr>
                <w:color w:val="000000"/>
              </w:rPr>
              <w:t xml:space="preserve">ok. 10 000 EUR</w:t>
            </w:r>
            <w:r>
              <w:rPr>
                <w:color w:val="000000"/>
              </w:rPr>
              <w:t xml:space="preserve"> </w:t>
            </w:r>
          </w:p>
        </w:tc>
      </w:tr>
    </w:tbl>
    <w:p w14:paraId="2476E826" w14:textId="77777777" w:rsidR="00C27F02" w:rsidRPr="00D43FA1" w:rsidRDefault="00C27F02" w:rsidP="001D09DD">
      <w:pPr>
        <w:pStyle w:val="Text"/>
        <w:spacing w:before="0" w:after="0"/>
        <w:rPr>
          <w:u w:val="single"/>
        </w:rPr>
      </w:pPr>
    </w:p>
    <w:p w14:paraId="00B4B35B" w14:textId="77777777" w:rsidR="00042625" w:rsidRPr="00D43FA1" w:rsidRDefault="00042625" w:rsidP="0070360F">
      <w:pPr>
        <w:pStyle w:val="Text"/>
        <w:keepNext/>
        <w:keepLines/>
        <w:spacing w:before="0" w:after="0"/>
        <w:rPr>
          <w:u w:val="single"/>
        </w:rPr>
      </w:pPr>
      <w:r>
        <w:rPr>
          <w:u w:val="single"/>
        </w:rPr>
        <w:t xml:space="preserve">Dolna Saksonia:</w:t>
      </w:r>
    </w:p>
    <w:p w14:paraId="2F514A5B" w14:textId="77777777" w:rsidR="00042625" w:rsidRPr="00D43FA1" w:rsidRDefault="00042625"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74"/>
        <w:gridCol w:w="4405"/>
      </w:tblGrid>
      <w:tr w:rsidR="0092712D" w:rsidRPr="00D43FA1" w14:paraId="4A665A3C" w14:textId="77777777" w:rsidTr="0092712D">
        <w:tc>
          <w:tcPr>
            <w:tcW w:w="4464" w:type="dxa"/>
          </w:tcPr>
          <w:p w14:paraId="5C9E438C" w14:textId="77777777" w:rsidR="0092712D" w:rsidRPr="00D43FA1" w:rsidRDefault="0092712D" w:rsidP="001D09DD">
            <w:pPr>
              <w:pStyle w:val="Text"/>
              <w:spacing w:before="0" w:after="0"/>
              <w:rPr>
                <w:u w:val="single"/>
              </w:rPr>
            </w:pPr>
            <w:r>
              <w:t xml:space="preserve">Jednorazowe koszty rzeczowe:</w:t>
            </w:r>
            <w:r>
              <w:t xml:space="preserve"> </w:t>
            </w:r>
          </w:p>
        </w:tc>
        <w:tc>
          <w:tcPr>
            <w:tcW w:w="4465" w:type="dxa"/>
          </w:tcPr>
          <w:p w14:paraId="3E9249EF" w14:textId="7A6FADAD" w:rsidR="0092712D" w:rsidRPr="00D43FA1" w:rsidRDefault="0092712D" w:rsidP="00CB2B7C">
            <w:pPr>
              <w:spacing w:before="0" w:after="0"/>
              <w:jc w:val="left"/>
            </w:pPr>
            <w:r>
              <w:t xml:space="preserve">170 000 EUR (koszty sprzętu do sprzężenia HPLC-GC)</w:t>
            </w:r>
          </w:p>
          <w:p w14:paraId="0D2B1F8F" w14:textId="77777777" w:rsidR="0092712D" w:rsidRPr="00D43FA1" w:rsidRDefault="0092712D" w:rsidP="00CB2B7C">
            <w:pPr>
              <w:pStyle w:val="Text"/>
              <w:spacing w:before="0" w:after="0"/>
              <w:jc w:val="left"/>
              <w:rPr>
                <w:u w:val="single"/>
              </w:rPr>
            </w:pPr>
          </w:p>
        </w:tc>
      </w:tr>
      <w:tr w:rsidR="0092712D" w:rsidRPr="00D43FA1" w14:paraId="69EEBE27" w14:textId="77777777" w:rsidTr="0092712D">
        <w:tc>
          <w:tcPr>
            <w:tcW w:w="4464" w:type="dxa"/>
          </w:tcPr>
          <w:p w14:paraId="53A08CDB" w14:textId="72CBA0D6" w:rsidR="0092712D" w:rsidRPr="00D43FA1" w:rsidRDefault="0092712D" w:rsidP="00E24BD3">
            <w:pPr>
              <w:pStyle w:val="Text"/>
              <w:spacing w:before="0" w:after="0"/>
              <w:rPr>
                <w:u w:val="single"/>
              </w:rPr>
            </w:pPr>
            <w:r>
              <w:t xml:space="preserve">Koszty roczne:</w:t>
            </w:r>
          </w:p>
        </w:tc>
        <w:tc>
          <w:tcPr>
            <w:tcW w:w="4465" w:type="dxa"/>
          </w:tcPr>
          <w:p w14:paraId="51489E53" w14:textId="640CCC19" w:rsidR="0092712D" w:rsidRPr="00D43FA1" w:rsidRDefault="0092712D" w:rsidP="00CB2B7C">
            <w:pPr>
              <w:pStyle w:val="Text"/>
              <w:spacing w:before="0" w:after="0"/>
              <w:jc w:val="left"/>
              <w:rPr>
                <w:u w:val="single"/>
              </w:rPr>
            </w:pPr>
            <w:r>
              <w:t xml:space="preserve">52 000 EUR (przy założeniu 200 próbek do zbadania i 40 kontroli dokumentów rocznie</w:t>
            </w:r>
            <w:r>
              <w:rPr>
                <w:rFonts w:ascii="Calibri" w:hAnsi="Calibri"/>
              </w:rPr>
              <w:t xml:space="preserve">)</w:t>
            </w:r>
          </w:p>
        </w:tc>
      </w:tr>
    </w:tbl>
    <w:p w14:paraId="0701BC82" w14:textId="44B2969E" w:rsidR="00042625" w:rsidRPr="00D43FA1" w:rsidRDefault="00042625" w:rsidP="00891D8C">
      <w:pPr>
        <w:spacing w:before="0" w:after="0"/>
        <w:rPr>
          <w:rFonts w:ascii="Calibri" w:hAnsi="Calibri"/>
        </w:rPr>
      </w:pPr>
    </w:p>
    <w:p w14:paraId="68A96EA3" w14:textId="77777777" w:rsidR="007C7B00" w:rsidRPr="00D43FA1" w:rsidRDefault="007C7B00" w:rsidP="0070360F">
      <w:pPr>
        <w:pStyle w:val="Text"/>
        <w:keepNext/>
        <w:keepLines/>
        <w:spacing w:before="0" w:after="0"/>
        <w:rPr>
          <w:u w:val="single"/>
        </w:rPr>
      </w:pPr>
      <w:r>
        <w:rPr>
          <w:u w:val="single"/>
        </w:rPr>
        <w:t xml:space="preserve">Szlezwik-Holsztyn:</w:t>
      </w:r>
    </w:p>
    <w:p w14:paraId="470651E2" w14:textId="77777777" w:rsidR="007C7B00" w:rsidRPr="00D43FA1" w:rsidRDefault="007C7B00" w:rsidP="0070360F">
      <w:pPr>
        <w:pStyle w:val="Text"/>
        <w:keepNext/>
        <w:keepLines/>
        <w:spacing w:before="0" w:after="0"/>
        <w:rPr>
          <w:u w:val="single"/>
        </w:rPr>
      </w:pPr>
    </w:p>
    <w:tbl>
      <w:tblPr>
        <w:tblStyle w:val="TableGrid"/>
        <w:tblW w:w="0" w:type="auto"/>
        <w:tblLook w:val="04A0" w:firstRow="1" w:lastRow="0" w:firstColumn="1" w:lastColumn="0" w:noHBand="0" w:noVBand="1"/>
      </w:tblPr>
      <w:tblGrid>
        <w:gridCol w:w="4385"/>
        <w:gridCol w:w="4394"/>
      </w:tblGrid>
      <w:tr w:rsidR="0092712D" w:rsidRPr="00D43FA1" w14:paraId="2868753F" w14:textId="77777777" w:rsidTr="00CB2B7C">
        <w:tc>
          <w:tcPr>
            <w:tcW w:w="4464" w:type="dxa"/>
          </w:tcPr>
          <w:p w14:paraId="58802FCE" w14:textId="584D20E4" w:rsidR="0092712D" w:rsidRPr="00D43FA1" w:rsidRDefault="0092712D" w:rsidP="00E24BD3">
            <w:pPr>
              <w:pStyle w:val="Text"/>
              <w:rPr>
                <w:u w:val="single"/>
              </w:rPr>
            </w:pPr>
            <w:r>
              <w:rPr>
                <w:color w:val="000000"/>
              </w:rPr>
              <w:t xml:space="preserve">Jednorazowe koszty rzeczowe:</w:t>
            </w:r>
          </w:p>
        </w:tc>
        <w:tc>
          <w:tcPr>
            <w:tcW w:w="4465" w:type="dxa"/>
          </w:tcPr>
          <w:p w14:paraId="48B6D078" w14:textId="77777777" w:rsidR="0092712D" w:rsidRPr="00D43FA1" w:rsidRDefault="0092712D" w:rsidP="00CB2B7C">
            <w:pPr>
              <w:pStyle w:val="Text"/>
              <w:jc w:val="left"/>
              <w:rPr>
                <w:color w:val="000000"/>
              </w:rPr>
            </w:pPr>
            <w:r>
              <w:rPr>
                <w:color w:val="000000"/>
              </w:rPr>
              <w:t xml:space="preserve">238 000 EUR (koszty sprzętu do sprzężenia LC-GC; sprzęt został nabyty w marcu/kwietniu 2017 r.)</w:t>
            </w:r>
          </w:p>
        </w:tc>
      </w:tr>
      <w:tr w:rsidR="0092712D" w:rsidRPr="00D43FA1" w14:paraId="35D9098E" w14:textId="77777777" w:rsidTr="00CB2B7C">
        <w:tc>
          <w:tcPr>
            <w:tcW w:w="4464" w:type="dxa"/>
          </w:tcPr>
          <w:p w14:paraId="4A66A9B5" w14:textId="1366BFA4" w:rsidR="0092712D" w:rsidRPr="00D43FA1" w:rsidRDefault="0092712D" w:rsidP="00E24BD3">
            <w:pPr>
              <w:pStyle w:val="Text"/>
              <w:rPr>
                <w:u w:val="single"/>
              </w:rPr>
            </w:pPr>
            <w:r>
              <w:rPr>
                <w:color w:val="000000"/>
              </w:rPr>
              <w:t xml:space="preserve">Jednorazowe koszty osobowe:</w:t>
            </w:r>
            <w:r>
              <w:rPr>
                <w:color w:val="000000"/>
              </w:rPr>
              <w:t xml:space="preserve"> </w:t>
            </w:r>
          </w:p>
        </w:tc>
        <w:tc>
          <w:tcPr>
            <w:tcW w:w="4465" w:type="dxa"/>
          </w:tcPr>
          <w:p w14:paraId="5F896AF4" w14:textId="77777777" w:rsidR="0092712D" w:rsidRPr="00D43FA1" w:rsidRDefault="0092712D" w:rsidP="0092712D">
            <w:pPr>
              <w:pStyle w:val="Text"/>
              <w:rPr>
                <w:color w:val="000000"/>
              </w:rPr>
            </w:pPr>
            <w:r>
              <w:rPr>
                <w:color w:val="000000"/>
              </w:rPr>
              <w:t xml:space="preserve">5 000 EUR (doszkalanie)</w:t>
            </w:r>
          </w:p>
        </w:tc>
      </w:tr>
      <w:tr w:rsidR="0092712D" w:rsidRPr="00D43FA1" w14:paraId="3E394749" w14:textId="77777777" w:rsidTr="00CB2B7C">
        <w:tc>
          <w:tcPr>
            <w:tcW w:w="4464" w:type="dxa"/>
          </w:tcPr>
          <w:p w14:paraId="62504A2D" w14:textId="77777777" w:rsidR="0092712D" w:rsidRPr="00D43FA1" w:rsidRDefault="0092712D" w:rsidP="0092712D">
            <w:pPr>
              <w:pStyle w:val="Text"/>
              <w:rPr>
                <w:u w:val="single"/>
              </w:rPr>
            </w:pPr>
            <w:r>
              <w:rPr>
                <w:color w:val="000000"/>
              </w:rPr>
              <w:t xml:space="preserve">Roczne koszty osobowe:</w:t>
            </w:r>
            <w:r>
              <w:rPr>
                <w:color w:val="000000"/>
              </w:rPr>
              <w:t xml:space="preserve"> </w:t>
            </w:r>
          </w:p>
        </w:tc>
        <w:tc>
          <w:tcPr>
            <w:tcW w:w="4465" w:type="dxa"/>
          </w:tcPr>
          <w:p w14:paraId="3D3A8607" w14:textId="77777777" w:rsidR="0092712D" w:rsidRPr="00D43FA1" w:rsidRDefault="00234C16" w:rsidP="00CB2B7C">
            <w:pPr>
              <w:pStyle w:val="Text"/>
              <w:tabs>
                <w:tab w:val="left" w:pos="2694"/>
              </w:tabs>
              <w:spacing w:after="0"/>
              <w:jc w:val="left"/>
              <w:rPr>
                <w:color w:val="000000"/>
              </w:rPr>
            </w:pPr>
            <w:r>
              <w:rPr>
                <w:color w:val="000000"/>
              </w:rPr>
              <w:t xml:space="preserve">ok. 70 000 EUR (0,5 stanowiska pracownika naukowego E14</w:t>
            </w:r>
          </w:p>
          <w:p w14:paraId="093480AE" w14:textId="77777777" w:rsidR="0092712D" w:rsidRPr="00D43FA1" w:rsidRDefault="0092712D" w:rsidP="0092712D">
            <w:pPr>
              <w:pStyle w:val="Text"/>
              <w:tabs>
                <w:tab w:val="left" w:pos="2694"/>
              </w:tabs>
              <w:spacing w:before="0"/>
              <w:rPr>
                <w:color w:val="000000"/>
              </w:rPr>
            </w:pPr>
            <w:r>
              <w:rPr>
                <w:color w:val="000000"/>
              </w:rPr>
              <w:t xml:space="preserve">1 stanowisko pracownika technicznego E9)</w:t>
            </w:r>
          </w:p>
        </w:tc>
      </w:tr>
    </w:tbl>
    <w:p w14:paraId="36709E93" w14:textId="1D323CAC" w:rsidR="007C7B00" w:rsidRPr="00D43FA1" w:rsidRDefault="007C7B00" w:rsidP="0092712D">
      <w:pPr>
        <w:pStyle w:val="Text"/>
        <w:tabs>
          <w:tab w:val="left" w:pos="2694"/>
        </w:tabs>
        <w:spacing w:before="0" w:after="0"/>
        <w:rPr>
          <w:color w:val="000000"/>
        </w:rPr>
      </w:pPr>
    </w:p>
    <w:p w14:paraId="19804C30" w14:textId="77777777" w:rsidR="00F063FD" w:rsidRPr="00D43FA1" w:rsidRDefault="00042625" w:rsidP="0070360F">
      <w:pPr>
        <w:pStyle w:val="Text"/>
        <w:keepNext/>
        <w:keepLines/>
        <w:tabs>
          <w:tab w:val="left" w:pos="0"/>
        </w:tabs>
        <w:spacing w:before="0" w:after="0"/>
        <w:rPr>
          <w:color w:val="000000"/>
          <w:u w:val="single"/>
        </w:rPr>
      </w:pPr>
      <w:r>
        <w:rPr>
          <w:color w:val="000000"/>
          <w:u w:val="single"/>
        </w:rPr>
        <w:t xml:space="preserve">Saksonia:</w:t>
      </w:r>
    </w:p>
    <w:p w14:paraId="69F79EA8" w14:textId="77777777" w:rsidR="00891D8C" w:rsidRPr="00D43FA1" w:rsidRDefault="00891D8C" w:rsidP="0070360F">
      <w:pPr>
        <w:pStyle w:val="Text"/>
        <w:keepNext/>
        <w:keepLines/>
        <w:tabs>
          <w:tab w:val="left" w:pos="0"/>
        </w:tabs>
        <w:spacing w:before="0" w:after="0"/>
        <w:rPr>
          <w:color w:val="000000"/>
          <w:u w:val="single"/>
        </w:rPr>
      </w:pPr>
    </w:p>
    <w:tbl>
      <w:tblPr>
        <w:tblStyle w:val="TableGrid"/>
        <w:tblW w:w="0" w:type="auto"/>
        <w:tblLook w:val="04A0" w:firstRow="1" w:lastRow="0" w:firstColumn="1" w:lastColumn="0" w:noHBand="0" w:noVBand="1"/>
      </w:tblPr>
      <w:tblGrid>
        <w:gridCol w:w="4382"/>
        <w:gridCol w:w="4397"/>
      </w:tblGrid>
      <w:tr w:rsidR="00891D8C" w:rsidRPr="00D43FA1" w14:paraId="01F0B13B" w14:textId="77777777" w:rsidTr="00891D8C">
        <w:tc>
          <w:tcPr>
            <w:tcW w:w="4464" w:type="dxa"/>
          </w:tcPr>
          <w:p w14:paraId="5B8E8F56" w14:textId="27013CAF" w:rsidR="00891D8C" w:rsidRPr="00D43FA1" w:rsidRDefault="00891D8C" w:rsidP="00E24BD3">
            <w:pPr>
              <w:pStyle w:val="Text"/>
              <w:tabs>
                <w:tab w:val="left" w:pos="0"/>
              </w:tabs>
              <w:rPr>
                <w:color w:val="000000"/>
                <w:u w:val="single"/>
              </w:rPr>
            </w:pPr>
            <w:r>
              <w:t xml:space="preserve">Jednorazowe koszty rzeczowe:</w:t>
            </w:r>
          </w:p>
        </w:tc>
        <w:tc>
          <w:tcPr>
            <w:tcW w:w="4465" w:type="dxa"/>
          </w:tcPr>
          <w:p w14:paraId="071DBD33" w14:textId="77777777" w:rsidR="00891D8C" w:rsidRPr="00D43FA1" w:rsidRDefault="00891D8C" w:rsidP="00CB2B7C">
            <w:pPr>
              <w:pStyle w:val="Text"/>
              <w:tabs>
                <w:tab w:val="left" w:pos="0"/>
              </w:tabs>
              <w:jc w:val="left"/>
            </w:pPr>
            <w:r>
              <w:t xml:space="preserve">230 000 EUR (nabycie sprzętu)</w:t>
            </w:r>
          </w:p>
          <w:p w14:paraId="1AEFF0AC" w14:textId="77777777" w:rsidR="00891D8C" w:rsidRPr="00D43FA1" w:rsidRDefault="00891D8C" w:rsidP="00CB2B7C">
            <w:pPr>
              <w:pStyle w:val="Text"/>
              <w:tabs>
                <w:tab w:val="left" w:pos="0"/>
              </w:tabs>
              <w:jc w:val="left"/>
              <w:rPr>
                <w:color w:val="000000"/>
                <w:u w:val="single"/>
              </w:rPr>
            </w:pPr>
          </w:p>
        </w:tc>
      </w:tr>
      <w:tr w:rsidR="00891D8C" w:rsidRPr="00D43FA1" w14:paraId="5A54C1C3" w14:textId="77777777" w:rsidTr="00891D8C">
        <w:tc>
          <w:tcPr>
            <w:tcW w:w="4464" w:type="dxa"/>
          </w:tcPr>
          <w:p w14:paraId="09CBE780" w14:textId="77777777" w:rsidR="00891D8C" w:rsidRPr="00D43FA1" w:rsidRDefault="00891D8C" w:rsidP="00891D8C">
            <w:pPr>
              <w:pStyle w:val="Text"/>
              <w:tabs>
                <w:tab w:val="left" w:pos="0"/>
              </w:tabs>
              <w:rPr>
                <w:color w:val="000000"/>
                <w:u w:val="single"/>
              </w:rPr>
            </w:pPr>
            <w:r>
              <w:t xml:space="preserve">Jednorazowe koszty osobowe:</w:t>
            </w:r>
          </w:p>
        </w:tc>
        <w:tc>
          <w:tcPr>
            <w:tcW w:w="4465" w:type="dxa"/>
          </w:tcPr>
          <w:p w14:paraId="6E7CBC6B" w14:textId="77777777" w:rsidR="00891D8C" w:rsidRPr="00D43FA1" w:rsidRDefault="00891D8C" w:rsidP="00CB2B7C">
            <w:pPr>
              <w:pStyle w:val="Text"/>
              <w:jc w:val="left"/>
              <w:rPr>
                <w:color w:val="000000"/>
                <w:u w:val="single"/>
              </w:rPr>
            </w:pPr>
            <w:r>
              <w:t xml:space="preserve">83 000 EUR (0,5 EPC w grupie płacowej Ü13 i 1,0 EPC w grupie płacowej 6 na etapie wdrażania na odnośnym sprzęcie analitycznym i do stosowania metody)</w:t>
            </w:r>
          </w:p>
          <w:p w14:paraId="42553811" w14:textId="77777777" w:rsidR="00891D8C" w:rsidRPr="00D43FA1" w:rsidRDefault="00891D8C" w:rsidP="00CB2B7C">
            <w:pPr>
              <w:pStyle w:val="Text"/>
              <w:tabs>
                <w:tab w:val="left" w:pos="0"/>
              </w:tabs>
              <w:jc w:val="left"/>
              <w:rPr>
                <w:color w:val="000000"/>
                <w:u w:val="single"/>
              </w:rPr>
            </w:pPr>
          </w:p>
        </w:tc>
      </w:tr>
      <w:tr w:rsidR="00891D8C" w:rsidRPr="00D43FA1" w14:paraId="407BBBD1" w14:textId="77777777" w:rsidTr="00891D8C">
        <w:tc>
          <w:tcPr>
            <w:tcW w:w="4464" w:type="dxa"/>
          </w:tcPr>
          <w:p w14:paraId="009A2AAA" w14:textId="77777777" w:rsidR="00891D8C" w:rsidRPr="00D43FA1" w:rsidRDefault="00891D8C" w:rsidP="00891D8C">
            <w:pPr>
              <w:pStyle w:val="Text"/>
              <w:tabs>
                <w:tab w:val="left" w:pos="0"/>
              </w:tabs>
              <w:rPr>
                <w:color w:val="000000"/>
                <w:u w:val="single"/>
              </w:rPr>
            </w:pPr>
            <w:r>
              <w:t xml:space="preserve">Roczne koszty rzeczowe:</w:t>
            </w:r>
            <w:r>
              <w:t xml:space="preserve"> </w:t>
            </w:r>
          </w:p>
        </w:tc>
        <w:tc>
          <w:tcPr>
            <w:tcW w:w="4465" w:type="dxa"/>
          </w:tcPr>
          <w:p w14:paraId="3563608C" w14:textId="77777777" w:rsidR="00891D8C" w:rsidRPr="00D43FA1" w:rsidRDefault="00891D8C" w:rsidP="00CB2B7C">
            <w:pPr>
              <w:pStyle w:val="Text"/>
              <w:tabs>
                <w:tab w:val="left" w:pos="0"/>
              </w:tabs>
              <w:jc w:val="left"/>
              <w:rPr>
                <w:color w:val="000000"/>
                <w:u w:val="single"/>
              </w:rPr>
            </w:pPr>
            <w:r>
              <w:t xml:space="preserve">ok. 6 000 do 8 000 EUR (konserwacja sprzętu, materiały eksploatacyjne, naprawa)</w:t>
            </w:r>
          </w:p>
        </w:tc>
      </w:tr>
      <w:tr w:rsidR="00891D8C" w:rsidRPr="00D43FA1" w14:paraId="32B3A7A2" w14:textId="77777777" w:rsidTr="00891D8C">
        <w:tc>
          <w:tcPr>
            <w:tcW w:w="4464" w:type="dxa"/>
          </w:tcPr>
          <w:p w14:paraId="65E127E0" w14:textId="77777777" w:rsidR="00891D8C" w:rsidRPr="00D43FA1" w:rsidRDefault="00891D8C" w:rsidP="00891D8C">
            <w:pPr>
              <w:pStyle w:val="Text"/>
              <w:tabs>
                <w:tab w:val="left" w:pos="0"/>
              </w:tabs>
              <w:rPr>
                <w:color w:val="000000"/>
                <w:u w:val="single"/>
              </w:rPr>
            </w:pPr>
            <w:r>
              <w:t xml:space="preserve">Roczne koszty osobowe:</w:t>
            </w:r>
            <w:r>
              <w:t xml:space="preserve"> </w:t>
            </w:r>
          </w:p>
        </w:tc>
        <w:tc>
          <w:tcPr>
            <w:tcW w:w="4465" w:type="dxa"/>
          </w:tcPr>
          <w:p w14:paraId="09C3AC3F" w14:textId="77777777" w:rsidR="00891D8C" w:rsidRPr="00D43FA1" w:rsidRDefault="00891D8C" w:rsidP="00CB2B7C">
            <w:pPr>
              <w:pStyle w:val="Text"/>
              <w:tabs>
                <w:tab w:val="left" w:pos="0"/>
              </w:tabs>
              <w:jc w:val="left"/>
              <w:rPr>
                <w:color w:val="000000"/>
                <w:u w:val="single"/>
              </w:rPr>
            </w:pPr>
            <w:r>
              <w:t xml:space="preserve">ok. 90 000 EUR (2,0 EPC w grupie płacowej 6 dla pracy rutynowej)</w:t>
            </w:r>
          </w:p>
        </w:tc>
      </w:tr>
    </w:tbl>
    <w:p w14:paraId="01533E4B" w14:textId="093896D0" w:rsidR="007C7B00" w:rsidRPr="00D43FA1" w:rsidRDefault="007C7B00" w:rsidP="00891D8C">
      <w:pPr>
        <w:pStyle w:val="Text"/>
        <w:spacing w:before="0" w:after="0"/>
        <w:ind w:left="2694" w:hanging="2694"/>
      </w:pPr>
    </w:p>
    <w:p w14:paraId="00EEF1D6" w14:textId="77777777" w:rsidR="00D43FA1" w:rsidRDefault="00042625" w:rsidP="00E24BD3">
      <w:pPr>
        <w:pStyle w:val="Text"/>
        <w:spacing w:before="0" w:after="0"/>
      </w:pPr>
      <w:r>
        <w:rPr>
          <w:color w:val="000000"/>
          <w:u w:val="single"/>
        </w:rPr>
        <w:t xml:space="preserve">Saksonia-Anhalt</w:t>
      </w:r>
      <w:r>
        <w:rPr>
          <w:color w:val="000000"/>
        </w:rPr>
        <w:t xml:space="preserve"> </w:t>
      </w:r>
      <w:r>
        <w:t xml:space="preserve">nie była jak dotąd jeszcze w stanie oszacować powstających jednorazowych oraz cyklicznych kosztów.</w:t>
      </w:r>
    </w:p>
    <w:p w14:paraId="3F91406B" w14:textId="494897A8" w:rsidR="00977AB9" w:rsidRPr="00D43FA1" w:rsidRDefault="00042625" w:rsidP="00E24BD3">
      <w:pPr>
        <w:pStyle w:val="Text"/>
        <w:spacing w:before="0" w:after="0"/>
      </w:pPr>
      <w:r>
        <w:t xml:space="preserve"> </w:t>
      </w:r>
    </w:p>
    <w:p w14:paraId="2291BC65" w14:textId="0F1CA2AE" w:rsidR="00042625" w:rsidRDefault="00042625" w:rsidP="00E24BD3">
      <w:pPr>
        <w:pStyle w:val="Text"/>
        <w:spacing w:before="0" w:after="0"/>
        <w:rPr>
          <w:color w:val="000000"/>
        </w:rPr>
      </w:pPr>
      <w:r>
        <w:rPr>
          <w:color w:val="000000"/>
          <w:u w:val="single"/>
        </w:rPr>
        <w:t xml:space="preserve">Turyngia</w:t>
      </w:r>
      <w:r>
        <w:rPr>
          <w:color w:val="000000"/>
        </w:rPr>
        <w:t xml:space="preserve"> powiadomiła, że prawdopodobne są jednorazowe koszty w znacznej wysokości.</w:t>
      </w:r>
      <w:r>
        <w:rPr>
          <w:color w:val="000000"/>
        </w:rPr>
        <w:t xml:space="preserve"> </w:t>
      </w:r>
      <w:r>
        <w:rPr>
          <w:color w:val="000000"/>
        </w:rPr>
        <w:t xml:space="preserve">Szczegółowe podanie kosztów nie jest jednak na tym etapie wykonalne dla Turyngii.</w:t>
      </w:r>
      <w:r>
        <w:rPr>
          <w:color w:val="000000"/>
        </w:rPr>
        <w:t xml:space="preserve"> </w:t>
      </w:r>
    </w:p>
    <w:p w14:paraId="5899A39C" w14:textId="77777777" w:rsidR="00D43FA1" w:rsidRPr="00D43FA1" w:rsidRDefault="00D43FA1" w:rsidP="00E24BD3">
      <w:pPr>
        <w:pStyle w:val="Text"/>
        <w:spacing w:before="0" w:after="0"/>
        <w:rPr>
          <w:color w:val="000000"/>
          <w:u w:val="single"/>
        </w:rPr>
      </w:pPr>
    </w:p>
    <w:p w14:paraId="4BF540BD" w14:textId="77777777" w:rsidR="00D25113" w:rsidRPr="00D43FA1" w:rsidRDefault="00D25113" w:rsidP="0070360F">
      <w:pPr>
        <w:pStyle w:val="Text"/>
        <w:keepNext/>
        <w:keepLines/>
        <w:rPr>
          <w:u w:val="single"/>
        </w:rPr>
      </w:pPr>
      <w:r>
        <w:rPr>
          <w:u w:val="single"/>
        </w:rPr>
        <w:t xml:space="preserve">b) Koszty realizacji obciążające gospodarkę</w:t>
      </w:r>
    </w:p>
    <w:p w14:paraId="1AC16888" w14:textId="187C182C" w:rsidR="00755B7A" w:rsidRPr="00D43FA1" w:rsidRDefault="004D5050" w:rsidP="007C7B00">
      <w:pPr>
        <w:pStyle w:val="Text"/>
      </w:pPr>
      <w:r>
        <w:t xml:space="preserve">Jeśli chodzi o koszty realizacji obciążające gospodarkę, w związku z rozporządzeniem powstają dodatkowe koszty w szczególności dla średnich przedsiębiorstw.</w:t>
      </w:r>
      <w:r>
        <w:t xml:space="preserve"> </w:t>
      </w:r>
      <w:r>
        <w:t xml:space="preserve">Ponieważ problem zanieczyszczenia żywności składnikami oleju mineralnego z artykułów użytkowych przeznaczonych do kontaktu z żywnością jest znany od dłuższego czasu, zmieniono już wprawdzie szereg opakowań, stosując np. worki pośrednie, powłoki lub włókna pierwotne zamiast włókien opartych na materiale makulaturowym.</w:t>
      </w:r>
      <w:r>
        <w:t xml:space="preserve"> </w:t>
      </w:r>
      <w:r>
        <w:t xml:space="preserve">Dla istotnej dalszej części artykułów użytkowych przeznaczonych do kontaktu z żywnością będą jednak teraz również potrzebne zmiany, o ile nie obowiązuje przewidziane odstępstwo.</w:t>
      </w:r>
    </w:p>
    <w:p w14:paraId="08D3E308" w14:textId="77777777" w:rsidR="0082568F" w:rsidRPr="00D43FA1" w:rsidRDefault="0082568F" w:rsidP="007C7B00">
      <w:pPr>
        <w:pStyle w:val="Text"/>
      </w:pPr>
      <w:r>
        <w:t xml:space="preserve">Oszacowanie ex ante dokonane przez Federalny Urząd Statystyczny wykazało jednorazowe koszty realizacji (koszty zmiany) w wysokości około 9 280 000 euro i roczne dodatkowe koszty realizacji w wysokości około 8 160 000 euro.</w:t>
      </w:r>
      <w:r>
        <w:t xml:space="preserve"> </w:t>
      </w:r>
      <w:r>
        <w:t xml:space="preserve">Z dwóch przewidzianych nowych obowiązków poinformowania – pisemnego lub elektronicznego oświadczenia o rezygnacji z bariery funkcjonalnej według § 6a ust. 3 oraz obowiązku udokumentowania wykluczenia przenoszenia się MOAH zgodnie z § 6a ust. 5 – wynikają według oszacowania Federalnego Urzędu Statystycznego jedynie nieznaczne koszty.</w:t>
      </w:r>
      <w:r>
        <w:t xml:space="preserve"> </w:t>
      </w:r>
    </w:p>
    <w:p w14:paraId="43B9512B" w14:textId="77777777" w:rsidR="006B7BFE" w:rsidRPr="00D43FA1" w:rsidRDefault="006B7BFE" w:rsidP="0070360F">
      <w:pPr>
        <w:pStyle w:val="Text"/>
        <w:keepNext/>
        <w:keepLines/>
      </w:pPr>
      <w:r>
        <w:rPr>
          <w:b/>
          <w:bCs/>
        </w:rPr>
        <w:t xml:space="preserve">Tabela 1:</w:t>
      </w:r>
      <w:r>
        <w:rPr>
          <w:b/>
          <w:bCs/>
        </w:rPr>
        <w:t xml:space="preserve"> </w:t>
      </w:r>
      <w:r>
        <w:rPr>
          <w:b/>
          <w:bCs/>
        </w:rPr>
        <w:t xml:space="preserve">Zestawienie kosztów realizacji</w:t>
      </w:r>
      <w:r>
        <w:rPr>
          <w:b/>
          <w:bCs/>
        </w:rPr>
        <w:t xml:space="preserve"> </w:t>
      </w:r>
    </w:p>
    <w:tbl>
      <w:tblPr>
        <w:tblStyle w:val="TableGrid"/>
        <w:tblW w:w="0" w:type="auto"/>
        <w:tblLayout w:type="fixed"/>
        <w:tblLook w:val="04A0" w:firstRow="1" w:lastRow="0" w:firstColumn="1" w:lastColumn="0" w:noHBand="0" w:noVBand="1"/>
      </w:tblPr>
      <w:tblGrid>
        <w:gridCol w:w="1530"/>
        <w:gridCol w:w="3470"/>
        <w:gridCol w:w="1912"/>
        <w:gridCol w:w="2093"/>
      </w:tblGrid>
      <w:tr w:rsidR="0082568F" w:rsidRPr="00D43FA1" w14:paraId="720AC6FB" w14:textId="77777777" w:rsidTr="00295A54">
        <w:tc>
          <w:tcPr>
            <w:tcW w:w="1530" w:type="dxa"/>
          </w:tcPr>
          <w:p w14:paraId="376BBF5B" w14:textId="77777777" w:rsidR="0082568F" w:rsidRPr="00D43FA1" w:rsidRDefault="0082568F" w:rsidP="0070360F">
            <w:pPr>
              <w:pStyle w:val="Text"/>
              <w:keepNext/>
              <w:keepLines/>
              <w:jc w:val="center"/>
              <w:rPr>
                <w:b/>
              </w:rPr>
            </w:pPr>
            <w:r>
              <w:rPr>
                <w:b/>
              </w:rPr>
              <w:t xml:space="preserve">Regulacja</w:t>
            </w:r>
          </w:p>
        </w:tc>
        <w:tc>
          <w:tcPr>
            <w:tcW w:w="3470" w:type="dxa"/>
          </w:tcPr>
          <w:p w14:paraId="3B98CCA4" w14:textId="77777777" w:rsidR="0082568F" w:rsidRPr="00D43FA1" w:rsidRDefault="0082568F" w:rsidP="0070360F">
            <w:pPr>
              <w:pStyle w:val="Text"/>
              <w:keepNext/>
              <w:keepLines/>
              <w:jc w:val="center"/>
              <w:rPr>
                <w:b/>
              </w:rPr>
            </w:pPr>
            <w:r>
              <w:rPr>
                <w:b/>
              </w:rPr>
              <w:t xml:space="preserve">Wytyczna bądź obowiązek poinformowania</w:t>
            </w:r>
          </w:p>
        </w:tc>
        <w:tc>
          <w:tcPr>
            <w:tcW w:w="1912" w:type="dxa"/>
          </w:tcPr>
          <w:p w14:paraId="6FEF8D76" w14:textId="77777777" w:rsidR="0082568F" w:rsidRPr="00D43FA1" w:rsidRDefault="0082568F" w:rsidP="0070360F">
            <w:pPr>
              <w:pStyle w:val="Text"/>
              <w:keepNext/>
              <w:keepLines/>
              <w:jc w:val="center"/>
              <w:rPr>
                <w:b/>
              </w:rPr>
            </w:pPr>
            <w:r>
              <w:rPr>
                <w:b/>
              </w:rPr>
              <w:t xml:space="preserve">Saldo obciążenia rocznego</w:t>
            </w:r>
            <w:r>
              <w:rPr>
                <w:b/>
              </w:rPr>
              <w:t xml:space="preserve"> </w:t>
            </w:r>
          </w:p>
        </w:tc>
        <w:tc>
          <w:tcPr>
            <w:tcW w:w="2093" w:type="dxa"/>
          </w:tcPr>
          <w:p w14:paraId="5412D88F" w14:textId="77777777" w:rsidR="0082568F" w:rsidRPr="00D43FA1" w:rsidRDefault="00295A54" w:rsidP="0070360F">
            <w:pPr>
              <w:pStyle w:val="Text"/>
              <w:keepNext/>
              <w:keepLines/>
              <w:jc w:val="center"/>
              <w:rPr>
                <w:b/>
              </w:rPr>
            </w:pPr>
            <w:r>
              <w:rPr>
                <w:b/>
              </w:rPr>
              <w:t xml:space="preserve">Jednorazowe koszty zmiany</w:t>
            </w:r>
            <w:r>
              <w:rPr>
                <w:b/>
              </w:rPr>
              <w:t xml:space="preserve"> </w:t>
            </w:r>
          </w:p>
        </w:tc>
      </w:tr>
      <w:tr w:rsidR="0082568F" w:rsidRPr="00D43FA1" w14:paraId="28659270" w14:textId="77777777" w:rsidTr="00295A54">
        <w:tc>
          <w:tcPr>
            <w:tcW w:w="1530" w:type="dxa"/>
          </w:tcPr>
          <w:p w14:paraId="22806DA4" w14:textId="2D7CD670" w:rsidR="0082568F" w:rsidRPr="00D43FA1" w:rsidRDefault="0082568F" w:rsidP="00E24BD3">
            <w:pPr>
              <w:pStyle w:val="Text"/>
              <w:jc w:val="left"/>
            </w:pPr>
            <w:r>
              <w:t xml:space="preserve">§ 6a ust. 1 i 4</w:t>
            </w:r>
          </w:p>
        </w:tc>
        <w:tc>
          <w:tcPr>
            <w:tcW w:w="3470" w:type="dxa"/>
          </w:tcPr>
          <w:p w14:paraId="33FAFA21" w14:textId="77777777" w:rsidR="0082568F" w:rsidRPr="00D43FA1" w:rsidRDefault="0082568F" w:rsidP="00295A54">
            <w:pPr>
              <w:pStyle w:val="Text"/>
              <w:jc w:val="left"/>
            </w:pPr>
            <w:r>
              <w:t xml:space="preserve">Bariera funkcjonalna dla przeznaczonych do kontaktu z żywnością artykułów użytkowych z materiału makulaturowego</w:t>
            </w:r>
          </w:p>
        </w:tc>
        <w:tc>
          <w:tcPr>
            <w:tcW w:w="1912" w:type="dxa"/>
          </w:tcPr>
          <w:p w14:paraId="3E5A9DC1" w14:textId="77777777" w:rsidR="0082568F" w:rsidRPr="00D43FA1" w:rsidRDefault="000F6183" w:rsidP="00295A54">
            <w:pPr>
              <w:pStyle w:val="Text"/>
              <w:jc w:val="left"/>
            </w:pPr>
            <w:r>
              <w:t xml:space="preserve"> </w:t>
            </w:r>
            <w:r>
              <w:t xml:space="preserve">8 160 000 EUR</w:t>
            </w:r>
          </w:p>
        </w:tc>
        <w:tc>
          <w:tcPr>
            <w:tcW w:w="2093" w:type="dxa"/>
          </w:tcPr>
          <w:p w14:paraId="3562BFD1" w14:textId="77777777" w:rsidR="0082568F" w:rsidRPr="00D43FA1" w:rsidRDefault="000F6183" w:rsidP="00295A54">
            <w:pPr>
              <w:pStyle w:val="Text"/>
              <w:jc w:val="left"/>
            </w:pPr>
            <w:r>
              <w:t xml:space="preserve">9 280 000 EUR</w:t>
            </w:r>
          </w:p>
        </w:tc>
      </w:tr>
      <w:tr w:rsidR="0082568F" w:rsidRPr="00D43FA1" w14:paraId="0106BED3" w14:textId="77777777" w:rsidTr="00295A54">
        <w:tc>
          <w:tcPr>
            <w:tcW w:w="1530" w:type="dxa"/>
          </w:tcPr>
          <w:p w14:paraId="5BAFA089" w14:textId="0EFB06F8" w:rsidR="0082568F" w:rsidRPr="00D43FA1" w:rsidRDefault="0082568F" w:rsidP="00E24BD3">
            <w:pPr>
              <w:pStyle w:val="Text"/>
              <w:jc w:val="left"/>
            </w:pPr>
            <w:r>
              <w:t xml:space="preserve">§ 6a ust. 3</w:t>
            </w:r>
          </w:p>
        </w:tc>
        <w:tc>
          <w:tcPr>
            <w:tcW w:w="3470" w:type="dxa"/>
          </w:tcPr>
          <w:p w14:paraId="7BAE9D67" w14:textId="77777777" w:rsidR="0082568F" w:rsidRPr="00D43FA1" w:rsidRDefault="0082568F" w:rsidP="00295A54">
            <w:pPr>
              <w:pStyle w:val="Text"/>
              <w:jc w:val="left"/>
            </w:pPr>
            <w:r>
              <w:t xml:space="preserve">Pisemne lub elektroniczne oświadczenie o rezygnacji z bariery funkcjonalnej</w:t>
            </w:r>
          </w:p>
        </w:tc>
        <w:tc>
          <w:tcPr>
            <w:tcW w:w="1912" w:type="dxa"/>
          </w:tcPr>
          <w:p w14:paraId="74D97F5C" w14:textId="77777777" w:rsidR="0082568F" w:rsidRPr="00D43FA1" w:rsidRDefault="0082568F" w:rsidP="00295A54">
            <w:pPr>
              <w:pStyle w:val="Text"/>
              <w:jc w:val="left"/>
            </w:pPr>
            <w:r>
              <w:t xml:space="preserve">Nieznaczny nakład dodatkowy</w:t>
            </w:r>
          </w:p>
        </w:tc>
        <w:tc>
          <w:tcPr>
            <w:tcW w:w="2093" w:type="dxa"/>
          </w:tcPr>
          <w:p w14:paraId="56F7F1DE" w14:textId="77777777" w:rsidR="0082568F" w:rsidRPr="00D43FA1" w:rsidRDefault="0082568F" w:rsidP="00295A54">
            <w:pPr>
              <w:pStyle w:val="Text"/>
              <w:jc w:val="left"/>
            </w:pPr>
            <w:r>
              <w:t xml:space="preserve">-</w:t>
            </w:r>
          </w:p>
        </w:tc>
      </w:tr>
      <w:tr w:rsidR="0082568F" w:rsidRPr="00D43FA1" w14:paraId="3E200EA4" w14:textId="77777777" w:rsidTr="00295A54">
        <w:tc>
          <w:tcPr>
            <w:tcW w:w="1530" w:type="dxa"/>
          </w:tcPr>
          <w:p w14:paraId="7AD34AB6" w14:textId="3F27C1E4" w:rsidR="0082568F" w:rsidRPr="00D43FA1" w:rsidRDefault="0082568F" w:rsidP="00E24BD3">
            <w:pPr>
              <w:pStyle w:val="Text"/>
              <w:jc w:val="left"/>
            </w:pPr>
            <w:r>
              <w:t xml:space="preserve">§ 6a ust. 5</w:t>
            </w:r>
          </w:p>
        </w:tc>
        <w:tc>
          <w:tcPr>
            <w:tcW w:w="3470" w:type="dxa"/>
          </w:tcPr>
          <w:p w14:paraId="16E632D0" w14:textId="77777777" w:rsidR="0082568F" w:rsidRPr="00D43FA1" w:rsidRDefault="0082568F" w:rsidP="00295A54">
            <w:pPr>
              <w:pStyle w:val="Text"/>
              <w:jc w:val="left"/>
            </w:pPr>
            <w:r>
              <w:t xml:space="preserve">Obowiązek udokumentowania wykluczenia przenoszenia się MOAH zgodnie z § 6a ust. 1, 2, 4</w:t>
            </w:r>
          </w:p>
        </w:tc>
        <w:tc>
          <w:tcPr>
            <w:tcW w:w="1912" w:type="dxa"/>
          </w:tcPr>
          <w:p w14:paraId="18381CF9" w14:textId="77777777" w:rsidR="0082568F" w:rsidRPr="00D43FA1" w:rsidRDefault="0082568F" w:rsidP="00295A54">
            <w:pPr>
              <w:pStyle w:val="Text"/>
              <w:jc w:val="left"/>
            </w:pPr>
            <w:r>
              <w:t xml:space="preserve">Nieznaczny nakład dodatkowy</w:t>
            </w:r>
          </w:p>
        </w:tc>
        <w:tc>
          <w:tcPr>
            <w:tcW w:w="2093" w:type="dxa"/>
          </w:tcPr>
          <w:p w14:paraId="3BBC33E8" w14:textId="77777777" w:rsidR="0082568F" w:rsidRPr="00D43FA1" w:rsidRDefault="0082568F" w:rsidP="00295A54">
            <w:pPr>
              <w:pStyle w:val="Text"/>
              <w:jc w:val="left"/>
            </w:pPr>
            <w:r>
              <w:t xml:space="preserve">-</w:t>
            </w:r>
          </w:p>
        </w:tc>
      </w:tr>
      <w:tr w:rsidR="0082568F" w:rsidRPr="00D43FA1" w14:paraId="2CE5F889" w14:textId="77777777" w:rsidTr="00295A54">
        <w:tc>
          <w:tcPr>
            <w:tcW w:w="1530" w:type="dxa"/>
            <w:shd w:val="clear" w:color="auto" w:fill="D9D9D9" w:themeFill="background1" w:themeFillShade="D9"/>
          </w:tcPr>
          <w:p w14:paraId="6EDE8EBB" w14:textId="77777777" w:rsidR="0082568F" w:rsidRPr="00D43FA1" w:rsidRDefault="0082568F" w:rsidP="00295A54">
            <w:pPr>
              <w:pStyle w:val="Text"/>
              <w:jc w:val="left"/>
              <w:rPr>
                <w:b/>
              </w:rPr>
            </w:pPr>
          </w:p>
        </w:tc>
        <w:tc>
          <w:tcPr>
            <w:tcW w:w="3470" w:type="dxa"/>
            <w:shd w:val="clear" w:color="auto" w:fill="D9D9D9" w:themeFill="background1" w:themeFillShade="D9"/>
          </w:tcPr>
          <w:p w14:paraId="6B167E03" w14:textId="77777777" w:rsidR="0082568F" w:rsidRPr="00D43FA1" w:rsidRDefault="0082568F" w:rsidP="00295A54">
            <w:pPr>
              <w:pStyle w:val="Text"/>
              <w:jc w:val="left"/>
              <w:rPr>
                <w:b/>
              </w:rPr>
            </w:pPr>
            <w:r>
              <w:rPr>
                <w:b/>
              </w:rPr>
              <w:t xml:space="preserve">Łącznie</w:t>
            </w:r>
            <w:r>
              <w:rPr>
                <w:b/>
              </w:rPr>
              <w:t xml:space="preserve"> </w:t>
            </w:r>
          </w:p>
        </w:tc>
        <w:tc>
          <w:tcPr>
            <w:tcW w:w="1912" w:type="dxa"/>
            <w:shd w:val="clear" w:color="auto" w:fill="D9D9D9" w:themeFill="background1" w:themeFillShade="D9"/>
          </w:tcPr>
          <w:p w14:paraId="58ED3073" w14:textId="77777777" w:rsidR="0082568F" w:rsidRPr="00D43FA1" w:rsidRDefault="00AD0A9D" w:rsidP="00295A54">
            <w:pPr>
              <w:pStyle w:val="Text"/>
              <w:jc w:val="left"/>
              <w:rPr>
                <w:b/>
              </w:rPr>
            </w:pPr>
            <w:r>
              <w:rPr>
                <w:b/>
              </w:rPr>
              <w:t xml:space="preserve"> </w:t>
            </w:r>
            <w:r>
              <w:rPr>
                <w:b/>
              </w:rPr>
              <w:t xml:space="preserve">8 160 000 EUR</w:t>
            </w:r>
          </w:p>
        </w:tc>
        <w:tc>
          <w:tcPr>
            <w:tcW w:w="2093" w:type="dxa"/>
            <w:shd w:val="clear" w:color="auto" w:fill="D9D9D9" w:themeFill="background1" w:themeFillShade="D9"/>
          </w:tcPr>
          <w:p w14:paraId="1E689341" w14:textId="77777777" w:rsidR="0082568F" w:rsidRPr="00D43FA1" w:rsidRDefault="000F6183" w:rsidP="00295A54">
            <w:pPr>
              <w:pStyle w:val="Text"/>
              <w:jc w:val="left"/>
              <w:rPr>
                <w:b/>
              </w:rPr>
            </w:pPr>
            <w:r>
              <w:rPr>
                <w:b/>
              </w:rPr>
              <w:t xml:space="preserve">9 280 000 EUR</w:t>
            </w:r>
          </w:p>
        </w:tc>
      </w:tr>
    </w:tbl>
    <w:p w14:paraId="0D7C6408" w14:textId="77777777" w:rsidR="006B7BFE" w:rsidRPr="00D43FA1" w:rsidRDefault="006B7BFE" w:rsidP="00612652">
      <w:pPr>
        <w:pStyle w:val="Text"/>
      </w:pPr>
    </w:p>
    <w:p w14:paraId="78164C96" w14:textId="211348C1" w:rsidR="009140F6" w:rsidRPr="00D43FA1" w:rsidRDefault="0082568F" w:rsidP="0070360F">
      <w:pPr>
        <w:pStyle w:val="Text"/>
        <w:keepNext/>
        <w:keepLines/>
        <w:tabs>
          <w:tab w:val="left" w:pos="0"/>
        </w:tabs>
      </w:pPr>
      <w:r>
        <w:t xml:space="preserve">Wynik oszacowania ex ante opiera się na następujących podstawach:</w:t>
      </w:r>
    </w:p>
    <w:p w14:paraId="0A8513DA" w14:textId="77777777" w:rsidR="006B7BFE" w:rsidRPr="00D43FA1" w:rsidRDefault="006B7BFE" w:rsidP="0070360F">
      <w:pPr>
        <w:pStyle w:val="Text"/>
        <w:keepNext/>
        <w:keepLines/>
        <w:tabs>
          <w:tab w:val="left" w:pos="0"/>
        </w:tabs>
      </w:pPr>
      <w:r>
        <w:t xml:space="preserve">Oszacowanie ex ante odnosi się do dwóch obowiązków poinformowania oraz do dalszej wytycznej dla gospodarki, które wszystkie pochodzą z nowego § 6a rozporządzenia w sprawie artykułów użytkowych:</w:t>
      </w:r>
      <w:r>
        <w:t xml:space="preserve"> </w:t>
      </w:r>
    </w:p>
    <w:p w14:paraId="2E574154" w14:textId="77777777" w:rsidR="006B7BFE" w:rsidRPr="00D43FA1" w:rsidRDefault="006B7BFE" w:rsidP="0070360F">
      <w:pPr>
        <w:pStyle w:val="Text"/>
        <w:keepNext/>
        <w:keepLines/>
        <w:numPr>
          <w:ilvl w:val="0"/>
          <w:numId w:val="2"/>
        </w:numPr>
        <w:ind w:left="0" w:firstLine="0"/>
      </w:pPr>
      <w:r>
        <w:t xml:space="preserve">Oparte na makulaturze artykuły użytkowe przeznaczone do kontaktu z żywnością mogą być produkowane i wprowadzane do obrotu już tylko z barierą funkcjonalną (ust. 1 zdanie pierwsze; ust. 4).</w:t>
      </w:r>
      <w:r>
        <w:t xml:space="preserve"> </w:t>
      </w:r>
      <w:r>
        <w:t xml:space="preserve">Wyjątki od tej regulacji obowiązują, jeżeli</w:t>
      </w:r>
      <w:r>
        <w:t xml:space="preserve"> </w:t>
      </w:r>
    </w:p>
    <w:p w14:paraId="6471F0A8" w14:textId="77777777" w:rsidR="006B7BFE" w:rsidRPr="00D43FA1" w:rsidRDefault="000F1682" w:rsidP="00557D18">
      <w:pPr>
        <w:pStyle w:val="Text"/>
        <w:numPr>
          <w:ilvl w:val="0"/>
          <w:numId w:val="4"/>
        </w:numPr>
        <w:ind w:left="1134" w:hanging="425"/>
      </w:pPr>
      <w:r>
        <w:t xml:space="preserve">w artykule użytkowym przeznaczonym do kontaktu z żywnością obecna jest w szczególności tak mała zawartość MOAH, że nie następuje przenoszenie się na żywność (ust. 2 zdanie pierwsze);</w:t>
      </w:r>
    </w:p>
    <w:p w14:paraId="022A3F44" w14:textId="64B85AD9" w:rsidR="006B7BFE" w:rsidRPr="00D43FA1" w:rsidRDefault="006B7BFE" w:rsidP="00557D18">
      <w:pPr>
        <w:pStyle w:val="Text"/>
        <w:numPr>
          <w:ilvl w:val="0"/>
          <w:numId w:val="4"/>
        </w:numPr>
        <w:ind w:left="1134" w:hanging="425"/>
      </w:pPr>
      <w:r>
        <w:t xml:space="preserve">podjęte zostały inne stosowne środki uniemożliwiające przenoszenie się MOAH na żywność (ust. 2 zdanie drugie).</w:t>
      </w:r>
    </w:p>
    <w:p w14:paraId="29C9CC33" w14:textId="77777777" w:rsidR="006B7BFE" w:rsidRPr="00D43FA1" w:rsidRDefault="006B7BFE" w:rsidP="00557D18">
      <w:pPr>
        <w:pStyle w:val="Text"/>
        <w:numPr>
          <w:ilvl w:val="0"/>
          <w:numId w:val="3"/>
        </w:numPr>
        <w:ind w:left="0" w:firstLine="0"/>
      </w:pPr>
      <w:r>
        <w:t xml:space="preserve">Jeżeli podmiot prowadzący przedsiębiorstwo spożywcze sam stosuje barierę funkcjonalną (worek pośredni itp.) lub podejmuje inne środki ochrony przed przenoszeniem się MOAH na żywność i dlatego rezygnuje z tego, by producent artykułu użytkowego przeznaczonego do kontaktu z żywnością lub podmiot wprowadzający go do obrotu wyposażył artykuł w barierę funkcjonalną, przed dostawą artykułu użytkowego musi złożyć pisemne lub elektroniczne oświadczenie o tym wobec producenta lub podmiotu wprowadzającego do obrotu (ust. 3).</w:t>
      </w:r>
      <w:r>
        <w:t xml:space="preserve"> </w:t>
      </w:r>
    </w:p>
    <w:p w14:paraId="3DAB98B9" w14:textId="77777777" w:rsidR="006B7BFE" w:rsidRPr="00D43FA1" w:rsidRDefault="006B7BFE" w:rsidP="0070360F">
      <w:pPr>
        <w:pStyle w:val="Text"/>
        <w:keepNext/>
        <w:keepLines/>
        <w:numPr>
          <w:ilvl w:val="0"/>
          <w:numId w:val="3"/>
        </w:numPr>
        <w:ind w:left="709" w:hanging="709"/>
      </w:pPr>
      <w:r>
        <w:t xml:space="preserve">Obowiązek udokumentowania wykluczenia przenoszenia się MOAH (ust. 5).</w:t>
      </w:r>
      <w:r>
        <w:t xml:space="preserve"> </w:t>
      </w:r>
    </w:p>
    <w:p w14:paraId="7B0EB3AA" w14:textId="77777777" w:rsidR="006B7BFE" w:rsidRPr="00D43FA1" w:rsidRDefault="000447FD" w:rsidP="009140F6">
      <w:pPr>
        <w:pStyle w:val="Text"/>
      </w:pPr>
      <w:r>
        <w:t xml:space="preserve">W niniejszym oszacowaniu stosowano „Wytyczne dotyczące ustalenia i przedstawienia kosztów realizacji w projektach regulacji rządu federalnego”</w:t>
      </w:r>
      <w:r w:rsidR="006B7BFE" w:rsidRPr="00D43FA1">
        <w:rPr>
          <w:rStyle w:val="FootnoteReference"/>
        </w:rPr>
        <w:footnoteReference w:id="2"/>
      </w:r>
      <w:r>
        <w:t xml:space="preserve">.</w:t>
      </w:r>
      <w:r>
        <w:t xml:space="preserve"> </w:t>
      </w:r>
      <w:r>
        <w:t xml:space="preserve">W celu oszacowania liczb przypadków oraz nakładów czasu i nakładów rzeczowych przepytano telefonicznie przedsiębiorstwa i instytuty badawcze.</w:t>
      </w:r>
      <w:r>
        <w:t xml:space="preserve"> </w:t>
      </w:r>
      <w:r>
        <w:t xml:space="preserve">Przy ustalaniu liczby przypadków uwzględnia się dane statystyki publicznej.</w:t>
      </w:r>
      <w:r>
        <w:t xml:space="preserve"> </w:t>
      </w:r>
    </w:p>
    <w:p w14:paraId="7E0F8561" w14:textId="4AAB2740" w:rsidR="006B7BFE" w:rsidRPr="007E01A6" w:rsidRDefault="006B7BFE" w:rsidP="0070360F">
      <w:pPr>
        <w:pStyle w:val="Text"/>
        <w:keepNext/>
        <w:keepLines/>
        <w:rPr>
          <w:b/>
          <w:bCs/>
          <w:u w:val="single"/>
        </w:rPr>
      </w:pPr>
      <w:r>
        <w:rPr>
          <w:b/>
          <w:bCs/>
          <w:u w:val="single"/>
        </w:rPr>
        <w:t xml:space="preserve">Bariera funkcjonalna dla artykułów użytkowych przeznaczonych do kontaktu z żywnością w rozumieniu § 6a ust. 1 i 4</w:t>
      </w:r>
    </w:p>
    <w:p w14:paraId="347CC78F" w14:textId="77777777" w:rsidR="006B7BFE" w:rsidRPr="00D43FA1" w:rsidRDefault="006B7BFE" w:rsidP="0070360F">
      <w:pPr>
        <w:pStyle w:val="Text"/>
        <w:keepNext/>
        <w:keepLines/>
      </w:pPr>
      <w:r>
        <w:t xml:space="preserve">a) Jednorazowe koszty zmiany</w:t>
      </w:r>
      <w:r>
        <w:t xml:space="preserve"> </w:t>
      </w:r>
    </w:p>
    <w:p w14:paraId="32009364" w14:textId="77777777" w:rsidR="006B7BFE" w:rsidRPr="00D43FA1" w:rsidRDefault="006B7BFE" w:rsidP="009140F6">
      <w:pPr>
        <w:pStyle w:val="Text"/>
      </w:pPr>
      <w:r>
        <w:rPr>
          <w:i/>
          <w:iCs/>
        </w:rPr>
        <w:t xml:space="preserve">Koszty zmiany obejmują koszty osobowe i rzeczowe badania wstępnego żywności i artykułów użytkowych przeznaczonych do kontaktu z nią oraz opracowania, badania i wprowadzenia do obrotu odpowiedniego opakowania zgodnie z § 6a</w:t>
      </w:r>
      <w:r>
        <w:t xml:space="preserve">.</w:t>
      </w:r>
      <w:r>
        <w:t xml:space="preserve"> </w:t>
      </w:r>
    </w:p>
    <w:p w14:paraId="5B232005" w14:textId="77777777" w:rsidR="006B7BFE" w:rsidRPr="00D43FA1" w:rsidRDefault="006B7BFE" w:rsidP="0070360F">
      <w:pPr>
        <w:pStyle w:val="Text"/>
        <w:keepNext/>
        <w:keepLines/>
        <w:numPr>
          <w:ilvl w:val="0"/>
          <w:numId w:val="5"/>
        </w:numPr>
        <w:ind w:left="714" w:hanging="357"/>
        <w:rPr>
          <w:i/>
          <w:iCs/>
          <w:color w:val="000000"/>
        </w:rPr>
      </w:pPr>
      <w:r>
        <w:rPr>
          <w:i/>
          <w:iCs/>
          <w:color w:val="000000"/>
        </w:rPr>
        <w:t xml:space="preserve">Liczba przypadków</w:t>
      </w:r>
      <w:r>
        <w:rPr>
          <w:i/>
          <w:iCs/>
          <w:color w:val="000000"/>
        </w:rPr>
        <w:t xml:space="preserve"> </w:t>
      </w:r>
    </w:p>
    <w:p w14:paraId="6D903E99" w14:textId="77777777" w:rsidR="006B7BFE" w:rsidRPr="00D43FA1" w:rsidRDefault="006B7BFE" w:rsidP="0070360F">
      <w:pPr>
        <w:pStyle w:val="Text"/>
        <w:keepNext/>
        <w:keepLines/>
        <w:rPr>
          <w:color w:val="000000"/>
        </w:rPr>
      </w:pPr>
      <w:r>
        <w:rPr>
          <w:color w:val="000000"/>
        </w:rPr>
        <w:t xml:space="preserve">Do ustalenia liczby przypadków (= odnośne produkty: żywność plus stykające się z nią artykuły użytkowe) wykorzystano zarówno dane uzyskane w wywiadach, jak i analizę struktury kosztów w przemyśle przetwórczym</w:t>
      </w:r>
      <w:r w:rsidRPr="00D43FA1">
        <w:rPr>
          <w:rStyle w:val="FootnoteReference"/>
          <w:color w:val="000000"/>
        </w:rPr>
        <w:footnoteReference w:id="3"/>
      </w:r>
      <w:r>
        <w:rPr>
          <w:color w:val="000000"/>
        </w:rPr>
        <w:t xml:space="preserve">.</w:t>
      </w:r>
      <w:r>
        <w:rPr>
          <w:color w:val="000000"/>
          <w:vertAlign w:val="superscript"/>
        </w:rPr>
        <w:t xml:space="preserve"> </w:t>
      </w:r>
      <w:r>
        <w:rPr>
          <w:color w:val="000000"/>
        </w:rPr>
        <w:t xml:space="preserve">Na podstawie przeprowadzonych wywiadów można było uzyskać dane dotyczące liczby produktów poszczególnych przedsiębiorstw.</w:t>
      </w:r>
      <w:r>
        <w:rPr>
          <w:color w:val="000000"/>
        </w:rPr>
        <w:t xml:space="preserve"> </w:t>
      </w:r>
      <w:r>
        <w:rPr>
          <w:color w:val="000000"/>
        </w:rPr>
        <w:t xml:space="preserve">Wielkości obrotów przedsiębiorstw zostały pobrane z publicznie dostępnych źródeł.</w:t>
      </w:r>
      <w:r>
        <w:rPr>
          <w:color w:val="000000"/>
        </w:rPr>
        <w:t xml:space="preserve"> </w:t>
      </w:r>
      <w:r>
        <w:rPr>
          <w:color w:val="000000"/>
        </w:rPr>
        <w:t xml:space="preserve">Na podstawie tych wartości ustalono dla pięciu przedsiębiorstw obroty na produkt, których mediana wynosi około 2,5 mln euro.</w:t>
      </w:r>
      <w:r>
        <w:rPr>
          <w:color w:val="000000"/>
        </w:rPr>
        <w:t xml:space="preserve"> </w:t>
      </w:r>
      <w:r>
        <w:rPr>
          <w:color w:val="000000"/>
        </w:rPr>
        <w:t xml:space="preserve">Analiza struktury kosztów obejmuje informacje o liczbie i obrotach przedsiębiorstw w sektorach przemysłu przetwórczego (według Klasyfikacji sektorów gospodarki, wydanie z 2008 r.).</w:t>
      </w:r>
      <w:r>
        <w:rPr>
          <w:color w:val="000000"/>
        </w:rPr>
        <w:t xml:space="preserve"> </w:t>
      </w:r>
      <w:r>
        <w:rPr>
          <w:color w:val="000000"/>
        </w:rPr>
        <w:t xml:space="preserve">Na podstawie informacji z wywiadów można było zidentyfikować siedem odnośnych sektorów gospodarki:</w:t>
      </w:r>
      <w:r>
        <w:rPr>
          <w:color w:val="000000"/>
        </w:rPr>
        <w:t xml:space="preserve"> </w:t>
      </w:r>
    </w:p>
    <w:p w14:paraId="51BE6B2B" w14:textId="77777777" w:rsidR="006B7BFE" w:rsidRPr="00D43FA1" w:rsidRDefault="006B7BFE" w:rsidP="0070360F">
      <w:pPr>
        <w:pStyle w:val="Text"/>
        <w:keepNext/>
        <w:keepLines/>
        <w:spacing w:before="0" w:after="0"/>
        <w:rPr>
          <w:color w:val="000000"/>
        </w:rPr>
      </w:pPr>
      <w:r>
        <w:rPr>
          <w:color w:val="000000"/>
        </w:rPr>
        <w:t xml:space="preserve">Produkcja:</w:t>
      </w:r>
      <w:r>
        <w:rPr>
          <w:color w:val="000000"/>
        </w:rPr>
        <w:t xml:space="preserve"> </w:t>
      </w:r>
    </w:p>
    <w:p w14:paraId="11222691" w14:textId="77777777" w:rsidR="006B7BFE" w:rsidRPr="00D43FA1" w:rsidRDefault="006B7BFE" w:rsidP="009140F6">
      <w:pPr>
        <w:pStyle w:val="Text"/>
        <w:spacing w:before="0" w:after="0"/>
        <w:rPr>
          <w:color w:val="000000"/>
        </w:rPr>
      </w:pPr>
      <w:r>
        <w:rPr>
          <w:color w:val="000000"/>
        </w:rPr>
        <w:t xml:space="preserve">• skrobi i produktów skrobiowych</w:t>
      </w:r>
      <w:r>
        <w:rPr>
          <w:color w:val="000000"/>
        </w:rPr>
        <w:t xml:space="preserve"> </w:t>
      </w:r>
    </w:p>
    <w:p w14:paraId="662E4943" w14:textId="77777777" w:rsidR="006B7BFE" w:rsidRPr="00D43FA1" w:rsidRDefault="006B7BFE" w:rsidP="009140F6">
      <w:pPr>
        <w:pStyle w:val="Text"/>
        <w:spacing w:before="0" w:after="0"/>
        <w:rPr>
          <w:color w:val="000000"/>
        </w:rPr>
      </w:pPr>
      <w:r>
        <w:rPr>
          <w:color w:val="000000"/>
        </w:rPr>
        <w:t xml:space="preserve">• ciastek</w:t>
      </w:r>
      <w:r>
        <w:rPr>
          <w:color w:val="000000"/>
        </w:rPr>
        <w:t xml:space="preserve"> </w:t>
      </w:r>
    </w:p>
    <w:p w14:paraId="18BD7F36" w14:textId="77777777" w:rsidR="006B7BFE" w:rsidRPr="00D43FA1" w:rsidRDefault="006B7BFE" w:rsidP="009140F6">
      <w:pPr>
        <w:pStyle w:val="Text"/>
        <w:spacing w:before="0" w:after="0"/>
        <w:rPr>
          <w:color w:val="000000"/>
        </w:rPr>
      </w:pPr>
      <w:r>
        <w:rPr>
          <w:color w:val="000000"/>
        </w:rPr>
        <w:t xml:space="preserve">• produktów mącznych</w:t>
      </w:r>
      <w:r>
        <w:rPr>
          <w:color w:val="000000"/>
        </w:rPr>
        <w:t xml:space="preserve"> </w:t>
      </w:r>
    </w:p>
    <w:p w14:paraId="38C5F55D" w14:textId="77777777" w:rsidR="006B7BFE" w:rsidRPr="00D43FA1" w:rsidRDefault="006B7BFE" w:rsidP="009140F6">
      <w:pPr>
        <w:pStyle w:val="Text"/>
        <w:spacing w:before="0" w:after="0"/>
        <w:rPr>
          <w:color w:val="000000"/>
        </w:rPr>
      </w:pPr>
      <w:r>
        <w:rPr>
          <w:color w:val="000000"/>
        </w:rPr>
        <w:t xml:space="preserve">• słodyczy</w:t>
      </w:r>
      <w:r>
        <w:rPr>
          <w:color w:val="000000"/>
        </w:rPr>
        <w:t xml:space="preserve"> </w:t>
      </w:r>
    </w:p>
    <w:p w14:paraId="1D62B3D9" w14:textId="77777777" w:rsidR="006B7BFE" w:rsidRPr="00D43FA1" w:rsidRDefault="006B7BFE" w:rsidP="009140F6">
      <w:pPr>
        <w:pStyle w:val="Text"/>
        <w:spacing w:before="0" w:after="0"/>
        <w:rPr>
          <w:color w:val="000000"/>
        </w:rPr>
      </w:pPr>
      <w:r>
        <w:rPr>
          <w:color w:val="000000"/>
        </w:rPr>
        <w:t xml:space="preserve">• kawy/herbaty</w:t>
      </w:r>
      <w:r>
        <w:rPr>
          <w:color w:val="000000"/>
        </w:rPr>
        <w:t xml:space="preserve"> </w:t>
      </w:r>
    </w:p>
    <w:p w14:paraId="6E9A551C" w14:textId="77777777" w:rsidR="006B7BFE" w:rsidRPr="00D43FA1" w:rsidRDefault="006B7BFE" w:rsidP="009140F6">
      <w:pPr>
        <w:pStyle w:val="Text"/>
        <w:spacing w:before="0" w:after="0"/>
        <w:rPr>
          <w:color w:val="000000"/>
        </w:rPr>
      </w:pPr>
      <w:r>
        <w:rPr>
          <w:color w:val="000000"/>
        </w:rPr>
        <w:t xml:space="preserve">• produktów zmielonych i obranych</w:t>
      </w:r>
      <w:r>
        <w:rPr>
          <w:color w:val="000000"/>
        </w:rPr>
        <w:t xml:space="preserve"> </w:t>
      </w:r>
    </w:p>
    <w:p w14:paraId="31C005BD" w14:textId="3394A96C" w:rsidR="006B7BFE" w:rsidRDefault="006B7BFE" w:rsidP="00557D18">
      <w:pPr>
        <w:pStyle w:val="Text"/>
        <w:spacing w:before="0" w:after="0"/>
        <w:jc w:val="left"/>
        <w:rPr>
          <w:color w:val="000000"/>
        </w:rPr>
      </w:pPr>
      <w:r>
        <w:rPr>
          <w:color w:val="000000"/>
        </w:rPr>
        <w:t xml:space="preserve">• dań gotowych</w:t>
      </w:r>
      <w:r>
        <w:rPr>
          <w:color w:val="000000"/>
        </w:rPr>
        <w:t xml:space="preserve"> </w:t>
      </w:r>
    </w:p>
    <w:p w14:paraId="69346562" w14:textId="77777777" w:rsidR="00D43FA1" w:rsidRPr="00D43FA1" w:rsidRDefault="00D43FA1" w:rsidP="00557D18">
      <w:pPr>
        <w:pStyle w:val="Text"/>
        <w:spacing w:before="0" w:after="0"/>
        <w:jc w:val="left"/>
        <w:rPr>
          <w:color w:val="000000"/>
        </w:rPr>
      </w:pPr>
    </w:p>
    <w:p w14:paraId="22853B05" w14:textId="02272ACD" w:rsidR="006B7BFE" w:rsidRPr="00D43FA1" w:rsidRDefault="006B7BFE" w:rsidP="009140F6">
      <w:pPr>
        <w:pStyle w:val="Text"/>
        <w:spacing w:before="0" w:after="0"/>
        <w:rPr>
          <w:color w:val="000000"/>
        </w:rPr>
      </w:pPr>
      <w:r>
        <w:rPr>
          <w:color w:val="000000"/>
        </w:rPr>
        <w:t xml:space="preserve">Łącznie obroty 415 odnośnych przedsiębiorstw wynoszą około 26 mld euro.</w:t>
      </w:r>
      <w:r>
        <w:rPr>
          <w:color w:val="000000"/>
        </w:rPr>
        <w:t xml:space="preserve"> </w:t>
      </w:r>
    </w:p>
    <w:p w14:paraId="6EE2F31E" w14:textId="2FFA7DC6" w:rsidR="006B7BFE" w:rsidRDefault="006B7BFE" w:rsidP="00557D18">
      <w:pPr>
        <w:pStyle w:val="Text"/>
        <w:spacing w:before="0" w:after="0"/>
        <w:rPr>
          <w:color w:val="000000"/>
        </w:rPr>
      </w:pPr>
      <w:r>
        <w:rPr>
          <w:color w:val="000000"/>
        </w:rPr>
        <w:t xml:space="preserve">Na podstawie łącznych obrotów szacuje się, ile produktów (= środki spożywcze plus przynależny artykuł użytkowy przeznaczony do kontaktu z żywnością) przedsiębiorstwa te wytwarzają łącznie na rynek niemiecki: przy łącznych obrotach 26 mld euro i obrotach 2,5 mln euro na produkt wynika </w:t>
      </w:r>
      <w:r>
        <w:rPr>
          <w:color w:val="000000"/>
          <w:b/>
          <w:bCs/>
        </w:rPr>
        <w:t xml:space="preserve">około 10 000 produktów</w:t>
      </w:r>
      <w:r>
        <w:rPr>
          <w:color w:val="000000"/>
        </w:rPr>
        <w:t xml:space="preserve">.</w:t>
      </w:r>
      <w:r>
        <w:rPr>
          <w:color w:val="000000"/>
        </w:rPr>
        <w:t xml:space="preserve"> </w:t>
      </w:r>
      <w:r>
        <w:rPr>
          <w:color w:val="000000"/>
        </w:rPr>
        <w:t xml:space="preserve">Tylko część opakowań produktów musi faktycznie zostać zmieniona, ponieważ nie wszystkie przedsiębiorstwa są dotknięte sytuacją w równej mierze:</w:t>
      </w:r>
      <w:r>
        <w:rPr>
          <w:color w:val="000000"/>
        </w:rPr>
        <w:t xml:space="preserve"> </w:t>
      </w:r>
      <w:r>
        <w:rPr>
          <w:color w:val="000000"/>
        </w:rPr>
        <w:t xml:space="preserve">podczas gdy niektóre przedsiębiorstwa muszą zmienić swoją całą paletę produktów, w innych chodzi tylko o kilka produktów.</w:t>
      </w:r>
      <w:r>
        <w:rPr>
          <w:color w:val="000000"/>
        </w:rPr>
        <w:t xml:space="preserve"> </w:t>
      </w:r>
      <w:r>
        <w:rPr>
          <w:color w:val="000000"/>
        </w:rPr>
        <w:t xml:space="preserve">W przypadku wszystkich produktów należy jednak zbadać, czy istniejące opakowanie w wystarczającym stopniu uniemożliwia przenoszenie się MOAH na żywność.</w:t>
      </w:r>
      <w:r>
        <w:rPr>
          <w:color w:val="000000"/>
        </w:rPr>
        <w:t xml:space="preserve"> </w:t>
      </w:r>
      <w:r>
        <w:rPr>
          <w:color w:val="000000"/>
        </w:rPr>
        <w:t xml:space="preserve">Badane są także środki spożywcze zapakowane wyłącznie w folię, ponieważ produkty te są zazwyczaj pakowane dodatkowo w kartony z makulatury pochodzącej z recyklingu i dostarczane w nich.</w:t>
      </w:r>
      <w:r>
        <w:rPr>
          <w:color w:val="000000"/>
        </w:rPr>
        <w:t xml:space="preserve"> </w:t>
      </w:r>
    </w:p>
    <w:p w14:paraId="37B7DEE2" w14:textId="77777777" w:rsidR="00D43FA1" w:rsidRPr="00D43FA1" w:rsidRDefault="00D43FA1" w:rsidP="00557D18">
      <w:pPr>
        <w:pStyle w:val="Text"/>
        <w:spacing w:before="0" w:after="0"/>
        <w:rPr>
          <w:color w:val="000000"/>
        </w:rPr>
      </w:pPr>
    </w:p>
    <w:p w14:paraId="6FDE533B" w14:textId="5E092961" w:rsidR="006B7BFE" w:rsidRPr="00D43FA1" w:rsidRDefault="006B7BFE" w:rsidP="0070360F">
      <w:pPr>
        <w:pStyle w:val="Text"/>
        <w:keepNext/>
        <w:keepLines/>
        <w:numPr>
          <w:ilvl w:val="0"/>
          <w:numId w:val="5"/>
        </w:numPr>
        <w:spacing w:before="0" w:after="0"/>
        <w:rPr>
          <w:i/>
          <w:iCs/>
          <w:color w:val="000000"/>
          <w:u w:val="single"/>
        </w:rPr>
      </w:pPr>
      <w:r>
        <w:rPr>
          <w:i/>
          <w:iCs/>
          <w:color w:val="000000"/>
        </w:rPr>
        <w:t xml:space="preserve">Koszty rzeczowe</w:t>
      </w:r>
      <w:r>
        <w:rPr>
          <w:i/>
          <w:iCs/>
          <w:color w:val="000000"/>
        </w:rPr>
        <w:t xml:space="preserve"> </w:t>
      </w:r>
    </w:p>
    <w:p w14:paraId="20856574" w14:textId="77777777" w:rsidR="00D43FA1" w:rsidRPr="00D43FA1" w:rsidRDefault="00D43FA1" w:rsidP="0070360F">
      <w:pPr>
        <w:keepNext/>
        <w:keepLines/>
        <w:spacing w:before="0" w:after="0"/>
      </w:pPr>
    </w:p>
    <w:p w14:paraId="3F2BE815" w14:textId="0DDDAA09" w:rsidR="006B7BFE" w:rsidRPr="00D43FA1" w:rsidRDefault="006B7BFE" w:rsidP="009140F6">
      <w:pPr>
        <w:pStyle w:val="Text"/>
        <w:spacing w:before="0" w:after="0"/>
        <w:rPr>
          <w:color w:val="000000"/>
        </w:rPr>
      </w:pPr>
      <w:r>
        <w:rPr>
          <w:color w:val="000000"/>
        </w:rPr>
        <w:t xml:space="preserve">Koszty rzeczowe składają się z kosztów analizy badania wstępnego żywności i przynależnych artykułów użytkowych przeznaczonych do kontaktu z żywnością (z reguły opakowań) oraz z kosztów opracowania i użycia nowych opakowań.</w:t>
      </w:r>
      <w:r>
        <w:rPr>
          <w:color w:val="000000"/>
        </w:rPr>
        <w:t xml:space="preserve"> </w:t>
      </w:r>
      <w:r>
        <w:rPr>
          <w:color w:val="000000"/>
        </w:rPr>
        <w:t xml:space="preserve">Koszty powstają w związku z zatrudnieniem zewnętrznych laboratoriów do badań.</w:t>
      </w:r>
      <w:r>
        <w:rPr>
          <w:color w:val="000000"/>
        </w:rPr>
        <w:t xml:space="preserve"> </w:t>
      </w:r>
      <w:r>
        <w:rPr>
          <w:color w:val="000000"/>
        </w:rPr>
        <w:t xml:space="preserve">Tylko kilka przedsiębiorstw przeprowadza analizy zupełnie samodzielnie.</w:t>
      </w:r>
      <w:r>
        <w:rPr>
          <w:color w:val="000000"/>
        </w:rPr>
        <w:t xml:space="preserve"> </w:t>
      </w:r>
      <w:r>
        <w:rPr>
          <w:color w:val="000000"/>
        </w:rPr>
        <w:t xml:space="preserve">Uzyskano informacje o łącznych kosztach związanych z wszystkimi odnośnymi produktami danego przedsiębiorstwa i koszty te rozłożono na liczbę produktów tego przedsiębiorstwa wchodzących w zakres stosowania rozporządzenia.</w:t>
      </w:r>
    </w:p>
    <w:p w14:paraId="12734BF7" w14:textId="0BD0DC03" w:rsidR="006B7BFE" w:rsidRPr="00D43FA1" w:rsidRDefault="006B7BFE" w:rsidP="009140F6">
      <w:pPr>
        <w:pStyle w:val="Text"/>
        <w:spacing w:before="0" w:after="0"/>
        <w:rPr>
          <w:color w:val="000000"/>
        </w:rPr>
      </w:pPr>
      <w:r>
        <w:rPr>
          <w:color w:val="000000"/>
        </w:rPr>
        <w:t xml:space="preserve">Na podstawie przeprowadzonych wywiadów można było ustalić, że badanie żywności i przynależnych artykułów użytkowych przeznaczonych do kontaktu z nią będzie kosztować około </w:t>
      </w:r>
      <w:r>
        <w:rPr>
          <w:color w:val="000000"/>
          <w:b/>
          <w:bCs/>
        </w:rPr>
        <w:t xml:space="preserve">290 euro na produkt</w:t>
      </w:r>
      <w:r>
        <w:rPr>
          <w:color w:val="000000"/>
        </w:rPr>
        <w:t xml:space="preserve">.</w:t>
      </w:r>
      <w:r>
        <w:rPr>
          <w:color w:val="000000"/>
        </w:rPr>
        <w:t xml:space="preserve"> </w:t>
      </w:r>
      <w:r>
        <w:rPr>
          <w:color w:val="000000"/>
        </w:rPr>
        <w:t xml:space="preserve">Koszty powstają dla wszystkich 10 000 produktów.</w:t>
      </w:r>
    </w:p>
    <w:p w14:paraId="6C361081" w14:textId="6695102A" w:rsidR="006B7BFE" w:rsidRPr="00D43FA1" w:rsidRDefault="006B7BFE" w:rsidP="009140F6">
      <w:pPr>
        <w:pStyle w:val="Text"/>
        <w:spacing w:before="0" w:after="0"/>
        <w:rPr>
          <w:color w:val="000000"/>
        </w:rPr>
      </w:pPr>
      <w:r>
        <w:rPr>
          <w:color w:val="000000"/>
        </w:rPr>
        <w:t xml:space="preserve">Zakłada się, że należy zmienić opakowanie w 50 % zbadanych produktów, czyli w 5 000 produktów.</w:t>
      </w:r>
      <w:r>
        <w:rPr>
          <w:color w:val="000000"/>
        </w:rPr>
        <w:t xml:space="preserve"> </w:t>
      </w:r>
      <w:r>
        <w:rPr>
          <w:color w:val="000000"/>
        </w:rPr>
        <w:t xml:space="preserve">Wiązałoby się z tym przeciętnie </w:t>
      </w:r>
      <w:r>
        <w:rPr>
          <w:color w:val="000000"/>
          <w:b/>
          <w:bCs/>
        </w:rPr>
        <w:t xml:space="preserve">550 euro kosztów materiałów na produkt</w:t>
      </w:r>
      <w:r>
        <w:rPr>
          <w:color w:val="000000"/>
        </w:rPr>
        <w:t xml:space="preserve">.</w:t>
      </w:r>
    </w:p>
    <w:p w14:paraId="71241388" w14:textId="7F9A1A7C" w:rsidR="00C23235" w:rsidRPr="00D43FA1" w:rsidRDefault="006B7BFE" w:rsidP="0070360F">
      <w:pPr>
        <w:pStyle w:val="Text"/>
        <w:keepNext/>
        <w:keepLines/>
        <w:spacing w:before="0" w:after="0"/>
        <w:rPr>
          <w:color w:val="000000"/>
        </w:rPr>
      </w:pPr>
      <w:r>
        <w:rPr>
          <w:color w:val="000000"/>
        </w:rPr>
        <w:t xml:space="preserve">Jednorazowe koszty rzeczowe wynikają zatem z następującego rachunku:</w:t>
      </w:r>
    </w:p>
    <w:p w14:paraId="0AE849C1" w14:textId="0BE5CE3F" w:rsidR="006B7BFE" w:rsidRDefault="006B7BFE" w:rsidP="009140F6">
      <w:pPr>
        <w:pStyle w:val="Text"/>
        <w:spacing w:before="0" w:after="0"/>
        <w:rPr>
          <w:color w:val="000000"/>
        </w:rPr>
      </w:pPr>
      <w:r>
        <w:rPr>
          <w:color w:val="000000"/>
        </w:rPr>
        <w:t xml:space="preserve">290 euro kosztów badania x 10 000 produktów do zbadania + 550 euro kosztów materiałów x 5 000 opakowań produktów wymagających zmiany = 5 650 000 euro.</w:t>
      </w:r>
      <w:r>
        <w:rPr>
          <w:color w:val="000000"/>
        </w:rPr>
        <w:t xml:space="preserve"> </w:t>
      </w:r>
    </w:p>
    <w:p w14:paraId="0A260EF9" w14:textId="77777777" w:rsidR="00D43FA1" w:rsidRPr="00D43FA1" w:rsidRDefault="00D43FA1" w:rsidP="009140F6">
      <w:pPr>
        <w:pStyle w:val="Text"/>
        <w:spacing w:before="0" w:after="0"/>
        <w:rPr>
          <w:color w:val="000000"/>
        </w:rPr>
      </w:pPr>
    </w:p>
    <w:p w14:paraId="2EEE4654" w14:textId="5E56A404" w:rsidR="006B7BFE" w:rsidRPr="00D43FA1" w:rsidRDefault="006B7BFE" w:rsidP="0070360F">
      <w:pPr>
        <w:pStyle w:val="Text"/>
        <w:keepNext/>
        <w:keepLines/>
        <w:numPr>
          <w:ilvl w:val="0"/>
          <w:numId w:val="5"/>
        </w:numPr>
        <w:spacing w:before="0" w:after="0"/>
        <w:rPr>
          <w:u w:val="single"/>
        </w:rPr>
      </w:pPr>
      <w:r>
        <w:rPr>
          <w:i/>
          <w:iCs/>
          <w:color w:val="000000"/>
        </w:rPr>
        <w:t xml:space="preserve">Koszty osobowe</w:t>
      </w:r>
      <w:r>
        <w:rPr>
          <w:i/>
          <w:iCs/>
          <w:color w:val="000000"/>
        </w:rPr>
        <w:t xml:space="preserve"> </w:t>
      </w:r>
    </w:p>
    <w:p w14:paraId="3CDF1E12" w14:textId="77777777" w:rsidR="00D43FA1" w:rsidRPr="00D43FA1" w:rsidRDefault="00D43FA1" w:rsidP="0070360F">
      <w:pPr>
        <w:pStyle w:val="Text"/>
        <w:keepNext/>
        <w:keepLines/>
        <w:spacing w:before="0" w:after="0"/>
        <w:ind w:left="360"/>
        <w:rPr>
          <w:u w:val="single"/>
        </w:rPr>
      </w:pPr>
    </w:p>
    <w:p w14:paraId="060CC136" w14:textId="0224181D" w:rsidR="006B7BFE" w:rsidRPr="00D43FA1" w:rsidRDefault="006B7BFE" w:rsidP="009140F6">
      <w:pPr>
        <w:pStyle w:val="Text"/>
        <w:spacing w:before="0" w:after="0"/>
      </w:pPr>
      <w:r>
        <w:t xml:space="preserve">Koszty osobowe składają się z nakładów czasu na badanie żywności i przynależnych artykułów użytkowych przeznaczonych do kontaktu z żywnością (z reguły opakowań) oraz na zmianę opakowań (przygotowanie i kontynuacja badań laboratoryjnych; samo przeprowadzenie analiz jest przeważnie dokonywane przez podmiot zewnętrzny).</w:t>
      </w:r>
      <w:r>
        <w:t xml:space="preserve"> </w:t>
      </w:r>
      <w:r>
        <w:t xml:space="preserve">Uzyskano informacje o łącznych kosztach związanych z wszystkimi odnośnymi produktami danego przedsiębiorstwa i koszty te rozłożono na liczbę produktów tego przedsiębiorstwa wchodzących w zakres stosowania rozporządzenia.</w:t>
      </w:r>
    </w:p>
    <w:p w14:paraId="325CED0A" w14:textId="3DBDD0D3" w:rsidR="006B7BFE" w:rsidRPr="00D43FA1" w:rsidRDefault="006B7BFE" w:rsidP="009140F6">
      <w:pPr>
        <w:pStyle w:val="Text"/>
        <w:spacing w:before="0" w:after="0"/>
      </w:pPr>
      <w:r>
        <w:t xml:space="preserve">Na podstawie przeprowadzonych wywiadów można było ustalić dla badania żywności i przynależnych artykułów użytkowych przeznaczonych do kontaktu z nią nakład czasu wynoszący około </w:t>
      </w:r>
      <w:r>
        <w:rPr>
          <w:b/>
          <w:bCs/>
        </w:rPr>
        <w:t xml:space="preserve">trzech godzin na produkt</w:t>
      </w:r>
      <w:r>
        <w:t xml:space="preserve">.</w:t>
      </w:r>
      <w:r>
        <w:t xml:space="preserve"> </w:t>
      </w:r>
      <w:r>
        <w:t xml:space="preserve">Obok analizy pod kątem zawartości MOAH obejmuje on również prace przygotowawcze, takie jak pobranie próbek.</w:t>
      </w:r>
      <w:r>
        <w:t xml:space="preserve"> </w:t>
      </w:r>
      <w:r>
        <w:t xml:space="preserve">Jako stawkę płacy przyjmuje się 60,50 euro za godzinę</w:t>
      </w:r>
      <w:r>
        <w:rPr>
          <w:rStyle w:val="FootnoteReference"/>
        </w:rPr>
        <w:footnoteReference w:customMarkFollows="1" w:id="4"/>
        <w:t xml:space="preserve">3</w:t>
      </w:r>
      <w:r>
        <w:t xml:space="preserve">.</w:t>
      </w:r>
      <w:r>
        <w:rPr>
          <w:vertAlign w:val="superscript"/>
        </w:rPr>
        <w:t xml:space="preserve"> </w:t>
      </w:r>
      <w:r>
        <w:t xml:space="preserve">Koszty te powstają dla wszystkich 10 000 produktów.</w:t>
      </w:r>
    </w:p>
    <w:p w14:paraId="31FE69DB" w14:textId="360102A6" w:rsidR="006B7BFE" w:rsidRPr="00D43FA1" w:rsidRDefault="002201EF" w:rsidP="009140F6">
      <w:pPr>
        <w:pStyle w:val="Text"/>
        <w:spacing w:before="0" w:after="0"/>
      </w:pPr>
      <w:r>
        <w:t xml:space="preserve">Nakład czasu na zmianę jednego opakowania produktu wynosi około </w:t>
      </w:r>
      <w:r>
        <w:rPr>
          <w:b/>
          <w:bCs/>
        </w:rPr>
        <w:t xml:space="preserve">sześciu godzin pracy na produkt</w:t>
      </w:r>
      <w:r>
        <w:t xml:space="preserve">.</w:t>
      </w:r>
      <w:r>
        <w:t xml:space="preserve"> </w:t>
      </w:r>
      <w:r>
        <w:t xml:space="preserve">Jako stawkę płacy przyjmuje się 60,50 euro za godzinę</w:t>
      </w:r>
      <w:r>
        <w:rPr>
          <w:vertAlign w:val="superscript"/>
        </w:rPr>
        <w:t xml:space="preserve">3 </w:t>
      </w:r>
      <w:r>
        <w:t xml:space="preserve">. Przy założeniu, że zmienionych musi zostać około 50 % wszystkich produktów, koszty płac powstają dla 5 000 produktów.</w:t>
      </w:r>
    </w:p>
    <w:p w14:paraId="082FCC81" w14:textId="77777777" w:rsidR="002201EF" w:rsidRPr="0086292F" w:rsidRDefault="006B7BFE" w:rsidP="009140F6">
      <w:pPr>
        <w:pStyle w:val="Text"/>
        <w:spacing w:before="0" w:after="0"/>
      </w:pPr>
      <w:r>
        <w:t xml:space="preserve">Jednorazowe koszty osobowe wynikają zatem z następującego rachunku:</w:t>
      </w:r>
      <w:r>
        <w:t xml:space="preserve"> </w:t>
      </w:r>
    </w:p>
    <w:p w14:paraId="0A22DD87" w14:textId="5FCF7C89" w:rsidR="00D43FA1" w:rsidRDefault="006B7BFE" w:rsidP="009140F6">
      <w:pPr>
        <w:pStyle w:val="Text"/>
        <w:spacing w:before="0" w:after="0"/>
      </w:pPr>
      <w:r>
        <w:t xml:space="preserve">3 godziny nakładu czasu na badanie x 60,50 euro stawki płacy x 10 000 produktów do zbadania + 6 godzin nakładu czasu na zmianę x 60,50 euro stawki płacy x 5 000 produktów do zmiany = 3 630 000 euro.</w:t>
      </w:r>
    </w:p>
    <w:p w14:paraId="2406F8A6" w14:textId="7A9A3CFE" w:rsidR="006B7BFE" w:rsidRPr="00D43FA1" w:rsidRDefault="006B7BFE" w:rsidP="009140F6">
      <w:pPr>
        <w:pStyle w:val="Text"/>
        <w:spacing w:before="0" w:after="0"/>
      </w:pPr>
    </w:p>
    <w:p w14:paraId="3A7DB30D" w14:textId="77777777" w:rsidR="006B7BFE" w:rsidRPr="00D43FA1" w:rsidRDefault="006B7BFE" w:rsidP="0070360F">
      <w:pPr>
        <w:pStyle w:val="Text"/>
        <w:keepNext/>
        <w:keepLines/>
        <w:spacing w:before="0" w:after="0"/>
        <w:rPr>
          <w:u w:val="single"/>
        </w:rPr>
      </w:pPr>
      <w:r>
        <w:rPr>
          <w:b/>
          <w:bCs/>
        </w:rPr>
        <w:t xml:space="preserve">Tabela 2:</w:t>
      </w:r>
      <w:r>
        <w:rPr>
          <w:b/>
          <w:bCs/>
        </w:rPr>
        <w:t xml:space="preserve"> </w:t>
      </w:r>
      <w:r>
        <w:rPr>
          <w:b/>
          <w:bCs/>
        </w:rPr>
        <w:t xml:space="preserve">Zestawienie kosztów zmiany</w:t>
      </w:r>
      <w:r>
        <w:rPr>
          <w:b/>
          <w:bCs/>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436"/>
        <w:gridCol w:w="1134"/>
        <w:gridCol w:w="1275"/>
        <w:gridCol w:w="1276"/>
        <w:gridCol w:w="1276"/>
        <w:gridCol w:w="1276"/>
      </w:tblGrid>
      <w:tr w:rsidR="006B7BFE" w:rsidRPr="00D43FA1" w14:paraId="3E0ACA00" w14:textId="77777777" w:rsidTr="0070360F">
        <w:tc>
          <w:tcPr>
            <w:tcW w:w="2802" w:type="dxa"/>
            <w:gridSpan w:val="2"/>
          </w:tcPr>
          <w:p w14:paraId="6539344C" w14:textId="6E1D7699" w:rsidR="006B7BFE" w:rsidRPr="00D43FA1" w:rsidRDefault="006B7BFE" w:rsidP="0070360F">
            <w:pPr>
              <w:pStyle w:val="Default"/>
              <w:rPr>
                <w:b/>
                <w:sz w:val="22"/>
                <w:szCs w:val="22"/>
                <w:rFonts w:ascii="Arial" w:hAnsi="Arial" w:cs="Arial"/>
              </w:rPr>
            </w:pPr>
            <w:r>
              <w:rPr>
                <w:b/>
                <w:iCs/>
                <w:sz w:val="22"/>
                <w:szCs w:val="22"/>
                <w:rFonts w:ascii="Arial" w:hAnsi="Arial"/>
              </w:rPr>
              <w:t xml:space="preserve">Wytyczna/obowiązek poinformowania (OP)</w:t>
            </w:r>
            <w:r>
              <w:rPr>
                <w:b/>
                <w:iCs/>
                <w:sz w:val="22"/>
                <w:szCs w:val="22"/>
                <w:rFonts w:ascii="Arial" w:hAnsi="Arial"/>
              </w:rPr>
              <w:t xml:space="preserve"> </w:t>
            </w:r>
          </w:p>
        </w:tc>
        <w:tc>
          <w:tcPr>
            <w:tcW w:w="1134" w:type="dxa"/>
          </w:tcPr>
          <w:p w14:paraId="49FCAF62" w14:textId="0B6392AB" w:rsidR="006B7BFE" w:rsidRPr="00D43FA1" w:rsidRDefault="006B7BFE" w:rsidP="0070360F">
            <w:pPr>
              <w:pStyle w:val="Default"/>
              <w:rPr>
                <w:b/>
                <w:sz w:val="22"/>
                <w:szCs w:val="22"/>
                <w:rFonts w:ascii="Arial" w:hAnsi="Arial" w:cs="Arial"/>
              </w:rPr>
            </w:pPr>
            <w:r>
              <w:rPr>
                <w:b/>
                <w:iCs/>
                <w:sz w:val="22"/>
                <w:szCs w:val="22"/>
                <w:rFonts w:ascii="Arial" w:hAnsi="Arial"/>
              </w:rPr>
              <w:t xml:space="preserve">Nakład czasu jednorazowo w godz.</w:t>
            </w:r>
            <w:r>
              <w:rPr>
                <w:b/>
                <w:iCs/>
                <w:sz w:val="22"/>
                <w:szCs w:val="22"/>
                <w:rFonts w:ascii="Arial" w:hAnsi="Arial"/>
              </w:rPr>
              <w:t xml:space="preserve"> </w:t>
            </w:r>
          </w:p>
        </w:tc>
        <w:tc>
          <w:tcPr>
            <w:tcW w:w="1275" w:type="dxa"/>
          </w:tcPr>
          <w:p w14:paraId="3FB6B09A" w14:textId="6C98ECC7" w:rsidR="006B7BFE" w:rsidRPr="00D43FA1" w:rsidRDefault="006B7BFE" w:rsidP="0070360F">
            <w:pPr>
              <w:pStyle w:val="Default"/>
              <w:rPr>
                <w:b/>
                <w:sz w:val="22"/>
                <w:szCs w:val="22"/>
                <w:rFonts w:ascii="Arial" w:hAnsi="Arial" w:cs="Arial"/>
              </w:rPr>
            </w:pPr>
            <w:r>
              <w:rPr>
                <w:b/>
                <w:iCs/>
                <w:sz w:val="22"/>
                <w:szCs w:val="22"/>
                <w:rFonts w:ascii="Arial" w:hAnsi="Arial"/>
              </w:rPr>
              <w:t xml:space="preserve">Stawka płacy w euro/na godz.</w:t>
            </w:r>
            <w:r>
              <w:rPr>
                <w:b/>
                <w:iCs/>
                <w:sz w:val="22"/>
                <w:szCs w:val="22"/>
                <w:rFonts w:ascii="Arial" w:hAnsi="Arial"/>
              </w:rPr>
              <w:t xml:space="preserve"> </w:t>
            </w:r>
          </w:p>
        </w:tc>
        <w:tc>
          <w:tcPr>
            <w:tcW w:w="1276" w:type="dxa"/>
          </w:tcPr>
          <w:p w14:paraId="0F54C0E3" w14:textId="1127C6E8" w:rsidR="006B7BFE" w:rsidRPr="00D43FA1" w:rsidRDefault="006B7BFE" w:rsidP="0070360F">
            <w:pPr>
              <w:pStyle w:val="Default"/>
              <w:rPr>
                <w:b/>
                <w:sz w:val="22"/>
                <w:szCs w:val="22"/>
                <w:rFonts w:ascii="Arial" w:hAnsi="Arial" w:cs="Arial"/>
              </w:rPr>
            </w:pPr>
            <w:r>
              <w:rPr>
                <w:b/>
                <w:iCs/>
                <w:sz w:val="22"/>
                <w:szCs w:val="22"/>
                <w:rFonts w:ascii="Arial" w:hAnsi="Arial"/>
              </w:rPr>
              <w:t xml:space="preserve">Koszty osobowe jednorazowo w euro</w:t>
            </w:r>
            <w:r>
              <w:rPr>
                <w:b/>
                <w:iCs/>
                <w:sz w:val="22"/>
                <w:szCs w:val="22"/>
                <w:rFonts w:ascii="Arial" w:hAnsi="Arial"/>
              </w:rPr>
              <w:t xml:space="preserve"> </w:t>
            </w:r>
          </w:p>
        </w:tc>
        <w:tc>
          <w:tcPr>
            <w:tcW w:w="1276" w:type="dxa"/>
          </w:tcPr>
          <w:p w14:paraId="2AD81DFC" w14:textId="1826E1E2" w:rsidR="006B7BFE" w:rsidRPr="00D43FA1" w:rsidRDefault="006B7BFE" w:rsidP="0070360F">
            <w:pPr>
              <w:pStyle w:val="Default"/>
              <w:rPr>
                <w:b/>
                <w:sz w:val="22"/>
                <w:szCs w:val="22"/>
                <w:rFonts w:ascii="Arial" w:hAnsi="Arial" w:cs="Arial"/>
              </w:rPr>
            </w:pPr>
            <w:r>
              <w:rPr>
                <w:b/>
                <w:iCs/>
                <w:sz w:val="22"/>
                <w:szCs w:val="22"/>
                <w:rFonts w:ascii="Arial" w:hAnsi="Arial"/>
              </w:rPr>
              <w:t xml:space="preserve">Koszty rzeczowe jednorazowo w euro</w:t>
            </w:r>
            <w:r>
              <w:rPr>
                <w:b/>
                <w:iCs/>
                <w:sz w:val="22"/>
                <w:szCs w:val="22"/>
                <w:rFonts w:ascii="Arial" w:hAnsi="Arial"/>
              </w:rPr>
              <w:t xml:space="preserve"> </w:t>
            </w:r>
          </w:p>
        </w:tc>
        <w:tc>
          <w:tcPr>
            <w:tcW w:w="1276" w:type="dxa"/>
          </w:tcPr>
          <w:p w14:paraId="50C55997" w14:textId="26B44DE8" w:rsidR="006B7BFE" w:rsidRPr="00D43FA1" w:rsidRDefault="006B7BFE" w:rsidP="0070360F">
            <w:pPr>
              <w:pStyle w:val="Default"/>
              <w:rPr>
                <w:b/>
                <w:sz w:val="22"/>
                <w:szCs w:val="22"/>
                <w:rFonts w:ascii="Arial" w:hAnsi="Arial" w:cs="Arial"/>
              </w:rPr>
            </w:pPr>
            <w:r>
              <w:rPr>
                <w:b/>
                <w:bCs/>
                <w:iCs/>
                <w:sz w:val="22"/>
                <w:szCs w:val="22"/>
                <w:rFonts w:ascii="Arial" w:hAnsi="Arial"/>
              </w:rPr>
              <w:t xml:space="preserve">Koszty realizacji jednorazowo w euro</w:t>
            </w:r>
            <w:r>
              <w:rPr>
                <w:b/>
                <w:bCs/>
                <w:iCs/>
                <w:sz w:val="22"/>
                <w:szCs w:val="22"/>
                <w:rFonts w:ascii="Arial" w:hAnsi="Arial"/>
              </w:rPr>
              <w:t xml:space="preserve"> </w:t>
            </w:r>
          </w:p>
        </w:tc>
      </w:tr>
      <w:tr w:rsidR="006B7BFE" w:rsidRPr="00D43FA1" w14:paraId="19635ABD" w14:textId="77777777" w:rsidTr="0070360F">
        <w:tc>
          <w:tcPr>
            <w:tcW w:w="1366" w:type="dxa"/>
          </w:tcPr>
          <w:p w14:paraId="3EF43B2A" w14:textId="77777777" w:rsidR="006B7BFE" w:rsidRPr="00D43FA1" w:rsidRDefault="006B7BFE" w:rsidP="006B7BFE">
            <w:pPr>
              <w:pStyle w:val="Default"/>
              <w:rPr>
                <w:sz w:val="22"/>
                <w:szCs w:val="22"/>
                <w:rFonts w:ascii="Arial" w:hAnsi="Arial" w:cs="Arial"/>
              </w:rPr>
            </w:pPr>
            <w:r>
              <w:rPr>
                <w:sz w:val="22"/>
                <w:szCs w:val="22"/>
                <w:rFonts w:ascii="Arial" w:hAnsi="Arial"/>
              </w:rPr>
              <w:t xml:space="preserve">Bariera funkcjonalna</w:t>
            </w:r>
            <w:r>
              <w:rPr>
                <w:sz w:val="22"/>
                <w:szCs w:val="22"/>
                <w:rFonts w:ascii="Arial" w:hAnsi="Arial"/>
              </w:rPr>
              <w:t xml:space="preserve"> </w:t>
            </w:r>
          </w:p>
        </w:tc>
        <w:tc>
          <w:tcPr>
            <w:tcW w:w="1436" w:type="dxa"/>
          </w:tcPr>
          <w:p w14:paraId="3A8E99F1" w14:textId="77777777" w:rsidR="006B7BFE" w:rsidRPr="00D43FA1" w:rsidRDefault="006B7BFE" w:rsidP="000F1682">
            <w:pPr>
              <w:pStyle w:val="Default"/>
              <w:rPr>
                <w:sz w:val="22"/>
                <w:szCs w:val="22"/>
                <w:rFonts w:ascii="Arial" w:hAnsi="Arial" w:cs="Arial"/>
              </w:rPr>
            </w:pPr>
            <w:r>
              <w:rPr>
                <w:sz w:val="22"/>
                <w:szCs w:val="22"/>
                <w:rFonts w:ascii="Arial" w:hAnsi="Arial"/>
              </w:rPr>
              <w:t xml:space="preserve">§ 6a ust. 1 i 4</w:t>
            </w:r>
            <w:r>
              <w:rPr>
                <w:sz w:val="22"/>
                <w:szCs w:val="22"/>
                <w:rFonts w:ascii="Arial" w:hAnsi="Arial"/>
              </w:rPr>
              <w:t xml:space="preserve"> </w:t>
            </w:r>
          </w:p>
        </w:tc>
        <w:tc>
          <w:tcPr>
            <w:tcW w:w="1134" w:type="dxa"/>
          </w:tcPr>
          <w:p w14:paraId="0BB48AAC" w14:textId="77777777" w:rsidR="006B7BFE" w:rsidRPr="00D43FA1" w:rsidRDefault="006B7BFE" w:rsidP="002F4768">
            <w:pPr>
              <w:pStyle w:val="Default"/>
              <w:rPr>
                <w:sz w:val="22"/>
                <w:szCs w:val="22"/>
                <w:rFonts w:ascii="Arial" w:hAnsi="Arial" w:cs="Arial"/>
              </w:rPr>
            </w:pPr>
            <w:r>
              <w:rPr>
                <w:sz w:val="22"/>
                <w:szCs w:val="22"/>
                <w:rFonts w:ascii="Arial" w:hAnsi="Arial"/>
              </w:rPr>
              <w:t xml:space="preserve">60 000</w:t>
            </w:r>
            <w:r>
              <w:rPr>
                <w:sz w:val="22"/>
                <w:szCs w:val="22"/>
                <w:rFonts w:ascii="Arial" w:hAnsi="Arial"/>
              </w:rPr>
              <w:t xml:space="preserve"> </w:t>
            </w:r>
          </w:p>
        </w:tc>
        <w:tc>
          <w:tcPr>
            <w:tcW w:w="1275" w:type="dxa"/>
          </w:tcPr>
          <w:p w14:paraId="28388CFA" w14:textId="77777777" w:rsidR="006B7BFE" w:rsidRPr="00D43FA1" w:rsidRDefault="00A4031B" w:rsidP="006B7BFE">
            <w:pPr>
              <w:pStyle w:val="Default"/>
              <w:rPr>
                <w:sz w:val="22"/>
                <w:szCs w:val="22"/>
                <w:rFonts w:ascii="Arial" w:hAnsi="Arial" w:cs="Arial"/>
              </w:rPr>
            </w:pPr>
            <w:r>
              <w:rPr>
                <w:sz w:val="22"/>
                <w:szCs w:val="22"/>
                <w:rFonts w:ascii="Arial" w:hAnsi="Arial"/>
              </w:rPr>
              <w:t xml:space="preserve">60,50</w:t>
            </w:r>
          </w:p>
        </w:tc>
        <w:tc>
          <w:tcPr>
            <w:tcW w:w="1276" w:type="dxa"/>
          </w:tcPr>
          <w:p w14:paraId="1C8517E8" w14:textId="77777777" w:rsidR="006B7BFE" w:rsidRPr="00D43FA1" w:rsidRDefault="00A4031B" w:rsidP="002F4768">
            <w:pPr>
              <w:pStyle w:val="Default"/>
              <w:rPr>
                <w:sz w:val="22"/>
                <w:szCs w:val="22"/>
                <w:rFonts w:ascii="Arial" w:hAnsi="Arial" w:cs="Arial"/>
              </w:rPr>
            </w:pPr>
            <w:r>
              <w:rPr>
                <w:sz w:val="22"/>
                <w:szCs w:val="22"/>
                <w:rFonts w:ascii="Arial" w:hAnsi="Arial"/>
              </w:rPr>
              <w:t xml:space="preserve">3 630 000</w:t>
            </w:r>
            <w:r>
              <w:rPr>
                <w:sz w:val="22"/>
                <w:szCs w:val="22"/>
                <w:rFonts w:ascii="Arial" w:hAnsi="Arial"/>
              </w:rPr>
              <w:t xml:space="preserve"> </w:t>
            </w:r>
          </w:p>
        </w:tc>
        <w:tc>
          <w:tcPr>
            <w:tcW w:w="1276" w:type="dxa"/>
          </w:tcPr>
          <w:p w14:paraId="38F2E4E4" w14:textId="77777777" w:rsidR="006B7BFE" w:rsidRPr="00D43FA1" w:rsidRDefault="006B7BFE" w:rsidP="002F4768">
            <w:pPr>
              <w:pStyle w:val="Default"/>
              <w:rPr>
                <w:sz w:val="22"/>
                <w:szCs w:val="22"/>
                <w:rFonts w:ascii="Arial" w:hAnsi="Arial" w:cs="Arial"/>
              </w:rPr>
            </w:pPr>
            <w:r>
              <w:rPr>
                <w:sz w:val="22"/>
                <w:szCs w:val="22"/>
                <w:rFonts w:ascii="Arial" w:hAnsi="Arial"/>
              </w:rPr>
              <w:t xml:space="preserve">5 650 000</w:t>
            </w:r>
            <w:r>
              <w:rPr>
                <w:sz w:val="22"/>
                <w:szCs w:val="22"/>
                <w:rFonts w:ascii="Arial" w:hAnsi="Arial"/>
              </w:rPr>
              <w:t xml:space="preserve"> </w:t>
            </w:r>
          </w:p>
        </w:tc>
        <w:tc>
          <w:tcPr>
            <w:tcW w:w="1276" w:type="dxa"/>
            <w:shd w:val="clear" w:color="auto" w:fill="BFBFBF" w:themeFill="background1" w:themeFillShade="BF"/>
          </w:tcPr>
          <w:p w14:paraId="5943CEDA" w14:textId="77777777" w:rsidR="006B7BFE" w:rsidRPr="00D43FA1" w:rsidRDefault="002F4768" w:rsidP="002F4768">
            <w:pPr>
              <w:pStyle w:val="Default"/>
              <w:rPr>
                <w:sz w:val="22"/>
                <w:szCs w:val="22"/>
                <w:rFonts w:ascii="Arial" w:hAnsi="Arial" w:cs="Arial"/>
              </w:rPr>
            </w:pPr>
            <w:r>
              <w:rPr>
                <w:b/>
                <w:bCs/>
                <w:sz w:val="22"/>
                <w:szCs w:val="22"/>
                <w:rFonts w:ascii="Arial" w:hAnsi="Arial"/>
              </w:rPr>
              <w:t xml:space="preserve"> </w:t>
            </w:r>
            <w:r>
              <w:rPr>
                <w:b/>
                <w:bCs/>
                <w:sz w:val="22"/>
                <w:szCs w:val="22"/>
                <w:rFonts w:ascii="Arial" w:hAnsi="Arial"/>
              </w:rPr>
              <w:t xml:space="preserve">9 280 000</w:t>
            </w:r>
            <w:r>
              <w:rPr>
                <w:b/>
                <w:bCs/>
                <w:sz w:val="22"/>
                <w:szCs w:val="22"/>
                <w:rFonts w:ascii="Arial" w:hAnsi="Arial"/>
              </w:rPr>
              <w:t xml:space="preserve"> </w:t>
            </w:r>
          </w:p>
        </w:tc>
      </w:tr>
    </w:tbl>
    <w:p w14:paraId="70DC6500" w14:textId="77777777" w:rsidR="00D43FA1" w:rsidRDefault="00D43FA1" w:rsidP="00557D18">
      <w:pPr>
        <w:pStyle w:val="Text"/>
        <w:spacing w:before="0" w:after="0"/>
        <w:jc w:val="left"/>
        <w:rPr>
          <w:rStyle w:val="CommentReference"/>
          <w:rFonts w:ascii="Times New Roman" w:eastAsia="Times New Roman" w:hAnsi="Times New Roman" w:cs="Times New Roman"/>
          <w:lang w:eastAsia="de-DE"/>
        </w:rPr>
      </w:pPr>
    </w:p>
    <w:p w14:paraId="09D77BBF" w14:textId="77777777" w:rsidR="00D43FA1" w:rsidRDefault="006B7BFE" w:rsidP="0086292F">
      <w:pPr>
        <w:pStyle w:val="Text"/>
        <w:keepNext/>
        <w:keepLines/>
        <w:spacing w:before="0" w:after="0"/>
        <w:jc w:val="left"/>
        <w:rPr>
          <w:rStyle w:val="CommentReference"/>
          <w:rFonts w:ascii="Times New Roman" w:eastAsia="Times New Roman" w:hAnsi="Times New Roman" w:cs="Times New Roman"/>
        </w:rPr>
      </w:pPr>
      <w:r>
        <w:t xml:space="preserve">b) Roczne koszty realizacji</w:t>
      </w:r>
      <w:r>
        <w:t xml:space="preserve"> </w:t>
      </w:r>
    </w:p>
    <w:p w14:paraId="5CB6CCB6" w14:textId="521BA6B6" w:rsidR="006B7BFE" w:rsidRPr="00D43FA1" w:rsidRDefault="006B7BFE" w:rsidP="0086292F">
      <w:pPr>
        <w:pStyle w:val="Text"/>
        <w:keepNext/>
        <w:keepLines/>
        <w:spacing w:before="0" w:after="0"/>
        <w:jc w:val="left"/>
      </w:pPr>
    </w:p>
    <w:p w14:paraId="318EDF1F" w14:textId="77777777" w:rsidR="00D43FA1" w:rsidRDefault="006B7BFE" w:rsidP="0086292F">
      <w:pPr>
        <w:pStyle w:val="Text"/>
        <w:keepNext/>
        <w:keepLines/>
        <w:spacing w:before="0" w:after="0"/>
        <w:rPr>
          <w:i/>
          <w:iCs/>
        </w:rPr>
      </w:pPr>
      <w:r>
        <w:rPr>
          <w:i/>
          <w:iCs/>
        </w:rPr>
        <w:t xml:space="preserve">Roczne koszty realizacji obejmują koszty osobowe i rzeczowe badania okresowego i dodatkowe koszty spowodowane zgodnym z regulacjami rozwiązaniem w zakresie opakowań w rozumieniu § 6a.</w:t>
      </w:r>
      <w:r>
        <w:rPr>
          <w:i/>
          <w:iCs/>
        </w:rPr>
        <w:t xml:space="preserve"> </w:t>
      </w:r>
      <w:r>
        <w:rPr>
          <w:i/>
          <w:iCs/>
        </w:rPr>
        <w:t xml:space="preserve">Badanie okresowe żywności i rozwiązań w zakresie opakowań obejmuje pobranie próbek, analizę i ocenę.</w:t>
      </w:r>
      <w:r>
        <w:rPr>
          <w:i/>
          <w:iCs/>
        </w:rPr>
        <w:t xml:space="preserve"> </w:t>
      </w:r>
    </w:p>
    <w:p w14:paraId="61757831" w14:textId="2AB309E2" w:rsidR="006B7BFE" w:rsidRPr="00D43FA1" w:rsidRDefault="006B7BFE" w:rsidP="0086292F">
      <w:pPr>
        <w:pStyle w:val="Text"/>
        <w:keepNext/>
        <w:keepLines/>
        <w:spacing w:before="0" w:after="0"/>
        <w:rPr>
          <w:i/>
          <w:iCs/>
        </w:rPr>
      </w:pPr>
    </w:p>
    <w:p w14:paraId="3A014E51" w14:textId="43820923" w:rsidR="006B7BFE" w:rsidRPr="0086292F" w:rsidRDefault="006B7BFE" w:rsidP="00557D18">
      <w:pPr>
        <w:pStyle w:val="Text"/>
        <w:numPr>
          <w:ilvl w:val="0"/>
          <w:numId w:val="5"/>
        </w:numPr>
        <w:spacing w:before="0" w:after="0"/>
        <w:rPr>
          <w:color w:val="000000"/>
        </w:rPr>
      </w:pPr>
      <w:r>
        <w:rPr>
          <w:i/>
          <w:iCs/>
        </w:rPr>
        <w:t xml:space="preserve">Liczba przypadków</w:t>
      </w:r>
      <w:r>
        <w:t xml:space="preserve"> </w:t>
      </w:r>
      <w:r>
        <w:rPr>
          <w:color w:val="000000"/>
        </w:rPr>
        <w:t xml:space="preserve">(= odnośne produkty:</w:t>
      </w:r>
      <w:r>
        <w:rPr>
          <w:color w:val="000000"/>
        </w:rPr>
        <w:t xml:space="preserve"> </w:t>
      </w:r>
      <w:r>
        <w:rPr>
          <w:color w:val="000000"/>
        </w:rPr>
        <w:t xml:space="preserve">żywność plus stykające się z nią artykuły użytkowe)</w:t>
      </w:r>
      <w:r>
        <w:rPr>
          <w:color w:val="000000"/>
        </w:rPr>
        <w:t xml:space="preserve"> </w:t>
      </w:r>
    </w:p>
    <w:p w14:paraId="6EA56C3D" w14:textId="77777777" w:rsidR="00D43FA1" w:rsidRPr="00D43FA1" w:rsidRDefault="00D43FA1" w:rsidP="00D43FA1">
      <w:pPr>
        <w:pStyle w:val="Text"/>
        <w:spacing w:before="0" w:after="0"/>
        <w:ind w:left="360"/>
        <w:rPr>
          <w:u w:val="single"/>
        </w:rPr>
      </w:pPr>
    </w:p>
    <w:p w14:paraId="5F264B2C" w14:textId="77777777" w:rsidR="006B7BFE" w:rsidRPr="00D43FA1" w:rsidRDefault="006B7BFE" w:rsidP="009140F6">
      <w:pPr>
        <w:pStyle w:val="Text"/>
        <w:spacing w:before="0" w:after="0"/>
      </w:pPr>
      <w:r>
        <w:t xml:space="preserve">Łączna liczba produktów podlegających rozporządzeniu wynika odpowiednio z liczby produktów objętych jednorazowymi kosztami zmiany:</w:t>
      </w:r>
      <w:r>
        <w:t xml:space="preserve"> </w:t>
      </w:r>
      <w:r>
        <w:t xml:space="preserve">chodzi zasadniczo o 10 000 produktów, w przypadku 5 000 produktów należy zmienić opakowanie.</w:t>
      </w:r>
      <w:r>
        <w:t xml:space="preserve"> </w:t>
      </w:r>
      <w:r>
        <w:t xml:space="preserve">Zgodność nowego opakowania jest sprawdzana co roku w przypadku tych 5 000 produktów.</w:t>
      </w:r>
      <w:r>
        <w:t xml:space="preserve"> </w:t>
      </w:r>
      <w:r>
        <w:t xml:space="preserve">Również w związku z produktami, które nie wymagają zmiany, powstają nakłady stosownie do informacji od przepytanych przedsiębiorców.</w:t>
      </w:r>
      <w:r>
        <w:t xml:space="preserve"> </w:t>
      </w:r>
      <w:r>
        <w:t xml:space="preserve">Zakłada się, że badanie odpowiada w przybliżeniu jednej trzeciej kosztów dotyczących zmienionych produktów.</w:t>
      </w:r>
      <w:r>
        <w:t xml:space="preserve"> </w:t>
      </w:r>
    </w:p>
    <w:p w14:paraId="5B1EB757" w14:textId="77777777" w:rsidR="006B7BFE" w:rsidRPr="00D43FA1" w:rsidRDefault="006B7BFE" w:rsidP="009140F6">
      <w:pPr>
        <w:pStyle w:val="Text"/>
        <w:spacing w:before="0" w:after="0"/>
      </w:pPr>
    </w:p>
    <w:p w14:paraId="446C7513" w14:textId="77777777" w:rsidR="006B7BFE" w:rsidRPr="00D43FA1" w:rsidRDefault="006B7BFE" w:rsidP="0070360F">
      <w:pPr>
        <w:pStyle w:val="Text"/>
        <w:keepNext/>
        <w:keepLines/>
        <w:numPr>
          <w:ilvl w:val="0"/>
          <w:numId w:val="6"/>
        </w:numPr>
        <w:spacing w:before="0" w:after="0"/>
      </w:pPr>
      <w:r>
        <w:rPr>
          <w:i/>
          <w:iCs/>
        </w:rPr>
        <w:t xml:space="preserve">Koszty osobowe</w:t>
      </w:r>
    </w:p>
    <w:p w14:paraId="0FD42608" w14:textId="77777777" w:rsidR="006B7BFE" w:rsidRPr="00D43FA1" w:rsidRDefault="006B7BFE" w:rsidP="0070360F">
      <w:pPr>
        <w:pStyle w:val="Text"/>
        <w:keepNext/>
        <w:keepLines/>
        <w:spacing w:before="0" w:after="0"/>
        <w:rPr>
          <w:i/>
          <w:iCs/>
          <w:u w:val="single"/>
        </w:rPr>
      </w:pPr>
    </w:p>
    <w:p w14:paraId="58C3C95C" w14:textId="77777777" w:rsidR="006B7BFE" w:rsidRPr="00D43FA1" w:rsidRDefault="00E71594" w:rsidP="009140F6">
      <w:pPr>
        <w:pStyle w:val="Text"/>
        <w:spacing w:before="0" w:after="0"/>
      </w:pPr>
      <w:r>
        <w:t xml:space="preserve">Roczne koszty realizacji wynikają z kosztów osobowych związanych z zadaniami w ramach badania okresowego żywności i przynależnych artykułów użytkowych przeznaczonych do kontaktu z nią (z reguły opakowań) (przygotowanie i kontynuacja badań laboratoryjnych; samo przeprowadzenie analiz jest przeważnie dokonywane przez podmiot zewnętrzny).</w:t>
      </w:r>
      <w:r>
        <w:t xml:space="preserve"> </w:t>
      </w:r>
      <w:r>
        <w:t xml:space="preserve">Uzyskano informacje o łącznych kosztach związanych z wszystkimi odnośnymi produktami danego przedsiębiorstwa i koszty te rozłożono na liczbę produktów tego przedsiębiorstwa wchodzących w zakres stosowania rozporządzenia.</w:t>
      </w:r>
      <w:r>
        <w:t xml:space="preserve"> </w:t>
      </w:r>
    </w:p>
    <w:p w14:paraId="6A10C10F" w14:textId="77777777" w:rsidR="006B7BFE" w:rsidRPr="00D43FA1" w:rsidRDefault="006B7BFE" w:rsidP="009140F6">
      <w:pPr>
        <w:pStyle w:val="Text"/>
        <w:spacing w:before="0" w:after="0"/>
        <w:rPr>
          <w:vertAlign w:val="superscript"/>
        </w:rPr>
      </w:pPr>
      <w:r>
        <w:t xml:space="preserve">Na podstawie przeprowadzonych wywiadów można było ustalić dla badania żywności i przynależnych artykułów użytkowych przeznaczonych do kontaktu z nią roczny nakład czasu wynoszący około </w:t>
      </w:r>
      <w:r>
        <w:rPr>
          <w:b/>
          <w:bCs/>
        </w:rPr>
        <w:t xml:space="preserve">trzech godzin na produkt</w:t>
      </w:r>
      <w:r>
        <w:t xml:space="preserve">.</w:t>
      </w:r>
      <w:r>
        <w:t xml:space="preserve"> </w:t>
      </w:r>
      <w:r>
        <w:t xml:space="preserve">Obok analizy pod kątem zawartości MOAH obejmuje on również prace przygotowawcze, takie jak pobranie próbek.</w:t>
      </w:r>
      <w:r>
        <w:t xml:space="preserve"> </w:t>
      </w:r>
      <w:r>
        <w:t xml:space="preserve">Jako stawkę płacy przyjmuje się 60,50 euro za godzinę</w:t>
      </w:r>
      <w:r>
        <w:rPr>
          <w:vertAlign w:val="superscript"/>
        </w:rPr>
        <w:t xml:space="preserve">3</w:t>
      </w:r>
      <w:r>
        <w:t xml:space="preserve">.</w:t>
      </w:r>
    </w:p>
    <w:p w14:paraId="1FCB5935" w14:textId="77777777" w:rsidR="006B7BFE" w:rsidRPr="00D43FA1" w:rsidRDefault="006B7BFE" w:rsidP="009140F6">
      <w:pPr>
        <w:pStyle w:val="Text"/>
        <w:spacing w:before="0" w:after="0"/>
        <w:rPr>
          <w:vertAlign w:val="superscript"/>
        </w:rPr>
      </w:pPr>
      <w:r>
        <w:t xml:space="preserve">W oparciu o wywiady dla niezmienionych produktów (50 % łącznej liczby, tj. 5 000 produktów) wynika mniej intensywne badanie.</w:t>
      </w:r>
      <w:r>
        <w:t xml:space="preserve"> </w:t>
      </w:r>
      <w:r>
        <w:t xml:space="preserve">Roczny nakład czasu odpowiada stosownie do tego </w:t>
      </w:r>
      <w:r>
        <w:rPr>
          <w:b/>
          <w:bCs/>
        </w:rPr>
        <w:t xml:space="preserve">jednej godzinie na produkt</w:t>
      </w:r>
      <w:r>
        <w:t xml:space="preserve">.</w:t>
      </w:r>
      <w:r>
        <w:t xml:space="preserve"> </w:t>
      </w:r>
      <w:r>
        <w:t xml:space="preserve">Jako stawkę płacy przyjmuje się 60,50 euro za godzinę</w:t>
      </w:r>
      <w:r>
        <w:rPr>
          <w:vertAlign w:val="superscript"/>
        </w:rPr>
        <w:t xml:space="preserve">3</w:t>
      </w:r>
      <w:r>
        <w:t xml:space="preserve">.</w:t>
      </w:r>
      <w:r>
        <w:rPr>
          <w:vertAlign w:val="superscript"/>
        </w:rPr>
        <w:t xml:space="preserve"> </w:t>
      </w:r>
    </w:p>
    <w:p w14:paraId="572A0A4A" w14:textId="671EEE96" w:rsidR="006B7BFE" w:rsidRPr="00D43FA1" w:rsidRDefault="006B7BFE" w:rsidP="009140F6">
      <w:pPr>
        <w:pStyle w:val="Text"/>
        <w:spacing w:before="0" w:after="0"/>
      </w:pPr>
      <w:r>
        <w:t xml:space="preserve">Jako roczne koszty osobowe powstają stosownie do tego:</w:t>
      </w:r>
      <w:r>
        <w:t xml:space="preserve"> </w:t>
      </w:r>
      <w:r>
        <w:t xml:space="preserve">3 godziny nakładu czasu na badanie x 60,50 euro stawki płacy x 5 000 produktów + 1 godzina nakładu czasu na badanie x 60,50 euro stawki płacy x 5 000 produktów = 1 210 000 euro.</w:t>
      </w:r>
      <w:r>
        <w:t xml:space="preserve"> </w:t>
      </w:r>
    </w:p>
    <w:p w14:paraId="471B7111" w14:textId="385C935E" w:rsidR="003923C4" w:rsidRPr="00D43FA1" w:rsidRDefault="003923C4" w:rsidP="009140F6">
      <w:pPr>
        <w:pStyle w:val="Text"/>
        <w:spacing w:before="0" w:after="0"/>
      </w:pPr>
    </w:p>
    <w:p w14:paraId="02CD70EC" w14:textId="77777777" w:rsidR="006B7BFE" w:rsidRPr="00D43FA1" w:rsidRDefault="006B7BFE" w:rsidP="0070360F">
      <w:pPr>
        <w:pStyle w:val="Text"/>
        <w:keepNext/>
        <w:keepLines/>
        <w:numPr>
          <w:ilvl w:val="0"/>
          <w:numId w:val="6"/>
        </w:numPr>
        <w:spacing w:before="0" w:after="0"/>
      </w:pPr>
      <w:r>
        <w:rPr>
          <w:i/>
          <w:iCs/>
        </w:rPr>
        <w:t xml:space="preserve">Koszty rzeczowe</w:t>
      </w:r>
      <w:r>
        <w:rPr>
          <w:i/>
          <w:iCs/>
        </w:rPr>
        <w:t xml:space="preserve"> </w:t>
      </w:r>
    </w:p>
    <w:p w14:paraId="1E71B5C0" w14:textId="77777777" w:rsidR="006B7BFE" w:rsidRPr="00D43FA1" w:rsidRDefault="006B7BFE" w:rsidP="0070360F">
      <w:pPr>
        <w:pStyle w:val="Text"/>
        <w:keepNext/>
        <w:keepLines/>
        <w:spacing w:before="0" w:after="0"/>
        <w:rPr>
          <w:i/>
          <w:iCs/>
          <w:u w:val="single"/>
        </w:rPr>
      </w:pPr>
    </w:p>
    <w:p w14:paraId="0B563A15" w14:textId="77777777" w:rsidR="006B7BFE" w:rsidRPr="00D43FA1" w:rsidRDefault="006B7BFE" w:rsidP="009140F6">
      <w:pPr>
        <w:pStyle w:val="Text"/>
        <w:spacing w:before="0" w:after="0"/>
      </w:pPr>
      <w:r>
        <w:t xml:space="preserve">Koszty rzeczowe składają się z kosztów badania okresowego żywności i przynależnych artykułów użytkowych przeznaczonych do kontaktu z nią (z reguły opakowań) i dodatkowych kosztów związanych z opakowaniami wymagającymi zmiany.</w:t>
      </w:r>
      <w:r>
        <w:t xml:space="preserve"> </w:t>
      </w:r>
      <w:r>
        <w:t xml:space="preserve">Koszty powstają w związku z zatrudnieniem zewnętrznych laboratoriów do badań.</w:t>
      </w:r>
      <w:r>
        <w:t xml:space="preserve"> </w:t>
      </w:r>
      <w:r>
        <w:t xml:space="preserve">Tylko kilka przedsiębiorstw przeprowadza analizy zupełnie samodzielnie.</w:t>
      </w:r>
      <w:r>
        <w:t xml:space="preserve"> </w:t>
      </w:r>
      <w:r>
        <w:t xml:space="preserve">Uzyskano informacje o kosztach związanych z wszystkimi odnośnymi produktami danego przedsiębiorstwa i te koszty łączne rozłożono na liczbę produktów tego przedsiębiorstwa wchodzących w zakres stosowania rozporządzenia.</w:t>
      </w:r>
      <w:r>
        <w:t xml:space="preserve"> </w:t>
      </w:r>
    </w:p>
    <w:p w14:paraId="05FEEC02" w14:textId="77777777" w:rsidR="006B7BFE" w:rsidRPr="00D43FA1" w:rsidRDefault="006B7BFE" w:rsidP="009140F6">
      <w:pPr>
        <w:pStyle w:val="Text"/>
        <w:spacing w:before="0" w:after="0"/>
      </w:pPr>
      <w:r>
        <w:t xml:space="preserve">Na podstawie przeprowadzonych wywiadów można było ustalić, że z badaniem żywności i przynależnych artykułów użytkowych przeznaczonych do kontaktu z nią będą wiązać się roczne koszty w wysokości około </w:t>
      </w:r>
      <w:r>
        <w:rPr>
          <w:b/>
          <w:bCs/>
        </w:rPr>
        <w:t xml:space="preserve">290 euro na produkt</w:t>
      </w:r>
      <w:r>
        <w:t xml:space="preserve">.</w:t>
      </w:r>
      <w:r>
        <w:t xml:space="preserve"> </w:t>
      </w:r>
      <w:r>
        <w:t xml:space="preserve">Te koszty rzeczowe powstają dla wszystkich 5 000 produktów.</w:t>
      </w:r>
      <w:r>
        <w:t xml:space="preserve"> </w:t>
      </w:r>
      <w:r>
        <w:t xml:space="preserve">Dla mniej intensywnego badania środków spożywczych niewymagających zmiany ustalono około </w:t>
      </w:r>
      <w:r>
        <w:rPr>
          <w:b/>
          <w:bCs/>
        </w:rPr>
        <w:t xml:space="preserve">100 euro na produkt</w:t>
      </w:r>
      <w:r>
        <w:t xml:space="preserve">, które przypadają dla 5 000 produktów.</w:t>
      </w:r>
      <w:r>
        <w:t xml:space="preserve"> </w:t>
      </w:r>
    </w:p>
    <w:p w14:paraId="1FB0BAEE" w14:textId="77777777" w:rsidR="006B7BFE" w:rsidRPr="00D43FA1" w:rsidRDefault="006B7BFE" w:rsidP="009140F6">
      <w:pPr>
        <w:pStyle w:val="Text"/>
        <w:spacing w:before="0" w:after="0"/>
      </w:pPr>
      <w:r>
        <w:t xml:space="preserve">Dodatkowe koszty materiału opakowaniowego dla 5 000 produktów wymagających zmiany wynoszą około </w:t>
      </w:r>
      <w:r>
        <w:rPr>
          <w:b/>
          <w:bCs/>
        </w:rPr>
        <w:t xml:space="preserve">1 000 euro na produkt</w:t>
      </w:r>
      <w:r>
        <w:t xml:space="preserve">.</w:t>
      </w:r>
      <w:r>
        <w:t xml:space="preserve"> </w:t>
      </w:r>
    </w:p>
    <w:p w14:paraId="5A000AC2" w14:textId="77777777" w:rsidR="006B7BFE" w:rsidRPr="00D43FA1" w:rsidRDefault="006B7BFE" w:rsidP="009140F6">
      <w:pPr>
        <w:pStyle w:val="Text"/>
        <w:spacing w:before="0" w:after="0"/>
      </w:pPr>
      <w:r>
        <w:t xml:space="preserve">Jako roczne koszty rzeczowe powstają stosownie do tego:</w:t>
      </w:r>
      <w:r>
        <w:t xml:space="preserve"> </w:t>
      </w:r>
      <w:r>
        <w:t xml:space="preserve">290 euro kosztów badania x 5 000 produktów + 100 euro kosztów badania x 5 000 produktów + 1 000 euro koszty materiałów x 5 000 produktów = 6 950 000 euro.</w:t>
      </w:r>
      <w:r>
        <w:t xml:space="preserve"> </w:t>
      </w:r>
    </w:p>
    <w:p w14:paraId="4EA9AD8F" w14:textId="77777777" w:rsidR="006B7BFE" w:rsidRPr="00D43FA1" w:rsidRDefault="006B7BFE" w:rsidP="009140F6">
      <w:pPr>
        <w:pStyle w:val="Text"/>
        <w:spacing w:before="0" w:after="0"/>
      </w:pPr>
    </w:p>
    <w:p w14:paraId="5E74352B" w14:textId="77777777" w:rsidR="006B7BFE" w:rsidRPr="00D43FA1" w:rsidRDefault="006B7BFE" w:rsidP="0070360F">
      <w:pPr>
        <w:pStyle w:val="Text"/>
        <w:keepNext/>
        <w:keepLines/>
        <w:spacing w:before="0" w:after="0"/>
        <w:rPr>
          <w:u w:val="single"/>
        </w:rPr>
      </w:pPr>
      <w:r>
        <w:rPr>
          <w:b/>
          <w:bCs/>
        </w:rPr>
        <w:t xml:space="preserve">Tabela 3:</w:t>
      </w:r>
      <w:r>
        <w:rPr>
          <w:b/>
          <w:bCs/>
        </w:rPr>
        <w:t xml:space="preserve"> </w:t>
      </w:r>
      <w:r>
        <w:rPr>
          <w:b/>
          <w:bCs/>
        </w:rPr>
        <w:t xml:space="preserve">Zestawienie bieżących kosztów realizacji</w:t>
      </w:r>
      <w:r>
        <w:rPr>
          <w:b/>
          <w:bCs/>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294"/>
        <w:gridCol w:w="1276"/>
        <w:gridCol w:w="1275"/>
        <w:gridCol w:w="1276"/>
        <w:gridCol w:w="1276"/>
        <w:gridCol w:w="1276"/>
      </w:tblGrid>
      <w:tr w:rsidR="006B7BFE" w:rsidRPr="00D43FA1" w14:paraId="1A7C22AA" w14:textId="77777777" w:rsidTr="0070360F">
        <w:tc>
          <w:tcPr>
            <w:tcW w:w="2660" w:type="dxa"/>
            <w:gridSpan w:val="2"/>
          </w:tcPr>
          <w:p w14:paraId="4EBDEFBC" w14:textId="603EE879" w:rsidR="006B7BFE" w:rsidRPr="00D43FA1" w:rsidRDefault="006B7BFE" w:rsidP="0070360F">
            <w:pPr>
              <w:pStyle w:val="Default"/>
              <w:keepNext/>
              <w:keepLines/>
              <w:rPr>
                <w:b/>
                <w:sz w:val="22"/>
                <w:szCs w:val="22"/>
                <w:rFonts w:ascii="Arial" w:hAnsi="Arial" w:cs="Arial"/>
              </w:rPr>
            </w:pPr>
            <w:r>
              <w:rPr>
                <w:b/>
                <w:iCs/>
                <w:sz w:val="22"/>
                <w:szCs w:val="22"/>
                <w:rFonts w:ascii="Arial" w:hAnsi="Arial"/>
              </w:rPr>
              <w:t xml:space="preserve">Wytyczna/obowiązek poinformowania (OP)</w:t>
            </w:r>
            <w:r>
              <w:rPr>
                <w:b/>
                <w:iCs/>
                <w:sz w:val="22"/>
                <w:szCs w:val="22"/>
                <w:rFonts w:ascii="Arial" w:hAnsi="Arial"/>
              </w:rPr>
              <w:t xml:space="preserve"> </w:t>
            </w:r>
          </w:p>
          <w:p w14:paraId="67A2E6B2" w14:textId="77777777" w:rsidR="006B7BFE" w:rsidRPr="00D43FA1" w:rsidRDefault="006B7BFE" w:rsidP="0070360F">
            <w:pPr>
              <w:pStyle w:val="Default"/>
              <w:keepNext/>
              <w:keepLines/>
              <w:rPr>
                <w:rFonts w:ascii="Arial" w:hAnsi="Arial" w:cs="Arial"/>
                <w:b/>
                <w:sz w:val="22"/>
                <w:szCs w:val="22"/>
              </w:rPr>
            </w:pPr>
          </w:p>
        </w:tc>
        <w:tc>
          <w:tcPr>
            <w:tcW w:w="1276" w:type="dxa"/>
          </w:tcPr>
          <w:p w14:paraId="06CC8623" w14:textId="2AD90995" w:rsidR="006B7BFE" w:rsidRPr="00D43FA1" w:rsidRDefault="006B7BFE" w:rsidP="0070360F">
            <w:pPr>
              <w:pStyle w:val="Default"/>
              <w:keepNext/>
              <w:keepLines/>
              <w:rPr>
                <w:b/>
                <w:sz w:val="22"/>
                <w:szCs w:val="22"/>
                <w:rFonts w:ascii="Arial" w:hAnsi="Arial" w:cs="Arial"/>
              </w:rPr>
            </w:pPr>
            <w:r>
              <w:rPr>
                <w:b/>
                <w:iCs/>
                <w:sz w:val="22"/>
                <w:szCs w:val="22"/>
                <w:rFonts w:ascii="Arial" w:hAnsi="Arial"/>
              </w:rPr>
              <w:t xml:space="preserve">Nakład czasu rocznie w godz.</w:t>
            </w:r>
            <w:r>
              <w:rPr>
                <w:b/>
                <w:iCs/>
                <w:sz w:val="22"/>
                <w:szCs w:val="22"/>
                <w:rFonts w:ascii="Arial" w:hAnsi="Arial"/>
              </w:rPr>
              <w:t xml:space="preserve"> </w:t>
            </w:r>
          </w:p>
        </w:tc>
        <w:tc>
          <w:tcPr>
            <w:tcW w:w="1275" w:type="dxa"/>
          </w:tcPr>
          <w:p w14:paraId="6C38D040" w14:textId="63516781" w:rsidR="006B7BFE" w:rsidRPr="00D43FA1" w:rsidRDefault="006B7BFE" w:rsidP="0070360F">
            <w:pPr>
              <w:pStyle w:val="Default"/>
              <w:keepNext/>
              <w:keepLines/>
              <w:rPr>
                <w:b/>
                <w:sz w:val="22"/>
                <w:szCs w:val="22"/>
                <w:rFonts w:ascii="Arial" w:hAnsi="Arial" w:cs="Arial"/>
              </w:rPr>
            </w:pPr>
            <w:r>
              <w:rPr>
                <w:b/>
                <w:iCs/>
                <w:sz w:val="22"/>
                <w:szCs w:val="22"/>
                <w:rFonts w:ascii="Arial" w:hAnsi="Arial"/>
              </w:rPr>
              <w:t xml:space="preserve">Stawka płacy w euro/na godz.</w:t>
            </w:r>
            <w:r>
              <w:rPr>
                <w:b/>
                <w:iCs/>
                <w:sz w:val="22"/>
                <w:szCs w:val="22"/>
                <w:rFonts w:ascii="Arial" w:hAnsi="Arial"/>
              </w:rPr>
              <w:t xml:space="preserve"> </w:t>
            </w:r>
          </w:p>
        </w:tc>
        <w:tc>
          <w:tcPr>
            <w:tcW w:w="1276" w:type="dxa"/>
          </w:tcPr>
          <w:p w14:paraId="759A246A" w14:textId="299BA053" w:rsidR="006B7BFE" w:rsidRPr="00D43FA1" w:rsidRDefault="006B7BFE" w:rsidP="0070360F">
            <w:pPr>
              <w:pStyle w:val="Default"/>
              <w:keepNext/>
              <w:keepLines/>
              <w:rPr>
                <w:b/>
                <w:sz w:val="22"/>
                <w:szCs w:val="22"/>
                <w:rFonts w:ascii="Arial" w:hAnsi="Arial" w:cs="Arial"/>
              </w:rPr>
            </w:pPr>
            <w:r>
              <w:rPr>
                <w:b/>
                <w:iCs/>
                <w:sz w:val="22"/>
                <w:szCs w:val="22"/>
                <w:rFonts w:ascii="Arial" w:hAnsi="Arial"/>
              </w:rPr>
              <w:t xml:space="preserve">Koszty osobowe rocznie w euro</w:t>
            </w:r>
            <w:r>
              <w:rPr>
                <w:b/>
                <w:iCs/>
                <w:sz w:val="22"/>
                <w:szCs w:val="22"/>
                <w:rFonts w:ascii="Arial" w:hAnsi="Arial"/>
              </w:rPr>
              <w:t xml:space="preserve"> </w:t>
            </w:r>
          </w:p>
        </w:tc>
        <w:tc>
          <w:tcPr>
            <w:tcW w:w="1276" w:type="dxa"/>
          </w:tcPr>
          <w:p w14:paraId="3BAD02CC" w14:textId="52624B6B" w:rsidR="006B7BFE" w:rsidRPr="00D43FA1" w:rsidRDefault="006B7BFE" w:rsidP="0070360F">
            <w:pPr>
              <w:pStyle w:val="Default"/>
              <w:keepNext/>
              <w:keepLines/>
              <w:rPr>
                <w:b/>
                <w:sz w:val="22"/>
                <w:szCs w:val="22"/>
                <w:rFonts w:ascii="Arial" w:hAnsi="Arial" w:cs="Arial"/>
              </w:rPr>
            </w:pPr>
            <w:r>
              <w:rPr>
                <w:b/>
                <w:iCs/>
                <w:sz w:val="22"/>
                <w:szCs w:val="22"/>
                <w:rFonts w:ascii="Arial" w:hAnsi="Arial"/>
              </w:rPr>
              <w:t xml:space="preserve">Koszty rzeczowe rocznie w euro</w:t>
            </w:r>
            <w:r>
              <w:rPr>
                <w:b/>
                <w:iCs/>
                <w:sz w:val="22"/>
                <w:szCs w:val="22"/>
                <w:rFonts w:ascii="Arial" w:hAnsi="Arial"/>
              </w:rPr>
              <w:t xml:space="preserve"> </w:t>
            </w:r>
          </w:p>
        </w:tc>
        <w:tc>
          <w:tcPr>
            <w:tcW w:w="1276" w:type="dxa"/>
          </w:tcPr>
          <w:p w14:paraId="7EA852C4" w14:textId="1FF43BB6" w:rsidR="006B7BFE" w:rsidRPr="00D43FA1" w:rsidRDefault="006B7BFE" w:rsidP="0070360F">
            <w:pPr>
              <w:pStyle w:val="Default"/>
              <w:keepNext/>
              <w:keepLines/>
              <w:rPr>
                <w:b/>
                <w:sz w:val="22"/>
                <w:szCs w:val="22"/>
                <w:rFonts w:ascii="Arial" w:hAnsi="Arial" w:cs="Arial"/>
              </w:rPr>
            </w:pPr>
            <w:r>
              <w:rPr>
                <w:b/>
                <w:bCs/>
                <w:iCs/>
                <w:sz w:val="22"/>
                <w:szCs w:val="22"/>
                <w:rFonts w:ascii="Arial" w:hAnsi="Arial"/>
              </w:rPr>
              <w:t xml:space="preserve">Koszty realizacji rocznie w euro</w:t>
            </w:r>
            <w:r>
              <w:rPr>
                <w:b/>
                <w:bCs/>
                <w:iCs/>
                <w:sz w:val="22"/>
                <w:szCs w:val="22"/>
                <w:rFonts w:ascii="Arial" w:hAnsi="Arial"/>
              </w:rPr>
              <w:t xml:space="preserve"> </w:t>
            </w:r>
          </w:p>
        </w:tc>
      </w:tr>
      <w:tr w:rsidR="006B7BFE" w:rsidRPr="00D43FA1" w14:paraId="17404952" w14:textId="77777777" w:rsidTr="0070360F">
        <w:tc>
          <w:tcPr>
            <w:tcW w:w="1366" w:type="dxa"/>
          </w:tcPr>
          <w:p w14:paraId="274A982B" w14:textId="77777777" w:rsidR="006B7BFE" w:rsidRPr="00D43FA1" w:rsidRDefault="006B7BFE" w:rsidP="006B7BFE">
            <w:pPr>
              <w:pStyle w:val="Default"/>
              <w:rPr>
                <w:sz w:val="22"/>
                <w:szCs w:val="22"/>
                <w:rFonts w:ascii="Arial" w:hAnsi="Arial" w:cs="Arial"/>
              </w:rPr>
            </w:pPr>
            <w:r>
              <w:rPr>
                <w:sz w:val="22"/>
                <w:szCs w:val="22"/>
                <w:rFonts w:ascii="Arial" w:hAnsi="Arial"/>
              </w:rPr>
              <w:t xml:space="preserve">Bariera funkcjonalna</w:t>
            </w:r>
            <w:r>
              <w:rPr>
                <w:sz w:val="22"/>
                <w:szCs w:val="22"/>
                <w:rFonts w:ascii="Arial" w:hAnsi="Arial"/>
              </w:rPr>
              <w:t xml:space="preserve"> </w:t>
            </w:r>
          </w:p>
        </w:tc>
        <w:tc>
          <w:tcPr>
            <w:tcW w:w="1294" w:type="dxa"/>
          </w:tcPr>
          <w:p w14:paraId="73BC7D3D" w14:textId="77777777" w:rsidR="006B7BFE" w:rsidRPr="00D43FA1" w:rsidRDefault="006B7BFE" w:rsidP="000F1682">
            <w:pPr>
              <w:pStyle w:val="Default"/>
              <w:rPr>
                <w:sz w:val="22"/>
                <w:szCs w:val="22"/>
                <w:rFonts w:ascii="Arial" w:hAnsi="Arial" w:cs="Arial"/>
              </w:rPr>
            </w:pPr>
            <w:r>
              <w:rPr>
                <w:sz w:val="22"/>
                <w:szCs w:val="22"/>
                <w:rFonts w:ascii="Arial" w:hAnsi="Arial"/>
              </w:rPr>
              <w:t xml:space="preserve">§ 6a ust. 1 i 4</w:t>
            </w:r>
            <w:r>
              <w:rPr>
                <w:sz w:val="22"/>
                <w:szCs w:val="22"/>
                <w:rFonts w:ascii="Arial" w:hAnsi="Arial"/>
              </w:rPr>
              <w:t xml:space="preserve"> </w:t>
            </w:r>
          </w:p>
        </w:tc>
        <w:tc>
          <w:tcPr>
            <w:tcW w:w="1276" w:type="dxa"/>
          </w:tcPr>
          <w:p w14:paraId="211D8246" w14:textId="77777777" w:rsidR="006B7BFE" w:rsidRPr="00D43FA1" w:rsidRDefault="006B7BFE" w:rsidP="002F4768">
            <w:pPr>
              <w:pStyle w:val="Default"/>
              <w:rPr>
                <w:sz w:val="22"/>
                <w:szCs w:val="22"/>
                <w:rFonts w:ascii="Arial" w:hAnsi="Arial" w:cs="Arial"/>
              </w:rPr>
            </w:pPr>
            <w:r>
              <w:rPr>
                <w:sz w:val="22"/>
                <w:szCs w:val="22"/>
                <w:rFonts w:ascii="Arial" w:hAnsi="Arial"/>
              </w:rPr>
              <w:t xml:space="preserve">20 000</w:t>
            </w:r>
            <w:r>
              <w:rPr>
                <w:sz w:val="22"/>
                <w:szCs w:val="22"/>
                <w:rFonts w:ascii="Arial" w:hAnsi="Arial"/>
              </w:rPr>
              <w:t xml:space="preserve"> </w:t>
            </w:r>
          </w:p>
        </w:tc>
        <w:tc>
          <w:tcPr>
            <w:tcW w:w="1275" w:type="dxa"/>
          </w:tcPr>
          <w:p w14:paraId="041B8DAD" w14:textId="77777777" w:rsidR="006B7BFE" w:rsidRPr="00D43FA1" w:rsidRDefault="00A4031B" w:rsidP="006B7BFE">
            <w:pPr>
              <w:pStyle w:val="Default"/>
              <w:rPr>
                <w:sz w:val="22"/>
                <w:szCs w:val="22"/>
                <w:rFonts w:ascii="Arial" w:hAnsi="Arial" w:cs="Arial"/>
              </w:rPr>
            </w:pPr>
            <w:r>
              <w:rPr>
                <w:sz w:val="22"/>
                <w:szCs w:val="22"/>
                <w:rFonts w:ascii="Arial" w:hAnsi="Arial"/>
              </w:rPr>
              <w:t xml:space="preserve">60,50</w:t>
            </w:r>
          </w:p>
        </w:tc>
        <w:tc>
          <w:tcPr>
            <w:tcW w:w="1276" w:type="dxa"/>
          </w:tcPr>
          <w:p w14:paraId="3016DBF2" w14:textId="77777777" w:rsidR="006B7BFE" w:rsidRPr="00D43FA1" w:rsidRDefault="00A4031B" w:rsidP="002F4768">
            <w:pPr>
              <w:pStyle w:val="Default"/>
              <w:rPr>
                <w:sz w:val="22"/>
                <w:szCs w:val="22"/>
                <w:rFonts w:ascii="Arial" w:hAnsi="Arial" w:cs="Arial"/>
              </w:rPr>
            </w:pPr>
            <w:r>
              <w:rPr>
                <w:sz w:val="22"/>
                <w:szCs w:val="22"/>
                <w:rFonts w:ascii="Arial" w:hAnsi="Arial"/>
              </w:rPr>
              <w:t xml:space="preserve">1 210 000</w:t>
            </w:r>
            <w:r>
              <w:rPr>
                <w:sz w:val="22"/>
                <w:szCs w:val="22"/>
                <w:rFonts w:ascii="Arial" w:hAnsi="Arial"/>
              </w:rPr>
              <w:t xml:space="preserve"> </w:t>
            </w:r>
          </w:p>
        </w:tc>
        <w:tc>
          <w:tcPr>
            <w:tcW w:w="1276" w:type="dxa"/>
          </w:tcPr>
          <w:p w14:paraId="7800B24B" w14:textId="77777777" w:rsidR="006B7BFE" w:rsidRPr="00D43FA1" w:rsidRDefault="006B7BFE" w:rsidP="002F4768">
            <w:pPr>
              <w:pStyle w:val="Default"/>
              <w:rPr>
                <w:sz w:val="22"/>
                <w:szCs w:val="22"/>
                <w:rFonts w:ascii="Arial" w:hAnsi="Arial" w:cs="Arial"/>
              </w:rPr>
            </w:pPr>
            <w:r>
              <w:rPr>
                <w:sz w:val="22"/>
                <w:szCs w:val="22"/>
                <w:rFonts w:ascii="Arial" w:hAnsi="Arial"/>
              </w:rPr>
              <w:t xml:space="preserve">6 950 000</w:t>
            </w:r>
            <w:r>
              <w:rPr>
                <w:sz w:val="22"/>
                <w:szCs w:val="22"/>
                <w:rFonts w:ascii="Arial" w:hAnsi="Arial"/>
              </w:rPr>
              <w:t xml:space="preserve"> </w:t>
            </w:r>
          </w:p>
        </w:tc>
        <w:tc>
          <w:tcPr>
            <w:tcW w:w="1276" w:type="dxa"/>
            <w:shd w:val="clear" w:color="auto" w:fill="BFBFBF" w:themeFill="background1" w:themeFillShade="BF"/>
          </w:tcPr>
          <w:p w14:paraId="4DC4F037" w14:textId="77777777" w:rsidR="006B7BFE" w:rsidRPr="00D43FA1" w:rsidRDefault="002F4768" w:rsidP="002F4768">
            <w:pPr>
              <w:pStyle w:val="Default"/>
              <w:rPr>
                <w:sz w:val="22"/>
                <w:szCs w:val="22"/>
                <w:rFonts w:ascii="Arial" w:hAnsi="Arial" w:cs="Arial"/>
              </w:rPr>
            </w:pPr>
            <w:r>
              <w:rPr>
                <w:b/>
                <w:bCs/>
                <w:sz w:val="22"/>
                <w:szCs w:val="22"/>
                <w:rFonts w:ascii="Arial" w:hAnsi="Arial"/>
              </w:rPr>
              <w:t xml:space="preserve"> </w:t>
            </w:r>
            <w:r>
              <w:rPr>
                <w:b/>
                <w:bCs/>
                <w:sz w:val="22"/>
                <w:szCs w:val="22"/>
                <w:rFonts w:ascii="Arial" w:hAnsi="Arial"/>
              </w:rPr>
              <w:t xml:space="preserve">8 160 000</w:t>
            </w:r>
            <w:r>
              <w:rPr>
                <w:b/>
                <w:bCs/>
                <w:sz w:val="22"/>
                <w:szCs w:val="22"/>
                <w:rFonts w:ascii="Arial" w:hAnsi="Arial"/>
              </w:rPr>
              <w:t xml:space="preserve"> </w:t>
            </w:r>
          </w:p>
        </w:tc>
      </w:tr>
    </w:tbl>
    <w:p w14:paraId="18499261" w14:textId="77777777" w:rsidR="006B7BFE" w:rsidRPr="00D43FA1" w:rsidRDefault="006B7BFE" w:rsidP="009140F6">
      <w:pPr>
        <w:pStyle w:val="Text"/>
        <w:spacing w:before="0" w:after="0"/>
      </w:pPr>
    </w:p>
    <w:p w14:paraId="59814092" w14:textId="77777777" w:rsidR="006B7BFE" w:rsidRPr="00D43FA1" w:rsidRDefault="006B7BFE" w:rsidP="0070360F">
      <w:pPr>
        <w:pStyle w:val="Text"/>
        <w:keepNext/>
        <w:keepLines/>
        <w:spacing w:before="0" w:after="0"/>
        <w:rPr>
          <w:b/>
          <w:bCs/>
          <w:u w:val="single"/>
        </w:rPr>
      </w:pPr>
      <w:r>
        <w:rPr>
          <w:b/>
          <w:bCs/>
          <w:u w:val="single"/>
        </w:rPr>
        <w:t xml:space="preserve">Pisemne lub elektroniczne oświadczenie o rezygnacji z bariery funkcjonalnej według § 6a ust. 3</w:t>
      </w:r>
      <w:r>
        <w:rPr>
          <w:b/>
          <w:bCs/>
          <w:u w:val="single"/>
        </w:rPr>
        <w:t xml:space="preserve"> </w:t>
      </w:r>
    </w:p>
    <w:p w14:paraId="4E96F6C2" w14:textId="77777777" w:rsidR="006B7BFE" w:rsidRPr="00D43FA1" w:rsidRDefault="006B7BFE" w:rsidP="0070360F">
      <w:pPr>
        <w:pStyle w:val="Text"/>
        <w:keepNext/>
        <w:keepLines/>
        <w:spacing w:before="0" w:after="0"/>
        <w:rPr>
          <w:b/>
          <w:bCs/>
          <w:u w:val="single"/>
        </w:rPr>
      </w:pPr>
    </w:p>
    <w:p w14:paraId="10854287" w14:textId="77777777" w:rsidR="006B7BFE" w:rsidRPr="00D43FA1" w:rsidRDefault="006B7BFE" w:rsidP="009140F6">
      <w:pPr>
        <w:pStyle w:val="Text"/>
        <w:spacing w:before="0" w:after="0"/>
      </w:pPr>
      <w:r>
        <w:t xml:space="preserve">a) Jednorazowe koszty zmiany</w:t>
      </w:r>
      <w:r>
        <w:t xml:space="preserve"> </w:t>
      </w:r>
    </w:p>
    <w:p w14:paraId="6355E48C" w14:textId="77777777" w:rsidR="006B7BFE" w:rsidRPr="00D43FA1" w:rsidRDefault="006B7BFE" w:rsidP="009140F6">
      <w:pPr>
        <w:pStyle w:val="Text"/>
        <w:spacing w:before="0" w:after="0"/>
      </w:pPr>
    </w:p>
    <w:p w14:paraId="712DAED7" w14:textId="77777777" w:rsidR="006B7BFE" w:rsidRPr="00D43FA1" w:rsidRDefault="006B7BFE" w:rsidP="009140F6">
      <w:pPr>
        <w:pStyle w:val="Text"/>
        <w:spacing w:before="0" w:after="0"/>
      </w:pPr>
      <w:r>
        <w:t xml:space="preserve">Nie powstają jednorazowe koszty zmiany.</w:t>
      </w:r>
      <w:r>
        <w:t xml:space="preserve"> </w:t>
      </w:r>
    </w:p>
    <w:p w14:paraId="00996219" w14:textId="77777777" w:rsidR="006B7BFE" w:rsidRPr="00D43FA1" w:rsidRDefault="006B7BFE" w:rsidP="009140F6">
      <w:pPr>
        <w:pStyle w:val="Text"/>
        <w:spacing w:before="0" w:after="0"/>
      </w:pPr>
    </w:p>
    <w:p w14:paraId="17551374" w14:textId="77777777" w:rsidR="006B7BFE" w:rsidRPr="00D43FA1" w:rsidRDefault="006B7BFE" w:rsidP="0070360F">
      <w:pPr>
        <w:pStyle w:val="Text"/>
        <w:keepNext/>
        <w:keepLines/>
        <w:spacing w:before="0" w:after="0"/>
      </w:pPr>
      <w:r>
        <w:t xml:space="preserve">b) Roczne koszty realizacji</w:t>
      </w:r>
      <w:r>
        <w:t xml:space="preserve"> </w:t>
      </w:r>
    </w:p>
    <w:p w14:paraId="35D80FBA" w14:textId="77777777" w:rsidR="006B7BFE" w:rsidRPr="00D43FA1" w:rsidRDefault="006B7BFE" w:rsidP="0070360F">
      <w:pPr>
        <w:pStyle w:val="Text"/>
        <w:keepNext/>
        <w:keepLines/>
        <w:spacing w:before="0" w:after="0"/>
      </w:pPr>
    </w:p>
    <w:p w14:paraId="3CE01598" w14:textId="77777777" w:rsidR="006B7BFE" w:rsidRPr="00D43FA1" w:rsidRDefault="006B7BFE" w:rsidP="009140F6">
      <w:pPr>
        <w:pStyle w:val="Text"/>
        <w:spacing w:before="0" w:after="0"/>
      </w:pPr>
      <w:r>
        <w:t xml:space="preserve">Wymagane dodatkowe informacje, tj. treści oświadczenia o rezygnacji, są omawiane między producentami opakowań i żywności już w ramach umów dotyczących materiału opakowaniowego.</w:t>
      </w:r>
      <w:r>
        <w:t xml:space="preserve"> </w:t>
      </w:r>
      <w:r>
        <w:t xml:space="preserve">Powstające dodatkowo koszty realizacji są nieznaczne.</w:t>
      </w:r>
      <w:r>
        <w:t xml:space="preserve"> </w:t>
      </w:r>
    </w:p>
    <w:p w14:paraId="7BA9413B" w14:textId="77777777" w:rsidR="006B7BFE" w:rsidRPr="00D43FA1" w:rsidRDefault="006B7BFE" w:rsidP="009140F6">
      <w:pPr>
        <w:pStyle w:val="Text"/>
        <w:spacing w:before="0" w:after="0"/>
      </w:pPr>
    </w:p>
    <w:p w14:paraId="27386C8C" w14:textId="77777777" w:rsidR="006B7BFE" w:rsidRPr="00D43FA1" w:rsidRDefault="006B7BFE" w:rsidP="0070360F">
      <w:pPr>
        <w:pStyle w:val="Text"/>
        <w:keepNext/>
        <w:keepLines/>
        <w:spacing w:before="0" w:after="0"/>
        <w:rPr>
          <w:b/>
          <w:bCs/>
          <w:u w:val="single"/>
        </w:rPr>
      </w:pPr>
      <w:r>
        <w:rPr>
          <w:b/>
          <w:bCs/>
          <w:u w:val="single"/>
        </w:rPr>
        <w:t xml:space="preserve">Obowiązek udokumentowania wykluczenia przenoszenia się MOAH zgodnie z § 6a ust. 1, 2 i 4</w:t>
      </w:r>
    </w:p>
    <w:p w14:paraId="3AA8F0EE" w14:textId="77777777" w:rsidR="006B7BFE" w:rsidRPr="00D43FA1" w:rsidRDefault="006B7BFE" w:rsidP="0070360F">
      <w:pPr>
        <w:pStyle w:val="Text"/>
        <w:keepNext/>
        <w:keepLines/>
        <w:spacing w:before="0" w:after="0"/>
        <w:rPr>
          <w:b/>
          <w:bCs/>
          <w:u w:val="single"/>
        </w:rPr>
      </w:pPr>
    </w:p>
    <w:p w14:paraId="7E2FAB88" w14:textId="77777777" w:rsidR="006B7BFE" w:rsidRPr="00D43FA1" w:rsidRDefault="006B7BFE" w:rsidP="009140F6">
      <w:pPr>
        <w:pStyle w:val="Text"/>
        <w:spacing w:before="0" w:after="0"/>
      </w:pPr>
      <w:r>
        <w:t xml:space="preserve">a) Jednorazowe koszty zmiany</w:t>
      </w:r>
      <w:r>
        <w:t xml:space="preserve"> </w:t>
      </w:r>
    </w:p>
    <w:p w14:paraId="05D46EC8" w14:textId="77777777" w:rsidR="006B7BFE" w:rsidRPr="00D43FA1" w:rsidRDefault="006B7BFE" w:rsidP="009140F6">
      <w:pPr>
        <w:pStyle w:val="Text"/>
        <w:spacing w:before="0" w:after="0"/>
      </w:pPr>
    </w:p>
    <w:p w14:paraId="41AA9133" w14:textId="77777777" w:rsidR="006B7BFE" w:rsidRPr="00D43FA1" w:rsidRDefault="006B7BFE" w:rsidP="009140F6">
      <w:pPr>
        <w:pStyle w:val="Text"/>
        <w:spacing w:before="0" w:after="0"/>
      </w:pPr>
      <w:r>
        <w:t xml:space="preserve">Nie powstają jednorazowe koszty zmiany.</w:t>
      </w:r>
      <w:r>
        <w:t xml:space="preserve"> </w:t>
      </w:r>
    </w:p>
    <w:p w14:paraId="47912140" w14:textId="77777777" w:rsidR="006B7BFE" w:rsidRPr="00D43FA1" w:rsidRDefault="006B7BFE" w:rsidP="009140F6">
      <w:pPr>
        <w:pStyle w:val="Text"/>
        <w:spacing w:before="0" w:after="0"/>
      </w:pPr>
    </w:p>
    <w:p w14:paraId="25B57848" w14:textId="77777777" w:rsidR="006B7BFE" w:rsidRPr="00D43FA1" w:rsidRDefault="006B7BFE" w:rsidP="0070360F">
      <w:pPr>
        <w:pStyle w:val="Text"/>
        <w:keepNext/>
        <w:keepLines/>
        <w:spacing w:before="0" w:after="0"/>
      </w:pPr>
      <w:r>
        <w:t xml:space="preserve">b) Roczne koszty realizacji</w:t>
      </w:r>
      <w:r>
        <w:t xml:space="preserve"> </w:t>
      </w:r>
    </w:p>
    <w:p w14:paraId="3DD42870" w14:textId="77777777" w:rsidR="006B7BFE" w:rsidRPr="00D43FA1" w:rsidRDefault="006B7BFE" w:rsidP="0070360F">
      <w:pPr>
        <w:pStyle w:val="Text"/>
        <w:keepNext/>
        <w:keepLines/>
        <w:spacing w:before="0" w:after="0"/>
      </w:pPr>
    </w:p>
    <w:p w14:paraId="0F203911" w14:textId="77777777" w:rsidR="00013F7F" w:rsidRPr="00D43FA1" w:rsidRDefault="006B7BFE" w:rsidP="00557D18">
      <w:pPr>
        <w:pStyle w:val="Text"/>
        <w:spacing w:before="0" w:after="0"/>
      </w:pPr>
      <w:r>
        <w:t xml:space="preserve">W rozporządzeniu Komisji (WE) nr 2023/2006 z dnia 22 grudnia 2006 r. w sprawie dobrej praktyki produkcyjnej w odniesieniu do materiałów i wyrobów przeznaczonych do kontaktu z żywnością (Dz.U. L 384 z 29.12.2006, s. 75) (tzw. rozporządzenie GMP) ustanowiony już jest ogólny obowiązek udokumentowania artykułów użytkowych przeznaczonych do kontaktu z żywnością.</w:t>
      </w:r>
      <w:r>
        <w:t xml:space="preserve"> </w:t>
      </w:r>
      <w:r>
        <w:t xml:space="preserve">Ponadto w związku z badaniem wstępnym oraz badaniami okresowymi żywności i opakowań do żywności sporządzane są już dokumenty, które mogą służyć jako dowody.</w:t>
      </w:r>
      <w:r>
        <w:t xml:space="preserve"> </w:t>
      </w:r>
      <w:r>
        <w:t xml:space="preserve">Powstające dodatkowo koszty realizacji są nieznaczne.</w:t>
      </w:r>
    </w:p>
    <w:p w14:paraId="6239F5A0" w14:textId="77777777" w:rsidR="00013F7F" w:rsidRPr="00D43FA1" w:rsidRDefault="00013F7F" w:rsidP="00013F7F">
      <w:pPr>
        <w:pStyle w:val="Text"/>
        <w:spacing w:before="0" w:after="0"/>
        <w:jc w:val="left"/>
      </w:pPr>
    </w:p>
    <w:p w14:paraId="24214F93" w14:textId="3181681B" w:rsidR="00425BF3" w:rsidRPr="00D43FA1" w:rsidRDefault="00425BF3" w:rsidP="00557D18">
      <w:pPr>
        <w:pStyle w:val="Text"/>
        <w:spacing w:before="0" w:after="0"/>
      </w:pPr>
      <w:r>
        <w:t xml:space="preserve">Przepisy rozporządzenia odnoszą się w równej mierze do małych i średnich przedsiębiorstw (MŚP).</w:t>
      </w:r>
      <w:r>
        <w:t xml:space="preserve"> </w:t>
      </w:r>
      <w:r>
        <w:t xml:space="preserve">Szczególne wyjątki obejmujące MŚP nie są możliwe ze względów ochrony zdrowia konsumentów.</w:t>
      </w:r>
      <w:r>
        <w:t xml:space="preserve"> </w:t>
      </w:r>
      <w:r>
        <w:t xml:space="preserve">Generalnie rozporządzenie przewiduje jednak wyjątki dotyczące stosowania bariery funkcjonalnej, o ile istnieją wymagane do tego warunki.</w:t>
      </w:r>
    </w:p>
    <w:p w14:paraId="4C839333" w14:textId="77777777" w:rsidR="00325F70" w:rsidRPr="00D43FA1" w:rsidRDefault="00325F70" w:rsidP="00013F7F">
      <w:pPr>
        <w:pStyle w:val="Text"/>
        <w:spacing w:before="0" w:after="0"/>
        <w:jc w:val="left"/>
      </w:pPr>
    </w:p>
    <w:p w14:paraId="2CF68D80" w14:textId="7272FBDC" w:rsidR="003F6BDA" w:rsidRPr="00D43FA1" w:rsidRDefault="00091B75" w:rsidP="00557D18">
      <w:pPr>
        <w:pStyle w:val="Text"/>
        <w:spacing w:before="0" w:after="0"/>
      </w:pPr>
      <w:r>
        <w:t xml:space="preserve">Spowodowane przez projekt dodatkowe bieżące koszty realizacji obciążające gospodarkę podlegają zasadzie „one in, one out”.</w:t>
      </w:r>
      <w:r>
        <w:t xml:space="preserve"> </w:t>
      </w:r>
      <w:r>
        <w:t xml:space="preserve">Rekompensata nie może zostać zrealizowana w ramach niniejszej regulacji.</w:t>
      </w:r>
      <w:r>
        <w:t xml:space="preserve"> </w:t>
      </w:r>
      <w:r>
        <w:t xml:space="preserve">Koszty realizacji są w związku z tym rekompensowane przez inny projekt regulacji.</w:t>
      </w:r>
    </w:p>
    <w:p w14:paraId="099F2BD7" w14:textId="77777777" w:rsidR="00FA7FE4" w:rsidRPr="00D43FA1" w:rsidRDefault="00FA7FE4" w:rsidP="00013F7F">
      <w:pPr>
        <w:pStyle w:val="Text"/>
        <w:spacing w:before="0" w:after="0"/>
        <w:jc w:val="left"/>
      </w:pPr>
    </w:p>
    <w:p w14:paraId="3A617D65" w14:textId="77777777" w:rsidR="004779CD" w:rsidRPr="00D43FA1" w:rsidRDefault="004779CD" w:rsidP="0070360F">
      <w:pPr>
        <w:pStyle w:val="Text"/>
        <w:keepNext/>
        <w:keepLines/>
        <w:spacing w:before="0" w:after="0"/>
        <w:rPr>
          <w:u w:val="single"/>
        </w:rPr>
      </w:pPr>
      <w:r>
        <w:rPr>
          <w:u w:val="single"/>
        </w:rPr>
        <w:t xml:space="preserve">c) Koszty realizacji obciążające obywateli</w:t>
      </w:r>
    </w:p>
    <w:p w14:paraId="49145E90" w14:textId="77777777" w:rsidR="004779CD" w:rsidRPr="00D43FA1" w:rsidRDefault="004779CD" w:rsidP="0070360F">
      <w:pPr>
        <w:pStyle w:val="Text"/>
        <w:keepNext/>
        <w:keepLines/>
        <w:spacing w:before="0" w:after="0"/>
      </w:pPr>
    </w:p>
    <w:p w14:paraId="61EA37FE" w14:textId="77777777" w:rsidR="00D43FA1" w:rsidRDefault="00612652" w:rsidP="003F6BDA">
      <w:pPr>
        <w:pStyle w:val="Text"/>
        <w:spacing w:before="0" w:after="0"/>
      </w:pPr>
      <w:r>
        <w:t xml:space="preserve">W związku z rozporządzeniem obywatele nie ponoszą kosztów realizacji.</w:t>
      </w:r>
    </w:p>
    <w:p w14:paraId="1EB134D3" w14:textId="568FB39B" w:rsidR="004779CD" w:rsidRPr="00D43FA1" w:rsidRDefault="004779CD" w:rsidP="003F6BDA">
      <w:pPr>
        <w:pStyle w:val="Text"/>
        <w:spacing w:before="0" w:after="0"/>
      </w:pPr>
    </w:p>
    <w:p w14:paraId="3D17859D" w14:textId="77777777" w:rsidR="006444D5" w:rsidRPr="00D43FA1" w:rsidRDefault="006444D5" w:rsidP="001E5369">
      <w:pPr>
        <w:pStyle w:val="berschriftarabischBegrndung"/>
      </w:pPr>
      <w:r>
        <w:t xml:space="preserve">Dodatkowe koszty</w:t>
      </w:r>
    </w:p>
    <w:p w14:paraId="4A6DA429" w14:textId="77777777" w:rsidR="000F4A0B" w:rsidRPr="00D43FA1" w:rsidRDefault="00CB5E99">
      <w:pPr>
        <w:pStyle w:val="Text"/>
      </w:pPr>
      <w:r>
        <w:t xml:space="preserve">Wpływu na ceny jednostkowe nie można całkowicie wykluczyć, nie oczekuje się jednak wpływu na ogólny poziom cen, a w szczególności na poziom cen detalicznych.</w:t>
      </w:r>
    </w:p>
    <w:p w14:paraId="6B3FA7B6" w14:textId="77777777" w:rsidR="000F4A0B" w:rsidRPr="00D43FA1" w:rsidRDefault="000F4A0B" w:rsidP="000F4A0B">
      <w:pPr>
        <w:pStyle w:val="berschriftarabischBegrndung"/>
      </w:pPr>
      <w:r>
        <w:t xml:space="preserve">Pozostałe skutki prawne</w:t>
      </w:r>
    </w:p>
    <w:p w14:paraId="0411E3C3" w14:textId="77777777" w:rsidR="000F4A0B" w:rsidRPr="00D43FA1" w:rsidRDefault="000F4A0B" w:rsidP="000F4A0B">
      <w:pPr>
        <w:pStyle w:val="Text"/>
      </w:pPr>
      <w:r>
        <w:t xml:space="preserve">Rozporządzenie nie zawiera przepisów powodujących skutki dla sytuacji życiowej kobiet lub mężczyzn.</w:t>
      </w:r>
      <w:r>
        <w:t xml:space="preserve"> </w:t>
      </w:r>
      <w:r>
        <w:t xml:space="preserve">Ochrona zdrowia kobiet i mężczyzn jest uwzględniona w równym stopniu.</w:t>
      </w:r>
      <w:r>
        <w:t xml:space="preserve"> </w:t>
      </w:r>
      <w:r>
        <w:t xml:space="preserve">Dlatego nie przewiduje się skutków ze względu na równość statusu kobiet i mężczyzn.</w:t>
      </w:r>
      <w:r>
        <w:t xml:space="preserve"> </w:t>
      </w:r>
    </w:p>
    <w:p w14:paraId="3D5B6005" w14:textId="77777777" w:rsidR="000F4A0B" w:rsidRPr="00D43FA1" w:rsidRDefault="000F4A0B" w:rsidP="000F4A0B">
      <w:pPr>
        <w:pStyle w:val="berschriftrmischBegrndung"/>
      </w:pPr>
      <w:r>
        <w:t xml:space="preserve">Ramy czasowe; ewaluacja</w:t>
      </w:r>
    </w:p>
    <w:p w14:paraId="713DB2AE" w14:textId="14616EF4" w:rsidR="00BE6637" w:rsidRPr="00D43FA1" w:rsidRDefault="006504FE" w:rsidP="000F4A0B">
      <w:pPr>
        <w:pStyle w:val="Text"/>
      </w:pPr>
      <w:r>
        <w:t xml:space="preserve">Ograniczenie czasowe regulacji nie jest przewidziane, ponieważ ochrona konsumentów musi być zapewniona na stałe.</w:t>
      </w:r>
      <w:r>
        <w:t xml:space="preserve"> </w:t>
      </w:r>
    </w:p>
    <w:p w14:paraId="757F71C9" w14:textId="58E77352" w:rsidR="000F4A0B" w:rsidRPr="00D43FA1" w:rsidRDefault="00BE6637" w:rsidP="000F4A0B">
      <w:pPr>
        <w:pStyle w:val="Text"/>
        <w:rPr>
          <w:highlight w:val="yellow"/>
        </w:rPr>
      </w:pPr>
      <w:r>
        <w:t xml:space="preserve">Jednak skutki niniejszego rozporządzenia mają zostać poddane ewaluacji po pięciu latach od rozpoczęcia stosowania przepisów.</w:t>
      </w:r>
      <w:r>
        <w:t xml:space="preserve"> </w:t>
      </w:r>
      <w:r>
        <w:t xml:space="preserve">Sprawdzone przy tym powinno zostać osiągnięcie celu rozporządzenia, czyli ograniczenie do minimum ekspozycji konsumentów na MOAH z regulowanych w rozporządzeniu artykułów użytkowych przeznaczonych do kontaktu z żywnością przez stosowanie barier funkcjonalnych lub innych odpowiednich środków uniemożliwiających przenoszenie się MOAH (granica wykrywalności wynosząca 0,5 miligrama MOAH na kilogram żywności bądź 0,15 miligrama MOAH na kilogram płynu modelowego imitującego żywność).</w:t>
      </w:r>
      <w:r>
        <w:t xml:space="preserve"> </w:t>
      </w:r>
      <w:r>
        <w:t xml:space="preserve">Wymagane dane powinny być dostępne na podstawie wyników kontroli prowadzonych przez organy nadzoru nad żywnością oraz pracy odnośnych przedsiębiorstw w zakresie zapewnienia zgodności z przepisami.</w:t>
      </w:r>
      <w:r>
        <w:t xml:space="preserve"> </w:t>
      </w:r>
      <w:r>
        <w:t xml:space="preserve">Ponadto należy uwzględnić rzeczywisty wpływ na koszty, na przykład koszty opracowania, zmiany i kontroli analitycznej artykułów użytkowych przeznaczonych do kontaktu z żywnością i odnośnych środków spożywczych, w stosunku do celu regulacji i ewentualne skutki uboczne. Należy poza tym prześledzić tendencje rozwojowe w odniesieniu do analityki, w szczególności osiągalne granice wykrywalności MOAH.</w:t>
      </w:r>
      <w:r>
        <w:t xml:space="preserve"> </w:t>
      </w:r>
    </w:p>
    <w:p w14:paraId="353D2149" w14:textId="77777777" w:rsidR="006444D5" w:rsidRPr="00D43FA1" w:rsidRDefault="006444D5" w:rsidP="0070360F">
      <w:pPr>
        <w:pStyle w:val="BegrndungBesondererTeil"/>
        <w:keepLines/>
      </w:pPr>
      <w:r>
        <w:t xml:space="preserve">B. Część szczegółowa</w:t>
      </w:r>
    </w:p>
    <w:p w14:paraId="0532AB57" w14:textId="77777777" w:rsidR="00CB5E99" w:rsidRPr="00D43FA1" w:rsidRDefault="00CB5E99" w:rsidP="0070360F">
      <w:pPr>
        <w:pStyle w:val="Text"/>
        <w:keepNext/>
        <w:keepLines/>
        <w:rPr>
          <w:b/>
        </w:rPr>
      </w:pPr>
      <w:r>
        <w:rPr>
          <w:b/>
        </w:rPr>
        <w:t xml:space="preserve">Do art. 1</w:t>
      </w:r>
    </w:p>
    <w:p w14:paraId="03E3D677" w14:textId="77777777" w:rsidR="00CB5E99" w:rsidRPr="00D43FA1" w:rsidRDefault="00CB5E99" w:rsidP="0070360F">
      <w:pPr>
        <w:pStyle w:val="Text"/>
        <w:keepNext/>
        <w:keepLines/>
        <w:rPr>
          <w:u w:val="single"/>
        </w:rPr>
      </w:pPr>
      <w:r>
        <w:rPr>
          <w:u w:val="single"/>
        </w:rPr>
        <w:t xml:space="preserve">Do pkt. 1</w:t>
      </w:r>
    </w:p>
    <w:p w14:paraId="56A74D00" w14:textId="77777777" w:rsidR="00CB5E99" w:rsidRPr="00D43FA1" w:rsidRDefault="00CB5E99" w:rsidP="00CB5E99">
      <w:pPr>
        <w:pStyle w:val="Text"/>
      </w:pPr>
      <w:r>
        <w:t xml:space="preserve">Przez punkt 1 dodaje się niezbędne w odniesieniu do treści regulacji niniejszego rozporządzenia definicje materiału makulaturowego, węglowodorów aromatycznych oleju mineralnego (MOAH), bariery funkcjonalnej i płynu modelowego imitującego żywność.</w:t>
      </w:r>
      <w:r>
        <w:t xml:space="preserve"> </w:t>
      </w:r>
    </w:p>
    <w:p w14:paraId="6B41D48F" w14:textId="77777777" w:rsidR="002535AD" w:rsidRPr="00D43FA1" w:rsidRDefault="00031FDC" w:rsidP="00CB5E99">
      <w:pPr>
        <w:pStyle w:val="Text"/>
      </w:pPr>
      <w:r>
        <w:t xml:space="preserve">W ramach definicji bariery funkcjonalnej dokonuje się rozróżnienia rozmaitych form.</w:t>
      </w:r>
      <w:r>
        <w:t xml:space="preserve"> </w:t>
      </w:r>
      <w:r>
        <w:t xml:space="preserve">Bariera funkcjonalna może być połączona na stałe z artykułem użytkowym przeznaczonym do kontaktu z żywnością, na przykład w formie powłoki (§ 2 pkt 9 lit. a), lub też może istnieć oddzielnie, na przykład w formie worka pośredniego (§ 2 pkt 9 lit. b).</w:t>
      </w:r>
      <w:r>
        <w:t xml:space="preserve"> </w:t>
      </w:r>
      <w:r>
        <w:t xml:space="preserve">Zależnie od artykułu użytkowego przeznaczonego do kontaktu z żywnością, żywności, warunków stosowania i okresu stosowania artykułu, na przykład aluminium lub różne tworzywa sztuczne (np. PET, poliakrylany, polioctany, poliamidy) nadają się jako materiał na powłokę do papieru, tektury lub kartonu albo jako materiał na dodatkowy worek wewnętrzny.</w:t>
      </w:r>
      <w:r>
        <w:t xml:space="preserve"> </w:t>
      </w:r>
    </w:p>
    <w:p w14:paraId="578470CD" w14:textId="77777777" w:rsidR="00CB5E99" w:rsidRPr="00D43FA1" w:rsidRDefault="00CB5E99" w:rsidP="0070360F">
      <w:pPr>
        <w:pStyle w:val="Text"/>
        <w:keepNext/>
        <w:keepLines/>
        <w:rPr>
          <w:u w:val="single"/>
        </w:rPr>
      </w:pPr>
      <w:r>
        <w:rPr>
          <w:u w:val="single"/>
        </w:rPr>
        <w:t xml:space="preserve">Do pkt. 2</w:t>
      </w:r>
    </w:p>
    <w:p w14:paraId="0EE8563F" w14:textId="77777777" w:rsidR="00492084" w:rsidRPr="00D43FA1" w:rsidRDefault="00CB5E99" w:rsidP="00CB5E99">
      <w:pPr>
        <w:pStyle w:val="Text"/>
      </w:pPr>
      <w:r>
        <w:t xml:space="preserve">Punktem 2 ustanawiane są szczegółowe regulacje dotyczące przeznaczonych do kontaktu z żywnością artykułów użytkowych z papieru, tektury lub kartonu, które są wyprodukowane z wykorzystaniem materiału makulaturowego.</w:t>
      </w:r>
      <w:r>
        <w:t xml:space="preserve"> </w:t>
      </w:r>
    </w:p>
    <w:p w14:paraId="02416656" w14:textId="77777777" w:rsidR="00492084" w:rsidRPr="00D43FA1" w:rsidRDefault="00492084" w:rsidP="00123317">
      <w:pPr>
        <w:pStyle w:val="Text"/>
      </w:pPr>
      <w:r>
        <w:t xml:space="preserve">§ 6a zawiera w ust. 1 i 2 wymagania skierowane konkretnie do podmiotu zajmującego się artykułami użytkowymi przeznaczonymi do kontaktu z żywnością (producent, podmiot wprowadzający do obrotu).</w:t>
      </w:r>
      <w:r>
        <w:t xml:space="preserve"> </w:t>
      </w:r>
      <w:r>
        <w:t xml:space="preserve">Jeżeli podmiot prowadzący przedsiębiorstwo spożywcze chce w drodze odstępstwa od tego podjąć własne środki zaradcze, obowiązują adresowane do niego i do podmiotu zajmującego się artykułami użytkowymi przeznaczonymi do kontaktu z żywnością wymagania określone w ust. 3 i 4. Ust. 5 jest skierowany zarówno do podmiotu zajmującego się artykułami użytkowymi przeznaczonymi do kontaktu z żywnością, jak i do podmiotu prowadzącego przedsiębiorstwo spożywcze.</w:t>
      </w:r>
    </w:p>
    <w:p w14:paraId="21FFB49B" w14:textId="77777777" w:rsidR="00123317" w:rsidRPr="00D43FA1" w:rsidRDefault="00CB5E99" w:rsidP="00123317">
      <w:pPr>
        <w:pStyle w:val="Text"/>
      </w:pPr>
      <w:r>
        <w:t xml:space="preserve">Zgodnie z § 6a ust. 1 określone wyżej artykuły użytkowe przeznaczone do kontaktu z żywnością muszą być wyposażone w barierę funkcjonalną zapewniająca, że nie będzie miało miejsca przenoszenie się MOAH na żywność.</w:t>
      </w:r>
      <w:r>
        <w:t xml:space="preserve"> </w:t>
      </w:r>
      <w:r>
        <w:t xml:space="preserve">Producenci artykułów użytkowych przeznaczonych do kontaktu z żywnością i podmioty wprowadzające je do obrotu będą przy tym z reguły stosować barierę funkcjonalną w rozumieniu § 2 pkt 9 lit. a), czyli warstwę lub powłokę połączoną na stałe z artykułem użytkowym przeznaczonym do kontaktu z żywnością.</w:t>
      </w:r>
      <w:r>
        <w:t xml:space="preserve"> </w:t>
      </w:r>
      <w:r>
        <w:t xml:space="preserve">Jeżeli mierzone jest przenoszenie się na żywność, fikcją prawną jest to, że do granicy wykrywalności wynoszącej 0,5 miligrama MOAH na kilogram żywności nie ma miejsca przenoszenie się.</w:t>
      </w:r>
      <w:r>
        <w:t xml:space="preserve"> </w:t>
      </w:r>
      <w:r>
        <w:t xml:space="preserve">Jeżeli funkcjonalność bariery jest określana za pomocą stosownych płynów modelowych imitujących żywność, obowiązuje odpowiednio granica wykrywalności wynosząca 0,15 miligrama MOAH na kilogram płynu.</w:t>
      </w:r>
    </w:p>
    <w:p w14:paraId="69C05D19" w14:textId="28529D16" w:rsidR="006F0E66" w:rsidRPr="00D43FA1" w:rsidRDefault="00123317" w:rsidP="0070360F">
      <w:pPr>
        <w:pStyle w:val="Text"/>
        <w:keepNext/>
        <w:keepLines/>
      </w:pPr>
      <w:r>
        <w:t xml:space="preserve">Analiza oleju mineralnego w żywności i analiza w odniesieniu do zawartości pochodzącej z artykułu użytkowego przeznaczonego do kontaktu z żywnością stanowią wyzwanie, w ostatnich latach odnotowano jednak duże postępy.</w:t>
      </w:r>
      <w:r>
        <w:t xml:space="preserve"> </w:t>
      </w:r>
      <w:r>
        <w:t xml:space="preserve">Zamierzona w długim okresie granica wykrywalności wynosząca 0,15 miligrama na kilogram żywności przy przenoszeniu się MOAH z artykułów użytkowych przeznaczonych do kontaktu z żywnością nie może obecnie zostać osiągnięta we wszystkich środkach spożywczych.</w:t>
      </w:r>
      <w:r>
        <w:t xml:space="preserve"> </w:t>
      </w:r>
      <w:r>
        <w:t xml:space="preserve">Duży wpływ ma na nią dana matryca żywności.</w:t>
      </w:r>
      <w:r>
        <w:t xml:space="preserve"> </w:t>
      </w:r>
      <w:r>
        <w:t xml:space="preserve">Przewidziana granica wykrywalności wynosząca 0,5 miligrama MOAH na kilogram żywności przy przenoszeniu się MOAH z artykułów użytkowych przeznaczonych do kontaktu z żywnością jest obecnie zasadniczo w praktyce wykrywalna analitycznie w środkach spożywczych.</w:t>
      </w:r>
      <w:r>
        <w:t xml:space="preserve"> </w:t>
      </w:r>
      <w:r>
        <w:t xml:space="preserve">Jeżeli natomiast używane są płyny modelowe imitujące żywność [z reguły poli(tlenek 2,6-difenylo-p-fenylenu)] w celu sprawdzenia, czy funkcjonalność bariery jest zapewniona na tyle, aby nie miało miejsca przenoszenie się MOAH, stosuje się granicę wykrywalności wynoszącą 0,15 miligrama MOAH na kilogram płynu.</w:t>
      </w:r>
      <w:r>
        <w:t xml:space="preserve"> </w:t>
      </w:r>
      <w:r>
        <w:t xml:space="preserve">Jest to uzasadnione w szczególności również tym, że znikają występujące w przypadku MOAH wpływy ze strony matrycy żywności i dzięki temu wykrycie MOAX można nastąpić w praktyce ze znacznie większą czułością.</w:t>
      </w:r>
      <w:r>
        <w:t xml:space="preserve"> </w:t>
      </w:r>
      <w:r>
        <w:t xml:space="preserve">W odniesieniu do metod konwencjonalnych bądź obecnie stosowanych głównie metod analizy wskazuje się na następujące publikacje Federalnego Instytutu Oceny Ryzyka:</w:t>
      </w:r>
      <w:r>
        <w:t xml:space="preserve"> </w:t>
      </w:r>
    </w:p>
    <w:p w14:paraId="13C0812B" w14:textId="77777777" w:rsidR="006F0E66" w:rsidRPr="00D43FA1" w:rsidRDefault="00123317" w:rsidP="009777BB">
      <w:pPr>
        <w:pStyle w:val="Text"/>
        <w:numPr>
          <w:ilvl w:val="0"/>
          <w:numId w:val="7"/>
        </w:numPr>
      </w:pPr>
      <w:r>
        <w:t xml:space="preserve">„Oznaczanie węglowodorów oleju mineralnego (MOSH i MOAH) lub tworzyw sztucznych (POSH, PAO) w materiałach opakowaniowych i suchej żywności za pomocą ekstrakcji do fazy stałej i GC-FID” (dostępne pod adresem: </w:t>
      </w:r>
      <w:hyperlink r:id="rId8" w:history="1">
        <w:r>
          <w:t xml:space="preserve">http://</w:t>
        </w:r>
      </w:hyperlink>
      <w:hyperlink r:id="rId9" w:history="1">
        <w:r>
          <w:t xml:space="preserve">www.bfr.bund.de/cm/343/bestimmung-von-kohlenwasserstoffen-aus-mineraloel-oder-kunststoffen.pdf</w:t>
        </w:r>
      </w:hyperlink>
      <w:r>
        <w:t xml:space="preserve">; stan na:</w:t>
      </w:r>
      <w:r>
        <w:t xml:space="preserve"> </w:t>
      </w:r>
      <w:r>
        <w:rPr>
          <w:b/>
          <w:bCs/>
          <w:i/>
          <w:u w:val="single"/>
        </w:rPr>
        <w:t xml:space="preserve">wstawić XX.YY.2020 r.</w:t>
      </w:r>
      <w:r>
        <w:t xml:space="preserve">);</w:t>
      </w:r>
    </w:p>
    <w:p w14:paraId="5B28167A" w14:textId="77777777" w:rsidR="00123317" w:rsidRPr="00D43FA1" w:rsidRDefault="00123317" w:rsidP="009777BB">
      <w:pPr>
        <w:pStyle w:val="Text"/>
        <w:numPr>
          <w:ilvl w:val="0"/>
          <w:numId w:val="7"/>
        </w:numPr>
      </w:pPr>
      <w:r>
        <w:t xml:space="preserve">„Pomiar zawartości węglowodorów oleju mineralnego w żywności i materiałach opakowaniowych”, kompendium Federalnego Instytutu Oceny Ryzyka (BfR) i kantonalnego laboratorium w Zurychu (dostępne pod adresem: </w:t>
      </w:r>
      <w:hyperlink r:id="rId10" w:history="1">
        <w:r>
          <w:t xml:space="preserve">http://www.bfr.bund.de/cm/343/messung-von-mineraloel-kohlenwasserstoffen-in-lebensmitteln-und-verpackungsmaterialien.pdf</w:t>
        </w:r>
      </w:hyperlink>
      <w:r>
        <w:t xml:space="preserve">; stan na: </w:t>
      </w:r>
      <w:r>
        <w:rPr>
          <w:b/>
          <w:bCs/>
          <w:i/>
          <w:u w:val="single"/>
        </w:rPr>
        <w:t xml:space="preserve">wstawić XX.YY.2020 r.</w:t>
      </w:r>
      <w:r>
        <w:t xml:space="preserve">).</w:t>
      </w:r>
      <w:r>
        <w:rPr>
          <w:bCs/>
          <w:u w:val="single"/>
        </w:rPr>
        <w:t xml:space="preserve"> </w:t>
      </w:r>
    </w:p>
    <w:p w14:paraId="2BF32794" w14:textId="77777777" w:rsidR="00123317" w:rsidRPr="00D43FA1" w:rsidRDefault="00123317" w:rsidP="00123317">
      <w:pPr>
        <w:pStyle w:val="Text"/>
      </w:pPr>
      <w:r>
        <w:t xml:space="preserve">Wytyczne dotyczące stosowania bariery funkcjonalnej obowiązują poza tym tylko w odniesieniu do takich materiałów i artykułów z papieru, tektury lub kartonu, wyprodukowanych z wykorzystaniem materiału makulaturowego, które wchodzą w zakres stosowania artykułu 1 ust. 2 rozporządzenia (WE) nr 1935/2004 w sprawie materiałów i wyrobów przeznaczonych do kontaktu z żywnością oraz uchylającego dyrektywy 80/590/EWG i 89/109/EWG.</w:t>
      </w:r>
      <w:r>
        <w:t xml:space="preserve"> </w:t>
      </w:r>
      <w:r>
        <w:t xml:space="preserve">Możliwość zastosowania na przykład do kartonów transportowych i zewnętrznych jest odpowiednio zapewniona tylko wtedy, gdy w konkretnym przypadku chodzi o artykuły użytkowe przeznaczone do kontaktu z żywnością.</w:t>
      </w:r>
      <w:r>
        <w:t xml:space="preserve"> </w:t>
      </w:r>
      <w:r>
        <w:t xml:space="preserve">Nakładające się, wielokrotne stosowanie bariery funkcjonalnej wzdłuż łańcucha dostaw nie jest zasadniczo wymagane.</w:t>
      </w:r>
      <w:r>
        <w:t xml:space="preserve"> </w:t>
      </w:r>
      <w:r>
        <w:t xml:space="preserve">Tak na przykład przy kartonach transportowych i zewnętrznych – o ile są one w konkretnym przypadku artykułami użytkowymi przeznaczonymi do kontaktu z żywnością – nie jest potrzebna bariera funkcjonalna, jeżeli już przez samo ukształtowanie właściwego opakowania bądź systemu opakowaniowego żywności (np. opakowanie bezpośrednie lub wtórne) zapewnione jest, że nie ma miejsca przenoszenie się MOAH na żywność.</w:t>
      </w:r>
      <w:r>
        <w:t xml:space="preserve"> </w:t>
      </w:r>
      <w:r>
        <w:t xml:space="preserve">Odpowiednio do tego – jak generalnie w przypadku artykułów użytkowych przeznaczonych do kontaktu z żywnością – niezbędna jest wystarczająca komunikacja w łańcuchu dostaw.</w:t>
      </w:r>
      <w:r>
        <w:t xml:space="preserve"> </w:t>
      </w:r>
    </w:p>
    <w:p w14:paraId="2A4229C4" w14:textId="77777777" w:rsidR="00123317" w:rsidRPr="00D43FA1" w:rsidRDefault="00123317" w:rsidP="00CB5E99">
      <w:pPr>
        <w:pStyle w:val="Text"/>
      </w:pPr>
      <w:r>
        <w:t xml:space="preserve">Ustanowiona w niniejszym rozporządzeniu w związku z barierą funkcjonalną granica wykrywalności wynosząca 0,5 miligrama MOAH na kilogram żywności odnosi się poza tym tylko do przenoszenia się MOAH na żywność z objętych zakresem stosowania niniejszego rozporządzenia artykułów użytkowych przeznaczonych do kontaktu z żywnością i nie stanowi ogólnego najwyższego poziomu MOAH w żywności.</w:t>
      </w:r>
      <w:r>
        <w:t xml:space="preserve"> </w:t>
      </w:r>
    </w:p>
    <w:p w14:paraId="4749053E" w14:textId="1BDBFAC2" w:rsidR="00C42AD4" w:rsidRPr="00D43FA1" w:rsidRDefault="00000EDE" w:rsidP="00CB5E99">
      <w:pPr>
        <w:pStyle w:val="Text"/>
      </w:pPr>
      <w:r>
        <w:t xml:space="preserve">Ust. 2 przewiduje wyjątki od obowiązkowego wyposażenia odnośnych artykułów użytkowych przeznaczonych do kontaktu z żywnością w barierę funkcjonalną przez podmiot zajmujący się tymi artykułami.</w:t>
      </w:r>
      <w:r>
        <w:t xml:space="preserve"> </w:t>
      </w:r>
      <w:r>
        <w:t xml:space="preserve">Jeżeli istnieją specjalne warunki uniemożliwiające przenoszenie się MOAH na żywność lub innymi środkami zapewniane jest, że przenoszenie się MOAH z artykułu użytkowego przeznaczonego do kontaktu z żywnością nie jest wykrywalne przy granicy wykrywalności wynoszącej 0,5 miligrama MOAH na kilogram żywności (bądź 0,15 miligrama MOAH na kilogram płynu modelowego imitującego żywność), nie zachodzi obowiązek stosowania bariery funkcjonalnej.</w:t>
      </w:r>
      <w:r>
        <w:t xml:space="preserve"> </w:t>
      </w:r>
      <w:r>
        <w:t xml:space="preserve">Pierwsza sytuacja może mieć miejsce np. wtedy, gdy zawartość MOAH w samym papierze, w tekturze lub w kartonie jest już tak mała, że nie może nastąpić przenoszenie się MOAH na żywność powyżej granicy wykrywalności.</w:t>
      </w:r>
      <w:r>
        <w:t xml:space="preserve"> </w:t>
      </w:r>
      <w:r>
        <w:t xml:space="preserve">Innymi stosownymi środkami w rozumieniu pkt. 2 mogą być na przykład takie środki związane z artykułem użytkowym przeznaczonym do kontaktu z żywnością, jak włączenie adsorberów (węgiel aktywny itp.) do papieru, tektury lub kartonu, dzięki którym uniemożliwiane jest przenoszenie się MOAH na żywność.</w:t>
      </w:r>
      <w:r>
        <w:t xml:space="preserve"> </w:t>
      </w:r>
    </w:p>
    <w:p w14:paraId="575AE879" w14:textId="7AEA464F" w:rsidR="00873463" w:rsidRPr="00D43FA1" w:rsidRDefault="00B849CA" w:rsidP="00CB5E99">
      <w:pPr>
        <w:pStyle w:val="Text"/>
      </w:pPr>
      <w:r>
        <w:t xml:space="preserve">Zgodnie z § 6a ust. 3 odnośne artykuły użytkowe przeznaczone do kontaktu z żywnością mogą w drodze odstępstwa od § 6a ust. 1 przy uwzględnieniu ust. 4 być produkowane i wprowadzane do obrotu bez – połączonej na stałe z artykułem – bariery funkcjonalnej.</w:t>
      </w:r>
      <w:r>
        <w:t xml:space="preserve"> </w:t>
      </w:r>
      <w:r>
        <w:t xml:space="preserve">Jest to jednak dozwolone tylko wtedy, gdy podmiot prowadzący przedsiębiorstwo spożywcze przed dostawą artykułu użytkowego przeznaczonego do kontaktu z żywnością pisemnie lub drogą elektroniczną oświadczy producentowi tego artykułu bądź podmiotowi wprowadzającemu go do obrotu, że rezygnuje z bariery funkcjonalnej.</w:t>
      </w:r>
      <w:r>
        <w:t xml:space="preserve"> </w:t>
      </w:r>
      <w:r>
        <w:t xml:space="preserve">Oświadczenie to musi być przechowywane przez producenta artykułu użytkowego przeznaczonego do kontaktu z żywnością bądź podmiot wprowadzający go do obrotu, aby można było udowodnić właściwemu organowi, że odejście od regulacji określonej w 6a ust. 1 zdanie pierwsze było dozwolone dzięki rezygnacji przez podmiot prowadzący przedsiębiorstwo spożywcze.</w:t>
      </w:r>
      <w:r>
        <w:t xml:space="preserve"> </w:t>
      </w:r>
    </w:p>
    <w:p w14:paraId="559558B3" w14:textId="77777777" w:rsidR="00595A3F" w:rsidRPr="00D43FA1" w:rsidRDefault="00595A3F" w:rsidP="00CB5E99">
      <w:pPr>
        <w:pStyle w:val="Text"/>
      </w:pPr>
      <w:r>
        <w:t xml:space="preserve">Regulacją określoną w § 6a ust. 3 objęte są podmioty prowadzące przedsiębiorstwa spożywcze, które w swoim zakresie odpowiedzialności pośrednio lub bezpośrednio stykają z żywnością przeznaczone do kontaktu z nią artykuły użytkowe wyprodukowane z wykorzystaniem materiału makulaturowego, czyli owijają bądź pakują żywność lub też w inny sposób po raz pierwszy łączą żywność z artykułem użytkowym przeznaczonym do kontaktu z nią.</w:t>
      </w:r>
      <w:r>
        <w:t xml:space="preserve"> </w:t>
      </w:r>
      <w:r>
        <w:t xml:space="preserve">Obowiązek określony w § 6a ust. 3 nie odnosi się jednak na przykład do podmiotów prowadzących przedsiębiorstwa spożywcze, które nabywają wyłącznie już zapakowaną żywność (również z innego państwa członkowskiego UE lub państwa trzeciego) i dla których proces pakowania odbywa się poza ich obszarem wpływu.</w:t>
      </w:r>
      <w:r>
        <w:t xml:space="preserve"> </w:t>
      </w:r>
      <w:r>
        <w:t xml:space="preserve">Podmiot prowadzący przedsiębiorstwo spożywcze zapewni jednak w tym przypadku w ramach swojego ogólnego obowiązku dochowania należytej staranności, aby odnośne wyroby odpowiadały wymaganiom dotyczącym niedozwolonego przenoszenia się MOAH.</w:t>
      </w:r>
    </w:p>
    <w:p w14:paraId="5D78B6B3" w14:textId="77777777" w:rsidR="00882CE4" w:rsidRPr="00D43FA1" w:rsidRDefault="00031FDC" w:rsidP="00CB5E99">
      <w:pPr>
        <w:pStyle w:val="Text"/>
      </w:pPr>
      <w:r>
        <w:t xml:space="preserve">W przypadkach określonych w § 6a ust. 3 sam podmiot prowadzący przedsiębiorstwo spożywcze podejmie zgodnie z § 6a ust. 4 stosowne środki, aby wykluczyć przenoszenie się MOAH na żywność z artykułu użytkowego przeznaczonego do kontaktu z żywnością.</w:t>
      </w:r>
      <w:r>
        <w:t xml:space="preserve"> </w:t>
      </w:r>
      <w:r>
        <w:t xml:space="preserve">I tak podmiot prowadzący przedsiębiorstwo spożywcze może w ramach napełniania środkiem spożywczym stosować np. służące jako bariera funkcjonalna worki pośrednie lub podobne artykuły (patrz § 2 pkt 9 lit. b).</w:t>
      </w:r>
      <w:r>
        <w:t xml:space="preserve"> </w:t>
      </w:r>
      <w:r>
        <w:t xml:space="preserve">Obowiązują odpowiednio wymagania względem granicy wykrywalności.</w:t>
      </w:r>
      <w:r>
        <w:t xml:space="preserve"> </w:t>
      </w:r>
    </w:p>
    <w:p w14:paraId="7B05CB8A" w14:textId="77777777" w:rsidR="00CB5E99" w:rsidRPr="00D43FA1" w:rsidRDefault="00CB5E99" w:rsidP="00CB5E99">
      <w:pPr>
        <w:pStyle w:val="Text"/>
      </w:pPr>
      <w:r>
        <w:t xml:space="preserve">Stosowanie bariery funkcjonalnej nie jest jednak jedyną możliwością zapewnienia, aby nie miało miejsca przenoszenie się MOAH na żywność z artykułu użytkowego przeznaczonego do kontaktu z nią bądź nie było ono wykrywalne.</w:t>
      </w:r>
      <w:r>
        <w:t xml:space="preserve"> </w:t>
      </w:r>
      <w:r>
        <w:t xml:space="preserve">W szczególności nie zachodzi obowiązek podjęcia odpowiednich środków, jeżeli z uwagi na właściwości żywności (np. sól jadalna) lub warunki stosowania (np. w przypadku mrożonek lub krótkotrwałego kontaktu z suchą żywnością) przenoszenie się MOAH na żywność nie ma miejsca bądź występuje powyżej granicy wykrywalności i tym samym jest uważane za niewykrywalne.</w:t>
      </w:r>
      <w:r>
        <w:t xml:space="preserve"> </w:t>
      </w:r>
    </w:p>
    <w:p w14:paraId="285E5728" w14:textId="77777777" w:rsidR="00CB5E99" w:rsidRPr="0086292F" w:rsidRDefault="00CB5E99" w:rsidP="009C1BE7">
      <w:pPr>
        <w:pStyle w:val="Text"/>
      </w:pPr>
      <w:r>
        <w:t xml:space="preserve">W ramach przepisów ogólnych dotyczących artykułów użytkowych przeznaczonych do kontaktu z żywnością przedsiębiorca odpowiedzialny – np. producent, podmiot wprowadzający do obrotu lub podmiot pakujący żywność – zapewni, wypełniając swój obowiązek dochowania należytej staranności, aby znajdujące się w jego zakresie odpowiedzialności bądź używane tam artykuły użytkowe przeznaczone do kontaktu z żywnością odpowiadały właściwym wymaganiom.</w:t>
      </w:r>
      <w:r>
        <w:t xml:space="preserve"> </w:t>
      </w:r>
      <w:r>
        <w:t xml:space="preserve">Wskazuje się na przykład na § 30 pkt 3 kodeksu środków spożywczych, artykułów użytkowych i pasz (LFGB) oraz rozporządzenie (WE) nr 2023/2006.</w:t>
      </w:r>
      <w:r>
        <w:t xml:space="preserve"> </w:t>
      </w:r>
      <w:r>
        <w:t xml:space="preserve">Zgodnie z rozporządzeniem (WE) nr 2023/2006 należy spełnić m.in. określone obowiązki udokumentowania.</w:t>
      </w:r>
      <w:r>
        <w:t xml:space="preserve"> </w:t>
      </w:r>
      <w:r>
        <w:t xml:space="preserve">Jest to istotne w odniesieniu do niniejszego rozporządzenia przy kwestii bariery, która ma być stosowana, lub przy stosowaniu odstępstwa, ponieważ dokumenty sporządzane w ramach tego obowiązku mogą służyć również jako dowód tego, że bariera posiada wymaganą do przewidzianego celu funkcjonalność w odniesieniu do MOAH lub przenoszenie się MOAH na żywność z artykułu użytkowego przeznaczonego do kontaktu z nią nie jest również wtedy wykrywalne, tzn. nie występuje powyżej granicy wykrywalności, gdy bariera funkcjonalna nie jest stosowana.</w:t>
      </w:r>
    </w:p>
    <w:p w14:paraId="46427445" w14:textId="77777777" w:rsidR="00C66E2D" w:rsidRPr="0086292F" w:rsidRDefault="00D701EB" w:rsidP="00CB5E99">
      <w:pPr>
        <w:pStyle w:val="Text"/>
        <w:rPr>
          <w:szCs w:val="24"/>
        </w:rPr>
      </w:pPr>
      <w:r>
        <w:t xml:space="preserve">Producent artykułu użytkowego przeznaczonego do kontaktu z żywnością lub podmiot wprowadzający go do obrotu oraz podmiot prowadzący przedsiębiorstwo spożywcze są zobowiązani przedstawić właściwemu organowi, na podstawie jakich warunków bądź okoliczności stosują wyjątek.</w:t>
      </w:r>
      <w:r>
        <w:t xml:space="preserve"> </w:t>
      </w:r>
      <w:r>
        <w:t xml:space="preserve">§ 6a ust. 5 zawiera poza tym precyzujący ww. przepisy obowiązek producentów artykułów użytkowych przeznaczonych do kontaktu z żywnością lub podmiotów wprowadzających je do obrotu, aby udostępnić dokumenty wykazujące, w jaki sposób podmiot odpowiedzialny zapewnia, by nie miało miejsca przenoszenie się MOAH na żywność.</w:t>
      </w:r>
      <w:r>
        <w:t xml:space="preserve"> </w:t>
      </w:r>
    </w:p>
    <w:p w14:paraId="7E7353A1" w14:textId="77777777" w:rsidR="00E36DB1" w:rsidRPr="00D43FA1" w:rsidRDefault="005211EE" w:rsidP="00CB5E99">
      <w:pPr>
        <w:pStyle w:val="Text"/>
        <w:rPr>
          <w:color w:val="231F20"/>
          <w:szCs w:val="24"/>
        </w:rPr>
      </w:pPr>
      <w:r>
        <w:rPr>
          <w:color w:val="231F20"/>
          <w:szCs w:val="24"/>
        </w:rPr>
        <w:t xml:space="preserve">§ 6a ust. 6 zawiera zakazy obrotu żywnością w celu ochrony konsumentów przed możliwymi zagrożeniami dla zdrowia spowodowanymi przenoszeniem się MOAH z artykułów użytkowych przeznaczonych do kontaktu z żywnością.</w:t>
      </w:r>
      <w:r>
        <w:rPr>
          <w:color w:val="231F20"/>
          <w:szCs w:val="24"/>
        </w:rPr>
        <w:t xml:space="preserve"> </w:t>
      </w:r>
      <w:r>
        <w:rPr>
          <w:color w:val="231F20"/>
          <w:szCs w:val="24"/>
        </w:rPr>
        <w:t xml:space="preserve">Zakazy obrotu odnoszą się do takich środków spożywczych poddanych obróbce artykułami użytkowymi przeznaczonymi do kontaktu z żywnością, które nie odpowiadają § 6a ust. 1 zdanie pierwsze lub § 6a ust. 4 zdanie pierwsze i nie obowiązuje przy tym jeden z odnośnych wyjątków określonych w § 6a ust. 2 bądź § 6a ust. 4 zdanie trzecie.</w:t>
      </w:r>
    </w:p>
    <w:p w14:paraId="295C3C27" w14:textId="77777777" w:rsidR="00893613" w:rsidRPr="00D43FA1" w:rsidRDefault="00893613" w:rsidP="0070360F">
      <w:pPr>
        <w:pStyle w:val="Text"/>
        <w:keepNext/>
        <w:keepLines/>
        <w:rPr>
          <w:szCs w:val="24"/>
          <w:u w:val="single"/>
        </w:rPr>
      </w:pPr>
      <w:r>
        <w:rPr>
          <w:szCs w:val="24"/>
          <w:u w:val="single"/>
        </w:rPr>
        <w:t xml:space="preserve">Do pkt. 3</w:t>
      </w:r>
    </w:p>
    <w:p w14:paraId="527C76F7" w14:textId="77777777" w:rsidR="00893613" w:rsidRPr="00D43FA1" w:rsidRDefault="00893613" w:rsidP="00893613">
      <w:pPr>
        <w:pStyle w:val="Text"/>
        <w:rPr>
          <w:szCs w:val="24"/>
        </w:rPr>
      </w:pPr>
      <w:r>
        <w:t xml:space="preserve">Pkt 3 ustanawia zakaz stosowania artykułów użytkowych przeznaczonych do kontaktu z żywnością, które nie odpowiadają wymaganiom określonym w § 6a.</w:t>
      </w:r>
    </w:p>
    <w:p w14:paraId="0BECB08F" w14:textId="77777777" w:rsidR="00893613" w:rsidRPr="00D43FA1" w:rsidRDefault="00893613" w:rsidP="0070360F">
      <w:pPr>
        <w:pStyle w:val="Text"/>
        <w:keepNext/>
        <w:keepLines/>
        <w:rPr>
          <w:szCs w:val="24"/>
          <w:u w:val="single"/>
        </w:rPr>
      </w:pPr>
      <w:r>
        <w:rPr>
          <w:szCs w:val="24"/>
          <w:u w:val="single"/>
        </w:rPr>
        <w:t xml:space="preserve">Do pkt. 4</w:t>
      </w:r>
    </w:p>
    <w:p w14:paraId="123E14BA" w14:textId="77777777" w:rsidR="00D77D9F" w:rsidRPr="00D43FA1" w:rsidRDefault="00D77D9F" w:rsidP="00893613">
      <w:pPr>
        <w:pStyle w:val="Text"/>
        <w:rPr>
          <w:szCs w:val="24"/>
          <w:u w:val="single"/>
        </w:rPr>
      </w:pPr>
      <w:r>
        <w:t xml:space="preserve">Pkt 4 reguluje zagrożenie karą w przypadku naruszeń przepisów zawartych w § 6a rozporządzenia w sprawie artykułów użytkowych.</w:t>
      </w:r>
    </w:p>
    <w:p w14:paraId="72ADCE94" w14:textId="77777777" w:rsidR="00CB5E99" w:rsidRPr="00D43FA1" w:rsidRDefault="00D77D9F" w:rsidP="0070360F">
      <w:pPr>
        <w:pStyle w:val="Text"/>
        <w:keepNext/>
        <w:keepLines/>
        <w:rPr>
          <w:u w:val="single"/>
        </w:rPr>
      </w:pPr>
      <w:r>
        <w:rPr>
          <w:u w:val="single"/>
        </w:rPr>
        <w:t xml:space="preserve">Do pkt. 5</w:t>
      </w:r>
    </w:p>
    <w:p w14:paraId="10DAE7A6" w14:textId="77777777" w:rsidR="00BC7160" w:rsidRPr="00D43FA1" w:rsidRDefault="00CB5E99" w:rsidP="00CB5E99">
      <w:pPr>
        <w:pStyle w:val="Text"/>
      </w:pPr>
      <w:r>
        <w:t xml:space="preserve">Pkt 5 stanowi, że przepisy mają być stosowane dopiero po trzyletnim okresie przejściowym.</w:t>
      </w:r>
      <w:r>
        <w:t xml:space="preserve"> </w:t>
      </w:r>
    </w:p>
    <w:p w14:paraId="38F583BA" w14:textId="77777777" w:rsidR="00CB5E99" w:rsidRPr="00D43FA1" w:rsidRDefault="00CB5E99" w:rsidP="00CB5E99">
      <w:pPr>
        <w:pStyle w:val="Text"/>
      </w:pPr>
      <w:r>
        <w:t xml:space="preserve">Pkt 5 stanowi ponadto, że artykuły użytkowe przeznaczone do kontaktu z żywnością, które zostały wyprodukowane zgodnie z przepisami obowiązującymi przed datą rozpoczęcia stosowania rozporządzenia, mogą być wprowadzane do obrotu i stosowane również po tym dniu jeszcze przez kolejne dwa lata.</w:t>
      </w:r>
    </w:p>
    <w:p w14:paraId="3DCB47CB" w14:textId="77777777" w:rsidR="00CB5E99" w:rsidRPr="00D43FA1" w:rsidRDefault="00CB5E99" w:rsidP="0070360F">
      <w:pPr>
        <w:pStyle w:val="Text"/>
        <w:keepNext/>
        <w:keepLines/>
        <w:rPr>
          <w:b/>
        </w:rPr>
      </w:pPr>
      <w:r>
        <w:rPr>
          <w:b/>
        </w:rPr>
        <w:t xml:space="preserve">Do art. 2</w:t>
      </w:r>
    </w:p>
    <w:p w14:paraId="3A8E0CB1" w14:textId="77777777" w:rsidR="00CB5E99" w:rsidRPr="00D43FA1" w:rsidRDefault="00CB5E99" w:rsidP="00CB5E99">
      <w:pPr>
        <w:pStyle w:val="Text"/>
      </w:pPr>
      <w:r>
        <w:t xml:space="preserve">Art. 2 zawiera zezwolenie na ogłoszenie rozporządzenia w sprawie artykułów użytkowych.</w:t>
      </w:r>
    </w:p>
    <w:p w14:paraId="7689A2E3" w14:textId="77777777" w:rsidR="00CB5E99" w:rsidRPr="00D43FA1" w:rsidRDefault="00CB5E99" w:rsidP="0070360F">
      <w:pPr>
        <w:pStyle w:val="Text"/>
        <w:keepNext/>
        <w:keepLines/>
        <w:rPr>
          <w:b/>
        </w:rPr>
      </w:pPr>
      <w:r>
        <w:rPr>
          <w:b/>
        </w:rPr>
        <w:t xml:space="preserve">Do art. 3</w:t>
      </w:r>
    </w:p>
    <w:p w14:paraId="193ACE56" w14:textId="77777777" w:rsidR="00CB5E99" w:rsidRPr="0070360F" w:rsidRDefault="00CB5E99">
      <w:pPr>
        <w:pStyle w:val="Text"/>
      </w:pPr>
      <w:r>
        <w:t xml:space="preserve">Art. 3 reguluje wejście w życie niniejszego rozporządzenia.</w:t>
      </w:r>
    </w:p>
    <w:sectPr w:rsidR="00CB5E99" w:rsidRPr="0070360F" w:rsidSect="00073F52">
      <w:headerReference w:type="default" r:id="rId11"/>
      <w:headerReference w:type="first" r:id="rId1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743AF" w14:textId="77777777" w:rsidR="00B82A75" w:rsidRDefault="00B82A75">
      <w:pPr>
        <w:spacing w:before="0" w:after="0"/>
      </w:pPr>
      <w:r>
        <w:separator/>
      </w:r>
    </w:p>
  </w:endnote>
  <w:endnote w:type="continuationSeparator" w:id="0">
    <w:p w14:paraId="6823D5CA" w14:textId="77777777" w:rsidR="00B82A75" w:rsidRDefault="00B82A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7D80D" w14:textId="77777777" w:rsidR="00B82A75" w:rsidRDefault="00B82A75">
      <w:pPr>
        <w:spacing w:before="0" w:after="0"/>
      </w:pPr>
      <w:r>
        <w:separator/>
      </w:r>
    </w:p>
  </w:footnote>
  <w:footnote w:type="continuationSeparator" w:id="0">
    <w:p w14:paraId="04C68AD1" w14:textId="77777777" w:rsidR="00B82A75" w:rsidRDefault="00B82A75">
      <w:pPr>
        <w:spacing w:before="0" w:after="0"/>
      </w:pPr>
      <w:r>
        <w:continuationSeparator/>
      </w:r>
    </w:p>
  </w:footnote>
  <w:footnote w:id="1">
    <w:p w14:paraId="7B8D79B8" w14:textId="77777777" w:rsidR="00E24BD3" w:rsidRPr="008036EA" w:rsidRDefault="00E24BD3">
      <w:pPr>
        <w:pStyle w:val="FootnoteText"/>
      </w:pPr>
      <w:r>
        <w:rPr>
          <w:rStyle w:val="FootnoteReference"/>
        </w:rPr>
        <w:t xml:space="preserve">1)</w:t>
      </w:r>
      <w:r>
        <w:tab/>
        <w:t xml:space="preserve">Notyfikowano 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 w:id="2">
    <w:p w14:paraId="7D837383" w14:textId="77777777" w:rsidR="00E24BD3" w:rsidRDefault="00E24BD3" w:rsidP="006B7BFE">
      <w:pPr>
        <w:pStyle w:val="FootnoteText"/>
        <w:jc w:val="left"/>
      </w:pPr>
      <w:r>
        <w:rPr>
          <w:rStyle w:val="FootnoteReference"/>
        </w:rPr>
        <w:footnoteRef/>
      </w:r>
      <w:r>
        <w:t xml:space="preserve"> </w:t>
        <w:tab/>
        <w:t xml:space="preserve">Federalny Urząd Statystyczny (2012):</w:t>
      </w:r>
      <w:r>
        <w:t xml:space="preserve"> </w:t>
      </w:r>
      <w:r>
        <w:t xml:space="preserve">Wytyczne dotyczące ustalenia i przedstawienia kosztów realizacji w projektach regulacji rządu federalnego.</w:t>
      </w:r>
      <w:r>
        <w:t xml:space="preserve"> </w:t>
      </w:r>
    </w:p>
  </w:footnote>
  <w:footnote w:id="3">
    <w:p w14:paraId="36F3698B" w14:textId="60DC7FEB" w:rsidR="00E24BD3" w:rsidRPr="0086292F" w:rsidRDefault="00E24BD3" w:rsidP="002F54A3">
      <w:pPr>
        <w:pStyle w:val="FootnoteText"/>
      </w:pPr>
      <w:r>
        <w:rPr>
          <w:rStyle w:val="FootnoteReference"/>
        </w:rPr>
        <w:footnoteRef/>
      </w:r>
      <w:r>
        <w:t xml:space="preserve"> </w:t>
        <w:tab/>
        <w:t xml:space="preserve">Analiza struktury kosztów w przemyśle przetwórczym, górnictwie oraz wydobywaniu kamieni i gleb (nr EVAS 42251):</w:t>
      </w:r>
      <w:r>
        <w:t xml:space="preserve"> </w:t>
      </w:r>
      <w:r>
        <w:t xml:space="preserve">Pracownicy, obroty, wartość produkcji i wartość dodana przedsiębiorstw w przemyśle przetwórczym, Niemcy 2015 r., sektor gospodarki WZ08-10.</w:t>
      </w:r>
      <w:r>
        <w:t xml:space="preserve"> </w:t>
      </w:r>
    </w:p>
  </w:footnote>
  <w:footnote w:id="4">
    <w:p w14:paraId="3324C433" w14:textId="77777777" w:rsidR="00E24BD3" w:rsidRPr="00D47EE6" w:rsidRDefault="00E24BD3" w:rsidP="002F54A3">
      <w:pPr>
        <w:pStyle w:val="Default"/>
        <w:ind w:left="720" w:hanging="720"/>
        <w:rPr>
          <w:sz w:val="18"/>
          <w:szCs w:val="18"/>
          <w:rFonts w:ascii="Arial" w:hAnsi="Arial" w:cs="Arial"/>
        </w:rPr>
      </w:pPr>
      <w:r>
        <w:rPr>
          <w:rStyle w:val="FootnoteReference"/>
          <w:sz w:val="18"/>
          <w:szCs w:val="18"/>
          <w:rFonts w:ascii="Arial" w:hAnsi="Arial"/>
        </w:rPr>
        <w:t xml:space="preserve">3</w:t>
      </w:r>
      <w:r>
        <w:t xml:space="preserve"> </w:t>
        <w:tab/>
      </w:r>
      <w:r>
        <w:rPr>
          <w:sz w:val="18"/>
          <w:szCs w:val="18"/>
          <w:rFonts w:ascii="Arial" w:hAnsi="Arial"/>
        </w:rPr>
        <w:t xml:space="preserve">Tabele kosztów płac z 2017 r. służące do pomiaru kosztów realizacji i kosztów administracyjnych, autorstwa Federalnego Urzędu Statystycznego, sektor gospodarki C10, przedsiębiorstwa zatrudniające co najmniej 250 osób, wysoki poziom kwalifikacji.</w:t>
      </w:r>
      <w:r>
        <w:rPr>
          <w:sz w:val="18"/>
          <w:szCs w:val="18"/>
          <w:rFonts w:ascii="Arial" w:hAnsi="Arial"/>
        </w:rPr>
        <w:t xml:space="preserve"> </w:t>
      </w:r>
    </w:p>
    <w:p w14:paraId="2487B60A" w14:textId="77777777" w:rsidR="00E24BD3" w:rsidRDefault="00E24B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70F90" w14:textId="024B4C5F" w:rsidR="00E24BD3" w:rsidRPr="00073F52" w:rsidRDefault="00D43FA1" w:rsidP="00073F52">
    <w:pPr>
      <w:pStyle w:val="Header"/>
    </w:pPr>
    <w:r>
      <w:tab/>
    </w:r>
    <w:r>
      <w:t xml:space="preserve">- </w:t>
    </w:r>
    <w:r w:rsidR="00073F52">
      <w:fldChar w:fldCharType="begin"/>
    </w:r>
    <w:r w:rsidR="00073F52">
      <w:instrText xml:space="preserve"> PAGE  \* MERGEFORMAT </w:instrText>
    </w:r>
    <w:r w:rsidR="00073F52">
      <w:fldChar w:fldCharType="separate"/>
    </w:r>
    <w:r w:rsidR="00073F52">
      <w:t>2</w:t>
    </w:r>
    <w:r w:rsidR="00073F52">
      <w:fldChar w:fldCharType="end"/>
    </w:r>
    <w:r>
      <w:t xml:space="preserve"> -</w:t>
      <w:tab/>
    </w:r>
    <w:r>
      <w:rPr>
        <w:sz w:val="18"/>
      </w:rPr>
      <w:t xml:space="preserve">Stan opracowania:</w:t>
    </w:r>
    <w:r>
      <w:rPr>
        <w:sz w:val="18"/>
      </w:rPr>
      <w:t xml:space="preserve"> </w:t>
    </w:r>
    <w:r>
      <w:rPr>
        <w:sz w:val="18"/>
      </w:rPr>
      <w:t xml:space="preserve">14.8.2020 r. godz. 15:07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8F3E" w14:textId="0C4B739B" w:rsidR="00E24BD3" w:rsidRPr="00073F52" w:rsidRDefault="00D43FA1" w:rsidP="00073F52">
    <w:pPr>
      <w:pStyle w:val="Header"/>
    </w:pPr>
    <w:r>
      <w:tab/>
    </w:r>
    <w:fldSimple w:instr=" DOCPROPERTY &quot;Bearbeitungsstand&quot; \* MERGEFORMAT " w:dirty="true">
      <w:r w:rsidRPr="00D43FA1">
        <w:rPr>
          <w:sz w:val="18"/>
        </w:rPr>
        <w:t>Bearbeitungsstand: 14.08.2020</w:t>
      </w:r>
      <w:r>
        <w:rPr>
          <w:sz w:val="18"/>
        </w:rPr>
        <w:t xml:space="preserve"> </w:t>
      </w:r>
      <w:r w:rsidRPr="00D43FA1">
        <w:rPr>
          <w:sz w:val="18"/>
        </w:rPr>
        <w:t>15:07 Uhr</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4536"/>
        </w:tabs>
        <w:ind w:left="4253"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A2D0161"/>
    <w:multiLevelType w:val="hybridMultilevel"/>
    <w:tmpl w:val="8B90B208"/>
    <w:lvl w:ilvl="0" w:tplc="74E867FC">
      <w:start w:val="1"/>
      <w:numFmt w:val="bullet"/>
      <w:lvlText w:val="˗"/>
      <w:lvlJc w:val="left"/>
      <w:pPr>
        <w:ind w:left="1145" w:hanging="360"/>
      </w:pPr>
      <w:rPr>
        <w:rFonts w:ascii="Times New Roman"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0500708"/>
    <w:multiLevelType w:val="hybridMultilevel"/>
    <w:tmpl w:val="F0940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6" w15:restartNumberingAfterBreak="0">
    <w:nsid w:val="127C50D1"/>
    <w:multiLevelType w:val="hybridMultilevel"/>
    <w:tmpl w:val="7B5267F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6DC129C"/>
    <w:multiLevelType w:val="hybridMultilevel"/>
    <w:tmpl w:val="D682E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3F2C75"/>
    <w:multiLevelType w:val="hybridMultilevel"/>
    <w:tmpl w:val="6F30F0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4" w15:restartNumberingAfterBreak="0">
    <w:nsid w:val="2A897DF0"/>
    <w:multiLevelType w:val="hybridMultilevel"/>
    <w:tmpl w:val="857C688C"/>
    <w:lvl w:ilvl="0" w:tplc="74E867F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7"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9"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6DD28C7"/>
    <w:multiLevelType w:val="hybridMultilevel"/>
    <w:tmpl w:val="32463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ED6052"/>
    <w:multiLevelType w:val="multilevel"/>
    <w:tmpl w:val="99C217B4"/>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1"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
  </w:num>
  <w:num w:numId="2">
    <w:abstractNumId w:val="3"/>
  </w:num>
  <w:num w:numId="3">
    <w:abstractNumId w:val="10"/>
  </w:num>
  <w:num w:numId="4">
    <w:abstractNumId w:val="14"/>
  </w:num>
  <w:num w:numId="5">
    <w:abstractNumId w:val="11"/>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31"/>
  </w:num>
  <w:num w:numId="12">
    <w:abstractNumId w:val="22"/>
  </w:num>
  <w:num w:numId="13">
    <w:abstractNumId w:val="5"/>
  </w:num>
  <w:num w:numId="14">
    <w:abstractNumId w:val="16"/>
  </w:num>
  <w:num w:numId="15">
    <w:abstractNumId w:val="0"/>
  </w:num>
  <w:num w:numId="16">
    <w:abstractNumId w:val="30"/>
  </w:num>
  <w:num w:numId="17">
    <w:abstractNumId w:val="17"/>
  </w:num>
  <w:num w:numId="18">
    <w:abstractNumId w:val="26"/>
  </w:num>
  <w:num w:numId="19">
    <w:abstractNumId w:val="4"/>
  </w:num>
  <w:num w:numId="20">
    <w:abstractNumId w:val="21"/>
  </w:num>
  <w:num w:numId="21">
    <w:abstractNumId w:val="12"/>
  </w:num>
  <w:num w:numId="22">
    <w:abstractNumId w:val="9"/>
  </w:num>
  <w:num w:numId="23">
    <w:abstractNumId w:val="20"/>
  </w:num>
  <w:num w:numId="24">
    <w:abstractNumId w:val="27"/>
  </w:num>
  <w:num w:numId="25">
    <w:abstractNumId w:val="13"/>
  </w:num>
  <w:num w:numId="26">
    <w:abstractNumId w:val="18"/>
  </w:num>
  <w:num w:numId="27">
    <w:abstractNumId w:val="1"/>
  </w:num>
  <w:num w:numId="28">
    <w:abstractNumId w:val="19"/>
  </w:num>
  <w:num w:numId="29">
    <w:abstractNumId w:val="7"/>
  </w:num>
  <w:num w:numId="30">
    <w:abstractNumId w:val="29"/>
  </w:num>
  <w:num w:numId="31">
    <w:abstractNumId w:val="28"/>
  </w:num>
  <w:num w:numId="32">
    <w:abstractNumId w:val="15"/>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372ms"/>
    <w:docVar w:name="BefehlsKontext_SpeichernOOXML_Schnitt" w:val="372ms"/>
    <w:docVar w:name="BMJ" w:val="True"/>
    <w:docVar w:name="CUSTOMER" w:val="8"/>
    <w:docVar w:name="DQCDateTime" w:val="29.07.2020 09:42:09"/>
    <w:docVar w:name="DQCPart_Begruendung" w:val="0"/>
    <w:docVar w:name="DQCPart_Dokument" w:val="0"/>
    <w:docVar w:name="DQCPart_Regelungsteil" w:val="0"/>
    <w:docVar w:name="DQCPart_Vorblatt" w:val="0"/>
    <w:docVar w:name="DQCResult_Aenderungsbefehl" w:val="0;14"/>
    <w:docVar w:name="DQCResult_Binnenverweise" w:val="0;0"/>
    <w:docVar w:name="DQCResult_Citations" w:val="0;2"/>
    <w:docVar w:name="DQCResult_EinzelneRegelungsteile" w:val="0;0"/>
    <w:docVar w:name="DQCResult_EmbeddedObjects" w:val="0;0"/>
    <w:docVar w:name="DQCResult_Gliederung" w:val="22;6"/>
    <w:docVar w:name="DQCResult_Marker" w:val="0;0"/>
    <w:docVar w:name="DQCResult_Metadata" w:val="0;0"/>
    <w:docVar w:name="DQCResult_ModifiedCharFormat" w:val="0;89"/>
    <w:docVar w:name="DQCResult_ModifiedMargins" w:val="21;0"/>
    <w:docVar w:name="DQCResult_ModifiedNumbering" w:val="2;0"/>
    <w:docVar w:name="DQCResult_StructureCheck" w:val="16;0"/>
    <w:docVar w:name="DQCResult_SuperfluousWhitespace" w:val="69;0"/>
    <w:docVar w:name="DQCResult_TermsAndDiction" w:val="0;10"/>
    <w:docVar w:name="DQCResult_Verweise" w:val="0;0"/>
    <w:docVar w:name="DQCWithWarnings" w:val="1"/>
    <w:docVar w:name="LW_DocType" w:val="AENDER"/>
    <w:docVar w:name="LWCons_Langue" w:val="DE"/>
  </w:docVars>
  <w:rsids>
    <w:rsidRoot w:val="006444D5"/>
    <w:rsid w:val="00000EDE"/>
    <w:rsid w:val="00006B73"/>
    <w:rsid w:val="00011404"/>
    <w:rsid w:val="000114D3"/>
    <w:rsid w:val="00011669"/>
    <w:rsid w:val="00013F7F"/>
    <w:rsid w:val="0001751A"/>
    <w:rsid w:val="000202F9"/>
    <w:rsid w:val="000205EA"/>
    <w:rsid w:val="00021172"/>
    <w:rsid w:val="00023B79"/>
    <w:rsid w:val="0002703A"/>
    <w:rsid w:val="00031FDC"/>
    <w:rsid w:val="00031FE9"/>
    <w:rsid w:val="0003253F"/>
    <w:rsid w:val="000326A1"/>
    <w:rsid w:val="00033203"/>
    <w:rsid w:val="000379E5"/>
    <w:rsid w:val="00040BA6"/>
    <w:rsid w:val="00042625"/>
    <w:rsid w:val="00042E60"/>
    <w:rsid w:val="00043B45"/>
    <w:rsid w:val="000447FD"/>
    <w:rsid w:val="00046B6A"/>
    <w:rsid w:val="000511BF"/>
    <w:rsid w:val="0005302B"/>
    <w:rsid w:val="0005489F"/>
    <w:rsid w:val="000579F5"/>
    <w:rsid w:val="0006353C"/>
    <w:rsid w:val="000636B3"/>
    <w:rsid w:val="00067EA9"/>
    <w:rsid w:val="00070990"/>
    <w:rsid w:val="00072429"/>
    <w:rsid w:val="00073F52"/>
    <w:rsid w:val="000746B9"/>
    <w:rsid w:val="00080C0D"/>
    <w:rsid w:val="00081E27"/>
    <w:rsid w:val="0008213F"/>
    <w:rsid w:val="0008560F"/>
    <w:rsid w:val="00086709"/>
    <w:rsid w:val="00087B66"/>
    <w:rsid w:val="00091B75"/>
    <w:rsid w:val="000958E3"/>
    <w:rsid w:val="000A00BC"/>
    <w:rsid w:val="000A0EA7"/>
    <w:rsid w:val="000A42DE"/>
    <w:rsid w:val="000B1116"/>
    <w:rsid w:val="000B17F0"/>
    <w:rsid w:val="000B2DB8"/>
    <w:rsid w:val="000B41D9"/>
    <w:rsid w:val="000C09F9"/>
    <w:rsid w:val="000C4EFA"/>
    <w:rsid w:val="000C57C8"/>
    <w:rsid w:val="000D03E9"/>
    <w:rsid w:val="000D0F45"/>
    <w:rsid w:val="000D3FA6"/>
    <w:rsid w:val="000D48E2"/>
    <w:rsid w:val="000E049B"/>
    <w:rsid w:val="000E4B72"/>
    <w:rsid w:val="000E73A4"/>
    <w:rsid w:val="000F1682"/>
    <w:rsid w:val="000F35FD"/>
    <w:rsid w:val="000F4A0B"/>
    <w:rsid w:val="000F6183"/>
    <w:rsid w:val="000F64B6"/>
    <w:rsid w:val="000F71D6"/>
    <w:rsid w:val="00105F8D"/>
    <w:rsid w:val="00106224"/>
    <w:rsid w:val="00110308"/>
    <w:rsid w:val="0011039C"/>
    <w:rsid w:val="00112749"/>
    <w:rsid w:val="00117552"/>
    <w:rsid w:val="0012322F"/>
    <w:rsid w:val="00123317"/>
    <w:rsid w:val="00123700"/>
    <w:rsid w:val="00131DBC"/>
    <w:rsid w:val="00133C9F"/>
    <w:rsid w:val="001348D2"/>
    <w:rsid w:val="0013637E"/>
    <w:rsid w:val="00140A6C"/>
    <w:rsid w:val="001419E7"/>
    <w:rsid w:val="00146E0A"/>
    <w:rsid w:val="0015179A"/>
    <w:rsid w:val="00152222"/>
    <w:rsid w:val="00155E4D"/>
    <w:rsid w:val="00160D57"/>
    <w:rsid w:val="0016165D"/>
    <w:rsid w:val="0016584A"/>
    <w:rsid w:val="00166244"/>
    <w:rsid w:val="001667AF"/>
    <w:rsid w:val="00166DA2"/>
    <w:rsid w:val="00170F46"/>
    <w:rsid w:val="00175860"/>
    <w:rsid w:val="001758C6"/>
    <w:rsid w:val="00175A40"/>
    <w:rsid w:val="001827A3"/>
    <w:rsid w:val="00185FED"/>
    <w:rsid w:val="001911F5"/>
    <w:rsid w:val="0019372F"/>
    <w:rsid w:val="00193B98"/>
    <w:rsid w:val="0019599F"/>
    <w:rsid w:val="001967AF"/>
    <w:rsid w:val="001A28CA"/>
    <w:rsid w:val="001A2F04"/>
    <w:rsid w:val="001A5621"/>
    <w:rsid w:val="001B10CC"/>
    <w:rsid w:val="001B2B49"/>
    <w:rsid w:val="001B471D"/>
    <w:rsid w:val="001B4AC9"/>
    <w:rsid w:val="001B654F"/>
    <w:rsid w:val="001C0BC3"/>
    <w:rsid w:val="001D09DD"/>
    <w:rsid w:val="001D5E6B"/>
    <w:rsid w:val="001D7ACD"/>
    <w:rsid w:val="001E05AF"/>
    <w:rsid w:val="001E169B"/>
    <w:rsid w:val="001E3F09"/>
    <w:rsid w:val="001E46F6"/>
    <w:rsid w:val="001E5369"/>
    <w:rsid w:val="001F0A70"/>
    <w:rsid w:val="001F39C1"/>
    <w:rsid w:val="001F595D"/>
    <w:rsid w:val="001F5B99"/>
    <w:rsid w:val="001F5E17"/>
    <w:rsid w:val="001F7A10"/>
    <w:rsid w:val="00204FD0"/>
    <w:rsid w:val="00206EBE"/>
    <w:rsid w:val="002128DA"/>
    <w:rsid w:val="002201EF"/>
    <w:rsid w:val="002235F2"/>
    <w:rsid w:val="00226A59"/>
    <w:rsid w:val="00227028"/>
    <w:rsid w:val="0022733A"/>
    <w:rsid w:val="002275AC"/>
    <w:rsid w:val="00231F40"/>
    <w:rsid w:val="0023385E"/>
    <w:rsid w:val="00234C16"/>
    <w:rsid w:val="002378C1"/>
    <w:rsid w:val="00240DFC"/>
    <w:rsid w:val="00241B36"/>
    <w:rsid w:val="00241FAE"/>
    <w:rsid w:val="00243E14"/>
    <w:rsid w:val="00244230"/>
    <w:rsid w:val="00244CF8"/>
    <w:rsid w:val="002455B9"/>
    <w:rsid w:val="00247D01"/>
    <w:rsid w:val="00250F1D"/>
    <w:rsid w:val="0025249C"/>
    <w:rsid w:val="0025354D"/>
    <w:rsid w:val="002535AD"/>
    <w:rsid w:val="00255264"/>
    <w:rsid w:val="0025650A"/>
    <w:rsid w:val="00257E98"/>
    <w:rsid w:val="0026302A"/>
    <w:rsid w:val="00264ECC"/>
    <w:rsid w:val="00265487"/>
    <w:rsid w:val="002666C4"/>
    <w:rsid w:val="00266860"/>
    <w:rsid w:val="0027334F"/>
    <w:rsid w:val="00274D3C"/>
    <w:rsid w:val="0027761E"/>
    <w:rsid w:val="00280B36"/>
    <w:rsid w:val="0028261E"/>
    <w:rsid w:val="00283E6C"/>
    <w:rsid w:val="00284E94"/>
    <w:rsid w:val="002876F5"/>
    <w:rsid w:val="00287EBE"/>
    <w:rsid w:val="002929F3"/>
    <w:rsid w:val="00294ACD"/>
    <w:rsid w:val="00295A54"/>
    <w:rsid w:val="00297533"/>
    <w:rsid w:val="002A1335"/>
    <w:rsid w:val="002A17CE"/>
    <w:rsid w:val="002A5AE5"/>
    <w:rsid w:val="002A60B8"/>
    <w:rsid w:val="002A6582"/>
    <w:rsid w:val="002A6EAA"/>
    <w:rsid w:val="002B0188"/>
    <w:rsid w:val="002B5546"/>
    <w:rsid w:val="002B62A4"/>
    <w:rsid w:val="002C13F3"/>
    <w:rsid w:val="002D0A9B"/>
    <w:rsid w:val="002D2CDA"/>
    <w:rsid w:val="002D7A0A"/>
    <w:rsid w:val="002D7D76"/>
    <w:rsid w:val="002E02C1"/>
    <w:rsid w:val="002E295B"/>
    <w:rsid w:val="002E33A2"/>
    <w:rsid w:val="002E550F"/>
    <w:rsid w:val="002E5E76"/>
    <w:rsid w:val="002E6AEF"/>
    <w:rsid w:val="002F0673"/>
    <w:rsid w:val="002F0B7F"/>
    <w:rsid w:val="002F1ED8"/>
    <w:rsid w:val="002F27A5"/>
    <w:rsid w:val="002F3448"/>
    <w:rsid w:val="002F4768"/>
    <w:rsid w:val="002F54A3"/>
    <w:rsid w:val="002F556C"/>
    <w:rsid w:val="002F5848"/>
    <w:rsid w:val="002F687B"/>
    <w:rsid w:val="002F7BDF"/>
    <w:rsid w:val="00301DC9"/>
    <w:rsid w:val="00302746"/>
    <w:rsid w:val="003035FC"/>
    <w:rsid w:val="00305F3A"/>
    <w:rsid w:val="00307078"/>
    <w:rsid w:val="00312412"/>
    <w:rsid w:val="0031368B"/>
    <w:rsid w:val="00313AFD"/>
    <w:rsid w:val="00314E88"/>
    <w:rsid w:val="0031773F"/>
    <w:rsid w:val="00323DAC"/>
    <w:rsid w:val="00325F70"/>
    <w:rsid w:val="003308AC"/>
    <w:rsid w:val="00331B5D"/>
    <w:rsid w:val="00334D1C"/>
    <w:rsid w:val="003454AA"/>
    <w:rsid w:val="00347A46"/>
    <w:rsid w:val="00351F32"/>
    <w:rsid w:val="00354B9C"/>
    <w:rsid w:val="00357F15"/>
    <w:rsid w:val="0036192C"/>
    <w:rsid w:val="0036199E"/>
    <w:rsid w:val="00363609"/>
    <w:rsid w:val="0036600C"/>
    <w:rsid w:val="00366367"/>
    <w:rsid w:val="0037560C"/>
    <w:rsid w:val="00375C93"/>
    <w:rsid w:val="00376190"/>
    <w:rsid w:val="00376D74"/>
    <w:rsid w:val="00380556"/>
    <w:rsid w:val="00391106"/>
    <w:rsid w:val="003923C4"/>
    <w:rsid w:val="00395CCD"/>
    <w:rsid w:val="003A1F45"/>
    <w:rsid w:val="003A773C"/>
    <w:rsid w:val="003B280E"/>
    <w:rsid w:val="003B2E93"/>
    <w:rsid w:val="003C0DCF"/>
    <w:rsid w:val="003C1F50"/>
    <w:rsid w:val="003C2CF2"/>
    <w:rsid w:val="003C3EEC"/>
    <w:rsid w:val="003C7574"/>
    <w:rsid w:val="003D2F67"/>
    <w:rsid w:val="003D3061"/>
    <w:rsid w:val="003D3839"/>
    <w:rsid w:val="003E061A"/>
    <w:rsid w:val="003E0A8F"/>
    <w:rsid w:val="003E369F"/>
    <w:rsid w:val="003E5E20"/>
    <w:rsid w:val="003E643B"/>
    <w:rsid w:val="003F072B"/>
    <w:rsid w:val="003F2896"/>
    <w:rsid w:val="003F4716"/>
    <w:rsid w:val="003F4E3F"/>
    <w:rsid w:val="003F5844"/>
    <w:rsid w:val="003F61B5"/>
    <w:rsid w:val="003F6BDA"/>
    <w:rsid w:val="003F7EB4"/>
    <w:rsid w:val="0040082A"/>
    <w:rsid w:val="00401DF2"/>
    <w:rsid w:val="00402ED1"/>
    <w:rsid w:val="00404213"/>
    <w:rsid w:val="004046A1"/>
    <w:rsid w:val="00410F1B"/>
    <w:rsid w:val="00412B86"/>
    <w:rsid w:val="00412EE8"/>
    <w:rsid w:val="00416BFF"/>
    <w:rsid w:val="00417CBD"/>
    <w:rsid w:val="004202CF"/>
    <w:rsid w:val="0042126B"/>
    <w:rsid w:val="00423AC9"/>
    <w:rsid w:val="00425BF3"/>
    <w:rsid w:val="00425F35"/>
    <w:rsid w:val="004313DF"/>
    <w:rsid w:val="00433B99"/>
    <w:rsid w:val="0043452E"/>
    <w:rsid w:val="00435EAE"/>
    <w:rsid w:val="0044115A"/>
    <w:rsid w:val="0044208A"/>
    <w:rsid w:val="0044326B"/>
    <w:rsid w:val="00454ADA"/>
    <w:rsid w:val="00454D02"/>
    <w:rsid w:val="00454D9A"/>
    <w:rsid w:val="00460A90"/>
    <w:rsid w:val="004654DC"/>
    <w:rsid w:val="00466F75"/>
    <w:rsid w:val="004779CD"/>
    <w:rsid w:val="00483982"/>
    <w:rsid w:val="00486F92"/>
    <w:rsid w:val="00492084"/>
    <w:rsid w:val="004975C3"/>
    <w:rsid w:val="004A4749"/>
    <w:rsid w:val="004A6A21"/>
    <w:rsid w:val="004B0349"/>
    <w:rsid w:val="004B69CF"/>
    <w:rsid w:val="004B79B4"/>
    <w:rsid w:val="004C32E6"/>
    <w:rsid w:val="004C5508"/>
    <w:rsid w:val="004D0AC8"/>
    <w:rsid w:val="004D16CA"/>
    <w:rsid w:val="004D5050"/>
    <w:rsid w:val="004E15A1"/>
    <w:rsid w:val="004E3C4B"/>
    <w:rsid w:val="004E416D"/>
    <w:rsid w:val="004E72E0"/>
    <w:rsid w:val="004F1DB4"/>
    <w:rsid w:val="004F2B12"/>
    <w:rsid w:val="004F4835"/>
    <w:rsid w:val="00500609"/>
    <w:rsid w:val="005006FC"/>
    <w:rsid w:val="00501945"/>
    <w:rsid w:val="00502460"/>
    <w:rsid w:val="00503A0C"/>
    <w:rsid w:val="00504030"/>
    <w:rsid w:val="005068AC"/>
    <w:rsid w:val="00513B6A"/>
    <w:rsid w:val="005211EE"/>
    <w:rsid w:val="00521B05"/>
    <w:rsid w:val="005227FE"/>
    <w:rsid w:val="00524D10"/>
    <w:rsid w:val="00532ED6"/>
    <w:rsid w:val="00533412"/>
    <w:rsid w:val="00534679"/>
    <w:rsid w:val="00537AF3"/>
    <w:rsid w:val="00542778"/>
    <w:rsid w:val="00545785"/>
    <w:rsid w:val="00550810"/>
    <w:rsid w:val="005544A3"/>
    <w:rsid w:val="00554B4D"/>
    <w:rsid w:val="0055707E"/>
    <w:rsid w:val="00557319"/>
    <w:rsid w:val="00557D18"/>
    <w:rsid w:val="00560F85"/>
    <w:rsid w:val="00565598"/>
    <w:rsid w:val="00570706"/>
    <w:rsid w:val="00572FEB"/>
    <w:rsid w:val="005757E3"/>
    <w:rsid w:val="00580CE1"/>
    <w:rsid w:val="00582019"/>
    <w:rsid w:val="005836E0"/>
    <w:rsid w:val="0058390A"/>
    <w:rsid w:val="005872C8"/>
    <w:rsid w:val="00587FF1"/>
    <w:rsid w:val="00591AFF"/>
    <w:rsid w:val="00595A3F"/>
    <w:rsid w:val="005A12E2"/>
    <w:rsid w:val="005A1A80"/>
    <w:rsid w:val="005A4FF8"/>
    <w:rsid w:val="005B0D5B"/>
    <w:rsid w:val="005B4624"/>
    <w:rsid w:val="005B4D17"/>
    <w:rsid w:val="005C1176"/>
    <w:rsid w:val="005C22B8"/>
    <w:rsid w:val="005C302D"/>
    <w:rsid w:val="005D0728"/>
    <w:rsid w:val="005D3ACC"/>
    <w:rsid w:val="005D4738"/>
    <w:rsid w:val="005D6DB1"/>
    <w:rsid w:val="005D7810"/>
    <w:rsid w:val="005E19F4"/>
    <w:rsid w:val="005F1658"/>
    <w:rsid w:val="00602358"/>
    <w:rsid w:val="006023FF"/>
    <w:rsid w:val="00610226"/>
    <w:rsid w:val="006112FC"/>
    <w:rsid w:val="00612652"/>
    <w:rsid w:val="006172FB"/>
    <w:rsid w:val="00625E69"/>
    <w:rsid w:val="00627A2B"/>
    <w:rsid w:val="006331E5"/>
    <w:rsid w:val="00633718"/>
    <w:rsid w:val="00634FE4"/>
    <w:rsid w:val="006362A8"/>
    <w:rsid w:val="0064273F"/>
    <w:rsid w:val="006444D5"/>
    <w:rsid w:val="00645D07"/>
    <w:rsid w:val="00646A3B"/>
    <w:rsid w:val="006504FE"/>
    <w:rsid w:val="0065079C"/>
    <w:rsid w:val="00650D95"/>
    <w:rsid w:val="006579C6"/>
    <w:rsid w:val="00657AA0"/>
    <w:rsid w:val="006708F9"/>
    <w:rsid w:val="00670B84"/>
    <w:rsid w:val="00671288"/>
    <w:rsid w:val="00672D86"/>
    <w:rsid w:val="006737EE"/>
    <w:rsid w:val="006754F3"/>
    <w:rsid w:val="00676165"/>
    <w:rsid w:val="006764E4"/>
    <w:rsid w:val="006808E4"/>
    <w:rsid w:val="00680B5D"/>
    <w:rsid w:val="006818A9"/>
    <w:rsid w:val="00685810"/>
    <w:rsid w:val="006937A1"/>
    <w:rsid w:val="00693CB3"/>
    <w:rsid w:val="00695CF5"/>
    <w:rsid w:val="0069641F"/>
    <w:rsid w:val="0069682A"/>
    <w:rsid w:val="006A2E3D"/>
    <w:rsid w:val="006A2F7F"/>
    <w:rsid w:val="006A35EA"/>
    <w:rsid w:val="006A44D1"/>
    <w:rsid w:val="006A578D"/>
    <w:rsid w:val="006A5CD4"/>
    <w:rsid w:val="006B01A1"/>
    <w:rsid w:val="006B184E"/>
    <w:rsid w:val="006B2B6B"/>
    <w:rsid w:val="006B6225"/>
    <w:rsid w:val="006B664F"/>
    <w:rsid w:val="006B7BFE"/>
    <w:rsid w:val="006C419F"/>
    <w:rsid w:val="006C4287"/>
    <w:rsid w:val="006C4B57"/>
    <w:rsid w:val="006C5005"/>
    <w:rsid w:val="006C5F55"/>
    <w:rsid w:val="006C6AEA"/>
    <w:rsid w:val="006D5A07"/>
    <w:rsid w:val="006D61A8"/>
    <w:rsid w:val="006E0E51"/>
    <w:rsid w:val="006E1543"/>
    <w:rsid w:val="006E32D4"/>
    <w:rsid w:val="006E5F3C"/>
    <w:rsid w:val="006E735C"/>
    <w:rsid w:val="006F0E66"/>
    <w:rsid w:val="006F303A"/>
    <w:rsid w:val="006F41D3"/>
    <w:rsid w:val="006F48BC"/>
    <w:rsid w:val="006F517F"/>
    <w:rsid w:val="00702263"/>
    <w:rsid w:val="0070360F"/>
    <w:rsid w:val="00706264"/>
    <w:rsid w:val="007115EE"/>
    <w:rsid w:val="00711B3B"/>
    <w:rsid w:val="007161EB"/>
    <w:rsid w:val="007218C5"/>
    <w:rsid w:val="007239E8"/>
    <w:rsid w:val="0072609A"/>
    <w:rsid w:val="007314AB"/>
    <w:rsid w:val="00733250"/>
    <w:rsid w:val="00735843"/>
    <w:rsid w:val="00737DA8"/>
    <w:rsid w:val="00742EFE"/>
    <w:rsid w:val="007437B0"/>
    <w:rsid w:val="00746FED"/>
    <w:rsid w:val="007525FC"/>
    <w:rsid w:val="00755B7A"/>
    <w:rsid w:val="00756335"/>
    <w:rsid w:val="00761998"/>
    <w:rsid w:val="0076235D"/>
    <w:rsid w:val="007637B5"/>
    <w:rsid w:val="00763CDC"/>
    <w:rsid w:val="00764D8F"/>
    <w:rsid w:val="00777926"/>
    <w:rsid w:val="007905CF"/>
    <w:rsid w:val="00792C48"/>
    <w:rsid w:val="00793595"/>
    <w:rsid w:val="007A1312"/>
    <w:rsid w:val="007A25F0"/>
    <w:rsid w:val="007A3936"/>
    <w:rsid w:val="007A3D7C"/>
    <w:rsid w:val="007A6737"/>
    <w:rsid w:val="007A6BD7"/>
    <w:rsid w:val="007B10BC"/>
    <w:rsid w:val="007B13BA"/>
    <w:rsid w:val="007B2A4A"/>
    <w:rsid w:val="007B2B4A"/>
    <w:rsid w:val="007B2F1F"/>
    <w:rsid w:val="007B6C3C"/>
    <w:rsid w:val="007C0BDB"/>
    <w:rsid w:val="007C1039"/>
    <w:rsid w:val="007C63D5"/>
    <w:rsid w:val="007C7895"/>
    <w:rsid w:val="007C7B00"/>
    <w:rsid w:val="007D0F38"/>
    <w:rsid w:val="007D108B"/>
    <w:rsid w:val="007D261F"/>
    <w:rsid w:val="007D3DEE"/>
    <w:rsid w:val="007D6A27"/>
    <w:rsid w:val="007E01A6"/>
    <w:rsid w:val="007E0BC1"/>
    <w:rsid w:val="007E28A4"/>
    <w:rsid w:val="007E3F7C"/>
    <w:rsid w:val="007E6419"/>
    <w:rsid w:val="007F06A5"/>
    <w:rsid w:val="007F1598"/>
    <w:rsid w:val="007F1BEC"/>
    <w:rsid w:val="007F5287"/>
    <w:rsid w:val="007F5E0C"/>
    <w:rsid w:val="007F65D4"/>
    <w:rsid w:val="007F7386"/>
    <w:rsid w:val="007F73D0"/>
    <w:rsid w:val="008036EA"/>
    <w:rsid w:val="00810208"/>
    <w:rsid w:val="00817182"/>
    <w:rsid w:val="00817D65"/>
    <w:rsid w:val="0082323D"/>
    <w:rsid w:val="00824198"/>
    <w:rsid w:val="0082568F"/>
    <w:rsid w:val="00826169"/>
    <w:rsid w:val="0082734B"/>
    <w:rsid w:val="00830AE8"/>
    <w:rsid w:val="00834113"/>
    <w:rsid w:val="00837E20"/>
    <w:rsid w:val="008405C2"/>
    <w:rsid w:val="00842543"/>
    <w:rsid w:val="008443C6"/>
    <w:rsid w:val="00844711"/>
    <w:rsid w:val="008464BD"/>
    <w:rsid w:val="00846C2F"/>
    <w:rsid w:val="0084703A"/>
    <w:rsid w:val="00852BD9"/>
    <w:rsid w:val="00861728"/>
    <w:rsid w:val="0086292F"/>
    <w:rsid w:val="0086352B"/>
    <w:rsid w:val="008717D7"/>
    <w:rsid w:val="00873463"/>
    <w:rsid w:val="00874303"/>
    <w:rsid w:val="008765C5"/>
    <w:rsid w:val="0087733A"/>
    <w:rsid w:val="00882CE4"/>
    <w:rsid w:val="0088401B"/>
    <w:rsid w:val="00884B9D"/>
    <w:rsid w:val="00885A3B"/>
    <w:rsid w:val="00885C8B"/>
    <w:rsid w:val="008879C9"/>
    <w:rsid w:val="00891402"/>
    <w:rsid w:val="00891D8C"/>
    <w:rsid w:val="0089248C"/>
    <w:rsid w:val="008928AF"/>
    <w:rsid w:val="00893613"/>
    <w:rsid w:val="008938A6"/>
    <w:rsid w:val="00893B6F"/>
    <w:rsid w:val="00895F7C"/>
    <w:rsid w:val="00897536"/>
    <w:rsid w:val="008A1448"/>
    <w:rsid w:val="008A3AD7"/>
    <w:rsid w:val="008A49D9"/>
    <w:rsid w:val="008B2ED4"/>
    <w:rsid w:val="008B44DD"/>
    <w:rsid w:val="008C041B"/>
    <w:rsid w:val="008C70E1"/>
    <w:rsid w:val="008D05B6"/>
    <w:rsid w:val="008D1A03"/>
    <w:rsid w:val="008D2799"/>
    <w:rsid w:val="008E0320"/>
    <w:rsid w:val="008E05D9"/>
    <w:rsid w:val="008E14B1"/>
    <w:rsid w:val="008F314A"/>
    <w:rsid w:val="008F408D"/>
    <w:rsid w:val="008F59AD"/>
    <w:rsid w:val="00900EFB"/>
    <w:rsid w:val="00906395"/>
    <w:rsid w:val="00907F51"/>
    <w:rsid w:val="009126F0"/>
    <w:rsid w:val="0091293F"/>
    <w:rsid w:val="009140F6"/>
    <w:rsid w:val="0091607B"/>
    <w:rsid w:val="009212E3"/>
    <w:rsid w:val="00921394"/>
    <w:rsid w:val="00922941"/>
    <w:rsid w:val="00923FC8"/>
    <w:rsid w:val="00925AF7"/>
    <w:rsid w:val="0092712D"/>
    <w:rsid w:val="00927A82"/>
    <w:rsid w:val="00932B9F"/>
    <w:rsid w:val="00935133"/>
    <w:rsid w:val="00942105"/>
    <w:rsid w:val="00942647"/>
    <w:rsid w:val="00956553"/>
    <w:rsid w:val="00956F44"/>
    <w:rsid w:val="00961AD8"/>
    <w:rsid w:val="00967139"/>
    <w:rsid w:val="00970E60"/>
    <w:rsid w:val="00972BA7"/>
    <w:rsid w:val="00973033"/>
    <w:rsid w:val="00974FD8"/>
    <w:rsid w:val="009768F8"/>
    <w:rsid w:val="00977107"/>
    <w:rsid w:val="009777BB"/>
    <w:rsid w:val="00977AB9"/>
    <w:rsid w:val="009809AB"/>
    <w:rsid w:val="0098171F"/>
    <w:rsid w:val="00982E48"/>
    <w:rsid w:val="0098470E"/>
    <w:rsid w:val="0098717A"/>
    <w:rsid w:val="009877A3"/>
    <w:rsid w:val="00987BFB"/>
    <w:rsid w:val="009913B3"/>
    <w:rsid w:val="00992DCE"/>
    <w:rsid w:val="009969BE"/>
    <w:rsid w:val="009971D4"/>
    <w:rsid w:val="009A2B59"/>
    <w:rsid w:val="009A72FC"/>
    <w:rsid w:val="009B4228"/>
    <w:rsid w:val="009B5E0F"/>
    <w:rsid w:val="009B6F48"/>
    <w:rsid w:val="009C0B04"/>
    <w:rsid w:val="009C0ECB"/>
    <w:rsid w:val="009C1BE7"/>
    <w:rsid w:val="009D1486"/>
    <w:rsid w:val="009D292B"/>
    <w:rsid w:val="009D5BD6"/>
    <w:rsid w:val="009D5D87"/>
    <w:rsid w:val="009E2085"/>
    <w:rsid w:val="009E4FB1"/>
    <w:rsid w:val="009E64FD"/>
    <w:rsid w:val="009F2D90"/>
    <w:rsid w:val="009F3C2C"/>
    <w:rsid w:val="009F7EF3"/>
    <w:rsid w:val="00A00B42"/>
    <w:rsid w:val="00A06E8F"/>
    <w:rsid w:val="00A07F3E"/>
    <w:rsid w:val="00A1021A"/>
    <w:rsid w:val="00A10FFB"/>
    <w:rsid w:val="00A12F3B"/>
    <w:rsid w:val="00A2160A"/>
    <w:rsid w:val="00A21D45"/>
    <w:rsid w:val="00A22A2C"/>
    <w:rsid w:val="00A22A71"/>
    <w:rsid w:val="00A22D07"/>
    <w:rsid w:val="00A231B2"/>
    <w:rsid w:val="00A241C4"/>
    <w:rsid w:val="00A253B8"/>
    <w:rsid w:val="00A25999"/>
    <w:rsid w:val="00A27C30"/>
    <w:rsid w:val="00A33D66"/>
    <w:rsid w:val="00A34C53"/>
    <w:rsid w:val="00A36DDF"/>
    <w:rsid w:val="00A37317"/>
    <w:rsid w:val="00A4031B"/>
    <w:rsid w:val="00A46E9C"/>
    <w:rsid w:val="00A524CD"/>
    <w:rsid w:val="00A54257"/>
    <w:rsid w:val="00A5434C"/>
    <w:rsid w:val="00A56992"/>
    <w:rsid w:val="00A571C8"/>
    <w:rsid w:val="00A65120"/>
    <w:rsid w:val="00A66ADC"/>
    <w:rsid w:val="00A7267C"/>
    <w:rsid w:val="00A72E85"/>
    <w:rsid w:val="00A73880"/>
    <w:rsid w:val="00A771BD"/>
    <w:rsid w:val="00A77926"/>
    <w:rsid w:val="00A80AFA"/>
    <w:rsid w:val="00A867EB"/>
    <w:rsid w:val="00A875F0"/>
    <w:rsid w:val="00A93B8B"/>
    <w:rsid w:val="00A93E39"/>
    <w:rsid w:val="00A93E51"/>
    <w:rsid w:val="00A94237"/>
    <w:rsid w:val="00AA0B6B"/>
    <w:rsid w:val="00AA52E9"/>
    <w:rsid w:val="00AA7A1B"/>
    <w:rsid w:val="00AB15B8"/>
    <w:rsid w:val="00AB2F7D"/>
    <w:rsid w:val="00AB7D5C"/>
    <w:rsid w:val="00AC0558"/>
    <w:rsid w:val="00AC0817"/>
    <w:rsid w:val="00AC0D2A"/>
    <w:rsid w:val="00AC0FB9"/>
    <w:rsid w:val="00AC4077"/>
    <w:rsid w:val="00AC68A0"/>
    <w:rsid w:val="00AD0A9D"/>
    <w:rsid w:val="00AD4E53"/>
    <w:rsid w:val="00AD6029"/>
    <w:rsid w:val="00AE12FC"/>
    <w:rsid w:val="00AE1D98"/>
    <w:rsid w:val="00AE3EF0"/>
    <w:rsid w:val="00AE4275"/>
    <w:rsid w:val="00AF0391"/>
    <w:rsid w:val="00AF147B"/>
    <w:rsid w:val="00AF45AF"/>
    <w:rsid w:val="00AF54C0"/>
    <w:rsid w:val="00AF69BD"/>
    <w:rsid w:val="00B01338"/>
    <w:rsid w:val="00B0307F"/>
    <w:rsid w:val="00B040C1"/>
    <w:rsid w:val="00B048DC"/>
    <w:rsid w:val="00B049F6"/>
    <w:rsid w:val="00B15756"/>
    <w:rsid w:val="00B15F4C"/>
    <w:rsid w:val="00B20F8E"/>
    <w:rsid w:val="00B235DA"/>
    <w:rsid w:val="00B269E6"/>
    <w:rsid w:val="00B310DB"/>
    <w:rsid w:val="00B340DA"/>
    <w:rsid w:val="00B349C6"/>
    <w:rsid w:val="00B37828"/>
    <w:rsid w:val="00B40717"/>
    <w:rsid w:val="00B415C9"/>
    <w:rsid w:val="00B432CD"/>
    <w:rsid w:val="00B4461D"/>
    <w:rsid w:val="00B44F31"/>
    <w:rsid w:val="00B46987"/>
    <w:rsid w:val="00B503DE"/>
    <w:rsid w:val="00B55E8C"/>
    <w:rsid w:val="00B568BD"/>
    <w:rsid w:val="00B60A11"/>
    <w:rsid w:val="00B62B54"/>
    <w:rsid w:val="00B640E7"/>
    <w:rsid w:val="00B643B8"/>
    <w:rsid w:val="00B70254"/>
    <w:rsid w:val="00B70726"/>
    <w:rsid w:val="00B76466"/>
    <w:rsid w:val="00B77970"/>
    <w:rsid w:val="00B82A75"/>
    <w:rsid w:val="00B841E4"/>
    <w:rsid w:val="00B849CA"/>
    <w:rsid w:val="00B87F83"/>
    <w:rsid w:val="00B91E8F"/>
    <w:rsid w:val="00B92F7A"/>
    <w:rsid w:val="00BA1086"/>
    <w:rsid w:val="00BA3B39"/>
    <w:rsid w:val="00BA72DC"/>
    <w:rsid w:val="00BB3536"/>
    <w:rsid w:val="00BB49B2"/>
    <w:rsid w:val="00BB73AF"/>
    <w:rsid w:val="00BC1E0C"/>
    <w:rsid w:val="00BC31F7"/>
    <w:rsid w:val="00BC7160"/>
    <w:rsid w:val="00BC7B99"/>
    <w:rsid w:val="00BD166C"/>
    <w:rsid w:val="00BE16B1"/>
    <w:rsid w:val="00BE377D"/>
    <w:rsid w:val="00BE6637"/>
    <w:rsid w:val="00BF0E7F"/>
    <w:rsid w:val="00BF4294"/>
    <w:rsid w:val="00BF43E5"/>
    <w:rsid w:val="00BF5CAD"/>
    <w:rsid w:val="00C016BE"/>
    <w:rsid w:val="00C06AEC"/>
    <w:rsid w:val="00C07F0B"/>
    <w:rsid w:val="00C07FE5"/>
    <w:rsid w:val="00C10661"/>
    <w:rsid w:val="00C107FC"/>
    <w:rsid w:val="00C108C6"/>
    <w:rsid w:val="00C10DB0"/>
    <w:rsid w:val="00C119ED"/>
    <w:rsid w:val="00C12EDA"/>
    <w:rsid w:val="00C13532"/>
    <w:rsid w:val="00C14401"/>
    <w:rsid w:val="00C20308"/>
    <w:rsid w:val="00C23235"/>
    <w:rsid w:val="00C27F02"/>
    <w:rsid w:val="00C3213D"/>
    <w:rsid w:val="00C339E4"/>
    <w:rsid w:val="00C40F46"/>
    <w:rsid w:val="00C42AD4"/>
    <w:rsid w:val="00C4309F"/>
    <w:rsid w:val="00C455C6"/>
    <w:rsid w:val="00C45FA9"/>
    <w:rsid w:val="00C465A9"/>
    <w:rsid w:val="00C47404"/>
    <w:rsid w:val="00C56AA8"/>
    <w:rsid w:val="00C57520"/>
    <w:rsid w:val="00C60FB5"/>
    <w:rsid w:val="00C62066"/>
    <w:rsid w:val="00C64254"/>
    <w:rsid w:val="00C64C9A"/>
    <w:rsid w:val="00C66303"/>
    <w:rsid w:val="00C66E2D"/>
    <w:rsid w:val="00C71693"/>
    <w:rsid w:val="00C73D0D"/>
    <w:rsid w:val="00C7430B"/>
    <w:rsid w:val="00C74328"/>
    <w:rsid w:val="00C74C74"/>
    <w:rsid w:val="00C75744"/>
    <w:rsid w:val="00C761E6"/>
    <w:rsid w:val="00C80A78"/>
    <w:rsid w:val="00C80F23"/>
    <w:rsid w:val="00C854A1"/>
    <w:rsid w:val="00C859B0"/>
    <w:rsid w:val="00C86A55"/>
    <w:rsid w:val="00C86B99"/>
    <w:rsid w:val="00C9025B"/>
    <w:rsid w:val="00C97C35"/>
    <w:rsid w:val="00CA4AAE"/>
    <w:rsid w:val="00CB068E"/>
    <w:rsid w:val="00CB169B"/>
    <w:rsid w:val="00CB2B64"/>
    <w:rsid w:val="00CB2B7C"/>
    <w:rsid w:val="00CB48AC"/>
    <w:rsid w:val="00CB5E99"/>
    <w:rsid w:val="00CC00D4"/>
    <w:rsid w:val="00CC2FCC"/>
    <w:rsid w:val="00CC62A8"/>
    <w:rsid w:val="00CD3233"/>
    <w:rsid w:val="00CD4340"/>
    <w:rsid w:val="00CD48AC"/>
    <w:rsid w:val="00CD72E7"/>
    <w:rsid w:val="00CD79FA"/>
    <w:rsid w:val="00CE0FAA"/>
    <w:rsid w:val="00CE4690"/>
    <w:rsid w:val="00CE6911"/>
    <w:rsid w:val="00CF089D"/>
    <w:rsid w:val="00CF598F"/>
    <w:rsid w:val="00CF77B9"/>
    <w:rsid w:val="00D00443"/>
    <w:rsid w:val="00D00691"/>
    <w:rsid w:val="00D00B25"/>
    <w:rsid w:val="00D01B39"/>
    <w:rsid w:val="00D02BB9"/>
    <w:rsid w:val="00D05914"/>
    <w:rsid w:val="00D0609E"/>
    <w:rsid w:val="00D10507"/>
    <w:rsid w:val="00D11F7D"/>
    <w:rsid w:val="00D12C49"/>
    <w:rsid w:val="00D20980"/>
    <w:rsid w:val="00D21B37"/>
    <w:rsid w:val="00D23812"/>
    <w:rsid w:val="00D25113"/>
    <w:rsid w:val="00D27F59"/>
    <w:rsid w:val="00D27F65"/>
    <w:rsid w:val="00D30DC9"/>
    <w:rsid w:val="00D3407E"/>
    <w:rsid w:val="00D3546A"/>
    <w:rsid w:val="00D356FF"/>
    <w:rsid w:val="00D37559"/>
    <w:rsid w:val="00D4300F"/>
    <w:rsid w:val="00D43FA1"/>
    <w:rsid w:val="00D4552F"/>
    <w:rsid w:val="00D47514"/>
    <w:rsid w:val="00D47EE6"/>
    <w:rsid w:val="00D510AC"/>
    <w:rsid w:val="00D513EF"/>
    <w:rsid w:val="00D539DF"/>
    <w:rsid w:val="00D56C3D"/>
    <w:rsid w:val="00D56C5F"/>
    <w:rsid w:val="00D56E02"/>
    <w:rsid w:val="00D57D67"/>
    <w:rsid w:val="00D60EED"/>
    <w:rsid w:val="00D6121C"/>
    <w:rsid w:val="00D61FA7"/>
    <w:rsid w:val="00D62AA5"/>
    <w:rsid w:val="00D64ED7"/>
    <w:rsid w:val="00D701EB"/>
    <w:rsid w:val="00D70ABA"/>
    <w:rsid w:val="00D7191C"/>
    <w:rsid w:val="00D767D7"/>
    <w:rsid w:val="00D77D9F"/>
    <w:rsid w:val="00D8525F"/>
    <w:rsid w:val="00D878EA"/>
    <w:rsid w:val="00D92621"/>
    <w:rsid w:val="00D95BBC"/>
    <w:rsid w:val="00DA55F6"/>
    <w:rsid w:val="00DA7A9F"/>
    <w:rsid w:val="00DB01DD"/>
    <w:rsid w:val="00DB0F34"/>
    <w:rsid w:val="00DB13D5"/>
    <w:rsid w:val="00DB1458"/>
    <w:rsid w:val="00DB19D9"/>
    <w:rsid w:val="00DB38B5"/>
    <w:rsid w:val="00DB3CF9"/>
    <w:rsid w:val="00DC00C7"/>
    <w:rsid w:val="00DC1531"/>
    <w:rsid w:val="00DC2157"/>
    <w:rsid w:val="00DC2C36"/>
    <w:rsid w:val="00DC36D5"/>
    <w:rsid w:val="00DC380F"/>
    <w:rsid w:val="00DC401B"/>
    <w:rsid w:val="00DC4992"/>
    <w:rsid w:val="00DD1A0D"/>
    <w:rsid w:val="00DD71AC"/>
    <w:rsid w:val="00DE03A2"/>
    <w:rsid w:val="00DE24D8"/>
    <w:rsid w:val="00DE7695"/>
    <w:rsid w:val="00DF0740"/>
    <w:rsid w:val="00DF477E"/>
    <w:rsid w:val="00DF4E86"/>
    <w:rsid w:val="00DF53DA"/>
    <w:rsid w:val="00DF7321"/>
    <w:rsid w:val="00DF781E"/>
    <w:rsid w:val="00E04BC7"/>
    <w:rsid w:val="00E05E20"/>
    <w:rsid w:val="00E1185F"/>
    <w:rsid w:val="00E132B2"/>
    <w:rsid w:val="00E14CCC"/>
    <w:rsid w:val="00E15C50"/>
    <w:rsid w:val="00E24156"/>
    <w:rsid w:val="00E24BD3"/>
    <w:rsid w:val="00E259E6"/>
    <w:rsid w:val="00E2699B"/>
    <w:rsid w:val="00E315B2"/>
    <w:rsid w:val="00E31DBA"/>
    <w:rsid w:val="00E322AC"/>
    <w:rsid w:val="00E333E7"/>
    <w:rsid w:val="00E33C95"/>
    <w:rsid w:val="00E34002"/>
    <w:rsid w:val="00E369A7"/>
    <w:rsid w:val="00E36DB1"/>
    <w:rsid w:val="00E41803"/>
    <w:rsid w:val="00E47946"/>
    <w:rsid w:val="00E5019C"/>
    <w:rsid w:val="00E508C1"/>
    <w:rsid w:val="00E53816"/>
    <w:rsid w:val="00E54627"/>
    <w:rsid w:val="00E54B36"/>
    <w:rsid w:val="00E55ABC"/>
    <w:rsid w:val="00E562A2"/>
    <w:rsid w:val="00E6133B"/>
    <w:rsid w:val="00E647EA"/>
    <w:rsid w:val="00E64AE6"/>
    <w:rsid w:val="00E66B13"/>
    <w:rsid w:val="00E71594"/>
    <w:rsid w:val="00E71B70"/>
    <w:rsid w:val="00E733ED"/>
    <w:rsid w:val="00E779E1"/>
    <w:rsid w:val="00E77C05"/>
    <w:rsid w:val="00E85935"/>
    <w:rsid w:val="00E8663B"/>
    <w:rsid w:val="00E94E49"/>
    <w:rsid w:val="00EA266D"/>
    <w:rsid w:val="00EA4993"/>
    <w:rsid w:val="00EB3709"/>
    <w:rsid w:val="00EB6BAB"/>
    <w:rsid w:val="00EC00AE"/>
    <w:rsid w:val="00EC0CBB"/>
    <w:rsid w:val="00EC1617"/>
    <w:rsid w:val="00EC558E"/>
    <w:rsid w:val="00EC7455"/>
    <w:rsid w:val="00ED0657"/>
    <w:rsid w:val="00ED07F3"/>
    <w:rsid w:val="00ED663D"/>
    <w:rsid w:val="00ED7B1E"/>
    <w:rsid w:val="00EE62A1"/>
    <w:rsid w:val="00EE62CE"/>
    <w:rsid w:val="00EF47B1"/>
    <w:rsid w:val="00F014BA"/>
    <w:rsid w:val="00F04411"/>
    <w:rsid w:val="00F04D45"/>
    <w:rsid w:val="00F061D0"/>
    <w:rsid w:val="00F063FD"/>
    <w:rsid w:val="00F07168"/>
    <w:rsid w:val="00F121FF"/>
    <w:rsid w:val="00F129A9"/>
    <w:rsid w:val="00F15200"/>
    <w:rsid w:val="00F16E27"/>
    <w:rsid w:val="00F170F3"/>
    <w:rsid w:val="00F2201E"/>
    <w:rsid w:val="00F23790"/>
    <w:rsid w:val="00F23F16"/>
    <w:rsid w:val="00F24484"/>
    <w:rsid w:val="00F2606D"/>
    <w:rsid w:val="00F279DE"/>
    <w:rsid w:val="00F35C02"/>
    <w:rsid w:val="00F40436"/>
    <w:rsid w:val="00F4137A"/>
    <w:rsid w:val="00F44B92"/>
    <w:rsid w:val="00F5065C"/>
    <w:rsid w:val="00F51C87"/>
    <w:rsid w:val="00F535BE"/>
    <w:rsid w:val="00F56D0C"/>
    <w:rsid w:val="00F637BF"/>
    <w:rsid w:val="00F64036"/>
    <w:rsid w:val="00F7167A"/>
    <w:rsid w:val="00F727C8"/>
    <w:rsid w:val="00F73908"/>
    <w:rsid w:val="00F80850"/>
    <w:rsid w:val="00F8576F"/>
    <w:rsid w:val="00F85FFE"/>
    <w:rsid w:val="00F907B0"/>
    <w:rsid w:val="00F9186A"/>
    <w:rsid w:val="00F91DBD"/>
    <w:rsid w:val="00F92B69"/>
    <w:rsid w:val="00F92FFA"/>
    <w:rsid w:val="00F957C5"/>
    <w:rsid w:val="00F95E71"/>
    <w:rsid w:val="00FA0EB5"/>
    <w:rsid w:val="00FA1B15"/>
    <w:rsid w:val="00FA564F"/>
    <w:rsid w:val="00FA7FE4"/>
    <w:rsid w:val="00FB17AA"/>
    <w:rsid w:val="00FB3AAE"/>
    <w:rsid w:val="00FB4098"/>
    <w:rsid w:val="00FB523D"/>
    <w:rsid w:val="00FB68F5"/>
    <w:rsid w:val="00FC4635"/>
    <w:rsid w:val="00FC68ED"/>
    <w:rsid w:val="00FD0941"/>
    <w:rsid w:val="00FD0C0F"/>
    <w:rsid w:val="00FE1333"/>
    <w:rsid w:val="00FE14FD"/>
    <w:rsid w:val="00FE1714"/>
    <w:rsid w:val="00FE657D"/>
    <w:rsid w:val="00FF0A67"/>
    <w:rsid w:val="00FF2040"/>
    <w:rsid w:val="00FF2546"/>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004A1"/>
  <w15:docId w15:val="{A66F0216-75A1-4E2C-9C3A-EDA1369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9"/>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9"/>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9"/>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9"/>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4D5"/>
    <w:rPr>
      <w:color w:val="0000FF"/>
      <w:u w:val="single"/>
    </w:rPr>
  </w:style>
  <w:style w:type="character" w:styleId="CommentReference">
    <w:name w:val="annotation reference"/>
    <w:semiHidden/>
    <w:rsid w:val="00DA7A9F"/>
    <w:rPr>
      <w:sz w:val="16"/>
      <w:szCs w:val="16"/>
    </w:rPr>
  </w:style>
  <w:style w:type="paragraph" w:styleId="CommentText">
    <w:name w:val="annotation text"/>
    <w:basedOn w:val="Normal"/>
    <w:link w:val="CommentTextChar"/>
    <w:semiHidden/>
    <w:rsid w:val="00DA7A9F"/>
    <w:pPr>
      <w:spacing w:before="0" w:after="0" w:line="360" w:lineRule="exact"/>
      <w:jc w:val="left"/>
    </w:pPr>
    <w:rPr>
      <w:rFonts w:ascii="Times New Roman" w:eastAsia="Times New Roman" w:hAnsi="Times New Roman" w:cs="Times New Roman"/>
      <w:sz w:val="20"/>
      <w:szCs w:val="20"/>
      <w:lang w:eastAsia="de-DE"/>
    </w:rPr>
  </w:style>
  <w:style w:type="character" w:customStyle="1" w:styleId="CommentTextChar">
    <w:name w:val="Comment Text Char"/>
    <w:basedOn w:val="DefaultParagraphFont"/>
    <w:link w:val="CommentText"/>
    <w:semiHidden/>
    <w:rsid w:val="00DA7A9F"/>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DA7A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9F"/>
    <w:rPr>
      <w:rFonts w:ascii="Tahoma" w:hAnsi="Tahoma" w:cs="Tahoma"/>
      <w:sz w:val="16"/>
      <w:szCs w:val="16"/>
    </w:rPr>
  </w:style>
  <w:style w:type="paragraph" w:customStyle="1" w:styleId="Normal-Absatz">
    <w:name w:val="Normal-Absatz"/>
    <w:basedOn w:val="Normal"/>
    <w:rsid w:val="007B13BA"/>
    <w:pPr>
      <w:spacing w:before="0" w:after="0" w:line="360" w:lineRule="auto"/>
      <w:jc w:val="left"/>
    </w:pPr>
    <w:rPr>
      <w:rFonts w:eastAsia="Times New Roman" w:cs="Times New Roman"/>
      <w:szCs w:val="20"/>
      <w:lang w:eastAsia="de-DE"/>
    </w:rPr>
  </w:style>
  <w:style w:type="paragraph" w:customStyle="1" w:styleId="CM1">
    <w:name w:val="CM1"/>
    <w:basedOn w:val="Normal"/>
    <w:next w:val="Normal"/>
    <w:uiPriority w:val="99"/>
    <w:rsid w:val="00CB5E99"/>
    <w:pPr>
      <w:autoSpaceDE w:val="0"/>
      <w:autoSpaceDN w:val="0"/>
      <w:adjustRightInd w:val="0"/>
      <w:spacing w:before="0" w:after="0"/>
      <w:jc w:val="left"/>
    </w:pPr>
    <w:rPr>
      <w:rFonts w:ascii="Times New Roman" w:eastAsia="Times New Roman" w:hAnsi="Times New Roman" w:cs="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5F1658"/>
    <w:pPr>
      <w:spacing w:before="120" w:after="120" w:line="240" w:lineRule="auto"/>
      <w:jc w:val="both"/>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F1658"/>
    <w:rPr>
      <w:rFonts w:ascii="Arial" w:eastAsia="Times New Roman" w:hAnsi="Arial" w:cs="Arial"/>
      <w:b/>
      <w:bCs/>
      <w:sz w:val="20"/>
      <w:szCs w:val="20"/>
      <w:lang w:eastAsia="de-DE"/>
    </w:rPr>
  </w:style>
  <w:style w:type="paragraph" w:styleId="Revision">
    <w:name w:val="Revision"/>
    <w:hidden/>
    <w:uiPriority w:val="99"/>
    <w:semiHidden/>
    <w:rsid w:val="005F1658"/>
    <w:pPr>
      <w:spacing w:after="0" w:line="240" w:lineRule="auto"/>
    </w:pPr>
    <w:rPr>
      <w:rFonts w:ascii="Arial" w:hAnsi="Arial" w:cs="Arial"/>
    </w:rPr>
  </w:style>
  <w:style w:type="paragraph" w:styleId="ListParagraph">
    <w:name w:val="List Paragraph"/>
    <w:basedOn w:val="Normal"/>
    <w:uiPriority w:val="34"/>
    <w:qFormat/>
    <w:rsid w:val="00D510AC"/>
    <w:pPr>
      <w:spacing w:before="0" w:after="0"/>
      <w:ind w:left="720"/>
      <w:jc w:val="left"/>
    </w:pPr>
    <w:rPr>
      <w:rFonts w:ascii="Times New Roman" w:hAnsi="Times New Roman" w:cs="Times New Roman"/>
      <w:sz w:val="24"/>
      <w:szCs w:val="24"/>
      <w:lang w:eastAsia="de-DE"/>
    </w:rPr>
  </w:style>
  <w:style w:type="paragraph" w:styleId="NormalWeb">
    <w:name w:val="Normal (Web)"/>
    <w:basedOn w:val="Normal"/>
    <w:uiPriority w:val="99"/>
    <w:semiHidden/>
    <w:unhideWhenUsed/>
    <w:rsid w:val="008036EA"/>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AC0558"/>
    <w:rPr>
      <w:i/>
      <w:iCs/>
    </w:rPr>
  </w:style>
  <w:style w:type="table" w:styleId="TableGrid">
    <w:name w:val="Table Grid"/>
    <w:basedOn w:val="TableNormal"/>
    <w:uiPriority w:val="59"/>
    <w:rsid w:val="004E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68F"/>
    <w:pPr>
      <w:autoSpaceDE w:val="0"/>
      <w:autoSpaceDN w:val="0"/>
      <w:adjustRightInd w:val="0"/>
      <w:spacing w:after="0" w:line="240" w:lineRule="auto"/>
    </w:pPr>
    <w:rPr>
      <w:rFonts w:ascii="MetaNormalLF-Roman" w:hAnsi="MetaNormalLF-Roman" w:cs="MetaNormalLF-Roman"/>
      <w:color w:val="000000"/>
      <w:sz w:val="24"/>
      <w:szCs w:val="24"/>
    </w:rPr>
  </w:style>
  <w:style w:type="paragraph" w:customStyle="1" w:styleId="CVUAGru">
    <w:name w:val="CVUA_Gruß"/>
    <w:basedOn w:val="Normal"/>
    <w:rsid w:val="007C7B00"/>
    <w:pPr>
      <w:tabs>
        <w:tab w:val="left" w:pos="13608"/>
      </w:tabs>
      <w:overflowPunct w:val="0"/>
      <w:autoSpaceDE w:val="0"/>
      <w:autoSpaceDN w:val="0"/>
      <w:adjustRightInd w:val="0"/>
      <w:spacing w:before="0" w:after="0" w:line="360" w:lineRule="auto"/>
      <w:jc w:val="left"/>
    </w:pPr>
    <w:rPr>
      <w:rFonts w:eastAsia="Times New Roman" w:cs="Times New Roman"/>
      <w:szCs w:val="20"/>
      <w:lang w:eastAsia="de-DE"/>
    </w:rPr>
  </w:style>
  <w:style w:type="character" w:customStyle="1" w:styleId="apple-converted-space">
    <w:name w:val="apple-converted-space"/>
    <w:basedOn w:val="DefaultParagraphFont"/>
    <w:rsid w:val="00B70726"/>
  </w:style>
  <w:style w:type="character" w:customStyle="1" w:styleId="wordmark">
    <w:name w:val="wordmark"/>
    <w:basedOn w:val="DefaultParagraphFont"/>
    <w:rsid w:val="00B70726"/>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5"/>
      </w:numPr>
      <w:spacing w:before="60" w:after="60"/>
    </w:pPr>
    <w:rPr>
      <w:sz w:val="18"/>
    </w:rPr>
  </w:style>
  <w:style w:type="paragraph" w:customStyle="1" w:styleId="TabelleListe">
    <w:name w:val="Tabelle Liste"/>
    <w:basedOn w:val="Normal"/>
    <w:rsid w:val="00A147E3"/>
    <w:pPr>
      <w:numPr>
        <w:numId w:val="16"/>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14"/>
      </w:numPr>
      <w:tabs>
        <w:tab w:val="left" w:pos="0"/>
      </w:tabs>
    </w:pPr>
  </w:style>
  <w:style w:type="paragraph" w:customStyle="1" w:styleId="ListeFolgeabsatzStufe1">
    <w:name w:val="Liste Folgeabsatz (Stufe 1)"/>
    <w:basedOn w:val="Normal"/>
    <w:rsid w:val="00A147E3"/>
    <w:pPr>
      <w:numPr>
        <w:ilvl w:val="1"/>
        <w:numId w:val="14"/>
      </w:numPr>
    </w:pPr>
  </w:style>
  <w:style w:type="paragraph" w:customStyle="1" w:styleId="ListeStufe2">
    <w:name w:val="Liste (Stufe 2)"/>
    <w:basedOn w:val="Normal"/>
    <w:rsid w:val="00A147E3"/>
    <w:pPr>
      <w:numPr>
        <w:ilvl w:val="2"/>
        <w:numId w:val="14"/>
      </w:numPr>
    </w:pPr>
  </w:style>
  <w:style w:type="paragraph" w:customStyle="1" w:styleId="ListeFolgeabsatzStufe2">
    <w:name w:val="Liste Folgeabsatz (Stufe 2)"/>
    <w:basedOn w:val="Normal"/>
    <w:rsid w:val="00A147E3"/>
    <w:pPr>
      <w:numPr>
        <w:ilvl w:val="3"/>
        <w:numId w:val="14"/>
      </w:numPr>
    </w:pPr>
  </w:style>
  <w:style w:type="paragraph" w:customStyle="1" w:styleId="ListeStufe3">
    <w:name w:val="Liste (Stufe 3)"/>
    <w:basedOn w:val="Normal"/>
    <w:rsid w:val="00A147E3"/>
    <w:pPr>
      <w:numPr>
        <w:ilvl w:val="4"/>
        <w:numId w:val="14"/>
      </w:numPr>
    </w:pPr>
  </w:style>
  <w:style w:type="paragraph" w:customStyle="1" w:styleId="ListeFolgeabsatzStufe3">
    <w:name w:val="Liste Folgeabsatz (Stufe 3)"/>
    <w:basedOn w:val="Normal"/>
    <w:rsid w:val="00A147E3"/>
    <w:pPr>
      <w:numPr>
        <w:ilvl w:val="5"/>
        <w:numId w:val="14"/>
      </w:numPr>
    </w:pPr>
  </w:style>
  <w:style w:type="paragraph" w:customStyle="1" w:styleId="ListeStufe4">
    <w:name w:val="Liste (Stufe 4)"/>
    <w:basedOn w:val="Normal"/>
    <w:rsid w:val="00A147E3"/>
    <w:pPr>
      <w:numPr>
        <w:ilvl w:val="6"/>
        <w:numId w:val="14"/>
      </w:numPr>
    </w:pPr>
  </w:style>
  <w:style w:type="paragraph" w:customStyle="1" w:styleId="ListeFolgeabsatzStufe4">
    <w:name w:val="Liste Folgeabsatz (Stufe 4)"/>
    <w:basedOn w:val="Normal"/>
    <w:rsid w:val="00A147E3"/>
    <w:pPr>
      <w:numPr>
        <w:ilvl w:val="7"/>
        <w:numId w:val="14"/>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9"/>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0"/>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1"/>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12"/>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3"/>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9"/>
      </w:numPr>
      <w:outlineLvl w:val="5"/>
    </w:pPr>
  </w:style>
  <w:style w:type="paragraph" w:customStyle="1" w:styleId="NummerierungStufe2">
    <w:name w:val="Nummerierung (Stufe 2)"/>
    <w:basedOn w:val="Normal"/>
    <w:rsid w:val="00A147E3"/>
    <w:pPr>
      <w:numPr>
        <w:ilvl w:val="4"/>
        <w:numId w:val="29"/>
      </w:numPr>
    </w:pPr>
  </w:style>
  <w:style w:type="paragraph" w:customStyle="1" w:styleId="NummerierungStufe3">
    <w:name w:val="Nummerierung (Stufe 3)"/>
    <w:basedOn w:val="Normal"/>
    <w:rsid w:val="00A147E3"/>
    <w:pPr>
      <w:numPr>
        <w:ilvl w:val="5"/>
        <w:numId w:val="29"/>
      </w:numPr>
    </w:pPr>
  </w:style>
  <w:style w:type="paragraph" w:customStyle="1" w:styleId="NummerierungStufe4">
    <w:name w:val="Nummerierung (Stufe 4)"/>
    <w:basedOn w:val="Normal"/>
    <w:rsid w:val="00A147E3"/>
    <w:pPr>
      <w:numPr>
        <w:ilvl w:val="6"/>
        <w:numId w:val="29"/>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7"/>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8"/>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0"/>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9"/>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9"/>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32"/>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32"/>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32"/>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32"/>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32"/>
      </w:numPr>
      <w:spacing w:after="240"/>
      <w:jc w:val="center"/>
      <w:outlineLvl w:val="2"/>
    </w:pPr>
  </w:style>
  <w:style w:type="paragraph" w:customStyle="1" w:styleId="TitelBezeichner">
    <w:name w:val="Titel Bezeichner"/>
    <w:basedOn w:val="Normal"/>
    <w:next w:val="Titelberschrift"/>
    <w:rsid w:val="00A147E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32"/>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32"/>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33"/>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33"/>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20"/>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0"/>
      </w:numPr>
    </w:pPr>
    <w:rPr>
      <w:color w:val="800000"/>
    </w:rPr>
  </w:style>
  <w:style w:type="paragraph" w:customStyle="1" w:styleId="RevisionNummerierungStufe2">
    <w:name w:val="Revision Nummerierung (Stufe 2)"/>
    <w:basedOn w:val="Normal"/>
    <w:rsid w:val="00A147E3"/>
    <w:pPr>
      <w:numPr>
        <w:ilvl w:val="4"/>
        <w:numId w:val="20"/>
      </w:numPr>
    </w:pPr>
    <w:rPr>
      <w:color w:val="800000"/>
    </w:rPr>
  </w:style>
  <w:style w:type="paragraph" w:customStyle="1" w:styleId="RevisionNummerierungStufe3">
    <w:name w:val="Revision Nummerierung (Stufe 3)"/>
    <w:basedOn w:val="Normal"/>
    <w:rsid w:val="00A147E3"/>
    <w:pPr>
      <w:numPr>
        <w:ilvl w:val="5"/>
        <w:numId w:val="20"/>
      </w:numPr>
    </w:pPr>
    <w:rPr>
      <w:color w:val="800000"/>
    </w:rPr>
  </w:style>
  <w:style w:type="paragraph" w:customStyle="1" w:styleId="RevisionNummerierungStufe4">
    <w:name w:val="Revision Nummerierung (Stufe 4)"/>
    <w:basedOn w:val="Normal"/>
    <w:rsid w:val="00A147E3"/>
    <w:pPr>
      <w:numPr>
        <w:ilvl w:val="6"/>
        <w:numId w:val="20"/>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0"/>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20"/>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7"/>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1"/>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1"/>
      </w:numPr>
    </w:pPr>
    <w:rPr>
      <w:color w:val="800000"/>
    </w:rPr>
  </w:style>
  <w:style w:type="paragraph" w:customStyle="1" w:styleId="RevisionListeStufe2">
    <w:name w:val="Revision Liste (Stufe 2)"/>
    <w:basedOn w:val="Normal"/>
    <w:rsid w:val="00A147E3"/>
    <w:pPr>
      <w:numPr>
        <w:ilvl w:val="2"/>
        <w:numId w:val="21"/>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1"/>
      </w:numPr>
    </w:pPr>
    <w:rPr>
      <w:color w:val="800000"/>
    </w:rPr>
  </w:style>
  <w:style w:type="paragraph" w:customStyle="1" w:styleId="RevisionListeStufe3">
    <w:name w:val="Revision Liste (Stufe 3)"/>
    <w:basedOn w:val="Normal"/>
    <w:rsid w:val="00A147E3"/>
    <w:pPr>
      <w:numPr>
        <w:ilvl w:val="4"/>
        <w:numId w:val="21"/>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1"/>
      </w:numPr>
    </w:pPr>
    <w:rPr>
      <w:color w:val="800000"/>
    </w:rPr>
  </w:style>
  <w:style w:type="paragraph" w:customStyle="1" w:styleId="RevisionListeStufe4">
    <w:name w:val="Revision Liste (Stufe 4)"/>
    <w:basedOn w:val="Normal"/>
    <w:rsid w:val="00A147E3"/>
    <w:pPr>
      <w:numPr>
        <w:ilvl w:val="6"/>
        <w:numId w:val="21"/>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1"/>
      </w:numPr>
    </w:pPr>
    <w:rPr>
      <w:color w:val="800000"/>
    </w:rPr>
  </w:style>
  <w:style w:type="paragraph" w:customStyle="1" w:styleId="RevisionAufzhlungStufe1">
    <w:name w:val="Revision Aufzählung (Stufe 1)"/>
    <w:basedOn w:val="Normal"/>
    <w:rsid w:val="00A147E3"/>
    <w:pPr>
      <w:numPr>
        <w:numId w:val="22"/>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3"/>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4"/>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5"/>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6"/>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8"/>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9"/>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07083">
      <w:bodyDiv w:val="1"/>
      <w:marLeft w:val="0"/>
      <w:marRight w:val="0"/>
      <w:marTop w:val="0"/>
      <w:marBottom w:val="0"/>
      <w:divBdr>
        <w:top w:val="none" w:sz="0" w:space="0" w:color="auto"/>
        <w:left w:val="none" w:sz="0" w:space="0" w:color="auto"/>
        <w:bottom w:val="none" w:sz="0" w:space="0" w:color="auto"/>
        <w:right w:val="none" w:sz="0" w:space="0" w:color="auto"/>
      </w:divBdr>
    </w:div>
    <w:div w:id="427625987">
      <w:bodyDiv w:val="1"/>
      <w:marLeft w:val="0"/>
      <w:marRight w:val="0"/>
      <w:marTop w:val="0"/>
      <w:marBottom w:val="0"/>
      <w:divBdr>
        <w:top w:val="none" w:sz="0" w:space="0" w:color="auto"/>
        <w:left w:val="none" w:sz="0" w:space="0" w:color="auto"/>
        <w:bottom w:val="none" w:sz="0" w:space="0" w:color="auto"/>
        <w:right w:val="none" w:sz="0" w:space="0" w:color="auto"/>
      </w:divBdr>
    </w:div>
    <w:div w:id="535854703">
      <w:bodyDiv w:val="1"/>
      <w:marLeft w:val="0"/>
      <w:marRight w:val="0"/>
      <w:marTop w:val="0"/>
      <w:marBottom w:val="0"/>
      <w:divBdr>
        <w:top w:val="none" w:sz="0" w:space="0" w:color="auto"/>
        <w:left w:val="none" w:sz="0" w:space="0" w:color="auto"/>
        <w:bottom w:val="none" w:sz="0" w:space="0" w:color="auto"/>
        <w:right w:val="none" w:sz="0" w:space="0" w:color="auto"/>
      </w:divBdr>
      <w:divsChild>
        <w:div w:id="2079745499">
          <w:marLeft w:val="0"/>
          <w:marRight w:val="0"/>
          <w:marTop w:val="0"/>
          <w:marBottom w:val="0"/>
          <w:divBdr>
            <w:top w:val="none" w:sz="0" w:space="0" w:color="auto"/>
            <w:left w:val="none" w:sz="0" w:space="0" w:color="auto"/>
            <w:bottom w:val="none" w:sz="0" w:space="0" w:color="auto"/>
            <w:right w:val="none" w:sz="0" w:space="0" w:color="auto"/>
          </w:divBdr>
          <w:divsChild>
            <w:div w:id="1737849462">
              <w:marLeft w:val="0"/>
              <w:marRight w:val="0"/>
              <w:marTop w:val="0"/>
              <w:marBottom w:val="0"/>
              <w:divBdr>
                <w:top w:val="none" w:sz="0" w:space="0" w:color="auto"/>
                <w:left w:val="none" w:sz="0" w:space="0" w:color="auto"/>
                <w:bottom w:val="none" w:sz="0" w:space="0" w:color="auto"/>
                <w:right w:val="none" w:sz="0" w:space="0" w:color="auto"/>
              </w:divBdr>
              <w:divsChild>
                <w:div w:id="1960069827">
                  <w:marLeft w:val="405"/>
                  <w:marRight w:val="75"/>
                  <w:marTop w:val="0"/>
                  <w:marBottom w:val="0"/>
                  <w:divBdr>
                    <w:top w:val="none" w:sz="0" w:space="0" w:color="auto"/>
                    <w:left w:val="none" w:sz="0" w:space="0" w:color="auto"/>
                    <w:bottom w:val="none" w:sz="0" w:space="0" w:color="auto"/>
                    <w:right w:val="none" w:sz="0" w:space="0" w:color="auto"/>
                  </w:divBdr>
                  <w:divsChild>
                    <w:div w:id="1732070215">
                      <w:marLeft w:val="0"/>
                      <w:marRight w:val="0"/>
                      <w:marTop w:val="120"/>
                      <w:marBottom w:val="0"/>
                      <w:divBdr>
                        <w:top w:val="none" w:sz="0" w:space="0" w:color="auto"/>
                        <w:left w:val="none" w:sz="0" w:space="0" w:color="auto"/>
                        <w:bottom w:val="none" w:sz="0" w:space="0" w:color="auto"/>
                        <w:right w:val="none" w:sz="0" w:space="0" w:color="auto"/>
                      </w:divBdr>
                      <w:divsChild>
                        <w:div w:id="1796558889">
                          <w:marLeft w:val="0"/>
                          <w:marRight w:val="0"/>
                          <w:marTop w:val="120"/>
                          <w:marBottom w:val="0"/>
                          <w:divBdr>
                            <w:top w:val="none" w:sz="0" w:space="0" w:color="auto"/>
                            <w:left w:val="none" w:sz="0" w:space="0" w:color="auto"/>
                            <w:bottom w:val="none" w:sz="0" w:space="0" w:color="auto"/>
                            <w:right w:val="none" w:sz="0" w:space="0" w:color="auto"/>
                          </w:divBdr>
                          <w:divsChild>
                            <w:div w:id="37434247">
                              <w:marLeft w:val="0"/>
                              <w:marRight w:val="0"/>
                              <w:marTop w:val="120"/>
                              <w:marBottom w:val="0"/>
                              <w:divBdr>
                                <w:top w:val="none" w:sz="0" w:space="0" w:color="auto"/>
                                <w:left w:val="none" w:sz="0" w:space="0" w:color="auto"/>
                                <w:bottom w:val="none" w:sz="0" w:space="0" w:color="auto"/>
                                <w:right w:val="none" w:sz="0" w:space="0" w:color="auto"/>
                              </w:divBdr>
                              <w:divsChild>
                                <w:div w:id="876233226">
                                  <w:marLeft w:val="150"/>
                                  <w:marRight w:val="0"/>
                                  <w:marTop w:val="240"/>
                                  <w:marBottom w:val="240"/>
                                  <w:divBdr>
                                    <w:top w:val="none" w:sz="0" w:space="0" w:color="auto"/>
                                    <w:left w:val="none" w:sz="0" w:space="0" w:color="auto"/>
                                    <w:bottom w:val="none" w:sz="0" w:space="0" w:color="auto"/>
                                    <w:right w:val="none" w:sz="0" w:space="0" w:color="auto"/>
                                  </w:divBdr>
                                </w:div>
                                <w:div w:id="1301687252">
                                  <w:marLeft w:val="0"/>
                                  <w:marRight w:val="0"/>
                                  <w:marTop w:val="120"/>
                                  <w:marBottom w:val="0"/>
                                  <w:divBdr>
                                    <w:top w:val="none" w:sz="0" w:space="0" w:color="auto"/>
                                    <w:left w:val="none" w:sz="0" w:space="0" w:color="auto"/>
                                    <w:bottom w:val="none" w:sz="0" w:space="0" w:color="auto"/>
                                    <w:right w:val="none" w:sz="0" w:space="0" w:color="auto"/>
                                  </w:divBdr>
                                  <w:divsChild>
                                    <w:div w:id="988168305">
                                      <w:marLeft w:val="0"/>
                                      <w:marRight w:val="0"/>
                                      <w:marTop w:val="0"/>
                                      <w:marBottom w:val="0"/>
                                      <w:divBdr>
                                        <w:top w:val="none" w:sz="0" w:space="0" w:color="auto"/>
                                        <w:left w:val="none" w:sz="0" w:space="0" w:color="auto"/>
                                        <w:bottom w:val="none" w:sz="0" w:space="0" w:color="auto"/>
                                        <w:right w:val="none" w:sz="0" w:space="0" w:color="auto"/>
                                      </w:divBdr>
                                      <w:divsChild>
                                        <w:div w:id="733117977">
                                          <w:marLeft w:val="0"/>
                                          <w:marRight w:val="0"/>
                                          <w:marTop w:val="0"/>
                                          <w:marBottom w:val="0"/>
                                          <w:divBdr>
                                            <w:top w:val="none" w:sz="0" w:space="0" w:color="auto"/>
                                            <w:left w:val="none" w:sz="0" w:space="0" w:color="auto"/>
                                            <w:bottom w:val="none" w:sz="0" w:space="0" w:color="auto"/>
                                            <w:right w:val="none" w:sz="0" w:space="0" w:color="auto"/>
                                          </w:divBdr>
                                          <w:divsChild>
                                            <w:div w:id="1797990294">
                                              <w:marLeft w:val="0"/>
                                              <w:marRight w:val="0"/>
                                              <w:marTop w:val="0"/>
                                              <w:marBottom w:val="0"/>
                                              <w:divBdr>
                                                <w:top w:val="none" w:sz="0" w:space="0" w:color="auto"/>
                                                <w:left w:val="none" w:sz="0" w:space="0" w:color="auto"/>
                                                <w:bottom w:val="none" w:sz="0" w:space="0" w:color="auto"/>
                                                <w:right w:val="none" w:sz="0" w:space="0" w:color="auto"/>
                                              </w:divBdr>
                                              <w:divsChild>
                                                <w:div w:id="662315423">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837269">
      <w:bodyDiv w:val="1"/>
      <w:marLeft w:val="0"/>
      <w:marRight w:val="0"/>
      <w:marTop w:val="0"/>
      <w:marBottom w:val="0"/>
      <w:divBdr>
        <w:top w:val="none" w:sz="0" w:space="0" w:color="auto"/>
        <w:left w:val="none" w:sz="0" w:space="0" w:color="auto"/>
        <w:bottom w:val="none" w:sz="0" w:space="0" w:color="auto"/>
        <w:right w:val="none" w:sz="0" w:space="0" w:color="auto"/>
      </w:divBdr>
    </w:div>
    <w:div w:id="982734847">
      <w:bodyDiv w:val="1"/>
      <w:marLeft w:val="0"/>
      <w:marRight w:val="0"/>
      <w:marTop w:val="0"/>
      <w:marBottom w:val="0"/>
      <w:divBdr>
        <w:top w:val="none" w:sz="0" w:space="0" w:color="auto"/>
        <w:left w:val="none" w:sz="0" w:space="0" w:color="auto"/>
        <w:bottom w:val="none" w:sz="0" w:space="0" w:color="auto"/>
        <w:right w:val="none" w:sz="0" w:space="0" w:color="auto"/>
      </w:divBdr>
    </w:div>
    <w:div w:id="1266503457">
      <w:bodyDiv w:val="1"/>
      <w:marLeft w:val="0"/>
      <w:marRight w:val="0"/>
      <w:marTop w:val="0"/>
      <w:marBottom w:val="0"/>
      <w:divBdr>
        <w:top w:val="none" w:sz="0" w:space="0" w:color="auto"/>
        <w:left w:val="none" w:sz="0" w:space="0" w:color="auto"/>
        <w:bottom w:val="none" w:sz="0" w:space="0" w:color="auto"/>
        <w:right w:val="none" w:sz="0" w:space="0" w:color="auto"/>
      </w:divBdr>
    </w:div>
    <w:div w:id="1506628327">
      <w:bodyDiv w:val="1"/>
      <w:marLeft w:val="0"/>
      <w:marRight w:val="0"/>
      <w:marTop w:val="0"/>
      <w:marBottom w:val="0"/>
      <w:divBdr>
        <w:top w:val="none" w:sz="0" w:space="0" w:color="auto"/>
        <w:left w:val="none" w:sz="0" w:space="0" w:color="auto"/>
        <w:bottom w:val="none" w:sz="0" w:space="0" w:color="auto"/>
        <w:right w:val="none" w:sz="0" w:space="0" w:color="auto"/>
      </w:divBdr>
      <w:divsChild>
        <w:div w:id="1907453108">
          <w:marLeft w:val="0"/>
          <w:marRight w:val="0"/>
          <w:marTop w:val="0"/>
          <w:marBottom w:val="0"/>
          <w:divBdr>
            <w:top w:val="none" w:sz="0" w:space="0" w:color="auto"/>
            <w:left w:val="none" w:sz="0" w:space="0" w:color="auto"/>
            <w:bottom w:val="none" w:sz="0" w:space="0" w:color="auto"/>
            <w:right w:val="none" w:sz="0" w:space="0" w:color="auto"/>
          </w:divBdr>
          <w:divsChild>
            <w:div w:id="66273619">
              <w:marLeft w:val="0"/>
              <w:marRight w:val="0"/>
              <w:marTop w:val="0"/>
              <w:marBottom w:val="0"/>
              <w:divBdr>
                <w:top w:val="none" w:sz="0" w:space="0" w:color="auto"/>
                <w:left w:val="none" w:sz="0" w:space="0" w:color="auto"/>
                <w:bottom w:val="none" w:sz="0" w:space="0" w:color="auto"/>
                <w:right w:val="none" w:sz="0" w:space="0" w:color="auto"/>
              </w:divBdr>
              <w:divsChild>
                <w:div w:id="138769159">
                  <w:marLeft w:val="405"/>
                  <w:marRight w:val="75"/>
                  <w:marTop w:val="0"/>
                  <w:marBottom w:val="0"/>
                  <w:divBdr>
                    <w:top w:val="none" w:sz="0" w:space="0" w:color="auto"/>
                    <w:left w:val="none" w:sz="0" w:space="0" w:color="auto"/>
                    <w:bottom w:val="none" w:sz="0" w:space="0" w:color="auto"/>
                    <w:right w:val="none" w:sz="0" w:space="0" w:color="auto"/>
                  </w:divBdr>
                  <w:divsChild>
                    <w:div w:id="752505842">
                      <w:marLeft w:val="0"/>
                      <w:marRight w:val="0"/>
                      <w:marTop w:val="120"/>
                      <w:marBottom w:val="0"/>
                      <w:divBdr>
                        <w:top w:val="none" w:sz="0" w:space="0" w:color="auto"/>
                        <w:left w:val="none" w:sz="0" w:space="0" w:color="auto"/>
                        <w:bottom w:val="none" w:sz="0" w:space="0" w:color="auto"/>
                        <w:right w:val="none" w:sz="0" w:space="0" w:color="auto"/>
                      </w:divBdr>
                      <w:divsChild>
                        <w:div w:id="926500079">
                          <w:marLeft w:val="0"/>
                          <w:marRight w:val="0"/>
                          <w:marTop w:val="120"/>
                          <w:marBottom w:val="0"/>
                          <w:divBdr>
                            <w:top w:val="none" w:sz="0" w:space="0" w:color="auto"/>
                            <w:left w:val="none" w:sz="0" w:space="0" w:color="auto"/>
                            <w:bottom w:val="none" w:sz="0" w:space="0" w:color="auto"/>
                            <w:right w:val="none" w:sz="0" w:space="0" w:color="auto"/>
                          </w:divBdr>
                          <w:divsChild>
                            <w:div w:id="515509904">
                              <w:marLeft w:val="0"/>
                              <w:marRight w:val="0"/>
                              <w:marTop w:val="120"/>
                              <w:marBottom w:val="0"/>
                              <w:divBdr>
                                <w:top w:val="none" w:sz="0" w:space="0" w:color="auto"/>
                                <w:left w:val="none" w:sz="0" w:space="0" w:color="auto"/>
                                <w:bottom w:val="none" w:sz="0" w:space="0" w:color="auto"/>
                                <w:right w:val="none" w:sz="0" w:space="0" w:color="auto"/>
                              </w:divBdr>
                              <w:divsChild>
                                <w:div w:id="202639034">
                                  <w:marLeft w:val="150"/>
                                  <w:marRight w:val="0"/>
                                  <w:marTop w:val="240"/>
                                  <w:marBottom w:val="240"/>
                                  <w:divBdr>
                                    <w:top w:val="none" w:sz="0" w:space="0" w:color="auto"/>
                                    <w:left w:val="none" w:sz="0" w:space="0" w:color="auto"/>
                                    <w:bottom w:val="none" w:sz="0" w:space="0" w:color="auto"/>
                                    <w:right w:val="none" w:sz="0" w:space="0" w:color="auto"/>
                                  </w:divBdr>
                                </w:div>
                                <w:div w:id="1948346549">
                                  <w:marLeft w:val="0"/>
                                  <w:marRight w:val="0"/>
                                  <w:marTop w:val="120"/>
                                  <w:marBottom w:val="0"/>
                                  <w:divBdr>
                                    <w:top w:val="none" w:sz="0" w:space="0" w:color="auto"/>
                                    <w:left w:val="none" w:sz="0" w:space="0" w:color="auto"/>
                                    <w:bottom w:val="none" w:sz="0" w:space="0" w:color="auto"/>
                                    <w:right w:val="none" w:sz="0" w:space="0" w:color="auto"/>
                                  </w:divBdr>
                                  <w:divsChild>
                                    <w:div w:id="118571736">
                                      <w:marLeft w:val="0"/>
                                      <w:marRight w:val="0"/>
                                      <w:marTop w:val="0"/>
                                      <w:marBottom w:val="0"/>
                                      <w:divBdr>
                                        <w:top w:val="none" w:sz="0" w:space="0" w:color="auto"/>
                                        <w:left w:val="none" w:sz="0" w:space="0" w:color="auto"/>
                                        <w:bottom w:val="none" w:sz="0" w:space="0" w:color="auto"/>
                                        <w:right w:val="none" w:sz="0" w:space="0" w:color="auto"/>
                                      </w:divBdr>
                                      <w:divsChild>
                                        <w:div w:id="1003508732">
                                          <w:marLeft w:val="0"/>
                                          <w:marRight w:val="0"/>
                                          <w:marTop w:val="0"/>
                                          <w:marBottom w:val="0"/>
                                          <w:divBdr>
                                            <w:top w:val="none" w:sz="0" w:space="0" w:color="auto"/>
                                            <w:left w:val="none" w:sz="0" w:space="0" w:color="auto"/>
                                            <w:bottom w:val="none" w:sz="0" w:space="0" w:color="auto"/>
                                            <w:right w:val="none" w:sz="0" w:space="0" w:color="auto"/>
                                          </w:divBdr>
                                          <w:divsChild>
                                            <w:div w:id="1593930208">
                                              <w:marLeft w:val="0"/>
                                              <w:marRight w:val="0"/>
                                              <w:marTop w:val="0"/>
                                              <w:marBottom w:val="0"/>
                                              <w:divBdr>
                                                <w:top w:val="none" w:sz="0" w:space="0" w:color="auto"/>
                                                <w:left w:val="none" w:sz="0" w:space="0" w:color="auto"/>
                                                <w:bottom w:val="none" w:sz="0" w:space="0" w:color="auto"/>
                                                <w:right w:val="none" w:sz="0" w:space="0" w:color="auto"/>
                                              </w:divBdr>
                                              <w:divsChild>
                                                <w:div w:id="448135547">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8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bfr.bund.de/cm/343/bestimmung-von-kohlenwasserstoffen-aus-mineraloel-oder-kunststoff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r.bund.de/cm/343/messung-von-mineraloel-kohlenwasserstoffen-in-lebensmitteln-und-verpackungsmaterialien.pdf" TargetMode="External"/><Relationship Id="rId4" Type="http://schemas.openxmlformats.org/officeDocument/2006/relationships/settings" Target="settings.xml"/><Relationship Id="rId9" Type="http://schemas.openxmlformats.org/officeDocument/2006/relationships/hyperlink" Target="http://www.bfr.bund.de/cm/343/bestimmung-von-kohlenwasserstoffen-aus-mineraloel-oder-kunststoffe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1571-8292-4C95-A1C6-9D0508E8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28</TotalTime>
  <Pages>19</Pages>
  <Words>7545</Words>
  <Characters>43012</Characters>
  <Application>Microsoft Office Word</Application>
  <DocSecurity>0</DocSecurity>
  <Lines>358</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der Justiz</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Katharina</dc:creator>
  <cp:lastModifiedBy>Diana STOICA</cp:lastModifiedBy>
  <cp:revision>3</cp:revision>
  <cp:lastPrinted>2020-07-29T12:01:00Z</cp:lastPrinted>
  <dcterms:created xsi:type="dcterms:W3CDTF">2020-08-17T12:48:00Z</dcterms:created>
  <dcterms:modified xsi:type="dcterms:W3CDTF">2020-08-17T13:19:00Z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14.08.2020  15:07 Uhr</vt:lpwstr>
  </property>
  <property fmtid="{D5CDD505-2E9C-101B-9397-08002B2CF9AE}" pid="3" name="Meta_Initiant">
    <vt:lpwstr>Bundesministerium der Justiz und fuer Verbraucherschutz</vt:lpwstr>
  </property>
  <property fmtid="{D5CDD505-2E9C-101B-9397-08002B2CF9AE}" pid="4" name="Version">
    <vt:lpwstr>3.12.2.0</vt:lpwstr>
  </property>
  <property fmtid="{D5CDD505-2E9C-101B-9397-08002B2CF9AE}" pid="5" name="Last edited using">
    <vt:lpwstr>LW 5.4, Build 20200526</vt:lpwstr>
  </property>
  <property fmtid="{D5CDD505-2E9C-101B-9397-08002B2CF9AE}" pid="6" name="Kategorie">
    <vt:lpwstr>AENDER/NOVVER</vt:lpwstr>
  </property>
  <property fmtid="{D5CDD505-2E9C-101B-9397-08002B2CF9AE}" pid="7" name="eNorm-Version vorherige Bearbeitung">
    <vt:lpwstr>4.1.5 Bundesregierung [20200526]</vt:lpwstr>
  </property>
  <property fmtid="{D5CDD505-2E9C-101B-9397-08002B2CF9AE}" pid="8" name="eNorm-Version Erstellung">
    <vt:lpwstr>3.12.4, Bundesregierung</vt:lpwstr>
  </property>
  <property fmtid="{D5CDD505-2E9C-101B-9397-08002B2CF9AE}" pid="9" name="Created using">
    <vt:lpwstr>LW 5.4, Build 20151231</vt:lpwstr>
  </property>
  <property fmtid="{D5CDD505-2E9C-101B-9397-08002B2CF9AE}" pid="10" name="Classification">
    <vt:lpwstr> </vt:lpwstr>
  </property>
  <property fmtid="{D5CDD505-2E9C-101B-9397-08002B2CF9AE}" pid="11" name="eNorm-Version letzte Bearbeitung">
    <vt:lpwstr>4.1.5 Bundesregierung [20200526]</vt:lpwstr>
  </property>
  <property fmtid="{D5CDD505-2E9C-101B-9397-08002B2CF9AE}" pid="12" name="DQP-Ergebnis für Version 4">
    <vt:lpwstr>130 Fehler</vt:lpwstr>
  </property>
  <property fmtid="{D5CDD505-2E9C-101B-9397-08002B2CF9AE}" pid="13" name="eNorm-Version letzte DQP">
    <vt:lpwstr>4.1.5, Bundesregierung, [20200526]</vt:lpwstr>
  </property>
  <property fmtid="{D5CDD505-2E9C-101B-9397-08002B2CF9AE}" pid="14" name="Meta_Bezeichnung">
    <vt:lpwstr>Zweiundzwanzigste Verordnung zur Änderung der Bedarfsgegenständeverordnung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Einzelnovelle einer Verordnung</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vt:lpwstr>
  </property>
  <property fmtid="{D5CDD505-2E9C-101B-9397-08002B2CF9AE}" pid="20" name="Meta_Anlagen">
    <vt:lpwstr/>
  </property>
</Properties>
</file>