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D603B" w14:textId="77777777" w:rsidR="00244C8D" w:rsidRDefault="009454A1" w:rsidP="006D6452">
      <w:pPr>
        <w:shd w:val="clear" w:color="auto" w:fill="FFFFFF"/>
        <w:spacing w:line="240" w:lineRule="auto"/>
        <w:ind w:firstLine="720"/>
        <w:jc w:val="right"/>
        <w:rPr>
          <w:rFonts w:ascii="Arial" w:hAnsi="Arial"/>
          <w:b/>
          <w:color w:val="414142"/>
          <w:sz w:val="20"/>
        </w:rPr>
      </w:pPr>
      <w:r>
        <w:rPr>
          <w:rFonts w:ascii="Arial" w:hAnsi="Arial"/>
          <w:b/>
          <w:color w:val="414142"/>
          <w:sz w:val="20"/>
        </w:rPr>
        <w:t xml:space="preserve">Reglamento n.º 576 del Consejo de </w:t>
      </w:r>
      <w:proofErr w:type="gramStart"/>
      <w:r>
        <w:rPr>
          <w:rFonts w:ascii="Arial" w:hAnsi="Arial"/>
          <w:b/>
          <w:color w:val="414142"/>
          <w:sz w:val="20"/>
        </w:rPr>
        <w:t>Ministros</w:t>
      </w:r>
      <w:proofErr w:type="gramEnd"/>
    </w:p>
    <w:p w14:paraId="3BEA0965" w14:textId="61A18AF9" w:rsidR="009454A1" w:rsidRPr="00244C8D" w:rsidRDefault="009454A1" w:rsidP="006D6452">
      <w:pPr>
        <w:shd w:val="clear" w:color="auto" w:fill="FFFFFF"/>
        <w:spacing w:line="240" w:lineRule="auto"/>
        <w:ind w:firstLine="720"/>
        <w:jc w:val="right"/>
        <w:rPr>
          <w:rFonts w:ascii="Arial" w:eastAsia="Times New Roman" w:hAnsi="Arial" w:cs="Arial"/>
          <w:sz w:val="20"/>
          <w:szCs w:val="20"/>
        </w:rPr>
      </w:pPr>
      <w:r w:rsidRPr="00244C8D">
        <w:rPr>
          <w:rFonts w:ascii="Arial" w:hAnsi="Arial"/>
          <w:sz w:val="20"/>
        </w:rPr>
        <w:br/>
        <w:t>Riga, 15 de septiembre de 2020 (acta. n.º 54, artículo 41)</w:t>
      </w:r>
    </w:p>
    <w:p w14:paraId="1C774C79" w14:textId="77777777" w:rsidR="009454A1" w:rsidRPr="009454A1" w:rsidRDefault="009454A1" w:rsidP="009454A1">
      <w:pPr>
        <w:shd w:val="clear" w:color="auto" w:fill="FFFFFF"/>
        <w:spacing w:line="240" w:lineRule="auto"/>
        <w:jc w:val="center"/>
        <w:rPr>
          <w:rFonts w:ascii="Arial" w:eastAsia="Times New Roman" w:hAnsi="Arial" w:cs="Arial"/>
          <w:b/>
          <w:bCs/>
          <w:color w:val="414142"/>
          <w:sz w:val="32"/>
          <w:szCs w:val="32"/>
        </w:rPr>
      </w:pPr>
      <w:r>
        <w:rPr>
          <w:rFonts w:ascii="Arial" w:hAnsi="Arial"/>
          <w:b/>
          <w:color w:val="414142"/>
          <w:sz w:val="32"/>
        </w:rPr>
        <w:t>Requisitos de protección contra las radiaciones ionizantes causadas por el contenido de radionucleido cesio-137 (en adelante, radionucleido 137 Cs) en la madera importada a Letonia desde otro país</w:t>
      </w:r>
    </w:p>
    <w:p w14:paraId="27BD7D33" w14:textId="67CECBE4" w:rsidR="009454A1" w:rsidRPr="009454A1" w:rsidRDefault="009454A1" w:rsidP="009454A1">
      <w:pPr>
        <w:shd w:val="clear" w:color="auto" w:fill="FFFFFF"/>
        <w:spacing w:line="240" w:lineRule="auto"/>
        <w:jc w:val="right"/>
        <w:rPr>
          <w:rFonts w:ascii="Arial" w:eastAsia="Times New Roman" w:hAnsi="Arial" w:cs="Arial"/>
          <w:i/>
          <w:iCs/>
          <w:color w:val="414142"/>
          <w:sz w:val="20"/>
          <w:szCs w:val="20"/>
        </w:rPr>
      </w:pPr>
      <w:r w:rsidRPr="00244C8D">
        <w:rPr>
          <w:rFonts w:ascii="Arial" w:hAnsi="Arial"/>
          <w:i/>
          <w:sz w:val="20"/>
        </w:rPr>
        <w:t>Emitido con arreglo al</w:t>
      </w:r>
      <w:r>
        <w:rPr>
          <w:rFonts w:ascii="Arial" w:hAnsi="Arial"/>
          <w:i/>
          <w:color w:val="414142"/>
          <w:sz w:val="20"/>
        </w:rPr>
        <w:br/>
      </w:r>
      <w:hyperlink r:id="rId6" w:tgtFrame="_blank" w:history="1">
        <w:r>
          <w:rPr>
            <w:rFonts w:ascii="Arial" w:hAnsi="Arial"/>
            <w:i/>
            <w:color w:val="16497B"/>
            <w:sz w:val="20"/>
            <w:u w:val="single"/>
          </w:rPr>
          <w:t>artículo 3, apartado 3, de la Ley</w:t>
        </w:r>
      </w:hyperlink>
      <w:r>
        <w:rPr>
          <w:rFonts w:ascii="Arial" w:hAnsi="Arial"/>
          <w:i/>
          <w:color w:val="414142"/>
          <w:sz w:val="20"/>
        </w:rPr>
        <w:t>,</w:t>
      </w:r>
      <w:r>
        <w:rPr>
          <w:rFonts w:ascii="Arial" w:hAnsi="Arial"/>
          <w:i/>
          <w:color w:val="414142"/>
          <w:sz w:val="20"/>
        </w:rPr>
        <w:br/>
      </w:r>
      <w:r w:rsidR="00A12D6A" w:rsidRPr="00A12D6A">
        <w:rPr>
          <w:rFonts w:ascii="Arial" w:hAnsi="Arial" w:cs="Arial"/>
          <w:sz w:val="20"/>
          <w:szCs w:val="20"/>
        </w:rPr>
        <w:t>„</w:t>
      </w:r>
      <w:hyperlink r:id="rId7" w:anchor="p3" w:tgtFrame="_blank" w:history="1">
        <w:r>
          <w:rPr>
            <w:rFonts w:ascii="Arial" w:hAnsi="Arial"/>
            <w:i/>
            <w:color w:val="16497B"/>
            <w:sz w:val="20"/>
            <w:u w:val="single"/>
          </w:rPr>
          <w:t>de seguridad radiológica y seguridad nuclear</w:t>
        </w:r>
      </w:hyperlink>
      <w:r w:rsidR="00A12D6A" w:rsidRPr="00A12D6A">
        <w:rPr>
          <w:rFonts w:ascii="Arial" w:hAnsi="Arial"/>
          <w:i/>
          <w:sz w:val="20"/>
        </w:rPr>
        <w:t>“</w:t>
      </w:r>
    </w:p>
    <w:p w14:paraId="2B78CCB2"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0" w:name="p1"/>
      <w:bookmarkStart w:id="1" w:name="p-750743"/>
      <w:bookmarkEnd w:id="0"/>
      <w:bookmarkEnd w:id="1"/>
      <w:r w:rsidRPr="00244C8D">
        <w:rPr>
          <w:rFonts w:ascii="Arial" w:hAnsi="Arial"/>
          <w:sz w:val="20"/>
        </w:rPr>
        <w:t xml:space="preserve">1. El Reglamento establece los requisitos de protección contra las radiaciones ionizantes causadas por el contenido de radionucleido cesio-137 (en adelante, radionucleido </w:t>
      </w:r>
      <w:r w:rsidRPr="00244C8D">
        <w:rPr>
          <w:rFonts w:ascii="Arial" w:hAnsi="Arial"/>
          <w:sz w:val="20"/>
          <w:vertAlign w:val="superscript"/>
        </w:rPr>
        <w:t>137</w:t>
      </w:r>
      <w:r w:rsidRPr="00244C8D">
        <w:rPr>
          <w:rFonts w:ascii="Arial" w:hAnsi="Arial"/>
          <w:sz w:val="20"/>
        </w:rPr>
        <w:t xml:space="preserve"> Cs) en la madera importada a Letonia desde otro país.</w:t>
      </w:r>
    </w:p>
    <w:p w14:paraId="545180DC"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55C95A9A"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 w:name="p2"/>
      <w:bookmarkStart w:id="3" w:name="p-750744"/>
      <w:bookmarkEnd w:id="2"/>
      <w:bookmarkEnd w:id="3"/>
      <w:r w:rsidRPr="00244C8D">
        <w:rPr>
          <w:rFonts w:ascii="Arial" w:hAnsi="Arial"/>
          <w:sz w:val="20"/>
        </w:rPr>
        <w:t>2. A efectos del presente Reglamento, se aplicarán las definiciones siguientes:</w:t>
      </w:r>
    </w:p>
    <w:p w14:paraId="28A5A841"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 xml:space="preserve">2.1) «importador de madera»: un operador económico que importa madera de otro país a Letonia con arreglo a los códigos de la Nomenclatura Combinada mencionados en el </w:t>
      </w:r>
      <w:hyperlink r:id="rId8" w:anchor="p3" w:history="1">
        <w:r w:rsidRPr="00244C8D">
          <w:rPr>
            <w:rFonts w:ascii="Arial" w:hAnsi="Arial"/>
            <w:color w:val="2F5496" w:themeColor="accent1" w:themeShade="BF"/>
            <w:sz w:val="20"/>
            <w:u w:val="single"/>
          </w:rPr>
          <w:t>apartado 3</w:t>
        </w:r>
      </w:hyperlink>
      <w:r w:rsidRPr="00244C8D">
        <w:rPr>
          <w:rFonts w:ascii="Arial" w:hAnsi="Arial"/>
          <w:sz w:val="20"/>
        </w:rPr>
        <w:t xml:space="preserve"> del presente Reglamento, de conformidad con el Reglamento n.º </w:t>
      </w:r>
      <w:hyperlink r:id="rId9" w:tgtFrame="_blank" w:history="1">
        <w:r w:rsidRPr="00244C8D">
          <w:rPr>
            <w:rFonts w:ascii="Arial" w:hAnsi="Arial"/>
            <w:color w:val="2F5496" w:themeColor="accent1" w:themeShade="BF"/>
            <w:sz w:val="20"/>
            <w:u w:val="single"/>
          </w:rPr>
          <w:t>2658/87</w:t>
        </w:r>
      </w:hyperlink>
      <w:r w:rsidRPr="00244C8D">
        <w:rPr>
          <w:rFonts w:ascii="Arial" w:hAnsi="Arial"/>
          <w:sz w:val="20"/>
        </w:rPr>
        <w:t xml:space="preserve"> del Consejo, de 23 de julio de 1987, relativo a la nomenclatura arancelaria y estadística y al arancel aduanero común, cuyo valor excede de 300 EUR, según se indica en los documentos de acompañamiento;</w:t>
      </w:r>
    </w:p>
    <w:p w14:paraId="76348513"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 xml:space="preserve">2.2) «comprador de madera»: una persona que compra madera importada de otro país con el fin de realizar negocios en Letonia (incluidos los operadores de plantas de combustión y los procesadores de madera); </w:t>
      </w:r>
    </w:p>
    <w:p w14:paraId="57E22456"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 xml:space="preserve">2.3) «informe de ensayo de radiación»: un documento que muestra el nivel de radiactividad específica del radionucleido </w:t>
      </w:r>
      <w:r w:rsidRPr="00244C8D">
        <w:rPr>
          <w:rFonts w:ascii="Arial" w:hAnsi="Arial"/>
          <w:sz w:val="20"/>
          <w:vertAlign w:val="superscript"/>
        </w:rPr>
        <w:t>137</w:t>
      </w:r>
      <w:r w:rsidRPr="00244C8D">
        <w:rPr>
          <w:rFonts w:ascii="Arial" w:hAnsi="Arial"/>
          <w:sz w:val="20"/>
        </w:rPr>
        <w:t xml:space="preserve"> Cs en el cargamento, por ejemplo, un pasaporte de radiación expedido por un laboratorio acreditado o un documento expedido por la autoridad forestal del país de expedición con una referencia al informe del laboratorio acreditado pertinente, u otro documento que muestre el nivel de radiactividad específica del cargamento;</w:t>
      </w:r>
    </w:p>
    <w:p w14:paraId="1998C997"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2.4) «ceniza seca»: ceniza de madera calentada a un peso de muestra constante;</w:t>
      </w:r>
    </w:p>
    <w:p w14:paraId="157A713C"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2.5) «madera seca»: madera calentada a un peso de muestra constante;</w:t>
      </w:r>
    </w:p>
    <w:p w14:paraId="1556DA4C"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2.6) «ceniza pesada»: ceniza que se acumula en el horno de una planta de combustión;</w:t>
      </w:r>
    </w:p>
    <w:p w14:paraId="400164BC"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2.7) «ceniza volante»: ceniza que se acumula en los filtros de los gases de escape de una planta de combustión.</w:t>
      </w:r>
    </w:p>
    <w:p w14:paraId="108252F2" w14:textId="77777777" w:rsidR="003D4892" w:rsidRPr="00244C8D"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72B4CECD"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 w:name="p3"/>
      <w:bookmarkStart w:id="5" w:name="p-750745"/>
      <w:bookmarkEnd w:id="4"/>
      <w:bookmarkEnd w:id="5"/>
      <w:r w:rsidRPr="00244C8D">
        <w:rPr>
          <w:rFonts w:ascii="Arial" w:hAnsi="Arial"/>
          <w:sz w:val="20"/>
        </w:rPr>
        <w:t>3. A efectos del presente Reglamento, se considerará madera lo siguiente:</w:t>
      </w:r>
    </w:p>
    <w:p w14:paraId="1D6E73DA"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 xml:space="preserve">3.1) leña en troncos, en palanquillas, en ramitas, en fajinas o en formas similares clasificada bajo los siguientes códigos de la Nomenclatura Combinada: </w:t>
      </w:r>
    </w:p>
    <w:p w14:paraId="315F42E5" w14:textId="77777777" w:rsidR="009454A1" w:rsidRPr="00244C8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244C8D">
        <w:rPr>
          <w:rFonts w:ascii="Arial" w:hAnsi="Arial"/>
          <w:sz w:val="20"/>
        </w:rPr>
        <w:t xml:space="preserve">3.1.1) 4401 11 00 (coníferas); </w:t>
      </w:r>
    </w:p>
    <w:p w14:paraId="2E9616B8" w14:textId="77777777" w:rsidR="009454A1" w:rsidRPr="00244C8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244C8D">
        <w:rPr>
          <w:rFonts w:ascii="Arial" w:hAnsi="Arial"/>
          <w:sz w:val="20"/>
        </w:rPr>
        <w:t xml:space="preserve">3.1.2) 4401 12 00 (distintas de las coníferas); </w:t>
      </w:r>
    </w:p>
    <w:p w14:paraId="4EF26E47"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3.2) madera en plaquitas o partículas clasificada bajo los siguientes códigos de la Nomenclatura Combinada:</w:t>
      </w:r>
    </w:p>
    <w:p w14:paraId="457D870A" w14:textId="77777777" w:rsidR="009454A1" w:rsidRPr="00244C8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244C8D">
        <w:rPr>
          <w:rFonts w:ascii="Arial" w:hAnsi="Arial"/>
          <w:sz w:val="20"/>
        </w:rPr>
        <w:lastRenderedPageBreak/>
        <w:t xml:space="preserve">3.2.1) 4401 21 00 (coníferas); </w:t>
      </w:r>
    </w:p>
    <w:p w14:paraId="7BB25E06" w14:textId="77777777" w:rsidR="009454A1" w:rsidRPr="00244C8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244C8D">
        <w:rPr>
          <w:rFonts w:ascii="Arial" w:hAnsi="Arial"/>
          <w:sz w:val="20"/>
        </w:rPr>
        <w:t xml:space="preserve">3.2.2) 4401 22 00 (no coníferas); </w:t>
      </w:r>
    </w:p>
    <w:p w14:paraId="04CE12C1"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 xml:space="preserve">3.3) aserrín, desperdicios y desechos, de madera, aglomerados en leños, briquetas, «pellets» o formas similares clasificados bajo los siguientes códigos de la Nomenclatura Combinada: </w:t>
      </w:r>
    </w:p>
    <w:p w14:paraId="70B23247" w14:textId="77777777" w:rsidR="009454A1" w:rsidRPr="00244C8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244C8D">
        <w:rPr>
          <w:rFonts w:ascii="Arial" w:hAnsi="Arial"/>
          <w:sz w:val="20"/>
        </w:rPr>
        <w:t xml:space="preserve">3.3.1) 4401 31 00 («pellets» de madera); </w:t>
      </w:r>
    </w:p>
    <w:p w14:paraId="7F3FC886" w14:textId="77777777" w:rsidR="009454A1" w:rsidRPr="00244C8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244C8D">
        <w:rPr>
          <w:rFonts w:ascii="Arial" w:hAnsi="Arial"/>
          <w:sz w:val="20"/>
        </w:rPr>
        <w:t xml:space="preserve">3.3.2) 4401 39 00 (otros); </w:t>
      </w:r>
    </w:p>
    <w:p w14:paraId="4CFCAAE6"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3.4) aserrín, desperdicios y desechos, de madera, no aglomerados, clasificados bajo los siguientes códigos de la Nomenclatura Combinada:</w:t>
      </w:r>
    </w:p>
    <w:p w14:paraId="14351AE4" w14:textId="77777777" w:rsidR="009454A1" w:rsidRPr="00244C8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244C8D">
        <w:rPr>
          <w:rFonts w:ascii="Arial" w:hAnsi="Arial"/>
          <w:sz w:val="20"/>
        </w:rPr>
        <w:t xml:space="preserve">3.4.1) 4401 40 10 (aserrín); </w:t>
      </w:r>
    </w:p>
    <w:p w14:paraId="54554E6E" w14:textId="77777777" w:rsidR="009454A1" w:rsidRPr="00244C8D"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244C8D">
        <w:rPr>
          <w:rFonts w:ascii="Arial" w:hAnsi="Arial"/>
          <w:sz w:val="20"/>
        </w:rPr>
        <w:t xml:space="preserve">3.4.2) 4401 40 90 (otros). </w:t>
      </w:r>
    </w:p>
    <w:p w14:paraId="67AEB53D" w14:textId="77777777" w:rsidR="003D4892" w:rsidRPr="00244C8D" w:rsidRDefault="003D4892" w:rsidP="009454A1">
      <w:pPr>
        <w:shd w:val="clear" w:color="auto" w:fill="FFFFFF"/>
        <w:spacing w:after="0" w:line="293" w:lineRule="atLeast"/>
        <w:ind w:left="900" w:firstLine="300"/>
        <w:jc w:val="both"/>
        <w:rPr>
          <w:rFonts w:ascii="Arial" w:eastAsia="Times New Roman" w:hAnsi="Arial" w:cs="Arial"/>
          <w:sz w:val="20"/>
          <w:szCs w:val="20"/>
          <w:lang w:eastAsia="lv-LV"/>
        </w:rPr>
      </w:pPr>
    </w:p>
    <w:p w14:paraId="346BD8DA"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6" w:name="p4"/>
      <w:bookmarkStart w:id="7" w:name="p-750746"/>
      <w:bookmarkEnd w:id="6"/>
      <w:bookmarkEnd w:id="7"/>
      <w:r w:rsidRPr="00244C8D">
        <w:rPr>
          <w:rFonts w:ascii="Arial" w:hAnsi="Arial"/>
          <w:sz w:val="20"/>
        </w:rPr>
        <w:t xml:space="preserve">4. Si se importa madera a Letonia para utilizarla como combustible de biomasa, el importador de madera se asegurará de que en el momento de la importación se adjunte el original o una copia certificada (en papel) del informe del ensayo de radiación a los documentos de acompañamiento de cada cargamento, en los que se demuestre que el nivel de radiactividad específica del radionucleido </w:t>
      </w:r>
      <w:r w:rsidRPr="00244C8D">
        <w:rPr>
          <w:rFonts w:ascii="Arial" w:hAnsi="Arial"/>
          <w:sz w:val="20"/>
          <w:vertAlign w:val="superscript"/>
        </w:rPr>
        <w:t>137</w:t>
      </w:r>
      <w:r w:rsidRPr="00244C8D">
        <w:rPr>
          <w:rFonts w:ascii="Arial" w:hAnsi="Arial"/>
          <w:sz w:val="20"/>
        </w:rPr>
        <w:t xml:space="preserve"> Cs en el cargamento de madera no supera los 10 Bq/kg en madera seca. La copia del informe del ensayo de radiación será certificada por la organización que emitió el documento o el importador de madera.</w:t>
      </w:r>
    </w:p>
    <w:p w14:paraId="286AE80E"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8553828"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8" w:name="p5"/>
      <w:bookmarkStart w:id="9" w:name="p-750747"/>
      <w:bookmarkEnd w:id="8"/>
      <w:bookmarkEnd w:id="9"/>
      <w:r w:rsidRPr="00244C8D">
        <w:rPr>
          <w:rFonts w:ascii="Arial" w:hAnsi="Arial"/>
          <w:sz w:val="20"/>
        </w:rPr>
        <w:t xml:space="preserve">5. El Servicio Estatal de Medio Ambiente (en adelante, «el Servicio») tendrá derecho a llevar a cabo un ensayo de radiactividad específica de la madera para asegurarse de que el nivel de radiactividad específica del radionucleido </w:t>
      </w:r>
      <w:r w:rsidRPr="00244C8D">
        <w:rPr>
          <w:rFonts w:ascii="Arial" w:hAnsi="Arial"/>
          <w:sz w:val="20"/>
          <w:vertAlign w:val="superscript"/>
        </w:rPr>
        <w:t>137</w:t>
      </w:r>
      <w:r w:rsidRPr="00244C8D">
        <w:rPr>
          <w:rFonts w:ascii="Arial" w:hAnsi="Arial"/>
          <w:sz w:val="20"/>
        </w:rPr>
        <w:t xml:space="preserve"> Cs en el cargamento de madera cumple los requisitos del presente Reglamento.</w:t>
      </w:r>
    </w:p>
    <w:p w14:paraId="68580C8D"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14E67C01" w14:textId="340851A2"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0" w:name="p6"/>
      <w:bookmarkStart w:id="11" w:name="p-750748"/>
      <w:bookmarkEnd w:id="10"/>
      <w:bookmarkEnd w:id="11"/>
      <w:r w:rsidRPr="00244C8D">
        <w:rPr>
          <w:rFonts w:ascii="Arial" w:hAnsi="Arial"/>
          <w:sz w:val="20"/>
        </w:rPr>
        <w:t xml:space="preserve">6. El ensayo de radiación a que se refiere el </w:t>
      </w:r>
      <w:hyperlink r:id="rId10" w:anchor="p4" w:history="1">
        <w:r w:rsidRPr="00244C8D">
          <w:rPr>
            <w:rFonts w:ascii="Arial" w:hAnsi="Arial"/>
            <w:color w:val="2F5496" w:themeColor="accent1" w:themeShade="BF"/>
            <w:sz w:val="20"/>
            <w:u w:val="single"/>
          </w:rPr>
          <w:t>apartado 4</w:t>
        </w:r>
      </w:hyperlink>
      <w:r w:rsidRPr="00244C8D">
        <w:rPr>
          <w:rFonts w:ascii="Arial" w:hAnsi="Arial"/>
          <w:sz w:val="20"/>
        </w:rPr>
        <w:t xml:space="preserve"> del presente Reglamento se realizará en uno de los siguientes laboratorios:</w:t>
      </w:r>
    </w:p>
    <w:p w14:paraId="692FF2B9"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6.1) en un laboratorio acreditado por el país de expedición;</w:t>
      </w:r>
    </w:p>
    <w:p w14:paraId="6F7FA488"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6.2) en un laboratorio acreditado por el organismo nacional de acreditación de Letonia, de conformidad con las normas y las reglamentaciones relativas a la evaluación, acreditación y supervisión de los organismos de evaluación de la conformidad;</w:t>
      </w:r>
    </w:p>
    <w:p w14:paraId="0ED7E2E1"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6.3) en un laboratorio acreditado en otro país del Espacio Económico Europeo.</w:t>
      </w:r>
    </w:p>
    <w:p w14:paraId="0B2793C1" w14:textId="77777777" w:rsidR="003D4892" w:rsidRPr="00244C8D"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085C0791"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2" w:name="p7"/>
      <w:bookmarkStart w:id="13" w:name="p-750749"/>
      <w:bookmarkEnd w:id="12"/>
      <w:bookmarkEnd w:id="13"/>
      <w:r w:rsidRPr="00244C8D">
        <w:rPr>
          <w:rFonts w:ascii="Arial" w:hAnsi="Arial"/>
          <w:sz w:val="20"/>
        </w:rPr>
        <w:t xml:space="preserve">7. Queda prohibido importar madera para su utilización como combustible de biomasa si su nivel de radiactividad específica del radionucleido </w:t>
      </w:r>
      <w:r w:rsidRPr="00244C8D">
        <w:rPr>
          <w:rFonts w:ascii="Arial" w:hAnsi="Arial"/>
          <w:sz w:val="20"/>
          <w:vertAlign w:val="superscript"/>
        </w:rPr>
        <w:t>137</w:t>
      </w:r>
      <w:r w:rsidRPr="00244C8D">
        <w:rPr>
          <w:rFonts w:ascii="Arial" w:hAnsi="Arial"/>
          <w:sz w:val="20"/>
        </w:rPr>
        <w:t xml:space="preserve"> Cs supera los 10 Bq/kg en madera seca.</w:t>
      </w:r>
    </w:p>
    <w:p w14:paraId="4D9AFED8"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4E2F9503"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4" w:name="p8"/>
      <w:bookmarkStart w:id="15" w:name="p-750750"/>
      <w:bookmarkEnd w:id="14"/>
      <w:bookmarkEnd w:id="15"/>
      <w:r w:rsidRPr="00244C8D">
        <w:rPr>
          <w:rFonts w:ascii="Arial" w:hAnsi="Arial"/>
          <w:sz w:val="20"/>
        </w:rPr>
        <w:t>8. Si se importa madera para un uso distinto del de combustible de biomasa, el importador de madera se asegurará de que se adjunte el original o una copia certificada del certificado (copia impresa en letón o en inglés) (en adelante, «certificado») a los documentos que acompañan a cada artículo del cargamento. La copia del certificado será certificada por la organización que emitió el documento o el importador de madera. El certificado mostrará lo siguiente:</w:t>
      </w:r>
    </w:p>
    <w:p w14:paraId="12746730"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 xml:space="preserve">8.1) el comprador de la madera (si se conoce en el momento de la importación de la madera) o que el importador de la madera certifica que la madera (también los productos de transformación de la madera obtenidos de esta madera si la madera va a </w:t>
      </w:r>
      <w:r w:rsidRPr="00244C8D">
        <w:rPr>
          <w:rFonts w:ascii="Arial" w:hAnsi="Arial"/>
          <w:sz w:val="20"/>
        </w:rPr>
        <w:lastRenderedPageBreak/>
        <w:t>ser transformada después de la importación, por ejemplo, en pellets) no está destinada a ser utilizada como combustible de biomasa en Letonia;</w:t>
      </w:r>
    </w:p>
    <w:p w14:paraId="16A760C6"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8.2) los datos del comprador de la madera (si se conoce en el momento de la importación de la madera) y del importador de la madera: nombre de la empresa, número de inscripción en el registro mercantil, información de contacto.</w:t>
      </w:r>
    </w:p>
    <w:p w14:paraId="2E385895" w14:textId="77777777" w:rsidR="003D4892" w:rsidRPr="00244C8D"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42AB1F00"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6" w:name="p9"/>
      <w:bookmarkStart w:id="17" w:name="p-750751"/>
      <w:bookmarkEnd w:id="16"/>
      <w:bookmarkEnd w:id="17"/>
      <w:r w:rsidRPr="00244C8D">
        <w:rPr>
          <w:rFonts w:ascii="Arial" w:hAnsi="Arial"/>
          <w:sz w:val="20"/>
        </w:rPr>
        <w:t>9. El informe del ensayo de radiación y el certificado se prepararán como copias impresas o como documentos electrónicos de conformidad con las normas y las reglamentaciones sobre la ejecución de documentos electrónicos.</w:t>
      </w:r>
    </w:p>
    <w:p w14:paraId="39D118CB"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5B0FCC3"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8" w:name="p10"/>
      <w:bookmarkStart w:id="19" w:name="p-750752"/>
      <w:bookmarkEnd w:id="18"/>
      <w:bookmarkEnd w:id="19"/>
      <w:r w:rsidRPr="00244C8D">
        <w:rPr>
          <w:rFonts w:ascii="Arial" w:hAnsi="Arial"/>
          <w:sz w:val="20"/>
        </w:rPr>
        <w:t>10. Si la madera se importa de un país que no es del Espacio Económico Europeo y se despacha a libre práctica, el importador de madera adjuntará a la declaración de aduanas un informe o certificado del ensayo de radiación.</w:t>
      </w:r>
    </w:p>
    <w:p w14:paraId="11DD9697"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CE6D8D9"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0" w:name="p11"/>
      <w:bookmarkStart w:id="21" w:name="p-750753"/>
      <w:bookmarkEnd w:id="20"/>
      <w:bookmarkEnd w:id="21"/>
      <w:r w:rsidRPr="00244C8D">
        <w:rPr>
          <w:rFonts w:ascii="Arial" w:hAnsi="Arial"/>
          <w:sz w:val="20"/>
        </w:rPr>
        <w:t>11. El despacho del cargamento de madera para su libre circulación en Letonia no está permitido si el funcionario de aduanas establece que:</w:t>
      </w:r>
    </w:p>
    <w:p w14:paraId="3F19ED4D"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 xml:space="preserve">11.1) el informe del ensayo de radiación muestra que el nivel de radiactividad específica del radionucleido </w:t>
      </w:r>
      <w:r w:rsidRPr="00244C8D">
        <w:rPr>
          <w:rFonts w:ascii="Arial" w:hAnsi="Arial"/>
          <w:sz w:val="20"/>
          <w:vertAlign w:val="superscript"/>
        </w:rPr>
        <w:t>137</w:t>
      </w:r>
      <w:r w:rsidRPr="00244C8D">
        <w:rPr>
          <w:rFonts w:ascii="Arial" w:hAnsi="Arial"/>
          <w:sz w:val="20"/>
        </w:rPr>
        <w:t xml:space="preserve"> Cs en el cargamento de madera excede de 10 Bq/kg en madera seca y el importador de madera no puede presentar el certificado;</w:t>
      </w:r>
    </w:p>
    <w:p w14:paraId="60B16F2C"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11.2) el importador de madera no puede presentar el informe del ensayo de radiación y el certificado;</w:t>
      </w:r>
    </w:p>
    <w:p w14:paraId="1202E0C6" w14:textId="77777777" w:rsidR="009454A1" w:rsidRPr="00244C8D"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244C8D">
        <w:rPr>
          <w:rFonts w:ascii="Arial" w:hAnsi="Arial"/>
          <w:sz w:val="20"/>
        </w:rPr>
        <w:t>11.3) la calidad de los documentos presentados por el importador de madera hace imposible la lectura de la información proporcionada.</w:t>
      </w:r>
    </w:p>
    <w:p w14:paraId="1375D417" w14:textId="77777777" w:rsidR="003D4892" w:rsidRPr="00244C8D"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2A5626C3"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2" w:name="p12"/>
      <w:bookmarkStart w:id="23" w:name="p-750754"/>
      <w:bookmarkEnd w:id="22"/>
      <w:bookmarkEnd w:id="23"/>
      <w:r w:rsidRPr="00244C8D">
        <w:rPr>
          <w:rFonts w:ascii="Arial" w:hAnsi="Arial"/>
          <w:sz w:val="20"/>
        </w:rPr>
        <w:t>12. Al transferir el cargamento al comprador de madera, el operador económico entregará el informe del ensayo de radiación y el certificado. El comprador de madera conservará el informe del ensayo de radiación y el certificado durante cinco años a partir de la fecha de recepción del cargamento de madera y lo presentará al Servicio cuando este lo solicite.</w:t>
      </w:r>
    </w:p>
    <w:p w14:paraId="4619C75A"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601B098"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4" w:name="p13"/>
      <w:bookmarkStart w:id="25" w:name="p-750755"/>
      <w:bookmarkEnd w:id="24"/>
      <w:bookmarkEnd w:id="25"/>
      <w:r w:rsidRPr="00244C8D">
        <w:rPr>
          <w:rFonts w:ascii="Arial" w:hAnsi="Arial"/>
          <w:sz w:val="20"/>
        </w:rPr>
        <w:t xml:space="preserve">13. La madera importada a Letonia de otro país podrá utilizarse como combustible de biomasa si la madera ha sido sometida a un ensayo radiológico en uno de los laboratorios a que se hace referencia en el </w:t>
      </w:r>
      <w:hyperlink r:id="rId11" w:anchor="p6" w:history="1">
        <w:r w:rsidRPr="00244C8D">
          <w:rPr>
            <w:rFonts w:ascii="Arial" w:hAnsi="Arial"/>
            <w:color w:val="2F5496" w:themeColor="accent1" w:themeShade="BF"/>
            <w:sz w:val="20"/>
            <w:u w:val="single"/>
          </w:rPr>
          <w:t>apartado 6</w:t>
        </w:r>
      </w:hyperlink>
      <w:r w:rsidRPr="00244C8D">
        <w:rPr>
          <w:rFonts w:ascii="Arial" w:hAnsi="Arial"/>
          <w:sz w:val="20"/>
        </w:rPr>
        <w:t xml:space="preserve"> del presente Reglamento y el ensayo ha confirmado que el nivel de radiactividad específica del radionucleido </w:t>
      </w:r>
      <w:r w:rsidRPr="00244C8D">
        <w:rPr>
          <w:rFonts w:ascii="Arial" w:hAnsi="Arial"/>
          <w:sz w:val="20"/>
          <w:vertAlign w:val="superscript"/>
        </w:rPr>
        <w:t>137</w:t>
      </w:r>
      <w:r w:rsidRPr="00244C8D">
        <w:rPr>
          <w:rFonts w:ascii="Arial" w:hAnsi="Arial"/>
          <w:sz w:val="20"/>
        </w:rPr>
        <w:t>Cs no excede de 10 Bq/kg en madera seca.</w:t>
      </w:r>
    </w:p>
    <w:p w14:paraId="69E09C72"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8DEAA76"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6" w:name="p14"/>
      <w:bookmarkStart w:id="27" w:name="p-750756"/>
      <w:bookmarkEnd w:id="26"/>
      <w:bookmarkEnd w:id="27"/>
      <w:r w:rsidRPr="00244C8D">
        <w:rPr>
          <w:rFonts w:ascii="Arial" w:hAnsi="Arial"/>
          <w:sz w:val="20"/>
        </w:rPr>
        <w:t xml:space="preserve">14. Si se comprueba que el nivel de radiactividad específica del radionucleido </w:t>
      </w:r>
      <w:r w:rsidRPr="00244C8D">
        <w:rPr>
          <w:rFonts w:ascii="Arial" w:hAnsi="Arial"/>
          <w:sz w:val="20"/>
          <w:vertAlign w:val="superscript"/>
        </w:rPr>
        <w:t>137</w:t>
      </w:r>
      <w:r w:rsidRPr="00244C8D">
        <w:rPr>
          <w:rFonts w:ascii="Arial" w:hAnsi="Arial"/>
          <w:sz w:val="20"/>
        </w:rPr>
        <w:t xml:space="preserve"> Cs supera los 10 Bq/kg en la madera importada de otro país para su utilización como combustible de biomasa, el importador de madera devolverá dicha madera al expedidor inmediatamente, y a más tardar en el plazo de un mes.</w:t>
      </w:r>
    </w:p>
    <w:p w14:paraId="413E6408"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119067B7"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8" w:name="p15"/>
      <w:bookmarkStart w:id="29" w:name="p-750757"/>
      <w:bookmarkEnd w:id="28"/>
      <w:bookmarkEnd w:id="29"/>
      <w:r w:rsidRPr="00244C8D">
        <w:rPr>
          <w:rFonts w:ascii="Arial" w:hAnsi="Arial"/>
          <w:sz w:val="20"/>
        </w:rPr>
        <w:t>15. En las plantas de combustión con una potencia térmica nominal superior a 5 MW, el operador de la planta de combustión que utilice madera importada a Letonia de otro país como combustible de biomasa realizará, durante la temporada de calefacción (de octubre a abril), ensayos mensuales de radiactividad específica para las cenizas volantes resultantes de la combustión de madera o, si la planta de combustión de que se trate no tiene instalados filtros de gases de escape separados para las cenizas volantes, ensayos de radiactividad específica para las cenizas pesadas.</w:t>
      </w:r>
    </w:p>
    <w:p w14:paraId="6BE7A507"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30B2FDAC"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0" w:name="p16"/>
      <w:bookmarkStart w:id="31" w:name="p-750758"/>
      <w:bookmarkEnd w:id="30"/>
      <w:bookmarkEnd w:id="31"/>
      <w:r w:rsidRPr="00244C8D">
        <w:rPr>
          <w:rFonts w:ascii="Arial" w:hAnsi="Arial"/>
          <w:sz w:val="20"/>
        </w:rPr>
        <w:t xml:space="preserve">16. Las cenizas de madera en las que la radiactividad específica del radionucleido </w:t>
      </w:r>
      <w:r w:rsidRPr="00244C8D">
        <w:rPr>
          <w:rFonts w:ascii="Arial" w:hAnsi="Arial"/>
          <w:sz w:val="20"/>
          <w:vertAlign w:val="superscript"/>
        </w:rPr>
        <w:t>137</w:t>
      </w:r>
      <w:r w:rsidRPr="00244C8D">
        <w:rPr>
          <w:rFonts w:ascii="Arial" w:hAnsi="Arial"/>
          <w:sz w:val="20"/>
        </w:rPr>
        <w:t xml:space="preserve"> Cs sea de 1 000 Bq/kg en ceniza seca o menos podrán utilizarse en la agricultura y la silvicultura, con sujeción a las normas y reglamentaciones aplicables al sector pertinente.</w:t>
      </w:r>
    </w:p>
    <w:p w14:paraId="5DBA7A56"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55F420B0"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2" w:name="p17"/>
      <w:bookmarkStart w:id="33" w:name="p-750759"/>
      <w:bookmarkEnd w:id="32"/>
      <w:bookmarkEnd w:id="33"/>
      <w:r w:rsidRPr="00244C8D">
        <w:rPr>
          <w:rFonts w:ascii="Arial" w:hAnsi="Arial"/>
          <w:sz w:val="20"/>
        </w:rPr>
        <w:t xml:space="preserve">17. Las cenizas de madera en las que la radiactividad específica del radionucleido </w:t>
      </w:r>
      <w:r w:rsidRPr="00244C8D">
        <w:rPr>
          <w:rFonts w:ascii="Arial" w:hAnsi="Arial"/>
          <w:sz w:val="20"/>
          <w:vertAlign w:val="superscript"/>
        </w:rPr>
        <w:t>137</w:t>
      </w:r>
      <w:r w:rsidRPr="00244C8D">
        <w:rPr>
          <w:rFonts w:ascii="Arial" w:hAnsi="Arial"/>
          <w:sz w:val="20"/>
        </w:rPr>
        <w:t xml:space="preserve"> Cs sea de entre 1 000 y 10 000 Bq/kg en ceniza seca podrán verterse en vertederos municipales o utilizarse como material para cubrir vertederos de residuos municipales o peligrosos.</w:t>
      </w:r>
    </w:p>
    <w:p w14:paraId="1196EBEA"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5E519AA"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4" w:name="p18"/>
      <w:bookmarkStart w:id="35" w:name="p-750760"/>
      <w:bookmarkEnd w:id="34"/>
      <w:bookmarkEnd w:id="35"/>
      <w:r w:rsidRPr="00244C8D">
        <w:rPr>
          <w:rFonts w:ascii="Arial" w:hAnsi="Arial"/>
          <w:sz w:val="20"/>
        </w:rPr>
        <w:t xml:space="preserve">18. Si la radiactividad específica del radionucleido </w:t>
      </w:r>
      <w:r w:rsidRPr="00244C8D">
        <w:rPr>
          <w:rFonts w:ascii="Arial" w:hAnsi="Arial"/>
          <w:sz w:val="20"/>
          <w:vertAlign w:val="superscript"/>
        </w:rPr>
        <w:t>137</w:t>
      </w:r>
      <w:r w:rsidRPr="00244C8D">
        <w:rPr>
          <w:rFonts w:ascii="Arial" w:hAnsi="Arial"/>
          <w:sz w:val="20"/>
        </w:rPr>
        <w:t xml:space="preserve"> Cs en las cenizas de madera es de 10 000 Bq/kg o más en ceniza seca, el operador de la planta de combustión lo notificará inmediatamente al Servicio. En este caso, el operador de la planta de combustión se asegurará de que las cenizas se gestionen de conformidad con las normas y reglamentaciones para la manipulación de residuos radiactivos y materiales conexos.</w:t>
      </w:r>
    </w:p>
    <w:p w14:paraId="21168EAA"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96BC58E"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6" w:name="p19"/>
      <w:bookmarkStart w:id="37" w:name="p-750761"/>
      <w:bookmarkEnd w:id="36"/>
      <w:bookmarkEnd w:id="37"/>
      <w:r w:rsidRPr="00244C8D">
        <w:rPr>
          <w:rFonts w:ascii="Arial" w:hAnsi="Arial"/>
          <w:sz w:val="20"/>
        </w:rPr>
        <w:t>19. Con respecto a las plantas de combustión con una potencia térmica nominal de 5 MW o más, el Servicio tendrá derecho a realizar ensayos de radiactividad de las cenizas para las cenizas volantes o, si no se han instalado filtros de gases de escape separados para las cenizas volantes, ensayos de radiactividad específica de las cenizas pesadas.</w:t>
      </w:r>
    </w:p>
    <w:p w14:paraId="3686C276"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ADEF5AB"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8" w:name="p20"/>
      <w:bookmarkStart w:id="39" w:name="p-750762"/>
      <w:bookmarkEnd w:id="38"/>
      <w:bookmarkEnd w:id="39"/>
      <w:r w:rsidRPr="00244C8D">
        <w:rPr>
          <w:rFonts w:ascii="Arial" w:hAnsi="Arial"/>
          <w:sz w:val="20"/>
        </w:rPr>
        <w:t xml:space="preserve">20. En cada ensayo de radiactividad específica de las cenizas a que se refieren el </w:t>
      </w:r>
      <w:hyperlink r:id="rId12" w:anchor="p15" w:history="1">
        <w:r w:rsidRPr="00244C8D">
          <w:rPr>
            <w:rFonts w:ascii="Arial" w:hAnsi="Arial"/>
            <w:color w:val="2F5496" w:themeColor="accent1" w:themeShade="BF"/>
            <w:sz w:val="20"/>
            <w:u w:val="single"/>
          </w:rPr>
          <w:t>apartado 15</w:t>
        </w:r>
      </w:hyperlink>
      <w:r w:rsidRPr="00244C8D">
        <w:rPr>
          <w:rFonts w:ascii="Arial" w:hAnsi="Arial"/>
          <w:sz w:val="20"/>
        </w:rPr>
        <w:t xml:space="preserve"> y el </w:t>
      </w:r>
      <w:hyperlink r:id="rId13" w:anchor="p19" w:history="1">
        <w:r w:rsidRPr="00244C8D">
          <w:rPr>
            <w:rFonts w:ascii="Arial" w:hAnsi="Arial"/>
            <w:color w:val="2F5496" w:themeColor="accent1" w:themeShade="BF"/>
            <w:sz w:val="20"/>
            <w:u w:val="single"/>
          </w:rPr>
          <w:t>apartado 19</w:t>
        </w:r>
      </w:hyperlink>
      <w:r w:rsidRPr="00244C8D">
        <w:rPr>
          <w:rFonts w:ascii="Arial" w:hAnsi="Arial"/>
          <w:sz w:val="20"/>
        </w:rPr>
        <w:t xml:space="preserve"> del presente Reglamento, se someterá a ensayo una muestra de cenizas utilizando el volumen necesario para que el laboratorio pertinente realice el ensayo.</w:t>
      </w:r>
    </w:p>
    <w:p w14:paraId="068381EF"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E1C5502"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0" w:name="p21"/>
      <w:bookmarkStart w:id="41" w:name="p-750763"/>
      <w:bookmarkEnd w:id="40"/>
      <w:bookmarkEnd w:id="41"/>
      <w:r w:rsidRPr="00244C8D">
        <w:rPr>
          <w:rFonts w:ascii="Arial" w:hAnsi="Arial"/>
          <w:sz w:val="20"/>
        </w:rPr>
        <w:t xml:space="preserve">21. Los ensayos de radiactividad específica para las cenizas a que se refieren el </w:t>
      </w:r>
      <w:hyperlink r:id="rId14" w:anchor="p15" w:history="1">
        <w:r w:rsidRPr="00244C8D">
          <w:rPr>
            <w:rFonts w:ascii="Arial" w:hAnsi="Arial"/>
            <w:color w:val="2F5496" w:themeColor="accent1" w:themeShade="BF"/>
            <w:sz w:val="20"/>
            <w:u w:val="single"/>
          </w:rPr>
          <w:t>apartado 15</w:t>
        </w:r>
      </w:hyperlink>
      <w:r w:rsidRPr="00244C8D">
        <w:rPr>
          <w:rFonts w:ascii="Arial" w:hAnsi="Arial"/>
          <w:sz w:val="20"/>
        </w:rPr>
        <w:t xml:space="preserve"> y el </w:t>
      </w:r>
      <w:hyperlink r:id="rId15" w:anchor="p19" w:history="1">
        <w:r w:rsidRPr="00244C8D">
          <w:rPr>
            <w:rFonts w:ascii="Arial" w:hAnsi="Arial"/>
            <w:color w:val="2F5496" w:themeColor="accent1" w:themeShade="BF"/>
            <w:sz w:val="20"/>
            <w:u w:val="single"/>
          </w:rPr>
          <w:t>apartado 19</w:t>
        </w:r>
      </w:hyperlink>
      <w:r w:rsidRPr="00244C8D">
        <w:rPr>
          <w:rFonts w:ascii="Arial" w:hAnsi="Arial"/>
          <w:sz w:val="20"/>
        </w:rPr>
        <w:t xml:space="preserve"> del presente Reglamento se realizarán en un laboratorio acreditado por el organismo nacional de acreditación de Letonia de conformidad con las normas y las reglamentaciones relativas a la evaluación, acreditación y supervisión de los organismos de evaluación de la conformidad o en un laboratorio acreditado en otro país del Espacio Económico Europeo.</w:t>
      </w:r>
    </w:p>
    <w:p w14:paraId="1FF62DDB"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4249F56A"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2" w:name="p22"/>
      <w:bookmarkStart w:id="43" w:name="p-750764"/>
      <w:bookmarkEnd w:id="42"/>
      <w:bookmarkEnd w:id="43"/>
      <w:r w:rsidRPr="00244C8D">
        <w:rPr>
          <w:rFonts w:ascii="Arial" w:hAnsi="Arial"/>
          <w:sz w:val="20"/>
        </w:rPr>
        <w:t>22. Los documentos relativos a los ensayos de la radiactividad específica de las cenizas realizados por un operador de una planta de combustión serán conservados por el operador de la planta de combustión durante cinco años a partir de la fecha de realización del ensayo de radiactividad específica y se presentarán al Servicio cuando este los solicite.</w:t>
      </w:r>
    </w:p>
    <w:p w14:paraId="2A58A898" w14:textId="77777777" w:rsidR="003D4892" w:rsidRPr="00244C8D"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64894D4" w14:textId="77777777" w:rsidR="009454A1" w:rsidRPr="00244C8D"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4" w:name="p23"/>
      <w:bookmarkStart w:id="45" w:name="p-750765"/>
      <w:bookmarkEnd w:id="44"/>
      <w:bookmarkEnd w:id="45"/>
      <w:r w:rsidRPr="00244C8D">
        <w:rPr>
          <w:rFonts w:ascii="Arial" w:hAnsi="Arial"/>
          <w:sz w:val="20"/>
        </w:rPr>
        <w:t>23. El presente Reglamento entrará en vigor el 1 de abril de 2021.</w:t>
      </w:r>
    </w:p>
    <w:p w14:paraId="4982590A" w14:textId="77777777" w:rsidR="009454A1" w:rsidRPr="00244C8D"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289EAE2D" w14:textId="77777777" w:rsidR="009454A1" w:rsidRPr="00244C8D"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6A8CAA25" w14:textId="77777777" w:rsidR="009454A1" w:rsidRPr="00244C8D"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31683751" w14:textId="77777777" w:rsidR="009454A1" w:rsidRPr="00244C8D"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1AC069B3" w14:textId="77777777" w:rsidR="00A12D6A" w:rsidRPr="00244C8D" w:rsidRDefault="009454A1" w:rsidP="009454A1">
      <w:pPr>
        <w:shd w:val="clear" w:color="auto" w:fill="FFFFFF"/>
        <w:spacing w:after="0" w:line="240" w:lineRule="auto"/>
        <w:jc w:val="right"/>
        <w:rPr>
          <w:rFonts w:ascii="Arial" w:hAnsi="Arial"/>
          <w:i/>
          <w:sz w:val="20"/>
        </w:rPr>
      </w:pPr>
      <w:r w:rsidRPr="00244C8D">
        <w:rPr>
          <w:rFonts w:ascii="Arial" w:hAnsi="Arial"/>
          <w:sz w:val="20"/>
        </w:rPr>
        <w:t xml:space="preserve">Primer </w:t>
      </w:r>
      <w:proofErr w:type="gramStart"/>
      <w:r w:rsidRPr="00244C8D">
        <w:rPr>
          <w:rFonts w:ascii="Arial" w:hAnsi="Arial"/>
          <w:sz w:val="20"/>
        </w:rPr>
        <w:t>Ministro</w:t>
      </w:r>
      <w:proofErr w:type="gramEnd"/>
      <w:r w:rsidRPr="00244C8D">
        <w:rPr>
          <w:rFonts w:ascii="Arial" w:hAnsi="Arial"/>
          <w:sz w:val="20"/>
        </w:rPr>
        <w:tab/>
      </w:r>
      <w:r w:rsidRPr="00244C8D">
        <w:rPr>
          <w:rFonts w:ascii="Arial" w:hAnsi="Arial"/>
          <w:i/>
          <w:sz w:val="20"/>
        </w:rPr>
        <w:t>A. K. </w:t>
      </w:r>
      <w:proofErr w:type="spellStart"/>
      <w:r w:rsidRPr="00244C8D">
        <w:rPr>
          <w:rFonts w:ascii="Arial" w:hAnsi="Arial"/>
          <w:i/>
          <w:sz w:val="20"/>
        </w:rPr>
        <w:t>Kariņš</w:t>
      </w:r>
      <w:proofErr w:type="spellEnd"/>
    </w:p>
    <w:p w14:paraId="061EEB28" w14:textId="2B193DB1" w:rsidR="004A7FAC" w:rsidRPr="00244C8D" w:rsidRDefault="009454A1" w:rsidP="009454A1">
      <w:pPr>
        <w:shd w:val="clear" w:color="auto" w:fill="FFFFFF"/>
        <w:spacing w:after="0" w:line="240" w:lineRule="auto"/>
        <w:jc w:val="right"/>
        <w:rPr>
          <w:rFonts w:ascii="Arial" w:eastAsia="Times New Roman" w:hAnsi="Arial" w:cs="Arial"/>
          <w:sz w:val="20"/>
          <w:szCs w:val="20"/>
        </w:rPr>
      </w:pPr>
      <w:r w:rsidRPr="00244C8D">
        <w:rPr>
          <w:rFonts w:ascii="Arial" w:hAnsi="Arial"/>
          <w:sz w:val="20"/>
        </w:rPr>
        <w:br/>
        <w:t>Ministro de Medio Ambiente</w:t>
      </w:r>
      <w:r w:rsidRPr="00244C8D">
        <w:rPr>
          <w:rFonts w:ascii="Arial" w:hAnsi="Arial"/>
          <w:sz w:val="20"/>
        </w:rPr>
        <w:br/>
        <w:t>Protección y Desarrollo Regional</w:t>
      </w:r>
      <w:r w:rsidR="00A12D6A" w:rsidRPr="00244C8D">
        <w:rPr>
          <w:rFonts w:ascii="Arial" w:hAnsi="Arial"/>
          <w:sz w:val="20"/>
        </w:rPr>
        <w:t xml:space="preserve">  </w:t>
      </w:r>
      <w:r w:rsidRPr="00244C8D">
        <w:rPr>
          <w:rFonts w:ascii="Arial" w:hAnsi="Arial"/>
          <w:i/>
          <w:sz w:val="20"/>
        </w:rPr>
        <w:t xml:space="preserve">J. </w:t>
      </w:r>
      <w:proofErr w:type="spellStart"/>
      <w:r w:rsidRPr="00244C8D">
        <w:rPr>
          <w:rFonts w:ascii="Arial" w:hAnsi="Arial"/>
          <w:i/>
          <w:sz w:val="20"/>
        </w:rPr>
        <w:t>Pūce</w:t>
      </w:r>
      <w:proofErr w:type="spellEnd"/>
    </w:p>
    <w:sectPr w:rsidR="004A7FAC" w:rsidRPr="00244C8D">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13ABA" w14:textId="77777777" w:rsidR="00B80862" w:rsidRDefault="00B80862" w:rsidP="00244C8D">
      <w:pPr>
        <w:spacing w:after="0" w:line="240" w:lineRule="auto"/>
      </w:pPr>
      <w:r>
        <w:separator/>
      </w:r>
    </w:p>
  </w:endnote>
  <w:endnote w:type="continuationSeparator" w:id="0">
    <w:p w14:paraId="15A44499" w14:textId="77777777" w:rsidR="00B80862" w:rsidRDefault="00B80862" w:rsidP="00244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DE15C" w14:textId="77777777" w:rsidR="00244C8D" w:rsidRDefault="00244C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A964" w14:textId="77777777" w:rsidR="00244C8D" w:rsidRDefault="00244C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D89F7" w14:textId="77777777" w:rsidR="00244C8D" w:rsidRDefault="00244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79AFE" w14:textId="77777777" w:rsidR="00B80862" w:rsidRDefault="00B80862" w:rsidP="00244C8D">
      <w:pPr>
        <w:spacing w:after="0" w:line="240" w:lineRule="auto"/>
      </w:pPr>
      <w:r>
        <w:separator/>
      </w:r>
    </w:p>
  </w:footnote>
  <w:footnote w:type="continuationSeparator" w:id="0">
    <w:p w14:paraId="51BEA544" w14:textId="77777777" w:rsidR="00B80862" w:rsidRDefault="00B80862" w:rsidP="00244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E2D04" w14:textId="77777777" w:rsidR="00244C8D" w:rsidRDefault="00244C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977B4" w14:textId="77777777" w:rsidR="00244C8D" w:rsidRDefault="00244C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651D9" w14:textId="77777777" w:rsidR="00244C8D" w:rsidRDefault="00244C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A1"/>
    <w:rsid w:val="00244C8D"/>
    <w:rsid w:val="003D4892"/>
    <w:rsid w:val="004A7FAC"/>
    <w:rsid w:val="006D6452"/>
    <w:rsid w:val="009454A1"/>
    <w:rsid w:val="00A12D6A"/>
    <w:rsid w:val="00B808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E062"/>
  <w15:chartTrackingRefBased/>
  <w15:docId w15:val="{68374386-0AF3-4EB1-B54A-53CF88B5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54A1"/>
    <w:rPr>
      <w:color w:val="0000FF"/>
      <w:u w:val="single"/>
    </w:rPr>
  </w:style>
  <w:style w:type="paragraph" w:customStyle="1" w:styleId="tv213">
    <w:name w:val="tv213"/>
    <w:basedOn w:val="Normal"/>
    <w:rsid w:val="009454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9454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3D4892"/>
    <w:pPr>
      <w:ind w:left="720"/>
      <w:contextualSpacing/>
    </w:pPr>
  </w:style>
  <w:style w:type="paragraph" w:styleId="Header">
    <w:name w:val="header"/>
    <w:basedOn w:val="Normal"/>
    <w:link w:val="HeaderChar"/>
    <w:uiPriority w:val="99"/>
    <w:unhideWhenUsed/>
    <w:rsid w:val="00244C8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44C8D"/>
  </w:style>
  <w:style w:type="paragraph" w:styleId="Footer">
    <w:name w:val="footer"/>
    <w:basedOn w:val="Normal"/>
    <w:link w:val="FooterChar"/>
    <w:uiPriority w:val="99"/>
    <w:unhideWhenUsed/>
    <w:rsid w:val="00244C8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44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688990">
      <w:bodyDiv w:val="1"/>
      <w:marLeft w:val="0"/>
      <w:marRight w:val="0"/>
      <w:marTop w:val="0"/>
      <w:marBottom w:val="0"/>
      <w:divBdr>
        <w:top w:val="none" w:sz="0" w:space="0" w:color="auto"/>
        <w:left w:val="none" w:sz="0" w:space="0" w:color="auto"/>
        <w:bottom w:val="none" w:sz="0" w:space="0" w:color="auto"/>
        <w:right w:val="none" w:sz="0" w:space="0" w:color="auto"/>
      </w:divBdr>
      <w:divsChild>
        <w:div w:id="636107544">
          <w:marLeft w:val="0"/>
          <w:marRight w:val="0"/>
          <w:marTop w:val="480"/>
          <w:marBottom w:val="240"/>
          <w:divBdr>
            <w:top w:val="none" w:sz="0" w:space="0" w:color="auto"/>
            <w:left w:val="none" w:sz="0" w:space="0" w:color="auto"/>
            <w:bottom w:val="none" w:sz="0" w:space="0" w:color="auto"/>
            <w:right w:val="none" w:sz="0" w:space="0" w:color="auto"/>
          </w:divBdr>
        </w:div>
        <w:div w:id="596983564">
          <w:marLeft w:val="0"/>
          <w:marRight w:val="0"/>
          <w:marTop w:val="0"/>
          <w:marBottom w:val="567"/>
          <w:divBdr>
            <w:top w:val="none" w:sz="0" w:space="0" w:color="auto"/>
            <w:left w:val="none" w:sz="0" w:space="0" w:color="auto"/>
            <w:bottom w:val="none" w:sz="0" w:space="0" w:color="auto"/>
            <w:right w:val="none" w:sz="0" w:space="0" w:color="auto"/>
          </w:divBdr>
        </w:div>
        <w:div w:id="1481310782">
          <w:marLeft w:val="0"/>
          <w:marRight w:val="0"/>
          <w:marTop w:val="0"/>
          <w:marBottom w:val="567"/>
          <w:divBdr>
            <w:top w:val="none" w:sz="0" w:space="0" w:color="auto"/>
            <w:left w:val="none" w:sz="0" w:space="0" w:color="auto"/>
            <w:bottom w:val="none" w:sz="0" w:space="0" w:color="auto"/>
            <w:right w:val="none" w:sz="0" w:space="0" w:color="auto"/>
          </w:divBdr>
        </w:div>
        <w:div w:id="403190055">
          <w:marLeft w:val="0"/>
          <w:marRight w:val="0"/>
          <w:marTop w:val="0"/>
          <w:marBottom w:val="0"/>
          <w:divBdr>
            <w:top w:val="none" w:sz="0" w:space="0" w:color="auto"/>
            <w:left w:val="none" w:sz="0" w:space="0" w:color="auto"/>
            <w:bottom w:val="none" w:sz="0" w:space="0" w:color="auto"/>
            <w:right w:val="none" w:sz="0" w:space="0" w:color="auto"/>
          </w:divBdr>
        </w:div>
        <w:div w:id="1039670786">
          <w:marLeft w:val="0"/>
          <w:marRight w:val="0"/>
          <w:marTop w:val="0"/>
          <w:marBottom w:val="0"/>
          <w:divBdr>
            <w:top w:val="none" w:sz="0" w:space="0" w:color="auto"/>
            <w:left w:val="none" w:sz="0" w:space="0" w:color="auto"/>
            <w:bottom w:val="none" w:sz="0" w:space="0" w:color="auto"/>
            <w:right w:val="none" w:sz="0" w:space="0" w:color="auto"/>
          </w:divBdr>
        </w:div>
        <w:div w:id="907685654">
          <w:marLeft w:val="0"/>
          <w:marRight w:val="0"/>
          <w:marTop w:val="0"/>
          <w:marBottom w:val="0"/>
          <w:divBdr>
            <w:top w:val="none" w:sz="0" w:space="0" w:color="auto"/>
            <w:left w:val="none" w:sz="0" w:space="0" w:color="auto"/>
            <w:bottom w:val="none" w:sz="0" w:space="0" w:color="auto"/>
            <w:right w:val="none" w:sz="0" w:space="0" w:color="auto"/>
          </w:divBdr>
        </w:div>
        <w:div w:id="1805612906">
          <w:marLeft w:val="0"/>
          <w:marRight w:val="0"/>
          <w:marTop w:val="0"/>
          <w:marBottom w:val="0"/>
          <w:divBdr>
            <w:top w:val="none" w:sz="0" w:space="0" w:color="auto"/>
            <w:left w:val="none" w:sz="0" w:space="0" w:color="auto"/>
            <w:bottom w:val="none" w:sz="0" w:space="0" w:color="auto"/>
            <w:right w:val="none" w:sz="0" w:space="0" w:color="auto"/>
          </w:divBdr>
        </w:div>
        <w:div w:id="1184321667">
          <w:marLeft w:val="0"/>
          <w:marRight w:val="0"/>
          <w:marTop w:val="0"/>
          <w:marBottom w:val="0"/>
          <w:divBdr>
            <w:top w:val="none" w:sz="0" w:space="0" w:color="auto"/>
            <w:left w:val="none" w:sz="0" w:space="0" w:color="auto"/>
            <w:bottom w:val="none" w:sz="0" w:space="0" w:color="auto"/>
            <w:right w:val="none" w:sz="0" w:space="0" w:color="auto"/>
          </w:divBdr>
        </w:div>
        <w:div w:id="1350833806">
          <w:marLeft w:val="0"/>
          <w:marRight w:val="0"/>
          <w:marTop w:val="0"/>
          <w:marBottom w:val="0"/>
          <w:divBdr>
            <w:top w:val="none" w:sz="0" w:space="0" w:color="auto"/>
            <w:left w:val="none" w:sz="0" w:space="0" w:color="auto"/>
            <w:bottom w:val="none" w:sz="0" w:space="0" w:color="auto"/>
            <w:right w:val="none" w:sz="0" w:space="0" w:color="auto"/>
          </w:divBdr>
        </w:div>
        <w:div w:id="1589734655">
          <w:marLeft w:val="0"/>
          <w:marRight w:val="0"/>
          <w:marTop w:val="0"/>
          <w:marBottom w:val="0"/>
          <w:divBdr>
            <w:top w:val="none" w:sz="0" w:space="0" w:color="auto"/>
            <w:left w:val="none" w:sz="0" w:space="0" w:color="auto"/>
            <w:bottom w:val="none" w:sz="0" w:space="0" w:color="auto"/>
            <w:right w:val="none" w:sz="0" w:space="0" w:color="auto"/>
          </w:divBdr>
        </w:div>
        <w:div w:id="580800455">
          <w:marLeft w:val="0"/>
          <w:marRight w:val="0"/>
          <w:marTop w:val="0"/>
          <w:marBottom w:val="0"/>
          <w:divBdr>
            <w:top w:val="none" w:sz="0" w:space="0" w:color="auto"/>
            <w:left w:val="none" w:sz="0" w:space="0" w:color="auto"/>
            <w:bottom w:val="none" w:sz="0" w:space="0" w:color="auto"/>
            <w:right w:val="none" w:sz="0" w:space="0" w:color="auto"/>
          </w:divBdr>
        </w:div>
        <w:div w:id="746077572">
          <w:marLeft w:val="0"/>
          <w:marRight w:val="0"/>
          <w:marTop w:val="0"/>
          <w:marBottom w:val="0"/>
          <w:divBdr>
            <w:top w:val="none" w:sz="0" w:space="0" w:color="auto"/>
            <w:left w:val="none" w:sz="0" w:space="0" w:color="auto"/>
            <w:bottom w:val="none" w:sz="0" w:space="0" w:color="auto"/>
            <w:right w:val="none" w:sz="0" w:space="0" w:color="auto"/>
          </w:divBdr>
        </w:div>
        <w:div w:id="407073039">
          <w:marLeft w:val="0"/>
          <w:marRight w:val="0"/>
          <w:marTop w:val="0"/>
          <w:marBottom w:val="0"/>
          <w:divBdr>
            <w:top w:val="none" w:sz="0" w:space="0" w:color="auto"/>
            <w:left w:val="none" w:sz="0" w:space="0" w:color="auto"/>
            <w:bottom w:val="none" w:sz="0" w:space="0" w:color="auto"/>
            <w:right w:val="none" w:sz="0" w:space="0" w:color="auto"/>
          </w:divBdr>
        </w:div>
        <w:div w:id="2012874199">
          <w:marLeft w:val="0"/>
          <w:marRight w:val="0"/>
          <w:marTop w:val="0"/>
          <w:marBottom w:val="0"/>
          <w:divBdr>
            <w:top w:val="none" w:sz="0" w:space="0" w:color="auto"/>
            <w:left w:val="none" w:sz="0" w:space="0" w:color="auto"/>
            <w:bottom w:val="none" w:sz="0" w:space="0" w:color="auto"/>
            <w:right w:val="none" w:sz="0" w:space="0" w:color="auto"/>
          </w:divBdr>
        </w:div>
        <w:div w:id="237978435">
          <w:marLeft w:val="0"/>
          <w:marRight w:val="0"/>
          <w:marTop w:val="0"/>
          <w:marBottom w:val="0"/>
          <w:divBdr>
            <w:top w:val="none" w:sz="0" w:space="0" w:color="auto"/>
            <w:left w:val="none" w:sz="0" w:space="0" w:color="auto"/>
            <w:bottom w:val="none" w:sz="0" w:space="0" w:color="auto"/>
            <w:right w:val="none" w:sz="0" w:space="0" w:color="auto"/>
          </w:divBdr>
        </w:div>
        <w:div w:id="2096784283">
          <w:marLeft w:val="0"/>
          <w:marRight w:val="0"/>
          <w:marTop w:val="0"/>
          <w:marBottom w:val="0"/>
          <w:divBdr>
            <w:top w:val="none" w:sz="0" w:space="0" w:color="auto"/>
            <w:left w:val="none" w:sz="0" w:space="0" w:color="auto"/>
            <w:bottom w:val="none" w:sz="0" w:space="0" w:color="auto"/>
            <w:right w:val="none" w:sz="0" w:space="0" w:color="auto"/>
          </w:divBdr>
        </w:div>
        <w:div w:id="1490975845">
          <w:marLeft w:val="0"/>
          <w:marRight w:val="0"/>
          <w:marTop w:val="0"/>
          <w:marBottom w:val="0"/>
          <w:divBdr>
            <w:top w:val="none" w:sz="0" w:space="0" w:color="auto"/>
            <w:left w:val="none" w:sz="0" w:space="0" w:color="auto"/>
            <w:bottom w:val="none" w:sz="0" w:space="0" w:color="auto"/>
            <w:right w:val="none" w:sz="0" w:space="0" w:color="auto"/>
          </w:divBdr>
        </w:div>
        <w:div w:id="1767996341">
          <w:marLeft w:val="0"/>
          <w:marRight w:val="0"/>
          <w:marTop w:val="0"/>
          <w:marBottom w:val="0"/>
          <w:divBdr>
            <w:top w:val="none" w:sz="0" w:space="0" w:color="auto"/>
            <w:left w:val="none" w:sz="0" w:space="0" w:color="auto"/>
            <w:bottom w:val="none" w:sz="0" w:space="0" w:color="auto"/>
            <w:right w:val="none" w:sz="0" w:space="0" w:color="auto"/>
          </w:divBdr>
        </w:div>
        <w:div w:id="115877267">
          <w:marLeft w:val="0"/>
          <w:marRight w:val="0"/>
          <w:marTop w:val="0"/>
          <w:marBottom w:val="0"/>
          <w:divBdr>
            <w:top w:val="none" w:sz="0" w:space="0" w:color="auto"/>
            <w:left w:val="none" w:sz="0" w:space="0" w:color="auto"/>
            <w:bottom w:val="none" w:sz="0" w:space="0" w:color="auto"/>
            <w:right w:val="none" w:sz="0" w:space="0" w:color="auto"/>
          </w:divBdr>
        </w:div>
        <w:div w:id="475689272">
          <w:marLeft w:val="0"/>
          <w:marRight w:val="0"/>
          <w:marTop w:val="0"/>
          <w:marBottom w:val="0"/>
          <w:divBdr>
            <w:top w:val="none" w:sz="0" w:space="0" w:color="auto"/>
            <w:left w:val="none" w:sz="0" w:space="0" w:color="auto"/>
            <w:bottom w:val="none" w:sz="0" w:space="0" w:color="auto"/>
            <w:right w:val="none" w:sz="0" w:space="0" w:color="auto"/>
          </w:divBdr>
        </w:div>
        <w:div w:id="770783635">
          <w:marLeft w:val="0"/>
          <w:marRight w:val="0"/>
          <w:marTop w:val="0"/>
          <w:marBottom w:val="0"/>
          <w:divBdr>
            <w:top w:val="none" w:sz="0" w:space="0" w:color="auto"/>
            <w:left w:val="none" w:sz="0" w:space="0" w:color="auto"/>
            <w:bottom w:val="none" w:sz="0" w:space="0" w:color="auto"/>
            <w:right w:val="none" w:sz="0" w:space="0" w:color="auto"/>
          </w:divBdr>
        </w:div>
        <w:div w:id="1365323535">
          <w:marLeft w:val="0"/>
          <w:marRight w:val="0"/>
          <w:marTop w:val="0"/>
          <w:marBottom w:val="0"/>
          <w:divBdr>
            <w:top w:val="none" w:sz="0" w:space="0" w:color="auto"/>
            <w:left w:val="none" w:sz="0" w:space="0" w:color="auto"/>
            <w:bottom w:val="none" w:sz="0" w:space="0" w:color="auto"/>
            <w:right w:val="none" w:sz="0" w:space="0" w:color="auto"/>
          </w:divBdr>
        </w:div>
        <w:div w:id="1722047913">
          <w:marLeft w:val="0"/>
          <w:marRight w:val="0"/>
          <w:marTop w:val="0"/>
          <w:marBottom w:val="0"/>
          <w:divBdr>
            <w:top w:val="none" w:sz="0" w:space="0" w:color="auto"/>
            <w:left w:val="none" w:sz="0" w:space="0" w:color="auto"/>
            <w:bottom w:val="none" w:sz="0" w:space="0" w:color="auto"/>
            <w:right w:val="none" w:sz="0" w:space="0" w:color="auto"/>
          </w:divBdr>
        </w:div>
        <w:div w:id="1155075372">
          <w:marLeft w:val="0"/>
          <w:marRight w:val="0"/>
          <w:marTop w:val="0"/>
          <w:marBottom w:val="0"/>
          <w:divBdr>
            <w:top w:val="none" w:sz="0" w:space="0" w:color="auto"/>
            <w:left w:val="none" w:sz="0" w:space="0" w:color="auto"/>
            <w:bottom w:val="none" w:sz="0" w:space="0" w:color="auto"/>
            <w:right w:val="none" w:sz="0" w:space="0" w:color="auto"/>
          </w:divBdr>
        </w:div>
        <w:div w:id="1343043494">
          <w:marLeft w:val="0"/>
          <w:marRight w:val="0"/>
          <w:marTop w:val="0"/>
          <w:marBottom w:val="0"/>
          <w:divBdr>
            <w:top w:val="none" w:sz="0" w:space="0" w:color="auto"/>
            <w:left w:val="none" w:sz="0" w:space="0" w:color="auto"/>
            <w:bottom w:val="none" w:sz="0" w:space="0" w:color="auto"/>
            <w:right w:val="none" w:sz="0" w:space="0" w:color="auto"/>
          </w:divBdr>
        </w:div>
        <w:div w:id="66080751">
          <w:marLeft w:val="0"/>
          <w:marRight w:val="0"/>
          <w:marTop w:val="0"/>
          <w:marBottom w:val="0"/>
          <w:divBdr>
            <w:top w:val="none" w:sz="0" w:space="0" w:color="auto"/>
            <w:left w:val="none" w:sz="0" w:space="0" w:color="auto"/>
            <w:bottom w:val="none" w:sz="0" w:space="0" w:color="auto"/>
            <w:right w:val="none" w:sz="0" w:space="0" w:color="auto"/>
          </w:divBdr>
        </w:div>
        <w:div w:id="65388005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17388" TargetMode="External"/><Relationship Id="rId13" Type="http://schemas.openxmlformats.org/officeDocument/2006/relationships/hyperlink" Target="https://likumi.lv/ta/id/317388"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https://likumi.lv/ta/id/12484-par-radiacijas-drosibu-un-kodoldrosibu" TargetMode="External"/><Relationship Id="rId12" Type="http://schemas.openxmlformats.org/officeDocument/2006/relationships/hyperlink" Target="https://likumi.lv/ta/id/317388"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likumi.lv/ta/id/12484-par-radiacijas-drosibu-un-kodoldrosibu" TargetMode="External"/><Relationship Id="rId11" Type="http://schemas.openxmlformats.org/officeDocument/2006/relationships/hyperlink" Target="https://likumi.lv/ta/id/317388" TargetMode="External"/><Relationship Id="rId5" Type="http://schemas.openxmlformats.org/officeDocument/2006/relationships/endnotes" Target="endnotes.xml"/><Relationship Id="rId15" Type="http://schemas.openxmlformats.org/officeDocument/2006/relationships/hyperlink" Target="https://likumi.lv/ta/id/317388" TargetMode="External"/><Relationship Id="rId23" Type="http://schemas.openxmlformats.org/officeDocument/2006/relationships/theme" Target="theme/theme1.xml"/><Relationship Id="rId10" Type="http://schemas.openxmlformats.org/officeDocument/2006/relationships/hyperlink" Target="https://likumi.lv/ta/id/317388"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eur-lex.europa.eu/eli/reg/1987/2658/oj/?locale=LV" TargetMode="External"/><Relationship Id="rId14" Type="http://schemas.openxmlformats.org/officeDocument/2006/relationships/hyperlink" Target="https://likumi.lv/ta/id/31738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1892</Words>
  <Characters>9805</Characters>
  <Application>Microsoft Office Word</Application>
  <DocSecurity>0</DocSecurity>
  <Lines>196</Lines>
  <Paragraphs>69</Paragraphs>
  <ScaleCrop>false</ScaleCrop>
  <Company/>
  <LinksUpToDate>false</LinksUpToDate>
  <CharactersWithSpaces>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Normunds Freibergs</dc:creator>
  <cp:keywords/>
  <dc:description/>
  <cp:lastModifiedBy>Ines Varvodic</cp:lastModifiedBy>
  <cp:revision>3</cp:revision>
  <dcterms:created xsi:type="dcterms:W3CDTF">2021-12-28T14:47:00Z</dcterms:created>
  <dcterms:modified xsi:type="dcterms:W3CDTF">2021-12-28T15:04:00Z</dcterms:modified>
</cp:coreProperties>
</file>