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A0965" w14:textId="77777777" w:rsidR="009454A1" w:rsidRPr="009454A1" w:rsidRDefault="009454A1" w:rsidP="006D6452">
      <w:pPr>
        <w:shd w:val="clear" w:color="auto" w:fill="FFFFFF"/>
        <w:spacing w:line="240" w:lineRule="auto"/>
        <w:ind w:firstLine="720"/>
        <w:jc w:val="right"/>
        <w:rPr>
          <w:rFonts w:ascii="Arial" w:eastAsia="Times New Roman" w:hAnsi="Arial" w:cs="Arial"/>
          <w:color w:val="414142"/>
          <w:sz w:val="20"/>
          <w:szCs w:val="20"/>
        </w:rPr>
      </w:pPr>
      <w:r>
        <w:rPr>
          <w:rFonts w:ascii="Arial" w:hAnsi="Arial"/>
          <w:b/>
          <w:color w:val="414142"/>
          <w:sz w:val="20"/>
        </w:rPr>
        <w:t>Rozporządzenie Rady Ministrów nr 576</w:t>
      </w:r>
      <w:r>
        <w:rPr>
          <w:rFonts w:ascii="Arial" w:hAnsi="Arial"/>
          <w:color w:val="414142"/>
          <w:sz w:val="20"/>
        </w:rPr>
        <w:br/>
      </w:r>
      <w:r w:rsidRPr="00642FC4">
        <w:rPr>
          <w:rFonts w:ascii="Arial" w:hAnsi="Arial"/>
          <w:sz w:val="20"/>
        </w:rPr>
        <w:br/>
        <w:t>Ryga, 15 września 2020 r. (protokół nr 54 § 41)</w:t>
      </w:r>
    </w:p>
    <w:p w14:paraId="1C774C79" w14:textId="77777777" w:rsidR="009454A1" w:rsidRPr="009454A1" w:rsidRDefault="009454A1" w:rsidP="009454A1">
      <w:pPr>
        <w:shd w:val="clear" w:color="auto" w:fill="FFFFFF"/>
        <w:spacing w:line="240" w:lineRule="auto"/>
        <w:jc w:val="center"/>
        <w:rPr>
          <w:rFonts w:ascii="Arial" w:eastAsia="Times New Roman" w:hAnsi="Arial" w:cs="Arial"/>
          <w:b/>
          <w:bCs/>
          <w:color w:val="414142"/>
          <w:sz w:val="32"/>
          <w:szCs w:val="32"/>
        </w:rPr>
      </w:pPr>
      <w:r>
        <w:rPr>
          <w:rFonts w:ascii="Arial" w:hAnsi="Arial"/>
          <w:b/>
          <w:color w:val="414142"/>
          <w:sz w:val="32"/>
        </w:rPr>
        <w:t>Wymagania dotyczące ochrony przed promieniowaniem jonizującym radionuklidu cezu-137 (zwanego dalej radionuklidem 137Cs) zawartego w drewnie importowanym na Łotwę z innego kraju</w:t>
      </w:r>
    </w:p>
    <w:p w14:paraId="27BD7D33" w14:textId="7428EA6A" w:rsidR="009454A1" w:rsidRPr="009454A1" w:rsidRDefault="009454A1" w:rsidP="009454A1">
      <w:pPr>
        <w:shd w:val="clear" w:color="auto" w:fill="FFFFFF"/>
        <w:spacing w:line="240" w:lineRule="auto"/>
        <w:jc w:val="right"/>
        <w:rPr>
          <w:rFonts w:ascii="Arial" w:eastAsia="Times New Roman" w:hAnsi="Arial" w:cs="Arial"/>
          <w:i/>
          <w:iCs/>
          <w:color w:val="414142"/>
          <w:sz w:val="20"/>
          <w:szCs w:val="20"/>
        </w:rPr>
      </w:pPr>
      <w:r w:rsidRPr="00642FC4">
        <w:rPr>
          <w:rFonts w:ascii="Arial" w:hAnsi="Arial"/>
          <w:i/>
          <w:sz w:val="20"/>
        </w:rPr>
        <w:t>Wydane na mocy</w:t>
      </w:r>
      <w:r>
        <w:br/>
      </w:r>
      <w:r w:rsidR="00642FC4" w:rsidRPr="00642FC4">
        <w:rPr>
          <w:rFonts w:ascii="Arial" w:hAnsi="Arial" w:cs="Arial"/>
          <w:sz w:val="20"/>
          <w:szCs w:val="20"/>
        </w:rPr>
        <w:t>„</w:t>
      </w:r>
      <w:hyperlink r:id="rId4" w:tgtFrame="_blank" w:history="1">
        <w:r>
          <w:rPr>
            <w:rFonts w:ascii="Arial" w:hAnsi="Arial"/>
            <w:i/>
            <w:color w:val="16497B"/>
            <w:sz w:val="20"/>
            <w:u w:val="single"/>
          </w:rPr>
          <w:t>ustawy w sprawie ochrony radiologicznej i bezpieczeństwa jądrowego</w:t>
        </w:r>
      </w:hyperlink>
      <w:r w:rsidR="00642FC4" w:rsidRPr="00642FC4">
        <w:rPr>
          <w:rFonts w:ascii="Arial" w:hAnsi="Arial"/>
          <w:i/>
          <w:sz w:val="20"/>
        </w:rPr>
        <w:t>“</w:t>
      </w:r>
      <w:r>
        <w:br/>
      </w:r>
      <w:hyperlink r:id="rId5" w:anchor="p3" w:tgtFrame="_blank" w:history="1">
        <w:r>
          <w:rPr>
            <w:rFonts w:ascii="Arial" w:hAnsi="Arial"/>
            <w:i/>
            <w:color w:val="16497B"/>
            <w:sz w:val="20"/>
            <w:u w:val="single"/>
          </w:rPr>
          <w:t>art. 3 ust. 3</w:t>
        </w:r>
      </w:hyperlink>
    </w:p>
    <w:p w14:paraId="2B78CCB2"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0" w:name="p1"/>
      <w:bookmarkStart w:id="1" w:name="p-750743"/>
      <w:bookmarkEnd w:id="0"/>
      <w:bookmarkEnd w:id="1"/>
      <w:r w:rsidRPr="00642FC4">
        <w:rPr>
          <w:rFonts w:ascii="Arial" w:hAnsi="Arial"/>
          <w:sz w:val="20"/>
        </w:rPr>
        <w:t xml:space="preserve">1. Rozporządzenie ustanawia wymagania dotyczące ochrony przed promieniowaniem jonizującym radionuklidu cezu-137 (zwanego dalej radionuklidem </w:t>
      </w:r>
      <w:r w:rsidRPr="00642FC4">
        <w:rPr>
          <w:rFonts w:ascii="Arial" w:hAnsi="Arial"/>
          <w:sz w:val="20"/>
          <w:vertAlign w:val="superscript"/>
        </w:rPr>
        <w:t>137</w:t>
      </w:r>
      <w:r w:rsidRPr="00642FC4">
        <w:rPr>
          <w:rFonts w:ascii="Arial" w:hAnsi="Arial"/>
          <w:sz w:val="20"/>
        </w:rPr>
        <w:t>Cs) zawartego w drewnie importowanym na Łotwę z innego kraju.</w:t>
      </w:r>
    </w:p>
    <w:p w14:paraId="545180DC"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C95A9A"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 w:name="p2"/>
      <w:bookmarkStart w:id="3" w:name="p-750744"/>
      <w:bookmarkEnd w:id="2"/>
      <w:bookmarkEnd w:id="3"/>
      <w:r w:rsidRPr="00642FC4">
        <w:rPr>
          <w:rFonts w:ascii="Arial" w:hAnsi="Arial"/>
          <w:sz w:val="20"/>
        </w:rPr>
        <w:t>2. Do celów niniejszego rozporządzenia:</w:t>
      </w:r>
    </w:p>
    <w:p w14:paraId="28A5A841"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 xml:space="preserve">2.1. importer drewna – podmiot gospodarczy, który przywozi z innego kraju na Łotwę drewno objęte kodami Nomenklatury scalonej określonymi w </w:t>
      </w:r>
      <w:hyperlink r:id="rId6" w:anchor="p3" w:history="1">
        <w:r w:rsidRPr="00642FC4">
          <w:rPr>
            <w:rFonts w:ascii="Arial" w:hAnsi="Arial"/>
            <w:color w:val="2F5496" w:themeColor="accent1" w:themeShade="BF"/>
            <w:sz w:val="20"/>
            <w:u w:val="single"/>
          </w:rPr>
          <w:t>ust. 3</w:t>
        </w:r>
      </w:hyperlink>
      <w:r w:rsidRPr="00642FC4">
        <w:rPr>
          <w:rFonts w:ascii="Arial" w:hAnsi="Arial"/>
          <w:sz w:val="20"/>
        </w:rPr>
        <w:t xml:space="preserve"> niniejszego rozporządzenia, na mocy rozporządzenia Rady nr</w:t>
      </w:r>
      <w:hyperlink r:id="rId7" w:tgtFrame="_blank" w:history="1">
        <w:r w:rsidRPr="00642FC4">
          <w:rPr>
            <w:rFonts w:ascii="Arial" w:hAnsi="Arial"/>
            <w:sz w:val="20"/>
          </w:rPr>
          <w:t> </w:t>
        </w:r>
        <w:r w:rsidRPr="00642FC4">
          <w:rPr>
            <w:rFonts w:ascii="Arial" w:hAnsi="Arial"/>
            <w:color w:val="2F5496" w:themeColor="accent1" w:themeShade="BF"/>
            <w:sz w:val="20"/>
            <w:u w:val="single"/>
          </w:rPr>
          <w:t>2658/87</w:t>
        </w:r>
      </w:hyperlink>
      <w:r w:rsidRPr="00642FC4">
        <w:rPr>
          <w:rFonts w:ascii="Arial" w:hAnsi="Arial"/>
          <w:sz w:val="20"/>
        </w:rPr>
        <w:t xml:space="preserve"> z dnia 23 lipca 1987 r. w sprawie nomenklatury taryfowej i statystycznej oraz w sprawie Wspólnej Taryfy Celnej, a wartość wspomnianego drewna przekracza 300 EUR, jak wynika z dokumentów towarzyszących;</w:t>
      </w:r>
    </w:p>
    <w:p w14:paraId="76348513"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 xml:space="preserve">2.2. nabywca drewna – osoba, która kupuje drewno przywożone z innego kraju do celów prowadzenia działalności na Łotwie (w tym operatorzy obiektów energetycznego spalania i przetwórcy drewna); </w:t>
      </w:r>
    </w:p>
    <w:p w14:paraId="57E22456"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 xml:space="preserve">2.3. sprawozdanie z badania promieniowania – dokument przedstawiający poziom radioaktywności właściwej radionuklidu </w:t>
      </w:r>
      <w:r w:rsidRPr="00642FC4">
        <w:rPr>
          <w:rFonts w:ascii="Arial" w:hAnsi="Arial"/>
          <w:sz w:val="20"/>
          <w:vertAlign w:val="superscript"/>
        </w:rPr>
        <w:t>137</w:t>
      </w:r>
      <w:r w:rsidRPr="00642FC4">
        <w:rPr>
          <w:rFonts w:ascii="Arial" w:hAnsi="Arial"/>
          <w:sz w:val="20"/>
        </w:rPr>
        <w:t>Cs zawartego w ładunku, na przykład paszport radiologiczny wydany przez akredytowane laboratorium lub dokument wydany przez organ administracji leśnej kraju wysyłki z odniesieniem do odpowiedniego sprawozdania akredytowanego laboratorium bądź inny dokument przedstawiający poziom radioaktywności właściwej ładunku;</w:t>
      </w:r>
    </w:p>
    <w:p w14:paraId="1998C997"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2.4 popiół suchy – popiół drzewny podgrzewany do uzyskania stałej masy próbki;</w:t>
      </w:r>
    </w:p>
    <w:p w14:paraId="157A713C"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2.5 drewno suche – drzewno podgrzewane do uzyskania stałej masy próbki;</w:t>
      </w:r>
    </w:p>
    <w:p w14:paraId="1556DA4C"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2.6 popiół ciężki – popiół gromadzony w piecu obiektu energetycznego spalania;</w:t>
      </w:r>
    </w:p>
    <w:p w14:paraId="400164BC"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2.7 popiół lotny – popiół gromadzony w filtrach gazów spalinowych obiektu energetycznego spalania.</w:t>
      </w:r>
    </w:p>
    <w:p w14:paraId="108252F2" w14:textId="77777777" w:rsidR="003D4892" w:rsidRPr="00642FC4"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72B4CECD"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 w:name="p3"/>
      <w:bookmarkStart w:id="5" w:name="p-750745"/>
      <w:bookmarkEnd w:id="4"/>
      <w:bookmarkEnd w:id="5"/>
      <w:r w:rsidRPr="00642FC4">
        <w:rPr>
          <w:rFonts w:ascii="Arial" w:hAnsi="Arial"/>
          <w:sz w:val="20"/>
        </w:rPr>
        <w:t>3. Na potrzeby niniejszego rozporządzenia stosuje się następujące definicje drewna:</w:t>
      </w:r>
    </w:p>
    <w:p w14:paraId="1D6E73DA"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 xml:space="preserve">3.1. drewno opałowe w postaci kłód, szczap, gałęzi, wiązek chrustu lub podobnej postaci sklasyfikowane pod następującymi kodami Nomenklatury scalonej: </w:t>
      </w:r>
    </w:p>
    <w:p w14:paraId="315F42E5"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3.1.1. 4401 11 00 (drewno drzew iglastych);</w:t>
      </w:r>
    </w:p>
    <w:p w14:paraId="2E9616B8"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3.1.2. 4401 12 00 (inne drewno);</w:t>
      </w:r>
    </w:p>
    <w:p w14:paraId="4EF26E47"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3.2. drewno w postaci wiórów lub cząstek objęte następującymi kodami Nomenklatury scalonej:</w:t>
      </w:r>
    </w:p>
    <w:p w14:paraId="457D870A"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3.2.1. 4401 21 00 (drewno drzew iglastych);</w:t>
      </w:r>
    </w:p>
    <w:p w14:paraId="7BB25E06"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3.2.2. 4401 22 00 (inne drewno);</w:t>
      </w:r>
    </w:p>
    <w:p w14:paraId="04CE12C1"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lastRenderedPageBreak/>
        <w:t xml:space="preserve">3.3. trociny, drewno odpadowe i ścinki drewniane, aglomerowane w kłody, brykiety, granulki lub podobne formy objęte następującymi kodami Nomenklatury scalonej: </w:t>
      </w:r>
    </w:p>
    <w:p w14:paraId="70B23247"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3.3.1. 4401 31 00 (granulki drzewne);</w:t>
      </w:r>
    </w:p>
    <w:p w14:paraId="7F3FC886"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3.3.2. 4401 39 00 (inne);</w:t>
      </w:r>
    </w:p>
    <w:p w14:paraId="4CFCAAE6"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3.4. trociny, drewno odpadowe i ścinki drewniane, nieaglomerowane, objęte następującymi kodami Nomenklatury scalonej:</w:t>
      </w:r>
    </w:p>
    <w:p w14:paraId="14351AE4"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3.4.1. 4401 40 10 (trociny);</w:t>
      </w:r>
    </w:p>
    <w:p w14:paraId="54554E6E" w14:textId="77777777" w:rsidR="009454A1" w:rsidRPr="00642FC4"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642FC4">
        <w:rPr>
          <w:rFonts w:ascii="Arial" w:hAnsi="Arial"/>
          <w:sz w:val="20"/>
        </w:rPr>
        <w:t>3.4.2. 4401 40 90 (inne).</w:t>
      </w:r>
    </w:p>
    <w:p w14:paraId="67AEB53D" w14:textId="77777777" w:rsidR="003D4892" w:rsidRPr="00642FC4" w:rsidRDefault="003D4892" w:rsidP="009454A1">
      <w:pPr>
        <w:shd w:val="clear" w:color="auto" w:fill="FFFFFF"/>
        <w:spacing w:after="0" w:line="293" w:lineRule="atLeast"/>
        <w:ind w:left="900" w:firstLine="300"/>
        <w:jc w:val="both"/>
        <w:rPr>
          <w:rFonts w:ascii="Arial" w:eastAsia="Times New Roman" w:hAnsi="Arial" w:cs="Arial"/>
          <w:sz w:val="20"/>
          <w:szCs w:val="20"/>
          <w:lang w:eastAsia="lv-LV"/>
        </w:rPr>
      </w:pPr>
    </w:p>
    <w:p w14:paraId="346BD8DA"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6" w:name="p4"/>
      <w:bookmarkStart w:id="7" w:name="p-750746"/>
      <w:bookmarkEnd w:id="6"/>
      <w:bookmarkEnd w:id="7"/>
      <w:r w:rsidRPr="00642FC4">
        <w:rPr>
          <w:rFonts w:ascii="Arial" w:hAnsi="Arial"/>
          <w:sz w:val="20"/>
        </w:rPr>
        <w:t xml:space="preserve">4. Jeśli drewno przywożone jest na Łotwę na potrzeby zastosowania jako paliwo z biomasy, importer drewna zapewnia, aby na czas przywozu do dokumentów towarzyszących każdej partii dołączono oryginał lub poświadczoną kopię (w postaci drukowanej) sprawozdania z badania promieniowania potwierdzającego, że poziom radioaktywności właściwej radionuklidu </w:t>
      </w:r>
      <w:r w:rsidRPr="00642FC4">
        <w:rPr>
          <w:rFonts w:ascii="Arial" w:hAnsi="Arial"/>
          <w:sz w:val="20"/>
          <w:vertAlign w:val="superscript"/>
        </w:rPr>
        <w:t>137</w:t>
      </w:r>
      <w:r w:rsidRPr="00642FC4">
        <w:rPr>
          <w:rFonts w:ascii="Arial" w:hAnsi="Arial"/>
          <w:sz w:val="20"/>
        </w:rPr>
        <w:t>Cs zawartego w ładunku drewna nie przekracza 10 Bq/kg drewna suchego. Kopię sprawozdania z badania promieniowania poświadcza organizacja, która wydała dokument, lub importer drewna.</w:t>
      </w:r>
    </w:p>
    <w:p w14:paraId="286AE80E"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8553828"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8" w:name="p5"/>
      <w:bookmarkStart w:id="9" w:name="p-750747"/>
      <w:bookmarkEnd w:id="8"/>
      <w:bookmarkEnd w:id="9"/>
      <w:r w:rsidRPr="00642FC4">
        <w:rPr>
          <w:rFonts w:ascii="Arial" w:hAnsi="Arial"/>
          <w:sz w:val="20"/>
        </w:rPr>
        <w:t xml:space="preserve">5. Państwowy Urząd Ochrony Środowiska (zwany dalej, Urzędem) ma prawo do przeprowadzania badania radioaktywności właściwej drewna, aby uzyskać pewność, że poziom radioaktywności właściwej radionuklidu </w:t>
      </w:r>
      <w:r w:rsidRPr="00642FC4">
        <w:rPr>
          <w:rFonts w:ascii="Arial" w:hAnsi="Arial"/>
          <w:sz w:val="20"/>
          <w:vertAlign w:val="superscript"/>
        </w:rPr>
        <w:t>137</w:t>
      </w:r>
      <w:r w:rsidRPr="00642FC4">
        <w:rPr>
          <w:rFonts w:ascii="Arial" w:hAnsi="Arial"/>
          <w:sz w:val="20"/>
        </w:rPr>
        <w:t>Cs zawartego w ładunku drewna spełnia wymagania niniejszego rozporządzenia.</w:t>
      </w:r>
    </w:p>
    <w:p w14:paraId="68580C8D"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4E67C01" w14:textId="340851A2"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0" w:name="p6"/>
      <w:bookmarkStart w:id="11" w:name="p-750748"/>
      <w:bookmarkEnd w:id="10"/>
      <w:bookmarkEnd w:id="11"/>
      <w:r w:rsidRPr="00642FC4">
        <w:rPr>
          <w:rFonts w:ascii="Arial" w:hAnsi="Arial"/>
          <w:sz w:val="20"/>
        </w:rPr>
        <w:t xml:space="preserve">6. Badanie promieniowania określone w </w:t>
      </w:r>
      <w:hyperlink r:id="rId8" w:anchor="p4" w:history="1">
        <w:r w:rsidRPr="00642FC4">
          <w:rPr>
            <w:rFonts w:ascii="Arial" w:hAnsi="Arial"/>
            <w:color w:val="2F5496" w:themeColor="accent1" w:themeShade="BF"/>
            <w:sz w:val="20"/>
            <w:u w:val="single"/>
          </w:rPr>
          <w:t>ust. 4</w:t>
        </w:r>
      </w:hyperlink>
      <w:r w:rsidRPr="00642FC4">
        <w:rPr>
          <w:rFonts w:ascii="Arial" w:hAnsi="Arial"/>
          <w:sz w:val="20"/>
        </w:rPr>
        <w:t xml:space="preserve"> niniejszego rozporządzenia wykonuje się w jednym z następujących laboratoriów:</w:t>
      </w:r>
    </w:p>
    <w:p w14:paraId="692FF2B9"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6.1 w laboratorium akredytowanym przez kraj wysyłki;</w:t>
      </w:r>
    </w:p>
    <w:p w14:paraId="6F7FA488"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6.2 w laboratorium akredytowanym przez łotewską krajową jednostkę akredytującą zgodnie z zasadami i przepisami dotyczącymi oceny i akredytacji jednostek oceniających zgodność oraz nadzoru nad nimi;</w:t>
      </w:r>
    </w:p>
    <w:p w14:paraId="0ED7E2E1"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6.3 laboratorium akredytowanym w innym kraju Europejskiego Obszaru Gospodarczego.</w:t>
      </w:r>
    </w:p>
    <w:p w14:paraId="0B2793C1" w14:textId="77777777" w:rsidR="003D4892" w:rsidRPr="00642FC4"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085C0791"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2" w:name="p7"/>
      <w:bookmarkStart w:id="13" w:name="p-750749"/>
      <w:bookmarkEnd w:id="12"/>
      <w:bookmarkEnd w:id="13"/>
      <w:r w:rsidRPr="00642FC4">
        <w:rPr>
          <w:rFonts w:ascii="Arial" w:hAnsi="Arial"/>
          <w:sz w:val="20"/>
        </w:rPr>
        <w:t xml:space="preserve">7. Zabrania się przywozu drewna do stosowania jako paliwo z biomasy, jeśli jego poziom radioaktywności właściwej radionuklidu </w:t>
      </w:r>
      <w:r w:rsidRPr="00642FC4">
        <w:rPr>
          <w:rFonts w:ascii="Arial" w:hAnsi="Arial"/>
          <w:sz w:val="20"/>
          <w:vertAlign w:val="superscript"/>
        </w:rPr>
        <w:t>137</w:t>
      </w:r>
      <w:r w:rsidRPr="00642FC4">
        <w:rPr>
          <w:rFonts w:ascii="Arial" w:hAnsi="Arial"/>
          <w:sz w:val="20"/>
        </w:rPr>
        <w:t>Cs przekracza 10 Bq/kg w drewnie suchym.</w:t>
      </w:r>
    </w:p>
    <w:p w14:paraId="4D9AFED8"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E2F9503"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4" w:name="p8"/>
      <w:bookmarkStart w:id="15" w:name="p-750750"/>
      <w:bookmarkEnd w:id="14"/>
      <w:bookmarkEnd w:id="15"/>
      <w:r w:rsidRPr="00642FC4">
        <w:rPr>
          <w:rFonts w:ascii="Arial" w:hAnsi="Arial"/>
          <w:sz w:val="20"/>
        </w:rPr>
        <w:t>8. Jeśli drewno jest przywożone na potrzeby inne niż zastosowanie jako paliwo z biomasy, importer drewna zapewnia, aby do dokumentów towarzyszących każdej pozycji ładunku dołączono oryginał lub poświadczoną kopię (w postaci drukowanej w języku łotewskim lub angielskim) certyfikatu (zwanego dalej certyfikatem). Kopię certyfikatu poświadcza organizacja, która wydała dokument, lub importer drewna. Certyfikat przedstawia następujące informacje:</w:t>
      </w:r>
    </w:p>
    <w:p w14:paraId="12746730"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8.1. poświadczenie przez nabywcę drewna (o ile jest znany w momencie przywozu drewna) lub importera drewna, że drewno (również produkty przetwórstwa uzyskane z tego drewna, jeśli drewno ma być poddane po przywozie przetwórstwu na przykład na granulki) nie jest przeznaczone do zastosowania jako paliwo z biomasy na Łotwie;</w:t>
      </w:r>
    </w:p>
    <w:p w14:paraId="16A760C6"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8.2 dane nabywcy drewna (o ile są znane w momencie przywozu) oraz importera drewna – nazwa firmy, numer wpisu w rejestrze handlowym, dane kontaktowe.</w:t>
      </w:r>
    </w:p>
    <w:p w14:paraId="2E385895" w14:textId="77777777" w:rsidR="003D4892" w:rsidRPr="00642FC4"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42AB1F00"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6" w:name="p9"/>
      <w:bookmarkStart w:id="17" w:name="p-750751"/>
      <w:bookmarkEnd w:id="16"/>
      <w:bookmarkEnd w:id="17"/>
      <w:r w:rsidRPr="00642FC4">
        <w:rPr>
          <w:rFonts w:ascii="Arial" w:hAnsi="Arial"/>
          <w:sz w:val="20"/>
        </w:rPr>
        <w:lastRenderedPageBreak/>
        <w:t>9. Sprawozdanie z badania promieniowania i certyfikat wydaje się w postaci dokumentu drukowanego lub elektronicznego zgodnie z zasadami i przepisami dotyczącymi sporządzania dokumentów elektronicznych.</w:t>
      </w:r>
    </w:p>
    <w:p w14:paraId="39D118CB"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5B0FCC3"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8" w:name="p10"/>
      <w:bookmarkStart w:id="19" w:name="p-750752"/>
      <w:bookmarkEnd w:id="18"/>
      <w:bookmarkEnd w:id="19"/>
      <w:r w:rsidRPr="00642FC4">
        <w:rPr>
          <w:rFonts w:ascii="Arial" w:hAnsi="Arial"/>
          <w:sz w:val="20"/>
        </w:rPr>
        <w:t>10. Jeśli drewno jest przywożone z kraju spoza Europejskiego Obszaru Gospodarczego i jest dopuszczone do swobodnego obrotu, importer drewna dołącza sprawozdanie z badania promieniowania lub certyfikat do deklaracji celnej.</w:t>
      </w:r>
    </w:p>
    <w:p w14:paraId="11DD9697"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CE6D8D9"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0" w:name="p11"/>
      <w:bookmarkStart w:id="21" w:name="p-750753"/>
      <w:bookmarkEnd w:id="20"/>
      <w:bookmarkEnd w:id="21"/>
      <w:r w:rsidRPr="00642FC4">
        <w:rPr>
          <w:rFonts w:ascii="Arial" w:hAnsi="Arial"/>
          <w:sz w:val="20"/>
        </w:rPr>
        <w:t>11. Nie zezwala się na dopuszczenie ładunku drewna do swobodnego obrotu na Łotwie, jeśli urzędnik celny ustali, że:</w:t>
      </w:r>
    </w:p>
    <w:p w14:paraId="3F19ED4D"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 xml:space="preserve">11.1 sprawozdanie z badania promieniowania wskazuje, że poziom radioaktywności właściwej radionuklidu </w:t>
      </w:r>
      <w:r w:rsidRPr="00642FC4">
        <w:rPr>
          <w:rFonts w:ascii="Arial" w:hAnsi="Arial"/>
          <w:sz w:val="20"/>
          <w:vertAlign w:val="superscript"/>
        </w:rPr>
        <w:t>137</w:t>
      </w:r>
      <w:r w:rsidRPr="00642FC4">
        <w:rPr>
          <w:rFonts w:ascii="Arial" w:hAnsi="Arial"/>
          <w:sz w:val="20"/>
        </w:rPr>
        <w:t>Cs zawartego w ładunku drewna przekracza 10 Bq/kg w drewnie suchym, a importer drewna nie może przedstawić certyfikatu;</w:t>
      </w:r>
    </w:p>
    <w:p w14:paraId="60B16F2C"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11.2 importer drewna nie może przedstawić sprawozdania z badania promieniowania i certyfikatu;</w:t>
      </w:r>
    </w:p>
    <w:p w14:paraId="1202E0C6" w14:textId="77777777" w:rsidR="009454A1" w:rsidRPr="00642FC4"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642FC4">
        <w:rPr>
          <w:rFonts w:ascii="Arial" w:hAnsi="Arial"/>
          <w:sz w:val="20"/>
        </w:rPr>
        <w:t>11.3 jakość dokumentów przedstawionych przez importera drewna uniemożliwia odczytanie przedstawionych informacji.</w:t>
      </w:r>
    </w:p>
    <w:p w14:paraId="1375D417" w14:textId="77777777" w:rsidR="003D4892" w:rsidRPr="00642FC4"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2A5626C3"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2" w:name="p12"/>
      <w:bookmarkStart w:id="23" w:name="p-750754"/>
      <w:bookmarkEnd w:id="22"/>
      <w:bookmarkEnd w:id="23"/>
      <w:r w:rsidRPr="00642FC4">
        <w:rPr>
          <w:rFonts w:ascii="Arial" w:hAnsi="Arial"/>
          <w:sz w:val="20"/>
        </w:rPr>
        <w:t>12. Wraz z dostarczeniem ładunku nabywcy drewna podmiot gospodarczy przekazuje sprawozdanie z badania promieniowania i certyfikat. Nabywca drewna przechowuje sprawozdanie z badania promieniowania i certyfikat przez pięć lat od daty otrzymania ładunku drewna i przedstawia je Urzędowi na żądanie.</w:t>
      </w:r>
    </w:p>
    <w:p w14:paraId="4619C75A"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601B098"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4" w:name="p13"/>
      <w:bookmarkStart w:id="25" w:name="p-750755"/>
      <w:bookmarkEnd w:id="24"/>
      <w:bookmarkEnd w:id="25"/>
      <w:r w:rsidRPr="00642FC4">
        <w:rPr>
          <w:rFonts w:ascii="Arial" w:hAnsi="Arial"/>
          <w:sz w:val="20"/>
        </w:rPr>
        <w:t xml:space="preserve">13. Drewno przywożone na Łotwę z innego kraju może być stosowane jako paliwo z biomasy, jeśli poddano je badaniu radiologicznemu w jednym z laboratoriów, o których mowa w </w:t>
      </w:r>
      <w:hyperlink r:id="rId9" w:anchor="p6" w:history="1">
        <w:r w:rsidRPr="00642FC4">
          <w:rPr>
            <w:rFonts w:ascii="Arial" w:hAnsi="Arial"/>
            <w:color w:val="2F5496" w:themeColor="accent1" w:themeShade="BF"/>
            <w:sz w:val="20"/>
            <w:u w:val="single"/>
          </w:rPr>
          <w:t>ust. 6</w:t>
        </w:r>
      </w:hyperlink>
      <w:r w:rsidRPr="00642FC4">
        <w:rPr>
          <w:rFonts w:ascii="Arial" w:hAnsi="Arial"/>
          <w:sz w:val="20"/>
        </w:rPr>
        <w:t xml:space="preserve"> niniejszego rozporządzenia, i badanie to potwierdziło, że poziom radioaktywności właściwej radionuklidu </w:t>
      </w:r>
      <w:r w:rsidRPr="00642FC4">
        <w:rPr>
          <w:rFonts w:ascii="Arial" w:hAnsi="Arial"/>
          <w:sz w:val="20"/>
          <w:vertAlign w:val="superscript"/>
        </w:rPr>
        <w:t>137</w:t>
      </w:r>
      <w:r w:rsidRPr="00642FC4">
        <w:rPr>
          <w:rFonts w:ascii="Arial" w:hAnsi="Arial"/>
          <w:sz w:val="20"/>
        </w:rPr>
        <w:t>Cs nie przekracza 10 Bq/kg w drewnie suchym.</w:t>
      </w:r>
    </w:p>
    <w:p w14:paraId="69E09C72"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8DEAA76"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6" w:name="p14"/>
      <w:bookmarkStart w:id="27" w:name="p-750756"/>
      <w:bookmarkEnd w:id="26"/>
      <w:bookmarkEnd w:id="27"/>
      <w:r w:rsidRPr="00642FC4">
        <w:rPr>
          <w:rFonts w:ascii="Arial" w:hAnsi="Arial"/>
          <w:sz w:val="20"/>
        </w:rPr>
        <w:t xml:space="preserve">14. Jeśli stwierdzono, że poziom radioaktywności właściwej radionuklidu </w:t>
      </w:r>
      <w:r w:rsidRPr="00642FC4">
        <w:rPr>
          <w:rFonts w:ascii="Arial" w:hAnsi="Arial"/>
          <w:sz w:val="20"/>
          <w:vertAlign w:val="superscript"/>
        </w:rPr>
        <w:t>137</w:t>
      </w:r>
      <w:r w:rsidRPr="00642FC4">
        <w:rPr>
          <w:rFonts w:ascii="Arial" w:hAnsi="Arial"/>
          <w:sz w:val="20"/>
        </w:rPr>
        <w:t>Cs przekracza 10 Bq/kg w drewnie, które przywieziono z innego kraju na potrzeby zastosowania jako paliwo z biomasy, importer drewna bezzwłocznie zwraca takie drewno wysyłającemu, tj. nie później niż w ciągu jednego miesiąca.</w:t>
      </w:r>
    </w:p>
    <w:p w14:paraId="413E6408"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19067B7"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8" w:name="p15"/>
      <w:bookmarkStart w:id="29" w:name="p-750757"/>
      <w:bookmarkEnd w:id="28"/>
      <w:bookmarkEnd w:id="29"/>
      <w:r w:rsidRPr="00642FC4">
        <w:rPr>
          <w:rFonts w:ascii="Arial" w:hAnsi="Arial"/>
          <w:sz w:val="20"/>
        </w:rPr>
        <w:t>15. W obiektach energetycznego spalania o znamionowej mocy cieplnej przekraczającej 5 MW operator stosujący drewno przywożone na Łotwę z innego kraju jako paliwo z biomasy podczas sezonu grzewczego (od października do kwietnia) przeprowadza co miesiąc badania radioaktywności właściwej popiołu lotnego powstałego ze spalania drewna lub, jeśli dany obiekt energetycznego spalania nie dysponuje oddzielnymi filtrami gazów spalinowych dla popiołu lotnego, badania radioaktywności właściwej popiołu ciężkiego.</w:t>
      </w:r>
    </w:p>
    <w:p w14:paraId="6BE7A507"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30B2FDAC"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0" w:name="p16"/>
      <w:bookmarkStart w:id="31" w:name="p-750758"/>
      <w:bookmarkEnd w:id="30"/>
      <w:bookmarkEnd w:id="31"/>
      <w:r w:rsidRPr="00642FC4">
        <w:rPr>
          <w:rFonts w:ascii="Arial" w:hAnsi="Arial"/>
          <w:sz w:val="20"/>
        </w:rPr>
        <w:t xml:space="preserve">16. Popiół drzewny, w przypadku którego radioaktywność właściwa radionuklidu </w:t>
      </w:r>
      <w:r w:rsidRPr="00642FC4">
        <w:rPr>
          <w:rFonts w:ascii="Arial" w:hAnsi="Arial"/>
          <w:sz w:val="20"/>
          <w:vertAlign w:val="superscript"/>
        </w:rPr>
        <w:t>137</w:t>
      </w:r>
      <w:r w:rsidRPr="00642FC4">
        <w:rPr>
          <w:rFonts w:ascii="Arial" w:hAnsi="Arial"/>
          <w:sz w:val="20"/>
        </w:rPr>
        <w:t>Cs wynosi maksymalnie 1000 Bq/kg w popiele suchym, można stosować w rolnictwie i leśnictwie, z zastrzeżeniem zasad i przepisów obowiązujących w danym sektorze.</w:t>
      </w:r>
    </w:p>
    <w:p w14:paraId="5DBA7A56"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F420B0"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2" w:name="p17"/>
      <w:bookmarkStart w:id="33" w:name="p-750759"/>
      <w:bookmarkEnd w:id="32"/>
      <w:bookmarkEnd w:id="33"/>
      <w:r w:rsidRPr="00642FC4">
        <w:rPr>
          <w:rFonts w:ascii="Arial" w:hAnsi="Arial"/>
          <w:sz w:val="20"/>
        </w:rPr>
        <w:t xml:space="preserve">17. Popiół drzewny, w przypadku którego radioaktywność właściwa radionuklidu </w:t>
      </w:r>
      <w:r w:rsidRPr="00642FC4">
        <w:rPr>
          <w:rFonts w:ascii="Arial" w:hAnsi="Arial"/>
          <w:sz w:val="20"/>
          <w:vertAlign w:val="superscript"/>
        </w:rPr>
        <w:t>137</w:t>
      </w:r>
      <w:r w:rsidRPr="00642FC4">
        <w:rPr>
          <w:rFonts w:ascii="Arial" w:hAnsi="Arial"/>
          <w:sz w:val="20"/>
        </w:rPr>
        <w:t xml:space="preserve">Cs zawiera się w przedziale 1000–10 000 Bq/kg w popiele suchym, może być zrzucany na </w:t>
      </w:r>
      <w:r w:rsidRPr="00642FC4">
        <w:rPr>
          <w:rFonts w:ascii="Arial" w:hAnsi="Arial"/>
          <w:sz w:val="20"/>
        </w:rPr>
        <w:lastRenderedPageBreak/>
        <w:t>składowiska gminne lub wykorzystywany jako materiał osłonowy na składowiskach gminnych bądź składowiskach odpadów niebezpiecznych.</w:t>
      </w:r>
    </w:p>
    <w:p w14:paraId="1196EBEA"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5E519AA"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4" w:name="p18"/>
      <w:bookmarkStart w:id="35" w:name="p-750760"/>
      <w:bookmarkEnd w:id="34"/>
      <w:bookmarkEnd w:id="35"/>
      <w:r w:rsidRPr="00642FC4">
        <w:rPr>
          <w:rFonts w:ascii="Arial" w:hAnsi="Arial"/>
          <w:sz w:val="20"/>
        </w:rPr>
        <w:t xml:space="preserve">18. Jeśli radioaktywność właściwa radionuklidu </w:t>
      </w:r>
      <w:r w:rsidRPr="00642FC4">
        <w:rPr>
          <w:rFonts w:ascii="Arial" w:hAnsi="Arial"/>
          <w:sz w:val="20"/>
          <w:vertAlign w:val="superscript"/>
        </w:rPr>
        <w:t>137</w:t>
      </w:r>
      <w:r w:rsidRPr="00642FC4">
        <w:rPr>
          <w:rFonts w:ascii="Arial" w:hAnsi="Arial"/>
          <w:sz w:val="20"/>
        </w:rPr>
        <w:t>Cs w popiele drzewnym wynosi 10 000 Bq/kg w popiele suchym lub powyżej, operator obiektu energetycznego spalania natychmiast zawiadamia Urząd. W tym przypadku operator obiektu energetycznego spalania zapewnia, aby popiołem gospodarowano zgodnie z zasadami i przepisami dotyczącymi postępowania z odpadami radioaktywnymi i powiązanymi materiałami.</w:t>
      </w:r>
    </w:p>
    <w:p w14:paraId="21168EAA"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96BC58E"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6" w:name="p19"/>
      <w:bookmarkStart w:id="37" w:name="p-750761"/>
      <w:bookmarkEnd w:id="36"/>
      <w:bookmarkEnd w:id="37"/>
      <w:r w:rsidRPr="00642FC4">
        <w:rPr>
          <w:rFonts w:ascii="Arial" w:hAnsi="Arial"/>
          <w:sz w:val="20"/>
        </w:rPr>
        <w:t>19. W odniesieniu do obiektów energetycznego spalania o znamionowej mocy cieplnej co najmniej 5 MW Urząd ma prawo przeprowadzić badania radioaktywności właściwej popiołu lotnego lub, jeśli nie zainstalowano oddzielnych filtrów gazów spalinowych dla popiołu lotnego, badania radioaktywności właściwej popiołu ciężkiego.</w:t>
      </w:r>
    </w:p>
    <w:p w14:paraId="3686C276"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ADEF5AB"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8" w:name="p20"/>
      <w:bookmarkStart w:id="39" w:name="p-750762"/>
      <w:bookmarkEnd w:id="38"/>
      <w:bookmarkEnd w:id="39"/>
      <w:r w:rsidRPr="00642FC4">
        <w:rPr>
          <w:rFonts w:ascii="Arial" w:hAnsi="Arial"/>
          <w:sz w:val="20"/>
        </w:rPr>
        <w:t xml:space="preserve">20. W ramach każdego z badań radioaktywności właściwej popiołu, o których mowa w </w:t>
      </w:r>
      <w:hyperlink r:id="rId10" w:anchor="p15" w:history="1">
        <w:r w:rsidRPr="00642FC4">
          <w:rPr>
            <w:rFonts w:ascii="Arial" w:hAnsi="Arial"/>
            <w:color w:val="2F5496" w:themeColor="accent1" w:themeShade="BF"/>
            <w:sz w:val="20"/>
            <w:u w:val="single"/>
          </w:rPr>
          <w:t>ust. 15</w:t>
        </w:r>
      </w:hyperlink>
      <w:r w:rsidRPr="00642FC4">
        <w:rPr>
          <w:rFonts w:ascii="Arial" w:hAnsi="Arial"/>
          <w:sz w:val="20"/>
        </w:rPr>
        <w:t xml:space="preserve"> i</w:t>
      </w:r>
      <w:hyperlink r:id="rId11" w:anchor="p19" w:history="1">
        <w:r w:rsidRPr="00642FC4">
          <w:rPr>
            <w:rFonts w:ascii="Arial" w:hAnsi="Arial"/>
            <w:sz w:val="20"/>
            <w:u w:val="single"/>
          </w:rPr>
          <w:t xml:space="preserve"> </w:t>
        </w:r>
        <w:r w:rsidRPr="00642FC4">
          <w:rPr>
            <w:rFonts w:ascii="Arial" w:hAnsi="Arial"/>
            <w:color w:val="2F5496" w:themeColor="accent1" w:themeShade="BF"/>
            <w:sz w:val="20"/>
            <w:u w:val="single"/>
          </w:rPr>
          <w:t>ust. 19</w:t>
        </w:r>
      </w:hyperlink>
      <w:r w:rsidRPr="00642FC4">
        <w:rPr>
          <w:rFonts w:ascii="Arial" w:hAnsi="Arial"/>
          <w:sz w:val="20"/>
        </w:rPr>
        <w:t xml:space="preserve"> niniejszego rozporządzenia, należy zbadać jedną próbkę popiołu w ilości niezbędnej do przeprowadzenia badania przez odpowiednie laboratorium.</w:t>
      </w:r>
    </w:p>
    <w:p w14:paraId="068381EF"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E1C5502"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0" w:name="p21"/>
      <w:bookmarkStart w:id="41" w:name="p-750763"/>
      <w:bookmarkEnd w:id="40"/>
      <w:bookmarkEnd w:id="41"/>
      <w:r w:rsidRPr="00642FC4">
        <w:rPr>
          <w:rFonts w:ascii="Arial" w:hAnsi="Arial"/>
          <w:sz w:val="20"/>
        </w:rPr>
        <w:t xml:space="preserve">21. Badania radioaktywności właściwej popiołu, o których mowa w </w:t>
      </w:r>
      <w:hyperlink r:id="rId12" w:anchor="p15" w:history="1">
        <w:r w:rsidRPr="00642FC4">
          <w:rPr>
            <w:rFonts w:ascii="Arial" w:hAnsi="Arial"/>
            <w:color w:val="2F5496" w:themeColor="accent1" w:themeShade="BF"/>
            <w:sz w:val="20"/>
            <w:u w:val="single"/>
          </w:rPr>
          <w:t>ust. 15</w:t>
        </w:r>
      </w:hyperlink>
      <w:r w:rsidRPr="00642FC4">
        <w:rPr>
          <w:rFonts w:ascii="Arial" w:hAnsi="Arial"/>
          <w:sz w:val="20"/>
        </w:rPr>
        <w:t xml:space="preserve"> i</w:t>
      </w:r>
      <w:hyperlink r:id="rId13" w:anchor="p19" w:history="1">
        <w:r w:rsidRPr="00642FC4">
          <w:rPr>
            <w:rFonts w:ascii="Arial" w:hAnsi="Arial"/>
            <w:color w:val="2F5496" w:themeColor="accent1" w:themeShade="BF"/>
            <w:sz w:val="20"/>
          </w:rPr>
          <w:t xml:space="preserve"> </w:t>
        </w:r>
        <w:r w:rsidRPr="00642FC4">
          <w:rPr>
            <w:rFonts w:ascii="Arial" w:hAnsi="Arial"/>
            <w:color w:val="2F5496" w:themeColor="accent1" w:themeShade="BF"/>
            <w:sz w:val="20"/>
            <w:u w:val="single"/>
          </w:rPr>
          <w:t>ust. 19</w:t>
        </w:r>
      </w:hyperlink>
      <w:r w:rsidRPr="00642FC4">
        <w:rPr>
          <w:rFonts w:ascii="Arial" w:hAnsi="Arial"/>
          <w:color w:val="2F5496" w:themeColor="accent1" w:themeShade="BF"/>
          <w:sz w:val="20"/>
        </w:rPr>
        <w:t xml:space="preserve"> </w:t>
      </w:r>
      <w:r w:rsidRPr="00642FC4">
        <w:rPr>
          <w:rFonts w:ascii="Arial" w:hAnsi="Arial"/>
          <w:sz w:val="20"/>
        </w:rPr>
        <w:t>niniejszego rozporządzenia, należy przeprowadzać w laboratorium akredytowanym przez łotewską krajową jednostkę akredytującą zgodnie z zasadami i przepisami dotyczącymi oceny i akredytacji jednostek oceniających zgodność oraz nadzoru nad nimi lub w laboratorium akredytowanym w innym kraju Europejskiego Obszaru Gospodarczego.</w:t>
      </w:r>
    </w:p>
    <w:p w14:paraId="1FF62DDB"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249F56A"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2" w:name="p22"/>
      <w:bookmarkStart w:id="43" w:name="p-750764"/>
      <w:bookmarkEnd w:id="42"/>
      <w:bookmarkEnd w:id="43"/>
      <w:r w:rsidRPr="00642FC4">
        <w:rPr>
          <w:rFonts w:ascii="Arial" w:hAnsi="Arial"/>
          <w:sz w:val="20"/>
        </w:rPr>
        <w:t>22. Dokumenty związane z badaniami radioaktywności właściwej popiołu przeprowadzonymi przez operatora obiektu energetycznego spalania operator przechowuje przez pięć lat od daty przeprowadzenia badania i przedstawia Urzędowi na żądanie.</w:t>
      </w:r>
    </w:p>
    <w:p w14:paraId="2A58A898" w14:textId="77777777" w:rsidR="003D4892" w:rsidRPr="00642FC4"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64894D4" w14:textId="77777777" w:rsidR="009454A1" w:rsidRPr="00642FC4"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4" w:name="p23"/>
      <w:bookmarkStart w:id="45" w:name="p-750765"/>
      <w:bookmarkEnd w:id="44"/>
      <w:bookmarkEnd w:id="45"/>
      <w:r w:rsidRPr="00642FC4">
        <w:rPr>
          <w:rFonts w:ascii="Arial" w:hAnsi="Arial"/>
          <w:sz w:val="20"/>
        </w:rPr>
        <w:t>23. Niniejsze rozporządzenie wchodzi w życie z dniem 1 kwietnia 2021 r.</w:t>
      </w:r>
    </w:p>
    <w:p w14:paraId="4982590A" w14:textId="77777777" w:rsidR="009454A1" w:rsidRPr="00642FC4"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289EAE2D" w14:textId="77777777" w:rsidR="009454A1" w:rsidRPr="00642FC4"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6A8CAA25" w14:textId="77777777" w:rsidR="009454A1" w:rsidRPr="00642FC4"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31683751" w14:textId="77777777" w:rsidR="009454A1" w:rsidRPr="00642FC4"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1833A674" w14:textId="495C2F2E" w:rsidR="00642FC4" w:rsidRDefault="009454A1" w:rsidP="009454A1">
      <w:pPr>
        <w:shd w:val="clear" w:color="auto" w:fill="FFFFFF"/>
        <w:spacing w:after="0" w:line="240" w:lineRule="auto"/>
        <w:jc w:val="right"/>
        <w:rPr>
          <w:rFonts w:ascii="Arial" w:hAnsi="Arial"/>
          <w:i/>
          <w:sz w:val="20"/>
        </w:rPr>
      </w:pPr>
      <w:r w:rsidRPr="00642FC4">
        <w:rPr>
          <w:rFonts w:ascii="Arial" w:hAnsi="Arial"/>
          <w:sz w:val="20"/>
        </w:rPr>
        <w:t>Premier</w:t>
      </w:r>
      <w:r w:rsidRPr="00642FC4">
        <w:rPr>
          <w:rFonts w:ascii="Arial" w:hAnsi="Arial"/>
          <w:sz w:val="20"/>
        </w:rPr>
        <w:tab/>
      </w:r>
      <w:r w:rsidR="00642FC4">
        <w:rPr>
          <w:rFonts w:ascii="Arial" w:hAnsi="Arial"/>
          <w:sz w:val="20"/>
        </w:rPr>
        <w:t xml:space="preserve">   </w:t>
      </w:r>
      <w:r w:rsidRPr="00642FC4">
        <w:rPr>
          <w:rFonts w:ascii="Arial" w:hAnsi="Arial"/>
          <w:i/>
          <w:sz w:val="20"/>
        </w:rPr>
        <w:t>A. K. Kariņš</w:t>
      </w:r>
    </w:p>
    <w:p w14:paraId="061EEB28" w14:textId="69AEADE8" w:rsidR="004A7FAC" w:rsidRPr="00642FC4" w:rsidRDefault="009454A1" w:rsidP="009454A1">
      <w:pPr>
        <w:shd w:val="clear" w:color="auto" w:fill="FFFFFF"/>
        <w:spacing w:after="0" w:line="240" w:lineRule="auto"/>
        <w:jc w:val="right"/>
        <w:rPr>
          <w:rFonts w:ascii="Arial" w:eastAsia="Times New Roman" w:hAnsi="Arial" w:cs="Arial"/>
          <w:sz w:val="20"/>
          <w:szCs w:val="20"/>
        </w:rPr>
      </w:pPr>
      <w:r w:rsidRPr="00642FC4">
        <w:rPr>
          <w:rFonts w:ascii="Arial" w:hAnsi="Arial"/>
          <w:sz w:val="20"/>
        </w:rPr>
        <w:br/>
        <w:t>Minister Ochrony</w:t>
      </w:r>
      <w:r w:rsidRPr="00642FC4">
        <w:rPr>
          <w:rFonts w:ascii="Arial" w:hAnsi="Arial"/>
          <w:sz w:val="20"/>
        </w:rPr>
        <w:br/>
        <w:t>Środowiska i Rozwoju Regionalnego</w:t>
      </w:r>
      <w:r w:rsidR="00642FC4">
        <w:rPr>
          <w:rFonts w:ascii="Arial" w:hAnsi="Arial"/>
          <w:sz w:val="20"/>
        </w:rPr>
        <w:t xml:space="preserve">   </w:t>
      </w:r>
      <w:r w:rsidRPr="00642FC4">
        <w:rPr>
          <w:rFonts w:ascii="Arial" w:hAnsi="Arial"/>
          <w:i/>
          <w:sz w:val="20"/>
        </w:rPr>
        <w:t>J. Pūce</w:t>
      </w:r>
    </w:p>
    <w:sectPr w:rsidR="004A7FAC" w:rsidRPr="00642F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A1"/>
    <w:rsid w:val="003D4892"/>
    <w:rsid w:val="004A7FAC"/>
    <w:rsid w:val="00642FC4"/>
    <w:rsid w:val="006D6452"/>
    <w:rsid w:val="009454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E062"/>
  <w15:chartTrackingRefBased/>
  <w15:docId w15:val="{68374386-0AF3-4EB1-B54A-53CF88B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54A1"/>
    <w:rPr>
      <w:color w:val="0000FF"/>
      <w:u w:val="single"/>
    </w:rPr>
  </w:style>
  <w:style w:type="paragraph" w:customStyle="1" w:styleId="tv213">
    <w:name w:val="tv213"/>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3D4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88990">
      <w:bodyDiv w:val="1"/>
      <w:marLeft w:val="0"/>
      <w:marRight w:val="0"/>
      <w:marTop w:val="0"/>
      <w:marBottom w:val="0"/>
      <w:divBdr>
        <w:top w:val="none" w:sz="0" w:space="0" w:color="auto"/>
        <w:left w:val="none" w:sz="0" w:space="0" w:color="auto"/>
        <w:bottom w:val="none" w:sz="0" w:space="0" w:color="auto"/>
        <w:right w:val="none" w:sz="0" w:space="0" w:color="auto"/>
      </w:divBdr>
      <w:divsChild>
        <w:div w:id="636107544">
          <w:marLeft w:val="0"/>
          <w:marRight w:val="0"/>
          <w:marTop w:val="480"/>
          <w:marBottom w:val="240"/>
          <w:divBdr>
            <w:top w:val="none" w:sz="0" w:space="0" w:color="auto"/>
            <w:left w:val="none" w:sz="0" w:space="0" w:color="auto"/>
            <w:bottom w:val="none" w:sz="0" w:space="0" w:color="auto"/>
            <w:right w:val="none" w:sz="0" w:space="0" w:color="auto"/>
          </w:divBdr>
        </w:div>
        <w:div w:id="596983564">
          <w:marLeft w:val="0"/>
          <w:marRight w:val="0"/>
          <w:marTop w:val="0"/>
          <w:marBottom w:val="567"/>
          <w:divBdr>
            <w:top w:val="none" w:sz="0" w:space="0" w:color="auto"/>
            <w:left w:val="none" w:sz="0" w:space="0" w:color="auto"/>
            <w:bottom w:val="none" w:sz="0" w:space="0" w:color="auto"/>
            <w:right w:val="none" w:sz="0" w:space="0" w:color="auto"/>
          </w:divBdr>
        </w:div>
        <w:div w:id="1481310782">
          <w:marLeft w:val="0"/>
          <w:marRight w:val="0"/>
          <w:marTop w:val="0"/>
          <w:marBottom w:val="567"/>
          <w:divBdr>
            <w:top w:val="none" w:sz="0" w:space="0" w:color="auto"/>
            <w:left w:val="none" w:sz="0" w:space="0" w:color="auto"/>
            <w:bottom w:val="none" w:sz="0" w:space="0" w:color="auto"/>
            <w:right w:val="none" w:sz="0" w:space="0" w:color="auto"/>
          </w:divBdr>
        </w:div>
        <w:div w:id="403190055">
          <w:marLeft w:val="0"/>
          <w:marRight w:val="0"/>
          <w:marTop w:val="0"/>
          <w:marBottom w:val="0"/>
          <w:divBdr>
            <w:top w:val="none" w:sz="0" w:space="0" w:color="auto"/>
            <w:left w:val="none" w:sz="0" w:space="0" w:color="auto"/>
            <w:bottom w:val="none" w:sz="0" w:space="0" w:color="auto"/>
            <w:right w:val="none" w:sz="0" w:space="0" w:color="auto"/>
          </w:divBdr>
        </w:div>
        <w:div w:id="1039670786">
          <w:marLeft w:val="0"/>
          <w:marRight w:val="0"/>
          <w:marTop w:val="0"/>
          <w:marBottom w:val="0"/>
          <w:divBdr>
            <w:top w:val="none" w:sz="0" w:space="0" w:color="auto"/>
            <w:left w:val="none" w:sz="0" w:space="0" w:color="auto"/>
            <w:bottom w:val="none" w:sz="0" w:space="0" w:color="auto"/>
            <w:right w:val="none" w:sz="0" w:space="0" w:color="auto"/>
          </w:divBdr>
        </w:div>
        <w:div w:id="907685654">
          <w:marLeft w:val="0"/>
          <w:marRight w:val="0"/>
          <w:marTop w:val="0"/>
          <w:marBottom w:val="0"/>
          <w:divBdr>
            <w:top w:val="none" w:sz="0" w:space="0" w:color="auto"/>
            <w:left w:val="none" w:sz="0" w:space="0" w:color="auto"/>
            <w:bottom w:val="none" w:sz="0" w:space="0" w:color="auto"/>
            <w:right w:val="none" w:sz="0" w:space="0" w:color="auto"/>
          </w:divBdr>
        </w:div>
        <w:div w:id="1805612906">
          <w:marLeft w:val="0"/>
          <w:marRight w:val="0"/>
          <w:marTop w:val="0"/>
          <w:marBottom w:val="0"/>
          <w:divBdr>
            <w:top w:val="none" w:sz="0" w:space="0" w:color="auto"/>
            <w:left w:val="none" w:sz="0" w:space="0" w:color="auto"/>
            <w:bottom w:val="none" w:sz="0" w:space="0" w:color="auto"/>
            <w:right w:val="none" w:sz="0" w:space="0" w:color="auto"/>
          </w:divBdr>
        </w:div>
        <w:div w:id="1184321667">
          <w:marLeft w:val="0"/>
          <w:marRight w:val="0"/>
          <w:marTop w:val="0"/>
          <w:marBottom w:val="0"/>
          <w:divBdr>
            <w:top w:val="none" w:sz="0" w:space="0" w:color="auto"/>
            <w:left w:val="none" w:sz="0" w:space="0" w:color="auto"/>
            <w:bottom w:val="none" w:sz="0" w:space="0" w:color="auto"/>
            <w:right w:val="none" w:sz="0" w:space="0" w:color="auto"/>
          </w:divBdr>
        </w:div>
        <w:div w:id="1350833806">
          <w:marLeft w:val="0"/>
          <w:marRight w:val="0"/>
          <w:marTop w:val="0"/>
          <w:marBottom w:val="0"/>
          <w:divBdr>
            <w:top w:val="none" w:sz="0" w:space="0" w:color="auto"/>
            <w:left w:val="none" w:sz="0" w:space="0" w:color="auto"/>
            <w:bottom w:val="none" w:sz="0" w:space="0" w:color="auto"/>
            <w:right w:val="none" w:sz="0" w:space="0" w:color="auto"/>
          </w:divBdr>
        </w:div>
        <w:div w:id="1589734655">
          <w:marLeft w:val="0"/>
          <w:marRight w:val="0"/>
          <w:marTop w:val="0"/>
          <w:marBottom w:val="0"/>
          <w:divBdr>
            <w:top w:val="none" w:sz="0" w:space="0" w:color="auto"/>
            <w:left w:val="none" w:sz="0" w:space="0" w:color="auto"/>
            <w:bottom w:val="none" w:sz="0" w:space="0" w:color="auto"/>
            <w:right w:val="none" w:sz="0" w:space="0" w:color="auto"/>
          </w:divBdr>
        </w:div>
        <w:div w:id="580800455">
          <w:marLeft w:val="0"/>
          <w:marRight w:val="0"/>
          <w:marTop w:val="0"/>
          <w:marBottom w:val="0"/>
          <w:divBdr>
            <w:top w:val="none" w:sz="0" w:space="0" w:color="auto"/>
            <w:left w:val="none" w:sz="0" w:space="0" w:color="auto"/>
            <w:bottom w:val="none" w:sz="0" w:space="0" w:color="auto"/>
            <w:right w:val="none" w:sz="0" w:space="0" w:color="auto"/>
          </w:divBdr>
        </w:div>
        <w:div w:id="746077572">
          <w:marLeft w:val="0"/>
          <w:marRight w:val="0"/>
          <w:marTop w:val="0"/>
          <w:marBottom w:val="0"/>
          <w:divBdr>
            <w:top w:val="none" w:sz="0" w:space="0" w:color="auto"/>
            <w:left w:val="none" w:sz="0" w:space="0" w:color="auto"/>
            <w:bottom w:val="none" w:sz="0" w:space="0" w:color="auto"/>
            <w:right w:val="none" w:sz="0" w:space="0" w:color="auto"/>
          </w:divBdr>
        </w:div>
        <w:div w:id="407073039">
          <w:marLeft w:val="0"/>
          <w:marRight w:val="0"/>
          <w:marTop w:val="0"/>
          <w:marBottom w:val="0"/>
          <w:divBdr>
            <w:top w:val="none" w:sz="0" w:space="0" w:color="auto"/>
            <w:left w:val="none" w:sz="0" w:space="0" w:color="auto"/>
            <w:bottom w:val="none" w:sz="0" w:space="0" w:color="auto"/>
            <w:right w:val="none" w:sz="0" w:space="0" w:color="auto"/>
          </w:divBdr>
        </w:div>
        <w:div w:id="2012874199">
          <w:marLeft w:val="0"/>
          <w:marRight w:val="0"/>
          <w:marTop w:val="0"/>
          <w:marBottom w:val="0"/>
          <w:divBdr>
            <w:top w:val="none" w:sz="0" w:space="0" w:color="auto"/>
            <w:left w:val="none" w:sz="0" w:space="0" w:color="auto"/>
            <w:bottom w:val="none" w:sz="0" w:space="0" w:color="auto"/>
            <w:right w:val="none" w:sz="0" w:space="0" w:color="auto"/>
          </w:divBdr>
        </w:div>
        <w:div w:id="237978435">
          <w:marLeft w:val="0"/>
          <w:marRight w:val="0"/>
          <w:marTop w:val="0"/>
          <w:marBottom w:val="0"/>
          <w:divBdr>
            <w:top w:val="none" w:sz="0" w:space="0" w:color="auto"/>
            <w:left w:val="none" w:sz="0" w:space="0" w:color="auto"/>
            <w:bottom w:val="none" w:sz="0" w:space="0" w:color="auto"/>
            <w:right w:val="none" w:sz="0" w:space="0" w:color="auto"/>
          </w:divBdr>
        </w:div>
        <w:div w:id="2096784283">
          <w:marLeft w:val="0"/>
          <w:marRight w:val="0"/>
          <w:marTop w:val="0"/>
          <w:marBottom w:val="0"/>
          <w:divBdr>
            <w:top w:val="none" w:sz="0" w:space="0" w:color="auto"/>
            <w:left w:val="none" w:sz="0" w:space="0" w:color="auto"/>
            <w:bottom w:val="none" w:sz="0" w:space="0" w:color="auto"/>
            <w:right w:val="none" w:sz="0" w:space="0" w:color="auto"/>
          </w:divBdr>
        </w:div>
        <w:div w:id="1490975845">
          <w:marLeft w:val="0"/>
          <w:marRight w:val="0"/>
          <w:marTop w:val="0"/>
          <w:marBottom w:val="0"/>
          <w:divBdr>
            <w:top w:val="none" w:sz="0" w:space="0" w:color="auto"/>
            <w:left w:val="none" w:sz="0" w:space="0" w:color="auto"/>
            <w:bottom w:val="none" w:sz="0" w:space="0" w:color="auto"/>
            <w:right w:val="none" w:sz="0" w:space="0" w:color="auto"/>
          </w:divBdr>
        </w:div>
        <w:div w:id="1767996341">
          <w:marLeft w:val="0"/>
          <w:marRight w:val="0"/>
          <w:marTop w:val="0"/>
          <w:marBottom w:val="0"/>
          <w:divBdr>
            <w:top w:val="none" w:sz="0" w:space="0" w:color="auto"/>
            <w:left w:val="none" w:sz="0" w:space="0" w:color="auto"/>
            <w:bottom w:val="none" w:sz="0" w:space="0" w:color="auto"/>
            <w:right w:val="none" w:sz="0" w:space="0" w:color="auto"/>
          </w:divBdr>
        </w:div>
        <w:div w:id="115877267">
          <w:marLeft w:val="0"/>
          <w:marRight w:val="0"/>
          <w:marTop w:val="0"/>
          <w:marBottom w:val="0"/>
          <w:divBdr>
            <w:top w:val="none" w:sz="0" w:space="0" w:color="auto"/>
            <w:left w:val="none" w:sz="0" w:space="0" w:color="auto"/>
            <w:bottom w:val="none" w:sz="0" w:space="0" w:color="auto"/>
            <w:right w:val="none" w:sz="0" w:space="0" w:color="auto"/>
          </w:divBdr>
        </w:div>
        <w:div w:id="475689272">
          <w:marLeft w:val="0"/>
          <w:marRight w:val="0"/>
          <w:marTop w:val="0"/>
          <w:marBottom w:val="0"/>
          <w:divBdr>
            <w:top w:val="none" w:sz="0" w:space="0" w:color="auto"/>
            <w:left w:val="none" w:sz="0" w:space="0" w:color="auto"/>
            <w:bottom w:val="none" w:sz="0" w:space="0" w:color="auto"/>
            <w:right w:val="none" w:sz="0" w:space="0" w:color="auto"/>
          </w:divBdr>
        </w:div>
        <w:div w:id="770783635">
          <w:marLeft w:val="0"/>
          <w:marRight w:val="0"/>
          <w:marTop w:val="0"/>
          <w:marBottom w:val="0"/>
          <w:divBdr>
            <w:top w:val="none" w:sz="0" w:space="0" w:color="auto"/>
            <w:left w:val="none" w:sz="0" w:space="0" w:color="auto"/>
            <w:bottom w:val="none" w:sz="0" w:space="0" w:color="auto"/>
            <w:right w:val="none" w:sz="0" w:space="0" w:color="auto"/>
          </w:divBdr>
        </w:div>
        <w:div w:id="1365323535">
          <w:marLeft w:val="0"/>
          <w:marRight w:val="0"/>
          <w:marTop w:val="0"/>
          <w:marBottom w:val="0"/>
          <w:divBdr>
            <w:top w:val="none" w:sz="0" w:space="0" w:color="auto"/>
            <w:left w:val="none" w:sz="0" w:space="0" w:color="auto"/>
            <w:bottom w:val="none" w:sz="0" w:space="0" w:color="auto"/>
            <w:right w:val="none" w:sz="0" w:space="0" w:color="auto"/>
          </w:divBdr>
        </w:div>
        <w:div w:id="1722047913">
          <w:marLeft w:val="0"/>
          <w:marRight w:val="0"/>
          <w:marTop w:val="0"/>
          <w:marBottom w:val="0"/>
          <w:divBdr>
            <w:top w:val="none" w:sz="0" w:space="0" w:color="auto"/>
            <w:left w:val="none" w:sz="0" w:space="0" w:color="auto"/>
            <w:bottom w:val="none" w:sz="0" w:space="0" w:color="auto"/>
            <w:right w:val="none" w:sz="0" w:space="0" w:color="auto"/>
          </w:divBdr>
        </w:div>
        <w:div w:id="1155075372">
          <w:marLeft w:val="0"/>
          <w:marRight w:val="0"/>
          <w:marTop w:val="0"/>
          <w:marBottom w:val="0"/>
          <w:divBdr>
            <w:top w:val="none" w:sz="0" w:space="0" w:color="auto"/>
            <w:left w:val="none" w:sz="0" w:space="0" w:color="auto"/>
            <w:bottom w:val="none" w:sz="0" w:space="0" w:color="auto"/>
            <w:right w:val="none" w:sz="0" w:space="0" w:color="auto"/>
          </w:divBdr>
        </w:div>
        <w:div w:id="1343043494">
          <w:marLeft w:val="0"/>
          <w:marRight w:val="0"/>
          <w:marTop w:val="0"/>
          <w:marBottom w:val="0"/>
          <w:divBdr>
            <w:top w:val="none" w:sz="0" w:space="0" w:color="auto"/>
            <w:left w:val="none" w:sz="0" w:space="0" w:color="auto"/>
            <w:bottom w:val="none" w:sz="0" w:space="0" w:color="auto"/>
            <w:right w:val="none" w:sz="0" w:space="0" w:color="auto"/>
          </w:divBdr>
        </w:div>
        <w:div w:id="66080751">
          <w:marLeft w:val="0"/>
          <w:marRight w:val="0"/>
          <w:marTop w:val="0"/>
          <w:marBottom w:val="0"/>
          <w:divBdr>
            <w:top w:val="none" w:sz="0" w:space="0" w:color="auto"/>
            <w:left w:val="none" w:sz="0" w:space="0" w:color="auto"/>
            <w:bottom w:val="none" w:sz="0" w:space="0" w:color="auto"/>
            <w:right w:val="none" w:sz="0" w:space="0" w:color="auto"/>
          </w:divBdr>
        </w:div>
        <w:div w:id="65388005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7388" TargetMode="External"/><Relationship Id="rId13" Type="http://schemas.openxmlformats.org/officeDocument/2006/relationships/hyperlink" Target="https://likumi.lv/ta/id/317388" TargetMode="External"/><Relationship Id="rId3" Type="http://schemas.openxmlformats.org/officeDocument/2006/relationships/webSettings" Target="webSettings.xml"/><Relationship Id="rId7" Type="http://schemas.openxmlformats.org/officeDocument/2006/relationships/hyperlink" Target="http://eur-lex.europa.eu/eli/reg/1987/2658/oj/?locale=LV" TargetMode="External"/><Relationship Id="rId12" Type="http://schemas.openxmlformats.org/officeDocument/2006/relationships/hyperlink" Target="https://likumi.lv/ta/id/3173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17388" TargetMode="External"/><Relationship Id="rId11" Type="http://schemas.openxmlformats.org/officeDocument/2006/relationships/hyperlink" Target="https://likumi.lv/ta/id/317388" TargetMode="External"/><Relationship Id="rId5" Type="http://schemas.openxmlformats.org/officeDocument/2006/relationships/hyperlink" Target="https://likumi.lv/ta/id/12484-par-radiacijas-drosibu-un-kodoldrosibu" TargetMode="External"/><Relationship Id="rId15" Type="http://schemas.openxmlformats.org/officeDocument/2006/relationships/theme" Target="theme/theme1.xml"/><Relationship Id="rId10" Type="http://schemas.openxmlformats.org/officeDocument/2006/relationships/hyperlink" Target="https://likumi.lv/ta/id/317388" TargetMode="External"/><Relationship Id="rId4" Type="http://schemas.openxmlformats.org/officeDocument/2006/relationships/hyperlink" Target="https://likumi.lv/ta/id/12484-par-radiacijas-drosibu-un-kodoldrosibu" TargetMode="External"/><Relationship Id="rId9" Type="http://schemas.openxmlformats.org/officeDocument/2006/relationships/hyperlink" Target="https://likumi.lv/ta/id/31738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1585</Words>
  <Characters>9038</Characters>
  <Application>Microsoft Office Word</Application>
  <DocSecurity>0</DocSecurity>
  <Lines>75</Lines>
  <Paragraphs>21</Paragraphs>
  <ScaleCrop>false</ScaleCrop>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Normunds Freibergs</dc:creator>
  <cp:keywords/>
  <dc:description/>
  <cp:lastModifiedBy>Ines Varvodic</cp:lastModifiedBy>
  <cp:revision>2</cp:revision>
  <dcterms:created xsi:type="dcterms:W3CDTF">2021-12-29T08:10:00Z</dcterms:created>
  <dcterms:modified xsi:type="dcterms:W3CDTF">2021-12-29T08:10:00Z</dcterms:modified>
</cp:coreProperties>
</file>