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31873" w14:textId="77777777" w:rsidR="003D40AD" w:rsidRDefault="009454A1" w:rsidP="006D6452">
      <w:pPr>
        <w:shd w:val="clear" w:color="auto" w:fill="FFFFFF"/>
        <w:spacing w:line="240" w:lineRule="auto"/>
        <w:ind w:firstLine="720"/>
        <w:jc w:val="right"/>
        <w:rPr>
          <w:rFonts w:ascii="Arial" w:hAnsi="Arial"/>
          <w:b/>
          <w:color w:val="414142"/>
          <w:sz w:val="20"/>
        </w:rPr>
      </w:pPr>
      <w:r>
        <w:rPr>
          <w:rFonts w:ascii="Arial" w:hAnsi="Arial"/>
          <w:b/>
          <w:color w:val="414142"/>
          <w:sz w:val="20"/>
        </w:rPr>
        <w:t>Uredba Kabineta ministrov št. 576</w:t>
      </w:r>
    </w:p>
    <w:p w14:paraId="3BEA0965" w14:textId="5B4930D4" w:rsidR="009454A1" w:rsidRPr="003D40AD" w:rsidRDefault="009454A1" w:rsidP="006D6452">
      <w:pPr>
        <w:shd w:val="clear" w:color="auto" w:fill="FFFFFF"/>
        <w:spacing w:line="240" w:lineRule="auto"/>
        <w:ind w:firstLine="720"/>
        <w:jc w:val="right"/>
        <w:rPr>
          <w:rFonts w:ascii="Arial" w:eastAsia="Times New Roman" w:hAnsi="Arial" w:cs="Arial"/>
          <w:sz w:val="20"/>
          <w:szCs w:val="20"/>
        </w:rPr>
      </w:pPr>
      <w:r w:rsidRPr="003D40AD">
        <w:rPr>
          <w:rFonts w:ascii="Arial" w:hAnsi="Arial"/>
          <w:sz w:val="20"/>
        </w:rPr>
        <w:br/>
        <w:t>Riga, 15. september 2020 (zapisnik št. 54, oddelek 41)</w:t>
      </w:r>
    </w:p>
    <w:p w14:paraId="1C774C79" w14:textId="77777777" w:rsidR="009454A1" w:rsidRPr="009454A1" w:rsidRDefault="009454A1" w:rsidP="009454A1">
      <w:pPr>
        <w:shd w:val="clear" w:color="auto" w:fill="FFFFFF"/>
        <w:spacing w:line="240" w:lineRule="auto"/>
        <w:jc w:val="center"/>
        <w:rPr>
          <w:rFonts w:ascii="Arial" w:eastAsia="Times New Roman" w:hAnsi="Arial" w:cs="Arial"/>
          <w:b/>
          <w:bCs/>
          <w:color w:val="414142"/>
          <w:sz w:val="32"/>
          <w:szCs w:val="32"/>
        </w:rPr>
      </w:pPr>
      <w:r>
        <w:rPr>
          <w:rFonts w:ascii="Arial" w:hAnsi="Arial"/>
          <w:b/>
          <w:color w:val="414142"/>
          <w:sz w:val="32"/>
        </w:rPr>
        <w:t>Zahteve za varstvo pred ionizirajočim sevanjem, ki ga povzroča radionuklid cezij-137 (v nadaljnjem besedilu: radionuklid 137Cs) v lesu, ki se v Latvijo uvozi iz druge države</w:t>
      </w:r>
    </w:p>
    <w:p w14:paraId="27BD7D33" w14:textId="4665AA0A" w:rsidR="009454A1" w:rsidRPr="009454A1" w:rsidRDefault="009454A1" w:rsidP="009454A1">
      <w:pPr>
        <w:shd w:val="clear" w:color="auto" w:fill="FFFFFF"/>
        <w:spacing w:line="240" w:lineRule="auto"/>
        <w:jc w:val="right"/>
        <w:rPr>
          <w:rFonts w:ascii="Arial" w:eastAsia="Times New Roman" w:hAnsi="Arial" w:cs="Arial"/>
          <w:i/>
          <w:iCs/>
          <w:color w:val="414142"/>
          <w:sz w:val="20"/>
          <w:szCs w:val="20"/>
        </w:rPr>
      </w:pPr>
      <w:r w:rsidRPr="003D40AD">
        <w:rPr>
          <w:rFonts w:ascii="Arial" w:hAnsi="Arial"/>
          <w:i/>
          <w:sz w:val="20"/>
        </w:rPr>
        <w:t>Izdano v skladu s</w:t>
      </w:r>
      <w:r>
        <w:br/>
      </w:r>
      <w:hyperlink r:id="rId4" w:tgtFrame="_blank" w:history="1">
        <w:r>
          <w:rPr>
            <w:rFonts w:ascii="Arial" w:hAnsi="Arial"/>
            <w:i/>
            <w:color w:val="16497B"/>
            <w:sz w:val="20"/>
            <w:u w:val="single"/>
          </w:rPr>
          <w:t>členom 3(3)</w:t>
        </w:r>
      </w:hyperlink>
      <w:r>
        <w:rPr>
          <w:rFonts w:ascii="Arial" w:hAnsi="Arial"/>
          <w:i/>
          <w:color w:val="414142"/>
          <w:sz w:val="20"/>
        </w:rPr>
        <w:t>,</w:t>
      </w:r>
      <w:r>
        <w:rPr>
          <w:rFonts w:ascii="Arial" w:hAnsi="Arial"/>
          <w:i/>
          <w:color w:val="414142"/>
          <w:sz w:val="20"/>
        </w:rPr>
        <w:br/>
      </w:r>
      <w:hyperlink r:id="rId5" w:anchor="p3" w:tgtFrame="_blank" w:history="1">
        <w:r>
          <w:rPr>
            <w:rFonts w:ascii="Arial" w:hAnsi="Arial"/>
            <w:i/>
            <w:color w:val="16497B"/>
            <w:sz w:val="20"/>
            <w:u w:val="single"/>
          </w:rPr>
          <w:t xml:space="preserve"> Zakona</w:t>
        </w:r>
        <w:r>
          <w:rPr>
            <w:rFonts w:ascii="Arial" w:hAnsi="Arial"/>
            <w:i/>
            <w:color w:val="16497B"/>
            <w:sz w:val="20"/>
            <w:u w:val="single"/>
          </w:rPr>
          <w:br/>
        </w:r>
        <w:r w:rsidR="003D40AD" w:rsidRPr="003D40AD">
          <w:rPr>
            <w:rFonts w:ascii="Arial" w:hAnsi="Arial"/>
            <w:i/>
            <w:sz w:val="20"/>
          </w:rPr>
          <w:t>„</w:t>
        </w:r>
        <w:r>
          <w:rPr>
            <w:rFonts w:ascii="Arial" w:hAnsi="Arial"/>
            <w:i/>
            <w:color w:val="16497B"/>
            <w:sz w:val="20"/>
            <w:u w:val="single"/>
          </w:rPr>
          <w:t>o varstvu pred sevanjem in jedrski varnosti</w:t>
        </w:r>
      </w:hyperlink>
      <w:r w:rsidR="003D40AD" w:rsidRPr="003D40AD">
        <w:rPr>
          <w:rFonts w:ascii="Arial" w:hAnsi="Arial"/>
          <w:i/>
          <w:sz w:val="20"/>
        </w:rPr>
        <w:t>“</w:t>
      </w:r>
    </w:p>
    <w:p w14:paraId="2B78CCB2"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0" w:name="p1"/>
      <w:bookmarkStart w:id="1" w:name="p-750743"/>
      <w:bookmarkEnd w:id="0"/>
      <w:bookmarkEnd w:id="1"/>
      <w:r w:rsidRPr="003D40AD">
        <w:rPr>
          <w:rFonts w:ascii="Arial" w:hAnsi="Arial"/>
          <w:sz w:val="20"/>
        </w:rPr>
        <w:t xml:space="preserve">1. Uredba določa zahteve za varstvo pred ionizirajočim sevanjem, ki ga povzroča radionuklid cezij-137 (v nadaljnjem besedilu: radionuklid </w:t>
      </w:r>
      <w:r w:rsidRPr="003D40AD">
        <w:rPr>
          <w:rFonts w:ascii="Arial" w:hAnsi="Arial"/>
          <w:sz w:val="20"/>
          <w:vertAlign w:val="superscript"/>
        </w:rPr>
        <w:t>137</w:t>
      </w:r>
      <w:r w:rsidRPr="003D40AD">
        <w:rPr>
          <w:rFonts w:ascii="Arial" w:hAnsi="Arial"/>
          <w:sz w:val="20"/>
        </w:rPr>
        <w:t>Cs) v lesu, ki se v Latvijo uvozi iz druge države.</w:t>
      </w:r>
    </w:p>
    <w:p w14:paraId="545180DC"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55C95A9A"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 w:name="p2"/>
      <w:bookmarkStart w:id="3" w:name="p-750744"/>
      <w:bookmarkEnd w:id="2"/>
      <w:bookmarkEnd w:id="3"/>
      <w:r w:rsidRPr="003D40AD">
        <w:rPr>
          <w:rFonts w:ascii="Arial" w:hAnsi="Arial"/>
          <w:sz w:val="20"/>
        </w:rPr>
        <w:t>2. Za namene te uredbe:</w:t>
      </w:r>
    </w:p>
    <w:p w14:paraId="28A5A841"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 xml:space="preserve">2.1. uvoznik lesa pomeni gospodarski subjekt, ki uvaža les pod oznakami kombinirane nomenklature, navedene v </w:t>
      </w:r>
      <w:hyperlink r:id="rId6" w:anchor="p3" w:history="1">
        <w:r w:rsidRPr="003D40AD">
          <w:rPr>
            <w:rFonts w:ascii="Arial" w:hAnsi="Arial"/>
            <w:color w:val="2F5496" w:themeColor="accent1" w:themeShade="BF"/>
            <w:sz w:val="20"/>
            <w:u w:val="single"/>
          </w:rPr>
          <w:t>odstavku 3</w:t>
        </w:r>
      </w:hyperlink>
      <w:r w:rsidRPr="003D40AD">
        <w:rPr>
          <w:rFonts w:ascii="Arial" w:hAnsi="Arial"/>
          <w:sz w:val="20"/>
        </w:rPr>
        <w:t xml:space="preserve"> te uredbe št.</w:t>
      </w:r>
      <w:r w:rsidRPr="003D40AD">
        <w:t> </w:t>
      </w:r>
      <w:hyperlink r:id="rId7" w:tgtFrame="_blank" w:history="1">
        <w:r w:rsidRPr="003D40AD">
          <w:rPr>
            <w:rFonts w:ascii="Arial" w:hAnsi="Arial"/>
            <w:color w:val="2F5496" w:themeColor="accent1" w:themeShade="BF"/>
            <w:sz w:val="20"/>
            <w:u w:val="single"/>
          </w:rPr>
          <w:t>2658/87</w:t>
        </w:r>
      </w:hyperlink>
      <w:r w:rsidRPr="003D40AD">
        <w:rPr>
          <w:rFonts w:ascii="Arial" w:hAnsi="Arial"/>
          <w:sz w:val="20"/>
        </w:rPr>
        <w:t xml:space="preserve"> z dne 23. julija 1987 o tarifni in statistični nomenklaturi ter skupni carinski tarifi, katerega vrednost presega 300 EUR, kot je navedeno v spremni dokumentaciji;</w:t>
      </w:r>
    </w:p>
    <w:p w14:paraId="76348513"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 xml:space="preserve">2.2. kupec lesa pomeni osebo, ki kupi les, uvožen iz druge države, za namen opravljanja poslovne dejavnosti v Latviji (vključno z upravljavci kurilnih naprav in predelovalci lesa); </w:t>
      </w:r>
    </w:p>
    <w:p w14:paraId="57E22456"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 xml:space="preserve">2.3. poročilo preskusu sevanja pomeni dokument, ki prikazuje raven specifične radioaktivnosti radionuklida </w:t>
      </w:r>
      <w:r w:rsidRPr="003D40AD">
        <w:rPr>
          <w:rFonts w:ascii="Arial" w:hAnsi="Arial"/>
          <w:sz w:val="20"/>
          <w:vertAlign w:val="superscript"/>
        </w:rPr>
        <w:t>137</w:t>
      </w:r>
      <w:r w:rsidRPr="003D40AD">
        <w:rPr>
          <w:rFonts w:ascii="Arial" w:hAnsi="Arial"/>
          <w:sz w:val="20"/>
        </w:rPr>
        <w:t>Cs v tovoru, na primer osebna sevalna izkaznica, ki jo izda akreditiran laboratorij, ali dokument, ki ga izda gozdarska uprava države odpreme s sklicem na poročilo zadevnega akreditiranega laboratorija, ali drug dokument, iz katerega je razvidna raven specifične radioaktivnosti tovora;</w:t>
      </w:r>
    </w:p>
    <w:p w14:paraId="1998C997"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2.4. suhi pepel pomeni lesni pepel, segret do dosežene konstantne mase vzorca;</w:t>
      </w:r>
    </w:p>
    <w:p w14:paraId="157A713C"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2.5. suhi les pomeni les, segret do dosežene konstantne mase vzorca;</w:t>
      </w:r>
    </w:p>
    <w:p w14:paraId="1556DA4C"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2.6. težki pepel pomeni pepel, ki se nakopiči v peči kurilne naprave;</w:t>
      </w:r>
    </w:p>
    <w:p w14:paraId="400164BC"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2.7. elektrofiltrski pepel pomeni pepel, ki se nakopiči v filtrih za dimniške pline v kurilni napravi.</w:t>
      </w:r>
    </w:p>
    <w:p w14:paraId="108252F2" w14:textId="77777777" w:rsidR="003D4892" w:rsidRPr="003D40AD"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72B4CECD"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 w:name="p3"/>
      <w:bookmarkStart w:id="5" w:name="p-750745"/>
      <w:bookmarkEnd w:id="4"/>
      <w:bookmarkEnd w:id="5"/>
      <w:r w:rsidRPr="003D40AD">
        <w:rPr>
          <w:rFonts w:ascii="Arial" w:hAnsi="Arial"/>
          <w:sz w:val="20"/>
        </w:rPr>
        <w:t>3. Za namene te uredbe se kot les obravnavajo:</w:t>
      </w:r>
    </w:p>
    <w:p w14:paraId="1D6E73DA"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 xml:space="preserve">3.1. les za ogrevanje v obliki hlodov, polen, vej, butar ali podobnih oblikah, uvrščenih pod naslednje oznake kombinirane nomenklature: </w:t>
      </w:r>
    </w:p>
    <w:p w14:paraId="315F42E5" w14:textId="77777777" w:rsidR="009454A1" w:rsidRPr="003D40A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3D40AD">
        <w:rPr>
          <w:rFonts w:ascii="Arial" w:hAnsi="Arial"/>
          <w:sz w:val="20"/>
        </w:rPr>
        <w:t>3.1.1. 4401 11 00 (les iglavcev);</w:t>
      </w:r>
    </w:p>
    <w:p w14:paraId="2E9616B8" w14:textId="77777777" w:rsidR="009454A1" w:rsidRPr="003D40A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3D40AD">
        <w:rPr>
          <w:rFonts w:ascii="Arial" w:hAnsi="Arial"/>
          <w:sz w:val="20"/>
        </w:rPr>
        <w:t>3.1.2. 4401 12 00 (les neiglavcev);</w:t>
      </w:r>
    </w:p>
    <w:p w14:paraId="4EF26E47"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3.2. lesni sekanci ali drugi lesni delci pod naslednjimi oznakami kombinirane nomenklature:</w:t>
      </w:r>
    </w:p>
    <w:p w14:paraId="457D870A" w14:textId="77777777" w:rsidR="009454A1" w:rsidRPr="003D40A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3D40AD">
        <w:rPr>
          <w:rFonts w:ascii="Arial" w:hAnsi="Arial"/>
          <w:sz w:val="20"/>
        </w:rPr>
        <w:t>3.2.1. 4401 21 00 (les iglavcev);</w:t>
      </w:r>
    </w:p>
    <w:p w14:paraId="7BB25E06" w14:textId="77777777" w:rsidR="009454A1" w:rsidRPr="003D40A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3D40AD">
        <w:rPr>
          <w:rFonts w:ascii="Arial" w:hAnsi="Arial"/>
          <w:sz w:val="20"/>
        </w:rPr>
        <w:t>3.2.2. 4401 22 00 (les neiglavcev);</w:t>
      </w:r>
    </w:p>
    <w:p w14:paraId="04CE12C1"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 xml:space="preserve">3.3. žagovina in odpadki ter ostanki lesa, stisnjeni v polena, brikete, pelete in podobne oblike, pod naslednjimi oznakami kombinirane nomenklature: </w:t>
      </w:r>
    </w:p>
    <w:p w14:paraId="70B23247" w14:textId="77777777" w:rsidR="009454A1" w:rsidRPr="003D40A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3D40AD">
        <w:rPr>
          <w:rFonts w:ascii="Arial" w:hAnsi="Arial"/>
          <w:sz w:val="20"/>
        </w:rPr>
        <w:lastRenderedPageBreak/>
        <w:t>3.3.1. 4401 31 00 (lesni peleti);</w:t>
      </w:r>
    </w:p>
    <w:p w14:paraId="7F3FC886" w14:textId="77777777" w:rsidR="009454A1" w:rsidRPr="003D40A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3D40AD">
        <w:rPr>
          <w:rFonts w:ascii="Arial" w:hAnsi="Arial"/>
          <w:sz w:val="20"/>
        </w:rPr>
        <w:t>3.3.2. 4401 39 00 (drugo);</w:t>
      </w:r>
    </w:p>
    <w:p w14:paraId="4CFCAAE6"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3.4. žagovina in odpadki ter ostanki lesa, ki niso stisnjeni, pod naslednjimi oznakami kombinirane nomenklature:</w:t>
      </w:r>
    </w:p>
    <w:p w14:paraId="14351AE4" w14:textId="77777777" w:rsidR="009454A1" w:rsidRPr="003D40A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3D40AD">
        <w:rPr>
          <w:rFonts w:ascii="Arial" w:hAnsi="Arial"/>
          <w:sz w:val="20"/>
        </w:rPr>
        <w:t>3.4.1. 4401 40 10 (žagovina);</w:t>
      </w:r>
    </w:p>
    <w:p w14:paraId="54554E6E" w14:textId="77777777" w:rsidR="009454A1" w:rsidRPr="003D40A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3D40AD">
        <w:rPr>
          <w:rFonts w:ascii="Arial" w:hAnsi="Arial"/>
          <w:sz w:val="20"/>
        </w:rPr>
        <w:t>3.4.2. 4401 40 90 (drugo).</w:t>
      </w:r>
    </w:p>
    <w:p w14:paraId="67AEB53D" w14:textId="77777777" w:rsidR="003D4892" w:rsidRPr="003D40AD" w:rsidRDefault="003D4892" w:rsidP="009454A1">
      <w:pPr>
        <w:shd w:val="clear" w:color="auto" w:fill="FFFFFF"/>
        <w:spacing w:after="0" w:line="293" w:lineRule="atLeast"/>
        <w:ind w:left="900" w:firstLine="300"/>
        <w:jc w:val="both"/>
        <w:rPr>
          <w:rFonts w:ascii="Arial" w:eastAsia="Times New Roman" w:hAnsi="Arial" w:cs="Arial"/>
          <w:sz w:val="20"/>
          <w:szCs w:val="20"/>
          <w:lang w:eastAsia="lv-LV"/>
        </w:rPr>
      </w:pPr>
    </w:p>
    <w:p w14:paraId="346BD8DA"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6" w:name="p4"/>
      <w:bookmarkStart w:id="7" w:name="p-750746"/>
      <w:bookmarkEnd w:id="6"/>
      <w:bookmarkEnd w:id="7"/>
      <w:r w:rsidRPr="003D40AD">
        <w:rPr>
          <w:rFonts w:ascii="Arial" w:hAnsi="Arial"/>
          <w:sz w:val="20"/>
        </w:rPr>
        <w:t xml:space="preserve">4. Če se v Latvijo uvozi les, ki se bo uporabljal kot biomasno gorivo, uvoznik lesa zagotovi, da se spremni dokumentaciji vsake pošiljke priloži izvirna ali overjena kopija (v tiskani obliki) poročila o preskusu sevanja, ki prikazuje, da raven specifične radioaktivnosti radionuklida </w:t>
      </w:r>
      <w:r w:rsidRPr="003D40AD">
        <w:rPr>
          <w:rFonts w:ascii="Arial" w:hAnsi="Arial"/>
          <w:sz w:val="20"/>
          <w:vertAlign w:val="superscript"/>
        </w:rPr>
        <w:t>137</w:t>
      </w:r>
      <w:r w:rsidRPr="003D40AD">
        <w:rPr>
          <w:rFonts w:ascii="Arial" w:hAnsi="Arial"/>
          <w:sz w:val="20"/>
        </w:rPr>
        <w:t>Cs v tovoru lesa ni večja od 10 Bq/kg v suhem lesu. Kopijo poročila o preskusu sevanja overi organizacija, ki je izdala dokument, ali uvoznik lesa.</w:t>
      </w:r>
    </w:p>
    <w:p w14:paraId="286AE80E"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28553828"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8" w:name="p5"/>
      <w:bookmarkStart w:id="9" w:name="p-750747"/>
      <w:bookmarkEnd w:id="8"/>
      <w:bookmarkEnd w:id="9"/>
      <w:r w:rsidRPr="003D40AD">
        <w:rPr>
          <w:rFonts w:ascii="Arial" w:hAnsi="Arial"/>
          <w:sz w:val="20"/>
        </w:rPr>
        <w:t xml:space="preserve">5. Državna služba za okolje (v nadaljnjem besedilu, Služba) ima pravico izvesti preskus specifične radioaktivnosti lesa, da se prepriča, ali je raven specifične radioaktivnosti </w:t>
      </w:r>
      <w:r w:rsidRPr="003D40AD">
        <w:rPr>
          <w:rFonts w:ascii="Arial" w:hAnsi="Arial"/>
          <w:sz w:val="20"/>
          <w:vertAlign w:val="superscript"/>
        </w:rPr>
        <w:t>137</w:t>
      </w:r>
      <w:r w:rsidRPr="003D40AD">
        <w:rPr>
          <w:rFonts w:ascii="Arial" w:hAnsi="Arial"/>
          <w:sz w:val="20"/>
        </w:rPr>
        <w:t>Cs v tovoru lesa v skladu z zahtevami te uredbe.</w:t>
      </w:r>
    </w:p>
    <w:p w14:paraId="68580C8D"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14E67C01" w14:textId="340851A2"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0" w:name="p6"/>
      <w:bookmarkStart w:id="11" w:name="p-750748"/>
      <w:bookmarkEnd w:id="10"/>
      <w:bookmarkEnd w:id="11"/>
      <w:r w:rsidRPr="003D40AD">
        <w:rPr>
          <w:rFonts w:ascii="Arial" w:hAnsi="Arial"/>
          <w:sz w:val="20"/>
        </w:rPr>
        <w:t>6. Preskus sevanja iz</w:t>
      </w:r>
      <w:hyperlink r:id="rId8" w:anchor="p4" w:history="1">
        <w:r w:rsidRPr="003D40AD">
          <w:rPr>
            <w:rFonts w:ascii="Arial" w:hAnsi="Arial"/>
            <w:sz w:val="20"/>
          </w:rPr>
          <w:t xml:space="preserve"> </w:t>
        </w:r>
        <w:r w:rsidRPr="003D40AD">
          <w:rPr>
            <w:rFonts w:ascii="Arial" w:hAnsi="Arial"/>
            <w:color w:val="2F5496" w:themeColor="accent1" w:themeShade="BF"/>
            <w:sz w:val="20"/>
            <w:u w:val="single"/>
          </w:rPr>
          <w:t>odstavka 4</w:t>
        </w:r>
      </w:hyperlink>
      <w:r w:rsidRPr="003D40AD">
        <w:rPr>
          <w:rFonts w:ascii="Arial" w:hAnsi="Arial"/>
          <w:sz w:val="20"/>
        </w:rPr>
        <w:t xml:space="preserve"> te uredbe izvede eden od naslednjih laboratorijev:</w:t>
      </w:r>
    </w:p>
    <w:p w14:paraId="692FF2B9"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6.1. laboratorij, ki ga akreditira država odpreme;</w:t>
      </w:r>
    </w:p>
    <w:p w14:paraId="6F7FA488"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6.2. laboratorij, ki ga akreditira latvijski nacionalni akreditacijski organ v skladu s pravili in predpisi o ocenjevanju, akreditaciji in nadzoru organov za ocenjevanje skladnosti;</w:t>
      </w:r>
    </w:p>
    <w:p w14:paraId="0ED7E2E1"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6.3. laboratorij, ki ga akreditira druga država iz Evropskega gospodarskega prostora.</w:t>
      </w:r>
    </w:p>
    <w:p w14:paraId="0B2793C1" w14:textId="77777777" w:rsidR="003D4892" w:rsidRPr="003D40AD"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085C0791"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2" w:name="p7"/>
      <w:bookmarkStart w:id="13" w:name="p-750749"/>
      <w:bookmarkEnd w:id="12"/>
      <w:bookmarkEnd w:id="13"/>
      <w:r w:rsidRPr="003D40AD">
        <w:rPr>
          <w:rFonts w:ascii="Arial" w:hAnsi="Arial"/>
          <w:sz w:val="20"/>
        </w:rPr>
        <w:t xml:space="preserve">7. Uvoz lesa, ki se bo uporabljal kot biomasno gorivo, je prepovedan, če je raven specifične radioaktivnosti radionuklida </w:t>
      </w:r>
      <w:r w:rsidRPr="003D40AD">
        <w:rPr>
          <w:rFonts w:ascii="Arial" w:hAnsi="Arial"/>
          <w:sz w:val="20"/>
          <w:vertAlign w:val="superscript"/>
        </w:rPr>
        <w:t>137</w:t>
      </w:r>
      <w:r w:rsidRPr="003D40AD">
        <w:rPr>
          <w:rFonts w:ascii="Arial" w:hAnsi="Arial"/>
          <w:sz w:val="20"/>
        </w:rPr>
        <w:t>Cs v lesu večja od 10 Bq/kg v suhem lesu.</w:t>
      </w:r>
    </w:p>
    <w:p w14:paraId="4D9AFED8"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4E2F9503"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4" w:name="p8"/>
      <w:bookmarkStart w:id="15" w:name="p-750750"/>
      <w:bookmarkEnd w:id="14"/>
      <w:bookmarkEnd w:id="15"/>
      <w:r w:rsidRPr="003D40AD">
        <w:rPr>
          <w:rFonts w:ascii="Arial" w:hAnsi="Arial"/>
          <w:sz w:val="20"/>
        </w:rPr>
        <w:t>8. Če se uvožen les ne bo uporabljal kot biomasno gorivo, uvoznik lesa zagotovi, da je spremni dokumentaciji vsakega kosa tovora priložena izvirna ali overjena kopija potrdila (v tiskani obliki v latvijskem ali angleškem jeziku) (v nadaljnjem besedilu: potrdilo). Kopijo potrdila overi organizacija, ki je izdala dokument, ali uvoznik lesa. Potrdilo vsebuje naslednje:</w:t>
      </w:r>
    </w:p>
    <w:p w14:paraId="12746730"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8.1. navedbo, da kupec lesa (če je v trenutku uvoza lesa znan) ali uvoznik lesa potrjuje, da les (tudi izdelki iz tega predelanega lesa, če je les po uvozu namenjen predelavi, na primer v pelete) ni namenjen uporabi kot biomasno gorivo v Latviji;</w:t>
      </w:r>
    </w:p>
    <w:p w14:paraId="16A760C6"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8.2. podrobne podatke o kupcu lesa (če je v trenutku uvoza lesa znan) in uvozniku lesa – ime podjetja, registracijsko številko v poslovnem registru, kontaktne informacije.</w:t>
      </w:r>
    </w:p>
    <w:p w14:paraId="2E385895" w14:textId="77777777" w:rsidR="003D4892" w:rsidRPr="003D40AD"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42AB1F00"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6" w:name="p9"/>
      <w:bookmarkStart w:id="17" w:name="p-750751"/>
      <w:bookmarkEnd w:id="16"/>
      <w:bookmarkEnd w:id="17"/>
      <w:r w:rsidRPr="003D40AD">
        <w:rPr>
          <w:rFonts w:ascii="Arial" w:hAnsi="Arial"/>
          <w:sz w:val="20"/>
        </w:rPr>
        <w:t>9. Poročilo o preskusu sevanja in potrdilo se pripravita v tiskani obliki ali kot elektronska dokumenta v skladu s pravili in predpisi glede priprave elektronskih dokumentov.</w:t>
      </w:r>
    </w:p>
    <w:p w14:paraId="39D118CB"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25B0FCC3"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8" w:name="p10"/>
      <w:bookmarkStart w:id="19" w:name="p-750752"/>
      <w:bookmarkEnd w:id="18"/>
      <w:bookmarkEnd w:id="19"/>
      <w:r w:rsidRPr="003D40AD">
        <w:rPr>
          <w:rFonts w:ascii="Arial" w:hAnsi="Arial"/>
          <w:sz w:val="20"/>
        </w:rPr>
        <w:t>10. Če se les uvozi iz države, ki ni država Evropskega gospodarskega prostora, in se sprosti v prosti promet, uvoznik lesa poročilo o preskusu sevanja ali potrdilo priloži carinski deklaraciji.</w:t>
      </w:r>
    </w:p>
    <w:p w14:paraId="11DD9697"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7CE6D8D9"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0" w:name="p11"/>
      <w:bookmarkStart w:id="21" w:name="p-750753"/>
      <w:bookmarkEnd w:id="20"/>
      <w:bookmarkEnd w:id="21"/>
      <w:r w:rsidRPr="003D40AD">
        <w:rPr>
          <w:rFonts w:ascii="Arial" w:hAnsi="Arial"/>
          <w:sz w:val="20"/>
        </w:rPr>
        <w:t>11. V Latviji ni dovoljeno sprostiti tovora lesa v prosti pretok, če carinski uslužbenec ugotovi, da:</w:t>
      </w:r>
    </w:p>
    <w:p w14:paraId="3F19ED4D"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lastRenderedPageBreak/>
        <w:t xml:space="preserve">11.1. poročilo o preskusu sevanja prikazuje, da je raven specifične radioaktivnosti radionuklida </w:t>
      </w:r>
      <w:r w:rsidRPr="003D40AD">
        <w:rPr>
          <w:rFonts w:ascii="Arial" w:hAnsi="Arial"/>
          <w:sz w:val="20"/>
          <w:vertAlign w:val="superscript"/>
        </w:rPr>
        <w:t>137</w:t>
      </w:r>
      <w:r w:rsidRPr="003D40AD">
        <w:rPr>
          <w:rFonts w:ascii="Arial" w:hAnsi="Arial"/>
          <w:sz w:val="20"/>
        </w:rPr>
        <w:t>Cs v tovoru lesa višja od 10 Bq/kg v suhem lesu, in če uvoznik lesa ne more predložiti potrdila;</w:t>
      </w:r>
    </w:p>
    <w:p w14:paraId="60B16F2C"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11.2. uvoznik lesa ne more predložiti poročila o preskusu sevanja in potrdila;</w:t>
      </w:r>
    </w:p>
    <w:p w14:paraId="1202E0C6" w14:textId="77777777" w:rsidR="009454A1" w:rsidRPr="003D40A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3D40AD">
        <w:rPr>
          <w:rFonts w:ascii="Arial" w:hAnsi="Arial"/>
          <w:sz w:val="20"/>
        </w:rPr>
        <w:t>11.3. je kakovost dokumentov, ki jih predloži uvoznik lesa, takšna, da posredovanih informacij ni mogoče prebrati.</w:t>
      </w:r>
    </w:p>
    <w:p w14:paraId="1375D417" w14:textId="77777777" w:rsidR="003D4892" w:rsidRPr="003D40AD"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2A5626C3"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2" w:name="p12"/>
      <w:bookmarkStart w:id="23" w:name="p-750754"/>
      <w:bookmarkEnd w:id="22"/>
      <w:bookmarkEnd w:id="23"/>
      <w:r w:rsidRPr="003D40AD">
        <w:rPr>
          <w:rFonts w:ascii="Arial" w:hAnsi="Arial"/>
          <w:sz w:val="20"/>
        </w:rPr>
        <w:t>12. Gospodarski subjekt ob predaji tovora kupcu lesa predloži poročilo o preskusu sevanja in potrdilo. Kupec lesa hrani poročilo o preskusu sevanja in potrdilo pet let po datumu prevzema tovora lesa in ga na podlagi zahteve predloži Službi.</w:t>
      </w:r>
    </w:p>
    <w:p w14:paraId="4619C75A"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601B098"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4" w:name="p13"/>
      <w:bookmarkStart w:id="25" w:name="p-750755"/>
      <w:bookmarkEnd w:id="24"/>
      <w:bookmarkEnd w:id="25"/>
      <w:r w:rsidRPr="003D40AD">
        <w:rPr>
          <w:rFonts w:ascii="Arial" w:hAnsi="Arial"/>
          <w:sz w:val="20"/>
        </w:rPr>
        <w:t xml:space="preserve">13. Les, ki je uvožen v Latvijo iz druge države, se lahko uporabi kot biomasno gorivo, če je bil podvržen testu sevanja v enem od laboratorijev iz </w:t>
      </w:r>
      <w:hyperlink r:id="rId9" w:anchor="p6" w:history="1">
        <w:r w:rsidRPr="003D40AD">
          <w:rPr>
            <w:rFonts w:ascii="Arial" w:hAnsi="Arial"/>
            <w:color w:val="2F5496" w:themeColor="accent1" w:themeShade="BF"/>
            <w:sz w:val="20"/>
            <w:u w:val="single"/>
          </w:rPr>
          <w:t>odstavka 6</w:t>
        </w:r>
      </w:hyperlink>
      <w:r w:rsidRPr="003D40AD">
        <w:rPr>
          <w:rFonts w:ascii="Arial" w:hAnsi="Arial"/>
          <w:sz w:val="20"/>
        </w:rPr>
        <w:t xml:space="preserve"> te uredbe in če je test potrdil, da raven specifične radioaktivnosti radionuklida </w:t>
      </w:r>
      <w:r w:rsidRPr="003D40AD">
        <w:rPr>
          <w:rFonts w:ascii="Arial" w:hAnsi="Arial"/>
          <w:sz w:val="20"/>
          <w:vertAlign w:val="superscript"/>
        </w:rPr>
        <w:t>137</w:t>
      </w:r>
      <w:r w:rsidRPr="003D40AD">
        <w:rPr>
          <w:rFonts w:ascii="Arial" w:hAnsi="Arial"/>
          <w:sz w:val="20"/>
        </w:rPr>
        <w:t>Cs ni večja od 10 Bq/kg v suhem lesu.</w:t>
      </w:r>
    </w:p>
    <w:p w14:paraId="69E09C72"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8DEAA76"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6" w:name="p14"/>
      <w:bookmarkStart w:id="27" w:name="p-750756"/>
      <w:bookmarkEnd w:id="26"/>
      <w:bookmarkEnd w:id="27"/>
      <w:r w:rsidRPr="003D40AD">
        <w:rPr>
          <w:rFonts w:ascii="Arial" w:hAnsi="Arial"/>
          <w:sz w:val="20"/>
        </w:rPr>
        <w:t xml:space="preserve">14. Če se ugotovi, da je raven specifične radioaktivnosti radionuklida </w:t>
      </w:r>
      <w:r w:rsidRPr="003D40AD">
        <w:rPr>
          <w:rFonts w:ascii="Arial" w:hAnsi="Arial"/>
          <w:sz w:val="20"/>
          <w:vertAlign w:val="superscript"/>
        </w:rPr>
        <w:t>137</w:t>
      </w:r>
      <w:r w:rsidRPr="003D40AD">
        <w:rPr>
          <w:rFonts w:ascii="Arial" w:hAnsi="Arial"/>
          <w:sz w:val="20"/>
        </w:rPr>
        <w:t>Cs v lesu, ki se v Latvijo uvozi iz druge države in se bo uporabljal kot biomasno gorivo, večja od 10 Bq/kg, uvoznik lesa ta les vrne pošiljatelju, in sicer takoj oziroma najpozneje v roku enega meseca.</w:t>
      </w:r>
    </w:p>
    <w:p w14:paraId="413E6408"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119067B7"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8" w:name="p15"/>
      <w:bookmarkStart w:id="29" w:name="p-750757"/>
      <w:bookmarkEnd w:id="28"/>
      <w:bookmarkEnd w:id="29"/>
      <w:r w:rsidRPr="003D40AD">
        <w:rPr>
          <w:rFonts w:ascii="Arial" w:hAnsi="Arial"/>
          <w:sz w:val="20"/>
        </w:rPr>
        <w:t>15. Upravljavec kurilne naprave z nazivno vhodno toplotno močjo, večjo od 5 MW, ki uporablja les, ki je bil v Latvijo kot biomasno gorivo uvožen iz druge države, v ogrevalni sezoni (od oktobra do aprila) enkrat mesečno izvede preskus specifične radioaktivnosti na elektrofiltrskem pepelu, ki nastane pri gorenju lesa, ali preskus specifične radioaktivnosti težkega pepela, če zadevna kurilna naprava nima nameščenih ločenih filtrov za dimniške pline.</w:t>
      </w:r>
    </w:p>
    <w:p w14:paraId="6BE7A507"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30B2FDAC"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0" w:name="p16"/>
      <w:bookmarkStart w:id="31" w:name="p-750758"/>
      <w:bookmarkEnd w:id="30"/>
      <w:bookmarkEnd w:id="31"/>
      <w:r w:rsidRPr="003D40AD">
        <w:rPr>
          <w:rFonts w:ascii="Arial" w:hAnsi="Arial"/>
          <w:sz w:val="20"/>
        </w:rPr>
        <w:t xml:space="preserve">16. Lesni pepel, v katerem znaša specifična radioaktivnost radionuklida </w:t>
      </w:r>
      <w:r w:rsidRPr="003D40AD">
        <w:rPr>
          <w:rFonts w:ascii="Arial" w:hAnsi="Arial"/>
          <w:sz w:val="20"/>
          <w:vertAlign w:val="superscript"/>
        </w:rPr>
        <w:t>137</w:t>
      </w:r>
      <w:r w:rsidRPr="003D40AD">
        <w:rPr>
          <w:rFonts w:ascii="Arial" w:hAnsi="Arial"/>
          <w:sz w:val="20"/>
        </w:rPr>
        <w:t>Cs v suhem pepelu 1 000 Bq/kg ali manj, se lahko uporabi v kmetijstvu in gozdarstvu v skladu s pravili in predpisi, ki se uporabljajo za zadevni sektor.</w:t>
      </w:r>
    </w:p>
    <w:p w14:paraId="5DBA7A56"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55F420B0"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2" w:name="p17"/>
      <w:bookmarkStart w:id="33" w:name="p-750759"/>
      <w:bookmarkEnd w:id="32"/>
      <w:bookmarkEnd w:id="33"/>
      <w:r w:rsidRPr="003D40AD">
        <w:rPr>
          <w:rFonts w:ascii="Arial" w:hAnsi="Arial"/>
          <w:sz w:val="20"/>
        </w:rPr>
        <w:t xml:space="preserve">17. Lesni pepel, v katerem znaša specifična radioaktivnost radionuklida </w:t>
      </w:r>
      <w:r w:rsidRPr="003D40AD">
        <w:rPr>
          <w:rFonts w:ascii="Arial" w:hAnsi="Arial"/>
          <w:sz w:val="20"/>
          <w:vertAlign w:val="superscript"/>
        </w:rPr>
        <w:t>137</w:t>
      </w:r>
      <w:r w:rsidRPr="003D40AD">
        <w:rPr>
          <w:rFonts w:ascii="Arial" w:hAnsi="Arial"/>
          <w:sz w:val="20"/>
        </w:rPr>
        <w:t>Cs v suhem pepelu med 1 000 Bq/kg in 10 000 Bq/kg, se lahko odvrže na odlagališču komunalnih odpadkov ali pa uporabi kot material za prekrivanje odlagališč komunalnih ali nevarnih odpadkov.</w:t>
      </w:r>
    </w:p>
    <w:p w14:paraId="1196EBEA"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5E519AA"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4" w:name="p18"/>
      <w:bookmarkStart w:id="35" w:name="p-750760"/>
      <w:bookmarkEnd w:id="34"/>
      <w:bookmarkEnd w:id="35"/>
      <w:r w:rsidRPr="003D40AD">
        <w:rPr>
          <w:rFonts w:ascii="Arial" w:hAnsi="Arial"/>
          <w:sz w:val="20"/>
        </w:rPr>
        <w:t xml:space="preserve">18. Če znaša specifična radioaktivnost radionuklida </w:t>
      </w:r>
      <w:r w:rsidRPr="003D40AD">
        <w:rPr>
          <w:rFonts w:ascii="Arial" w:hAnsi="Arial"/>
          <w:sz w:val="20"/>
          <w:vertAlign w:val="superscript"/>
        </w:rPr>
        <w:t>137</w:t>
      </w:r>
      <w:r w:rsidRPr="003D40AD">
        <w:rPr>
          <w:rFonts w:ascii="Arial" w:hAnsi="Arial"/>
          <w:sz w:val="20"/>
        </w:rPr>
        <w:t>Cs v suhem lesnem pepelu 10 000 Bq/kg ali več, upravljavec kurilne naprave o tem nemudoma obvesti Službo. V takšnem primeru upravljavec kurilne naprave zagotovi, da se s pepelom ravna v skladu s pravili in predpisi glede ravnanja z radioaktivnimi odpadki in povezanimi materiali.</w:t>
      </w:r>
    </w:p>
    <w:p w14:paraId="21168EAA"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796BC58E"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6" w:name="p19"/>
      <w:bookmarkStart w:id="37" w:name="p-750761"/>
      <w:bookmarkEnd w:id="36"/>
      <w:bookmarkEnd w:id="37"/>
      <w:r w:rsidRPr="003D40AD">
        <w:rPr>
          <w:rFonts w:ascii="Arial" w:hAnsi="Arial"/>
          <w:sz w:val="20"/>
        </w:rPr>
        <w:t>19. Služba ima pravico, da v primeru kurilnih naprav z nazivno vhodno toplotno močjo 5 MW ali več izvede preskuse specifične radioaktivnosti na elektrofiltrskem pepelu, v primeru, da ločeni filtri za dimniške pline niso nameščeni, pa preskuse specifične radioaktivnosti na težkem pepelu.</w:t>
      </w:r>
    </w:p>
    <w:p w14:paraId="3686C276"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ADEF5AB" w14:textId="160F54D1"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8" w:name="p20"/>
      <w:bookmarkStart w:id="39" w:name="p-750762"/>
      <w:bookmarkEnd w:id="38"/>
      <w:bookmarkEnd w:id="39"/>
      <w:r w:rsidRPr="003D40AD">
        <w:rPr>
          <w:rFonts w:ascii="Arial" w:hAnsi="Arial"/>
          <w:sz w:val="20"/>
        </w:rPr>
        <w:t xml:space="preserve">20. Pri vsakem preskusu specifične radioaktivnosti pepela iz </w:t>
      </w:r>
      <w:hyperlink r:id="rId10" w:anchor="p15" w:history="1">
        <w:r w:rsidRPr="003D40AD">
          <w:rPr>
            <w:rFonts w:ascii="Arial" w:hAnsi="Arial"/>
            <w:color w:val="2F5496" w:themeColor="accent1" w:themeShade="BF"/>
            <w:sz w:val="20"/>
            <w:u w:val="single"/>
          </w:rPr>
          <w:t>odstavkov 15</w:t>
        </w:r>
        <w:r w:rsidRPr="003D40AD">
          <w:rPr>
            <w:rFonts w:ascii="Arial" w:hAnsi="Arial"/>
            <w:sz w:val="20"/>
          </w:rPr>
          <w:t xml:space="preserve"> </w:t>
        </w:r>
      </w:hyperlink>
      <w:r w:rsidRPr="003D40AD">
        <w:rPr>
          <w:rFonts w:ascii="Arial" w:hAnsi="Arial"/>
          <w:sz w:val="20"/>
        </w:rPr>
        <w:t>in</w:t>
      </w:r>
      <w:r w:rsidR="003D40AD">
        <w:rPr>
          <w:rFonts w:ascii="Arial" w:hAnsi="Arial"/>
          <w:sz w:val="20"/>
        </w:rPr>
        <w:t xml:space="preserve"> </w:t>
      </w:r>
      <w:hyperlink r:id="rId11" w:anchor="p19" w:history="1">
        <w:r w:rsidRPr="003D40AD">
          <w:rPr>
            <w:rFonts w:ascii="Arial" w:hAnsi="Arial"/>
            <w:color w:val="2F5496" w:themeColor="accent1" w:themeShade="BF"/>
            <w:sz w:val="20"/>
            <w:u w:val="single"/>
          </w:rPr>
          <w:t>19</w:t>
        </w:r>
        <w:r w:rsidRPr="003D40AD">
          <w:rPr>
            <w:rFonts w:ascii="Arial" w:hAnsi="Arial"/>
            <w:sz w:val="20"/>
          </w:rPr>
          <w:t xml:space="preserve"> </w:t>
        </w:r>
      </w:hyperlink>
      <w:r w:rsidRPr="003D40AD">
        <w:rPr>
          <w:rFonts w:ascii="Arial" w:hAnsi="Arial"/>
          <w:sz w:val="20"/>
        </w:rPr>
        <w:t xml:space="preserve"> te uredbe se preskusi en vzorec pepela, katerega količina je takšna, da lahko zadevni laboratorij izvede preskus.</w:t>
      </w:r>
    </w:p>
    <w:p w14:paraId="068381EF"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7E1C5502" w14:textId="62D53C5E"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0" w:name="p21"/>
      <w:bookmarkStart w:id="41" w:name="p-750763"/>
      <w:bookmarkEnd w:id="40"/>
      <w:bookmarkEnd w:id="41"/>
      <w:r w:rsidRPr="003D40AD">
        <w:rPr>
          <w:rFonts w:ascii="Arial" w:hAnsi="Arial"/>
          <w:sz w:val="20"/>
        </w:rPr>
        <w:t xml:space="preserve">21. Preskusi specifične radioaktivnosti iz </w:t>
      </w:r>
      <w:hyperlink r:id="rId12" w:anchor="p15" w:history="1">
        <w:r w:rsidRPr="003D40AD">
          <w:rPr>
            <w:rFonts w:ascii="Arial" w:hAnsi="Arial"/>
            <w:color w:val="2F5496" w:themeColor="accent1" w:themeShade="BF"/>
            <w:sz w:val="20"/>
            <w:u w:val="single"/>
          </w:rPr>
          <w:t>odstavkov 15</w:t>
        </w:r>
      </w:hyperlink>
      <w:r w:rsidR="003D40AD" w:rsidRPr="003D40AD">
        <w:rPr>
          <w:rFonts w:ascii="Arial" w:hAnsi="Arial"/>
          <w:color w:val="2F5496" w:themeColor="accent1" w:themeShade="BF"/>
          <w:sz w:val="20"/>
        </w:rPr>
        <w:t xml:space="preserve"> </w:t>
      </w:r>
      <w:r w:rsidRPr="003D40AD">
        <w:rPr>
          <w:rFonts w:ascii="Arial" w:hAnsi="Arial"/>
          <w:sz w:val="20"/>
        </w:rPr>
        <w:t xml:space="preserve">in </w:t>
      </w:r>
      <w:hyperlink r:id="rId13" w:anchor="p19" w:history="1">
        <w:r w:rsidRPr="003D40AD">
          <w:rPr>
            <w:rFonts w:ascii="Arial" w:hAnsi="Arial"/>
            <w:color w:val="2F5496" w:themeColor="accent1" w:themeShade="BF"/>
            <w:sz w:val="20"/>
            <w:u w:val="single"/>
          </w:rPr>
          <w:t>19</w:t>
        </w:r>
        <w:r w:rsidRPr="003D40AD">
          <w:rPr>
            <w:rFonts w:ascii="Arial" w:hAnsi="Arial"/>
            <w:sz w:val="20"/>
          </w:rPr>
          <w:t xml:space="preserve"> </w:t>
        </w:r>
      </w:hyperlink>
      <w:r w:rsidRPr="003D40AD">
        <w:rPr>
          <w:rFonts w:ascii="Arial" w:hAnsi="Arial"/>
          <w:sz w:val="20"/>
        </w:rPr>
        <w:t xml:space="preserve"> te uredbe se izvedejo v laboratoriju, ki ga je akreditiral latvijski nacionalni akreditacijski organ v skladu s pravili in predpisi o ocenjevanju, akreditaciji in nadzoru organov za ugotavljanje skladnosti, ali v laboratoriju, akreditiranem v drugi državi Evropskega gospodarskega prostora.</w:t>
      </w:r>
    </w:p>
    <w:p w14:paraId="1FF62DDB"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4249F56A"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2" w:name="p22"/>
      <w:bookmarkStart w:id="43" w:name="p-750764"/>
      <w:bookmarkEnd w:id="42"/>
      <w:bookmarkEnd w:id="43"/>
      <w:r w:rsidRPr="003D40AD">
        <w:rPr>
          <w:rFonts w:ascii="Arial" w:hAnsi="Arial"/>
          <w:sz w:val="20"/>
        </w:rPr>
        <w:t>22. Upravljavec kurilne naprave hrani dokumentacijo v zvezi s preskusi specifične radioaktivnosti pepela, ki jih izvede upravljavec kurilne naprave, pet let od datuma izvedbe preskusa specifične radioaktivnosti in jih na podlagi zahteve predloži Službi.</w:t>
      </w:r>
    </w:p>
    <w:p w14:paraId="2A58A898" w14:textId="77777777" w:rsidR="003D4892" w:rsidRPr="003D40A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264894D4" w14:textId="77777777" w:rsidR="009454A1" w:rsidRPr="003D40A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4" w:name="p23"/>
      <w:bookmarkStart w:id="45" w:name="p-750765"/>
      <w:bookmarkEnd w:id="44"/>
      <w:bookmarkEnd w:id="45"/>
      <w:r w:rsidRPr="003D40AD">
        <w:rPr>
          <w:rFonts w:ascii="Arial" w:hAnsi="Arial"/>
          <w:sz w:val="20"/>
        </w:rPr>
        <w:t>23. Ta uredba začne veljati 1. aprila 2021.</w:t>
      </w:r>
    </w:p>
    <w:p w14:paraId="4982590A" w14:textId="77777777" w:rsidR="009454A1" w:rsidRPr="003D40AD"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289EAE2D" w14:textId="77777777" w:rsidR="009454A1" w:rsidRPr="003D40AD"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6A8CAA25" w14:textId="77777777" w:rsidR="009454A1" w:rsidRPr="003D40AD"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31683751" w14:textId="77777777" w:rsidR="009454A1" w:rsidRPr="003D40AD"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0A26C07C" w14:textId="003259AC" w:rsidR="003D40AD" w:rsidRDefault="009454A1" w:rsidP="009454A1">
      <w:pPr>
        <w:shd w:val="clear" w:color="auto" w:fill="FFFFFF"/>
        <w:spacing w:after="0" w:line="240" w:lineRule="auto"/>
        <w:jc w:val="right"/>
        <w:rPr>
          <w:rFonts w:ascii="Arial" w:hAnsi="Arial"/>
          <w:i/>
          <w:sz w:val="20"/>
        </w:rPr>
      </w:pPr>
      <w:r w:rsidRPr="003D40AD">
        <w:rPr>
          <w:rFonts w:ascii="Arial" w:hAnsi="Arial"/>
          <w:sz w:val="20"/>
        </w:rPr>
        <w:t>Predsednik vlade</w:t>
      </w:r>
      <w:r w:rsidR="003D40AD">
        <w:rPr>
          <w:rFonts w:ascii="Arial" w:hAnsi="Arial"/>
          <w:sz w:val="20"/>
        </w:rPr>
        <w:t xml:space="preserve">   </w:t>
      </w:r>
      <w:r w:rsidRPr="003D40AD">
        <w:rPr>
          <w:rFonts w:ascii="Arial" w:hAnsi="Arial"/>
          <w:i/>
          <w:sz w:val="20"/>
        </w:rPr>
        <w:t>A. K. Kariņš</w:t>
      </w:r>
    </w:p>
    <w:p w14:paraId="061EEB28" w14:textId="0628B5DB" w:rsidR="004A7FAC" w:rsidRPr="003D40AD" w:rsidRDefault="009454A1" w:rsidP="009454A1">
      <w:pPr>
        <w:shd w:val="clear" w:color="auto" w:fill="FFFFFF"/>
        <w:spacing w:after="0" w:line="240" w:lineRule="auto"/>
        <w:jc w:val="right"/>
        <w:rPr>
          <w:rFonts w:ascii="Arial" w:eastAsia="Times New Roman" w:hAnsi="Arial" w:cs="Arial"/>
          <w:sz w:val="20"/>
          <w:szCs w:val="20"/>
        </w:rPr>
      </w:pPr>
      <w:r w:rsidRPr="003D40AD">
        <w:rPr>
          <w:rFonts w:ascii="Arial" w:hAnsi="Arial"/>
          <w:sz w:val="20"/>
        </w:rPr>
        <w:br/>
        <w:t>Minister za varstvo okolja</w:t>
      </w:r>
      <w:r w:rsidRPr="003D40AD">
        <w:rPr>
          <w:rFonts w:ascii="Arial" w:hAnsi="Arial"/>
          <w:sz w:val="20"/>
        </w:rPr>
        <w:br/>
        <w:t>in regionalni razvoj</w:t>
      </w:r>
      <w:r w:rsidR="003D40AD">
        <w:rPr>
          <w:rFonts w:ascii="Arial" w:hAnsi="Arial"/>
          <w:sz w:val="20"/>
        </w:rPr>
        <w:t xml:space="preserve">   </w:t>
      </w:r>
      <w:r w:rsidRPr="003D40AD">
        <w:rPr>
          <w:rFonts w:ascii="Arial" w:hAnsi="Arial"/>
          <w:i/>
          <w:sz w:val="20"/>
        </w:rPr>
        <w:t>J. Pūce</w:t>
      </w:r>
    </w:p>
    <w:sectPr w:rsidR="004A7FAC" w:rsidRPr="003D40A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4A1"/>
    <w:rsid w:val="003D40AD"/>
    <w:rsid w:val="003D4892"/>
    <w:rsid w:val="004A7FAC"/>
    <w:rsid w:val="006D6452"/>
    <w:rsid w:val="009454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2E062"/>
  <w15:chartTrackingRefBased/>
  <w15:docId w15:val="{68374386-0AF3-4EB1-B54A-53CF88B5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454A1"/>
    <w:rPr>
      <w:color w:val="0000FF"/>
      <w:u w:val="single"/>
    </w:rPr>
  </w:style>
  <w:style w:type="paragraph" w:customStyle="1" w:styleId="tv213">
    <w:name w:val="tv213"/>
    <w:basedOn w:val="Normal"/>
    <w:rsid w:val="009454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9454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3D48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688990">
      <w:bodyDiv w:val="1"/>
      <w:marLeft w:val="0"/>
      <w:marRight w:val="0"/>
      <w:marTop w:val="0"/>
      <w:marBottom w:val="0"/>
      <w:divBdr>
        <w:top w:val="none" w:sz="0" w:space="0" w:color="auto"/>
        <w:left w:val="none" w:sz="0" w:space="0" w:color="auto"/>
        <w:bottom w:val="none" w:sz="0" w:space="0" w:color="auto"/>
        <w:right w:val="none" w:sz="0" w:space="0" w:color="auto"/>
      </w:divBdr>
      <w:divsChild>
        <w:div w:id="636107544">
          <w:marLeft w:val="0"/>
          <w:marRight w:val="0"/>
          <w:marTop w:val="480"/>
          <w:marBottom w:val="240"/>
          <w:divBdr>
            <w:top w:val="none" w:sz="0" w:space="0" w:color="auto"/>
            <w:left w:val="none" w:sz="0" w:space="0" w:color="auto"/>
            <w:bottom w:val="none" w:sz="0" w:space="0" w:color="auto"/>
            <w:right w:val="none" w:sz="0" w:space="0" w:color="auto"/>
          </w:divBdr>
        </w:div>
        <w:div w:id="596983564">
          <w:marLeft w:val="0"/>
          <w:marRight w:val="0"/>
          <w:marTop w:val="0"/>
          <w:marBottom w:val="567"/>
          <w:divBdr>
            <w:top w:val="none" w:sz="0" w:space="0" w:color="auto"/>
            <w:left w:val="none" w:sz="0" w:space="0" w:color="auto"/>
            <w:bottom w:val="none" w:sz="0" w:space="0" w:color="auto"/>
            <w:right w:val="none" w:sz="0" w:space="0" w:color="auto"/>
          </w:divBdr>
        </w:div>
        <w:div w:id="1481310782">
          <w:marLeft w:val="0"/>
          <w:marRight w:val="0"/>
          <w:marTop w:val="0"/>
          <w:marBottom w:val="567"/>
          <w:divBdr>
            <w:top w:val="none" w:sz="0" w:space="0" w:color="auto"/>
            <w:left w:val="none" w:sz="0" w:space="0" w:color="auto"/>
            <w:bottom w:val="none" w:sz="0" w:space="0" w:color="auto"/>
            <w:right w:val="none" w:sz="0" w:space="0" w:color="auto"/>
          </w:divBdr>
        </w:div>
        <w:div w:id="403190055">
          <w:marLeft w:val="0"/>
          <w:marRight w:val="0"/>
          <w:marTop w:val="0"/>
          <w:marBottom w:val="0"/>
          <w:divBdr>
            <w:top w:val="none" w:sz="0" w:space="0" w:color="auto"/>
            <w:left w:val="none" w:sz="0" w:space="0" w:color="auto"/>
            <w:bottom w:val="none" w:sz="0" w:space="0" w:color="auto"/>
            <w:right w:val="none" w:sz="0" w:space="0" w:color="auto"/>
          </w:divBdr>
        </w:div>
        <w:div w:id="1039670786">
          <w:marLeft w:val="0"/>
          <w:marRight w:val="0"/>
          <w:marTop w:val="0"/>
          <w:marBottom w:val="0"/>
          <w:divBdr>
            <w:top w:val="none" w:sz="0" w:space="0" w:color="auto"/>
            <w:left w:val="none" w:sz="0" w:space="0" w:color="auto"/>
            <w:bottom w:val="none" w:sz="0" w:space="0" w:color="auto"/>
            <w:right w:val="none" w:sz="0" w:space="0" w:color="auto"/>
          </w:divBdr>
        </w:div>
        <w:div w:id="907685654">
          <w:marLeft w:val="0"/>
          <w:marRight w:val="0"/>
          <w:marTop w:val="0"/>
          <w:marBottom w:val="0"/>
          <w:divBdr>
            <w:top w:val="none" w:sz="0" w:space="0" w:color="auto"/>
            <w:left w:val="none" w:sz="0" w:space="0" w:color="auto"/>
            <w:bottom w:val="none" w:sz="0" w:space="0" w:color="auto"/>
            <w:right w:val="none" w:sz="0" w:space="0" w:color="auto"/>
          </w:divBdr>
        </w:div>
        <w:div w:id="1805612906">
          <w:marLeft w:val="0"/>
          <w:marRight w:val="0"/>
          <w:marTop w:val="0"/>
          <w:marBottom w:val="0"/>
          <w:divBdr>
            <w:top w:val="none" w:sz="0" w:space="0" w:color="auto"/>
            <w:left w:val="none" w:sz="0" w:space="0" w:color="auto"/>
            <w:bottom w:val="none" w:sz="0" w:space="0" w:color="auto"/>
            <w:right w:val="none" w:sz="0" w:space="0" w:color="auto"/>
          </w:divBdr>
        </w:div>
        <w:div w:id="1184321667">
          <w:marLeft w:val="0"/>
          <w:marRight w:val="0"/>
          <w:marTop w:val="0"/>
          <w:marBottom w:val="0"/>
          <w:divBdr>
            <w:top w:val="none" w:sz="0" w:space="0" w:color="auto"/>
            <w:left w:val="none" w:sz="0" w:space="0" w:color="auto"/>
            <w:bottom w:val="none" w:sz="0" w:space="0" w:color="auto"/>
            <w:right w:val="none" w:sz="0" w:space="0" w:color="auto"/>
          </w:divBdr>
        </w:div>
        <w:div w:id="1350833806">
          <w:marLeft w:val="0"/>
          <w:marRight w:val="0"/>
          <w:marTop w:val="0"/>
          <w:marBottom w:val="0"/>
          <w:divBdr>
            <w:top w:val="none" w:sz="0" w:space="0" w:color="auto"/>
            <w:left w:val="none" w:sz="0" w:space="0" w:color="auto"/>
            <w:bottom w:val="none" w:sz="0" w:space="0" w:color="auto"/>
            <w:right w:val="none" w:sz="0" w:space="0" w:color="auto"/>
          </w:divBdr>
        </w:div>
        <w:div w:id="1589734655">
          <w:marLeft w:val="0"/>
          <w:marRight w:val="0"/>
          <w:marTop w:val="0"/>
          <w:marBottom w:val="0"/>
          <w:divBdr>
            <w:top w:val="none" w:sz="0" w:space="0" w:color="auto"/>
            <w:left w:val="none" w:sz="0" w:space="0" w:color="auto"/>
            <w:bottom w:val="none" w:sz="0" w:space="0" w:color="auto"/>
            <w:right w:val="none" w:sz="0" w:space="0" w:color="auto"/>
          </w:divBdr>
        </w:div>
        <w:div w:id="580800455">
          <w:marLeft w:val="0"/>
          <w:marRight w:val="0"/>
          <w:marTop w:val="0"/>
          <w:marBottom w:val="0"/>
          <w:divBdr>
            <w:top w:val="none" w:sz="0" w:space="0" w:color="auto"/>
            <w:left w:val="none" w:sz="0" w:space="0" w:color="auto"/>
            <w:bottom w:val="none" w:sz="0" w:space="0" w:color="auto"/>
            <w:right w:val="none" w:sz="0" w:space="0" w:color="auto"/>
          </w:divBdr>
        </w:div>
        <w:div w:id="746077572">
          <w:marLeft w:val="0"/>
          <w:marRight w:val="0"/>
          <w:marTop w:val="0"/>
          <w:marBottom w:val="0"/>
          <w:divBdr>
            <w:top w:val="none" w:sz="0" w:space="0" w:color="auto"/>
            <w:left w:val="none" w:sz="0" w:space="0" w:color="auto"/>
            <w:bottom w:val="none" w:sz="0" w:space="0" w:color="auto"/>
            <w:right w:val="none" w:sz="0" w:space="0" w:color="auto"/>
          </w:divBdr>
        </w:div>
        <w:div w:id="407073039">
          <w:marLeft w:val="0"/>
          <w:marRight w:val="0"/>
          <w:marTop w:val="0"/>
          <w:marBottom w:val="0"/>
          <w:divBdr>
            <w:top w:val="none" w:sz="0" w:space="0" w:color="auto"/>
            <w:left w:val="none" w:sz="0" w:space="0" w:color="auto"/>
            <w:bottom w:val="none" w:sz="0" w:space="0" w:color="auto"/>
            <w:right w:val="none" w:sz="0" w:space="0" w:color="auto"/>
          </w:divBdr>
        </w:div>
        <w:div w:id="2012874199">
          <w:marLeft w:val="0"/>
          <w:marRight w:val="0"/>
          <w:marTop w:val="0"/>
          <w:marBottom w:val="0"/>
          <w:divBdr>
            <w:top w:val="none" w:sz="0" w:space="0" w:color="auto"/>
            <w:left w:val="none" w:sz="0" w:space="0" w:color="auto"/>
            <w:bottom w:val="none" w:sz="0" w:space="0" w:color="auto"/>
            <w:right w:val="none" w:sz="0" w:space="0" w:color="auto"/>
          </w:divBdr>
        </w:div>
        <w:div w:id="237978435">
          <w:marLeft w:val="0"/>
          <w:marRight w:val="0"/>
          <w:marTop w:val="0"/>
          <w:marBottom w:val="0"/>
          <w:divBdr>
            <w:top w:val="none" w:sz="0" w:space="0" w:color="auto"/>
            <w:left w:val="none" w:sz="0" w:space="0" w:color="auto"/>
            <w:bottom w:val="none" w:sz="0" w:space="0" w:color="auto"/>
            <w:right w:val="none" w:sz="0" w:space="0" w:color="auto"/>
          </w:divBdr>
        </w:div>
        <w:div w:id="2096784283">
          <w:marLeft w:val="0"/>
          <w:marRight w:val="0"/>
          <w:marTop w:val="0"/>
          <w:marBottom w:val="0"/>
          <w:divBdr>
            <w:top w:val="none" w:sz="0" w:space="0" w:color="auto"/>
            <w:left w:val="none" w:sz="0" w:space="0" w:color="auto"/>
            <w:bottom w:val="none" w:sz="0" w:space="0" w:color="auto"/>
            <w:right w:val="none" w:sz="0" w:space="0" w:color="auto"/>
          </w:divBdr>
        </w:div>
        <w:div w:id="1490975845">
          <w:marLeft w:val="0"/>
          <w:marRight w:val="0"/>
          <w:marTop w:val="0"/>
          <w:marBottom w:val="0"/>
          <w:divBdr>
            <w:top w:val="none" w:sz="0" w:space="0" w:color="auto"/>
            <w:left w:val="none" w:sz="0" w:space="0" w:color="auto"/>
            <w:bottom w:val="none" w:sz="0" w:space="0" w:color="auto"/>
            <w:right w:val="none" w:sz="0" w:space="0" w:color="auto"/>
          </w:divBdr>
        </w:div>
        <w:div w:id="1767996341">
          <w:marLeft w:val="0"/>
          <w:marRight w:val="0"/>
          <w:marTop w:val="0"/>
          <w:marBottom w:val="0"/>
          <w:divBdr>
            <w:top w:val="none" w:sz="0" w:space="0" w:color="auto"/>
            <w:left w:val="none" w:sz="0" w:space="0" w:color="auto"/>
            <w:bottom w:val="none" w:sz="0" w:space="0" w:color="auto"/>
            <w:right w:val="none" w:sz="0" w:space="0" w:color="auto"/>
          </w:divBdr>
        </w:div>
        <w:div w:id="115877267">
          <w:marLeft w:val="0"/>
          <w:marRight w:val="0"/>
          <w:marTop w:val="0"/>
          <w:marBottom w:val="0"/>
          <w:divBdr>
            <w:top w:val="none" w:sz="0" w:space="0" w:color="auto"/>
            <w:left w:val="none" w:sz="0" w:space="0" w:color="auto"/>
            <w:bottom w:val="none" w:sz="0" w:space="0" w:color="auto"/>
            <w:right w:val="none" w:sz="0" w:space="0" w:color="auto"/>
          </w:divBdr>
        </w:div>
        <w:div w:id="475689272">
          <w:marLeft w:val="0"/>
          <w:marRight w:val="0"/>
          <w:marTop w:val="0"/>
          <w:marBottom w:val="0"/>
          <w:divBdr>
            <w:top w:val="none" w:sz="0" w:space="0" w:color="auto"/>
            <w:left w:val="none" w:sz="0" w:space="0" w:color="auto"/>
            <w:bottom w:val="none" w:sz="0" w:space="0" w:color="auto"/>
            <w:right w:val="none" w:sz="0" w:space="0" w:color="auto"/>
          </w:divBdr>
        </w:div>
        <w:div w:id="770783635">
          <w:marLeft w:val="0"/>
          <w:marRight w:val="0"/>
          <w:marTop w:val="0"/>
          <w:marBottom w:val="0"/>
          <w:divBdr>
            <w:top w:val="none" w:sz="0" w:space="0" w:color="auto"/>
            <w:left w:val="none" w:sz="0" w:space="0" w:color="auto"/>
            <w:bottom w:val="none" w:sz="0" w:space="0" w:color="auto"/>
            <w:right w:val="none" w:sz="0" w:space="0" w:color="auto"/>
          </w:divBdr>
        </w:div>
        <w:div w:id="1365323535">
          <w:marLeft w:val="0"/>
          <w:marRight w:val="0"/>
          <w:marTop w:val="0"/>
          <w:marBottom w:val="0"/>
          <w:divBdr>
            <w:top w:val="none" w:sz="0" w:space="0" w:color="auto"/>
            <w:left w:val="none" w:sz="0" w:space="0" w:color="auto"/>
            <w:bottom w:val="none" w:sz="0" w:space="0" w:color="auto"/>
            <w:right w:val="none" w:sz="0" w:space="0" w:color="auto"/>
          </w:divBdr>
        </w:div>
        <w:div w:id="1722047913">
          <w:marLeft w:val="0"/>
          <w:marRight w:val="0"/>
          <w:marTop w:val="0"/>
          <w:marBottom w:val="0"/>
          <w:divBdr>
            <w:top w:val="none" w:sz="0" w:space="0" w:color="auto"/>
            <w:left w:val="none" w:sz="0" w:space="0" w:color="auto"/>
            <w:bottom w:val="none" w:sz="0" w:space="0" w:color="auto"/>
            <w:right w:val="none" w:sz="0" w:space="0" w:color="auto"/>
          </w:divBdr>
        </w:div>
        <w:div w:id="1155075372">
          <w:marLeft w:val="0"/>
          <w:marRight w:val="0"/>
          <w:marTop w:val="0"/>
          <w:marBottom w:val="0"/>
          <w:divBdr>
            <w:top w:val="none" w:sz="0" w:space="0" w:color="auto"/>
            <w:left w:val="none" w:sz="0" w:space="0" w:color="auto"/>
            <w:bottom w:val="none" w:sz="0" w:space="0" w:color="auto"/>
            <w:right w:val="none" w:sz="0" w:space="0" w:color="auto"/>
          </w:divBdr>
        </w:div>
        <w:div w:id="1343043494">
          <w:marLeft w:val="0"/>
          <w:marRight w:val="0"/>
          <w:marTop w:val="0"/>
          <w:marBottom w:val="0"/>
          <w:divBdr>
            <w:top w:val="none" w:sz="0" w:space="0" w:color="auto"/>
            <w:left w:val="none" w:sz="0" w:space="0" w:color="auto"/>
            <w:bottom w:val="none" w:sz="0" w:space="0" w:color="auto"/>
            <w:right w:val="none" w:sz="0" w:space="0" w:color="auto"/>
          </w:divBdr>
        </w:div>
        <w:div w:id="66080751">
          <w:marLeft w:val="0"/>
          <w:marRight w:val="0"/>
          <w:marTop w:val="0"/>
          <w:marBottom w:val="0"/>
          <w:divBdr>
            <w:top w:val="none" w:sz="0" w:space="0" w:color="auto"/>
            <w:left w:val="none" w:sz="0" w:space="0" w:color="auto"/>
            <w:bottom w:val="none" w:sz="0" w:space="0" w:color="auto"/>
            <w:right w:val="none" w:sz="0" w:space="0" w:color="auto"/>
          </w:divBdr>
        </w:div>
        <w:div w:id="65388005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17388" TargetMode="External"/><Relationship Id="rId13" Type="http://schemas.openxmlformats.org/officeDocument/2006/relationships/hyperlink" Target="https://likumi.lv/ta/id/317388" TargetMode="External"/><Relationship Id="rId3" Type="http://schemas.openxmlformats.org/officeDocument/2006/relationships/webSettings" Target="webSettings.xml"/><Relationship Id="rId7" Type="http://schemas.openxmlformats.org/officeDocument/2006/relationships/hyperlink" Target="http://eur-lex.europa.eu/eli/reg/1987/2658/oj/?locale=LV" TargetMode="External"/><Relationship Id="rId12" Type="http://schemas.openxmlformats.org/officeDocument/2006/relationships/hyperlink" Target="https://likumi.lv/ta/id/31738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317388" TargetMode="External"/><Relationship Id="rId11" Type="http://schemas.openxmlformats.org/officeDocument/2006/relationships/hyperlink" Target="https://likumi.lv/ta/id/317388" TargetMode="External"/><Relationship Id="rId5" Type="http://schemas.openxmlformats.org/officeDocument/2006/relationships/hyperlink" Target="https://likumi.lv/ta/id/12484-par-radiacijas-drosibu-un-kodoldrosibu" TargetMode="External"/><Relationship Id="rId15" Type="http://schemas.openxmlformats.org/officeDocument/2006/relationships/theme" Target="theme/theme1.xml"/><Relationship Id="rId10" Type="http://schemas.openxmlformats.org/officeDocument/2006/relationships/hyperlink" Target="https://likumi.lv/ta/id/317388" TargetMode="External"/><Relationship Id="rId4" Type="http://schemas.openxmlformats.org/officeDocument/2006/relationships/hyperlink" Target="https://likumi.lv/ta/id/12484-par-radiacijas-drosibu-un-kodoldrosibu" TargetMode="External"/><Relationship Id="rId9" Type="http://schemas.openxmlformats.org/officeDocument/2006/relationships/hyperlink" Target="https://likumi.lv/ta/id/31738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1411</Words>
  <Characters>8047</Characters>
  <Application>Microsoft Office Word</Application>
  <DocSecurity>0</DocSecurity>
  <Lines>67</Lines>
  <Paragraphs>18</Paragraphs>
  <ScaleCrop>false</ScaleCrop>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Normunds Freibergs</dc:creator>
  <cp:keywords/>
  <dc:description/>
  <cp:lastModifiedBy>Ines Varvodic</cp:lastModifiedBy>
  <cp:revision>2</cp:revision>
  <dcterms:created xsi:type="dcterms:W3CDTF">2021-12-29T08:23:00Z</dcterms:created>
  <dcterms:modified xsi:type="dcterms:W3CDTF">2021-12-29T08:23:00Z</dcterms:modified>
</cp:coreProperties>
</file>