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1F0BB" w14:textId="78162EA5" w:rsidR="00AC25F9" w:rsidRPr="00AC25F9" w:rsidRDefault="00AC25F9" w:rsidP="00AC25F9">
      <w:pPr>
        <w:rPr>
          <w:rFonts w:ascii="Times New Roman" w:hAnsi="Times New Roman" w:cs="Times New Roman"/>
          <w:sz w:val="24"/>
          <w:szCs w:val="24"/>
        </w:rPr>
      </w:pPr>
      <w:r>
        <w:rPr>
          <w:rFonts w:ascii="Times New Roman" w:hAnsi="Times New Roman"/>
          <w:sz w:val="24"/>
        </w:rPr>
        <w:t>19 avril 2021. Nº 699.</w:t>
      </w:r>
    </w:p>
    <w:p w14:paraId="4BCC8A2D" w14:textId="5907DBA3" w:rsidR="004009A5" w:rsidRDefault="007C0D66" w:rsidP="008367FC">
      <w:pPr>
        <w:jc w:val="center"/>
        <w:rPr>
          <w:rFonts w:ascii="Times New Roman" w:hAnsi="Times New Roman" w:cs="Times New Roman"/>
          <w:b/>
          <w:sz w:val="24"/>
          <w:szCs w:val="24"/>
        </w:rPr>
      </w:pPr>
      <w:r>
        <w:rPr>
          <w:rFonts w:ascii="Times New Roman" w:hAnsi="Times New Roman"/>
          <w:b/>
          <w:sz w:val="24"/>
        </w:rPr>
        <w:t>Ordonnance relative à la normalisation des cigarettes électroniques et des flacons de recharge, avec et sans nicotine</w:t>
      </w:r>
    </w:p>
    <w:p w14:paraId="58F87FE1" w14:textId="77777777" w:rsidR="00411B45" w:rsidRPr="00E9280B" w:rsidRDefault="00411B45" w:rsidP="008367FC">
      <w:pPr>
        <w:jc w:val="center"/>
        <w:rPr>
          <w:rFonts w:ascii="Times New Roman" w:hAnsi="Times New Roman" w:cs="Times New Roman"/>
          <w:b/>
          <w:sz w:val="24"/>
          <w:szCs w:val="24"/>
        </w:rPr>
      </w:pPr>
    </w:p>
    <w:p w14:paraId="044B5FC1" w14:textId="090141B9" w:rsidR="004009A5" w:rsidRPr="00E9280B" w:rsidRDefault="00AC25F9" w:rsidP="00AC25F9">
      <w:pPr>
        <w:rPr>
          <w:rFonts w:ascii="Times New Roman" w:hAnsi="Times New Roman" w:cs="Times New Roman"/>
          <w:sz w:val="24"/>
          <w:szCs w:val="24"/>
        </w:rPr>
      </w:pPr>
      <w:r>
        <w:rPr>
          <w:rFonts w:ascii="Times New Roman" w:hAnsi="Times New Roman"/>
          <w:sz w:val="24"/>
        </w:rPr>
        <w:t>En application de l’article 9, paragraphe 2 et de l’article 33 paragraphe 2, de la loi sur les cigarettes électroniques, etc., cf loi Consolidation nº 580 du 26 mars 2021, il est arrêté ce qui suit :</w:t>
      </w:r>
    </w:p>
    <w:p w14:paraId="4453E575" w14:textId="4EDB3131" w:rsidR="008D5280" w:rsidRDefault="008D5280" w:rsidP="008D5280">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hAnsi="Times New Roman"/>
          <w:sz w:val="24"/>
        </w:rPr>
        <w:t>Chapitre 1</w:t>
      </w:r>
    </w:p>
    <w:p w14:paraId="49FAF3B3" w14:textId="77777777" w:rsidR="00F471C1" w:rsidRPr="008D5280" w:rsidRDefault="00F471C1" w:rsidP="008D5280">
      <w:pPr>
        <w:autoSpaceDE w:val="0"/>
        <w:autoSpaceDN w:val="0"/>
        <w:adjustRightInd w:val="0"/>
        <w:spacing w:after="0" w:line="240" w:lineRule="auto"/>
        <w:jc w:val="center"/>
        <w:rPr>
          <w:rFonts w:ascii="Times New Roman" w:eastAsia="TimesNewRomanPSMT" w:hAnsi="Times New Roman" w:cs="Times New Roman"/>
          <w:sz w:val="24"/>
          <w:szCs w:val="24"/>
        </w:rPr>
      </w:pPr>
    </w:p>
    <w:p w14:paraId="61968554" w14:textId="77777777" w:rsidR="008D5280" w:rsidRPr="008D5280" w:rsidRDefault="008D5280" w:rsidP="008D5280">
      <w:pPr>
        <w:autoSpaceDE w:val="0"/>
        <w:autoSpaceDN w:val="0"/>
        <w:adjustRightInd w:val="0"/>
        <w:spacing w:after="0" w:line="240" w:lineRule="auto"/>
        <w:jc w:val="center"/>
        <w:rPr>
          <w:rFonts w:ascii="Times New Roman" w:eastAsia="TimesNewRomanPSMT" w:hAnsi="Times New Roman" w:cs="Times New Roman"/>
          <w:i/>
          <w:sz w:val="24"/>
          <w:szCs w:val="24"/>
        </w:rPr>
      </w:pPr>
      <w:r>
        <w:rPr>
          <w:rFonts w:ascii="Times New Roman" w:hAnsi="Times New Roman"/>
          <w:i/>
          <w:sz w:val="24"/>
        </w:rPr>
        <w:t>Définitions</w:t>
      </w:r>
    </w:p>
    <w:p w14:paraId="4FCE8EF5" w14:textId="424F1B01" w:rsidR="0004610C" w:rsidRPr="00E9280B" w:rsidRDefault="0004610C" w:rsidP="004009A5">
      <w:pPr>
        <w:rPr>
          <w:rFonts w:ascii="Times New Roman" w:hAnsi="Times New Roman" w:cs="Times New Roman"/>
          <w:b/>
          <w:sz w:val="24"/>
          <w:szCs w:val="24"/>
        </w:rPr>
      </w:pPr>
    </w:p>
    <w:p w14:paraId="03DE2CC2" w14:textId="77777777" w:rsidR="004009A5" w:rsidRPr="00E9280B" w:rsidRDefault="004009A5" w:rsidP="00BC5A51">
      <w:pPr>
        <w:spacing w:after="0" w:line="240" w:lineRule="auto"/>
        <w:rPr>
          <w:rFonts w:ascii="Times New Roman" w:hAnsi="Times New Roman" w:cs="Times New Roman"/>
          <w:sz w:val="24"/>
          <w:szCs w:val="24"/>
        </w:rPr>
      </w:pPr>
      <w:r>
        <w:rPr>
          <w:rFonts w:ascii="Times New Roman" w:hAnsi="Times New Roman"/>
          <w:b/>
          <w:sz w:val="24"/>
        </w:rPr>
        <w:t>Article premier.</w:t>
      </w:r>
      <w:r>
        <w:rPr>
          <w:rFonts w:ascii="Times New Roman" w:hAnsi="Times New Roman"/>
          <w:sz w:val="24"/>
        </w:rPr>
        <w:t xml:space="preserve"> Aux fins du présent règlement, on entend par : </w:t>
      </w:r>
    </w:p>
    <w:p w14:paraId="5A787BCA" w14:textId="0C24838D" w:rsidR="001F6C1B" w:rsidRPr="001F6C1B" w:rsidRDefault="001F6C1B" w:rsidP="001F6C1B">
      <w:pPr>
        <w:numPr>
          <w:ilvl w:val="0"/>
          <w:numId w:val="1"/>
        </w:numPr>
        <w:spacing w:after="0" w:line="240" w:lineRule="auto"/>
        <w:rPr>
          <w:rFonts w:ascii="Times New Roman" w:hAnsi="Times New Roman" w:cs="Times New Roman"/>
          <w:sz w:val="24"/>
          <w:szCs w:val="24"/>
        </w:rPr>
      </w:pPr>
      <w:r>
        <w:rPr>
          <w:rFonts w:ascii="Times New Roman" w:hAnsi="Times New Roman"/>
          <w:sz w:val="24"/>
        </w:rPr>
        <w:t>«nom de marque» : le nom de la cigarette électronique et du flacon de recharge, avec et sans nicotine, appartenant à la même catégorie de produit;</w:t>
      </w:r>
    </w:p>
    <w:p w14:paraId="2501DE08" w14:textId="4AB7C8B3" w:rsidR="004009A5" w:rsidRDefault="00045A8E" w:rsidP="006606A3">
      <w:pPr>
        <w:numPr>
          <w:ilvl w:val="0"/>
          <w:numId w:val="1"/>
        </w:numPr>
        <w:spacing w:after="0" w:line="240" w:lineRule="auto"/>
        <w:rPr>
          <w:rFonts w:ascii="Times New Roman" w:hAnsi="Times New Roman" w:cs="Times New Roman"/>
          <w:sz w:val="24"/>
          <w:szCs w:val="24"/>
        </w:rPr>
      </w:pPr>
      <w:r>
        <w:rPr>
          <w:rFonts w:ascii="Times New Roman" w:hAnsi="Times New Roman"/>
          <w:sz w:val="24"/>
        </w:rPr>
        <w:t>«nom de variante» : le nom employé pour distinguer différentes cigarettes électroniques et différents flacons de recharge, avec et sans nicotine, portant le même nom de marque;</w:t>
      </w:r>
    </w:p>
    <w:p w14:paraId="53AF9D51" w14:textId="27C861E6" w:rsidR="004009A5" w:rsidRPr="004B7986" w:rsidRDefault="004009A5" w:rsidP="00BC5A5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sz w:val="24"/>
        </w:rPr>
        <w:t>Pack unique : Le plus petit emballage individuel d'une cigarette électronique ou d'un flacon de recharge avec et sans nicotine qui est commercialisé.</w:t>
      </w:r>
    </w:p>
    <w:p w14:paraId="1333000C" w14:textId="05328CEE" w:rsidR="004009A5" w:rsidRPr="00E9280B" w:rsidRDefault="004009A5" w:rsidP="00C67E54">
      <w:pPr>
        <w:numPr>
          <w:ilvl w:val="0"/>
          <w:numId w:val="1"/>
        </w:numPr>
        <w:spacing w:after="0" w:line="240" w:lineRule="auto"/>
        <w:rPr>
          <w:rFonts w:ascii="Times New Roman" w:hAnsi="Times New Roman" w:cs="Times New Roman"/>
          <w:sz w:val="24"/>
          <w:szCs w:val="24"/>
        </w:rPr>
      </w:pPr>
      <w:r>
        <w:rPr>
          <w:rFonts w:ascii="Times New Roman" w:hAnsi="Times New Roman"/>
          <w:sz w:val="24"/>
        </w:rPr>
        <w:t>Emballage extérieur : Tout emballage dans lequel sont commercialisés les cigarettes électroniques, les flacons rechargeables avec et sans nicotine ou autres produits connexes et qui contiennent un ou plusieurs paquets individuels.</w:t>
      </w:r>
    </w:p>
    <w:p w14:paraId="26959B1C" w14:textId="11E8DF07" w:rsidR="004009A5" w:rsidRDefault="004009A5" w:rsidP="00BC5A51">
      <w:pPr>
        <w:numPr>
          <w:ilvl w:val="0"/>
          <w:numId w:val="1"/>
        </w:numPr>
        <w:spacing w:after="0" w:line="240" w:lineRule="auto"/>
        <w:rPr>
          <w:rFonts w:ascii="Times New Roman" w:hAnsi="Times New Roman" w:cs="Times New Roman"/>
          <w:sz w:val="24"/>
          <w:szCs w:val="24"/>
        </w:rPr>
      </w:pPr>
      <w:r>
        <w:rPr>
          <w:rFonts w:ascii="Times New Roman" w:hAnsi="Times New Roman"/>
          <w:sz w:val="24"/>
        </w:rPr>
        <w:t>«surface extérieure» : la surface visible lorsqu’une unité de conditionnement est fermée et/ou lorsqu’un emballage extérieur est intact;</w:t>
      </w:r>
    </w:p>
    <w:p w14:paraId="2DC0D946" w14:textId="04553C87" w:rsidR="002F55FE" w:rsidRPr="00E9280B" w:rsidRDefault="002F55FE" w:rsidP="002F55FE">
      <w:pPr>
        <w:numPr>
          <w:ilvl w:val="0"/>
          <w:numId w:val="1"/>
        </w:numPr>
        <w:spacing w:after="0" w:line="240" w:lineRule="auto"/>
        <w:rPr>
          <w:rFonts w:ascii="Times New Roman" w:hAnsi="Times New Roman" w:cs="Times New Roman"/>
          <w:sz w:val="24"/>
          <w:szCs w:val="24"/>
        </w:rPr>
      </w:pPr>
      <w:r>
        <w:rPr>
          <w:rFonts w:ascii="Times New Roman" w:hAnsi="Times New Roman"/>
          <w:sz w:val="24"/>
        </w:rPr>
        <w:t>Surfaces intérieures: Surfaces qui ne sont pas visibles lorsque l’emballage individuel est fermé.</w:t>
      </w:r>
    </w:p>
    <w:p w14:paraId="5B5F7A19" w14:textId="7417C049" w:rsidR="004009A5" w:rsidRPr="00E605F6" w:rsidRDefault="004009A5" w:rsidP="00BC5A51">
      <w:pPr>
        <w:numPr>
          <w:ilvl w:val="0"/>
          <w:numId w:val="1"/>
        </w:numPr>
        <w:spacing w:after="0" w:line="240" w:lineRule="auto"/>
        <w:rPr>
          <w:rFonts w:ascii="Times New Roman" w:hAnsi="Times New Roman" w:cs="Times New Roman"/>
          <w:sz w:val="24"/>
          <w:szCs w:val="24"/>
        </w:rPr>
      </w:pPr>
      <w:r>
        <w:rPr>
          <w:rFonts w:ascii="Times New Roman" w:hAnsi="Times New Roman"/>
          <w:sz w:val="24"/>
        </w:rPr>
        <w:t>Suremballage : le matériau transparent et incolore qui entoure une ou plusieurs unités de conditionnement;</w:t>
      </w:r>
    </w:p>
    <w:p w14:paraId="6FA7DAEA" w14:textId="1B69D6C1" w:rsidR="00113856" w:rsidRPr="00E9280B" w:rsidRDefault="00113856" w:rsidP="00BC5A51">
      <w:pPr>
        <w:numPr>
          <w:ilvl w:val="0"/>
          <w:numId w:val="1"/>
        </w:numPr>
        <w:spacing w:after="0" w:line="240" w:lineRule="auto"/>
        <w:rPr>
          <w:rFonts w:ascii="Times New Roman" w:hAnsi="Times New Roman" w:cs="Times New Roman"/>
          <w:sz w:val="24"/>
          <w:szCs w:val="24"/>
        </w:rPr>
      </w:pPr>
      <w:r>
        <w:rPr>
          <w:rFonts w:ascii="Times New Roman" w:hAnsi="Times New Roman"/>
          <w:sz w:val="24"/>
        </w:rPr>
        <w:t>«non enrobé», le caractère d’une surface qui n’est pas vernie, recouverte ou traitée d’une façon telle qu’elle prend un aspect autre que mat;</w:t>
      </w:r>
    </w:p>
    <w:p w14:paraId="652F59A8" w14:textId="5DA7D4E2" w:rsidR="00D15F19" w:rsidRPr="00D15F19" w:rsidRDefault="004009A5" w:rsidP="00BC5A51">
      <w:pPr>
        <w:numPr>
          <w:ilvl w:val="0"/>
          <w:numId w:val="1"/>
        </w:numPr>
        <w:spacing w:after="0" w:line="240" w:lineRule="auto"/>
        <w:rPr>
          <w:rFonts w:ascii="Times New Roman" w:hAnsi="Times New Roman" w:cs="Times New Roman"/>
          <w:sz w:val="24"/>
          <w:szCs w:val="24"/>
        </w:rPr>
      </w:pPr>
      <w:r>
        <w:rPr>
          <w:rFonts w:ascii="Times New Roman" w:hAnsi="Times New Roman"/>
          <w:sz w:val="24"/>
        </w:rPr>
        <w:t>Bandelette : Une bandelette d’arrachage qui peut être utilisée pour ouvrir une unité de conditionnement, un emballage extérieur et un suremballage.</w:t>
      </w:r>
    </w:p>
    <w:p w14:paraId="0A7F9825" w14:textId="77777777" w:rsidR="004009A5" w:rsidRPr="00E9280B" w:rsidRDefault="004009A5" w:rsidP="004009A5">
      <w:pPr>
        <w:rPr>
          <w:rFonts w:ascii="Times New Roman" w:hAnsi="Times New Roman" w:cs="Times New Roman"/>
          <w:b/>
          <w:sz w:val="24"/>
          <w:szCs w:val="24"/>
        </w:rPr>
      </w:pPr>
    </w:p>
    <w:p w14:paraId="3E14C1E6" w14:textId="546B934D" w:rsidR="00B77AC1" w:rsidRDefault="004009A5" w:rsidP="00B77AC1">
      <w:pPr>
        <w:spacing w:after="0"/>
        <w:jc w:val="center"/>
        <w:rPr>
          <w:rFonts w:ascii="Times New Roman" w:hAnsi="Times New Roman" w:cs="Times New Roman"/>
          <w:sz w:val="24"/>
          <w:szCs w:val="24"/>
        </w:rPr>
      </w:pPr>
      <w:r>
        <w:rPr>
          <w:rFonts w:ascii="Times New Roman" w:hAnsi="Times New Roman"/>
          <w:sz w:val="24"/>
        </w:rPr>
        <w:t>Chapitre 2</w:t>
      </w:r>
    </w:p>
    <w:p w14:paraId="3DFEDA2C" w14:textId="77777777" w:rsidR="00B77AC1" w:rsidRPr="00E9280B" w:rsidRDefault="00B77AC1" w:rsidP="00B77AC1">
      <w:pPr>
        <w:spacing w:after="0"/>
        <w:jc w:val="center"/>
        <w:rPr>
          <w:rFonts w:ascii="Times New Roman" w:hAnsi="Times New Roman" w:cs="Times New Roman"/>
          <w:sz w:val="24"/>
          <w:szCs w:val="24"/>
        </w:rPr>
      </w:pPr>
    </w:p>
    <w:p w14:paraId="6F40C382" w14:textId="6048D063" w:rsidR="00761992" w:rsidRDefault="004009A5" w:rsidP="00696951">
      <w:pPr>
        <w:spacing w:after="0"/>
        <w:jc w:val="center"/>
        <w:rPr>
          <w:rFonts w:ascii="Times New Roman" w:hAnsi="Times New Roman" w:cs="Times New Roman"/>
          <w:i/>
          <w:sz w:val="24"/>
          <w:szCs w:val="24"/>
        </w:rPr>
      </w:pPr>
      <w:r>
        <w:rPr>
          <w:rFonts w:ascii="Times New Roman" w:hAnsi="Times New Roman"/>
          <w:i/>
          <w:sz w:val="24"/>
        </w:rPr>
        <w:t>Couleur et éléments d’emballage des unités de conditionnement, des emballages extérieurs et des suremballages des cigarettes électroniques et des flacons de recharge, avec et sans nicotine</w:t>
      </w:r>
    </w:p>
    <w:p w14:paraId="646F5515" w14:textId="77777777" w:rsidR="00D2737D" w:rsidRPr="00CB2283" w:rsidRDefault="00D2737D" w:rsidP="00696951">
      <w:pPr>
        <w:spacing w:after="0"/>
        <w:jc w:val="center"/>
        <w:rPr>
          <w:rFonts w:ascii="Times New Roman" w:hAnsi="Times New Roman" w:cs="Times New Roman"/>
          <w:i/>
          <w:sz w:val="24"/>
          <w:szCs w:val="24"/>
        </w:rPr>
      </w:pPr>
    </w:p>
    <w:p w14:paraId="133D3811" w14:textId="77777777" w:rsidR="005F198D" w:rsidRDefault="004009A5" w:rsidP="001B2C2A">
      <w:pPr>
        <w:spacing w:line="240" w:lineRule="auto"/>
        <w:rPr>
          <w:rFonts w:ascii="Times New Roman" w:hAnsi="Times New Roman" w:cs="Times New Roman"/>
          <w:sz w:val="24"/>
          <w:szCs w:val="24"/>
        </w:rPr>
      </w:pPr>
      <w:r>
        <w:rPr>
          <w:rFonts w:ascii="Times New Roman" w:hAnsi="Times New Roman"/>
          <w:b/>
          <w:sz w:val="24"/>
        </w:rPr>
        <w:t>Article 2.</w:t>
      </w:r>
      <w:r>
        <w:rPr>
          <w:rFonts w:ascii="Times New Roman" w:hAnsi="Times New Roman"/>
          <w:sz w:val="24"/>
        </w:rPr>
        <w:t xml:space="preserve"> Les unités de conditionnement des cigarettes électroniques et des flacons de recharge, avec et sans nicotine, ainsi que les emballages extérieurs et les suremballages doivent avoir une présentation standardisée conforme aux exigences du présent règlement et d’autres législation qui encadrent entre autres, l’étiquetage, etc. desunités de conditionnement, des emballages extérieurs et des suremballages des cigarettes électroniques et des flacons de recharge, avec et sans nicotine. </w:t>
      </w:r>
    </w:p>
    <w:p w14:paraId="2BC14B3F" w14:textId="5178F680" w:rsidR="004009A5" w:rsidRDefault="004009A5" w:rsidP="001B2C2A">
      <w:pPr>
        <w:spacing w:line="240" w:lineRule="auto"/>
        <w:rPr>
          <w:rFonts w:ascii="Times New Roman" w:hAnsi="Times New Roman" w:cs="Times New Roman"/>
          <w:sz w:val="24"/>
          <w:szCs w:val="24"/>
        </w:rPr>
      </w:pPr>
      <w:r>
        <w:rPr>
          <w:rFonts w:ascii="Times New Roman" w:hAnsi="Times New Roman"/>
          <w:i/>
          <w:sz w:val="24"/>
        </w:rPr>
        <w:lastRenderedPageBreak/>
        <w:t xml:space="preserve">Paragraphe 2. </w:t>
      </w:r>
      <w:r>
        <w:rPr>
          <w:rFonts w:ascii="Times New Roman" w:hAnsi="Times New Roman"/>
          <w:sz w:val="24"/>
        </w:rPr>
        <w:t>Seul l’étiquetage, les informations etc., spécifié par le présent règlement et par une autre législation peuvent être apposés sur les unités de conditionnement, les emballages extérieurs et les suremballages.</w:t>
      </w:r>
    </w:p>
    <w:p w14:paraId="104CC662" w14:textId="02635057" w:rsidR="00C84352" w:rsidRDefault="00A46F51" w:rsidP="001B2C2A">
      <w:pPr>
        <w:spacing w:line="240" w:lineRule="auto"/>
        <w:rPr>
          <w:rFonts w:ascii="Times New Roman" w:hAnsi="Times New Roman" w:cs="Times New Roman"/>
          <w:sz w:val="24"/>
          <w:szCs w:val="24"/>
        </w:rPr>
      </w:pPr>
      <w:r>
        <w:rPr>
          <w:rFonts w:ascii="Times New Roman" w:hAnsi="Times New Roman"/>
          <w:i/>
          <w:sz w:val="24"/>
        </w:rPr>
        <w:t>Paragraphe 3.</w:t>
      </w:r>
      <w:r>
        <w:rPr>
          <w:rFonts w:ascii="Times New Roman" w:hAnsi="Times New Roman"/>
          <w:sz w:val="24"/>
        </w:rPr>
        <w:t xml:space="preserve"> L’étiquetage, les informations, etc. résultant d’une autre législation doivent être présentés d’une manière qui ne donne pas à l’unité de conditionnement ou à l’emballage extérieur une apparence unique, un effet de sensibilisation, ou qui est par ailleurs considéré comme contraire à l’exigence d’un modèle normalisé pour tous les produits contenant des cigarettes électroniques ou des flacons de recharge avec ou sans nicotine.</w:t>
      </w:r>
    </w:p>
    <w:p w14:paraId="31707007" w14:textId="5F7526D0" w:rsidR="004009A5" w:rsidRDefault="004009A5" w:rsidP="001B2C2A">
      <w:pPr>
        <w:spacing w:line="240" w:lineRule="auto"/>
        <w:rPr>
          <w:rFonts w:ascii="Times New Roman" w:hAnsi="Times New Roman" w:cs="Times New Roman"/>
          <w:sz w:val="24"/>
          <w:szCs w:val="24"/>
        </w:rPr>
      </w:pPr>
      <w:r>
        <w:rPr>
          <w:rFonts w:ascii="Times New Roman" w:hAnsi="Times New Roman"/>
          <w:b/>
          <w:sz w:val="24"/>
        </w:rPr>
        <w:t>Article 3.</w:t>
      </w:r>
      <w:r>
        <w:rPr>
          <w:rFonts w:ascii="Times New Roman" w:hAnsi="Times New Roman"/>
          <w:sz w:val="24"/>
        </w:rPr>
        <w:t xml:space="preserve"> Les surfaces intérieures et extérieures des unités de conditionnement et des emballages extérieurs sont de couleur 448 C mat, blanc ou gris argenté et l'emballage extérieur doit être de couleur Pantone 448 C mat.</w:t>
      </w:r>
    </w:p>
    <w:p w14:paraId="4186999B" w14:textId="6A282D0C" w:rsidR="004009A5" w:rsidRDefault="004009A5" w:rsidP="001B2C2A">
      <w:pPr>
        <w:spacing w:line="240" w:lineRule="auto"/>
        <w:rPr>
          <w:rFonts w:ascii="Times New Roman" w:hAnsi="Times New Roman" w:cs="Times New Roman"/>
          <w:sz w:val="24"/>
          <w:szCs w:val="24"/>
        </w:rPr>
      </w:pPr>
      <w:r>
        <w:rPr>
          <w:rFonts w:ascii="Times New Roman" w:hAnsi="Times New Roman"/>
          <w:i/>
          <w:sz w:val="24"/>
        </w:rPr>
        <w:t>Paragraphe 2.</w:t>
      </w:r>
      <w:r>
        <w:rPr>
          <w:rFonts w:ascii="Times New Roman" w:hAnsi="Times New Roman"/>
          <w:sz w:val="24"/>
        </w:rPr>
        <w:t xml:space="preserve"> Les bandes sur les emballages simples ou extérieurs de cigarettes électroniques et flacons de recharge</w:t>
      </w:r>
      <w:r>
        <w:rPr>
          <w:rFonts w:ascii="Times New Roman" w:hAnsi="Times New Roman"/>
          <w:i/>
          <w:sz w:val="24"/>
        </w:rPr>
        <w:t xml:space="preserve"> </w:t>
      </w:r>
      <w:r>
        <w:rPr>
          <w:rFonts w:ascii="Times New Roman" w:hAnsi="Times New Roman"/>
          <w:sz w:val="24"/>
        </w:rPr>
        <w:t>avec et sans nicotine doivent être carrées, transparentes et non colorés.</w:t>
      </w:r>
    </w:p>
    <w:p w14:paraId="4878C31E" w14:textId="2F58723F" w:rsidR="004009A5" w:rsidRPr="00C47D05" w:rsidRDefault="00281A50" w:rsidP="00C47D05">
      <w:pPr>
        <w:pStyle w:val="HTMLPreformatted"/>
        <w:rPr>
          <w:rFonts w:ascii="Times New Roman" w:hAnsi="Times New Roman" w:cs="Times New Roman"/>
          <w:b/>
          <w:sz w:val="24"/>
          <w:szCs w:val="24"/>
        </w:rPr>
      </w:pPr>
      <w:r>
        <w:rPr>
          <w:rFonts w:ascii="Times New Roman" w:hAnsi="Times New Roman"/>
          <w:b/>
          <w:sz w:val="24"/>
        </w:rPr>
        <w:t xml:space="preserve">Article 4. </w:t>
      </w:r>
      <w:r>
        <w:rPr>
          <w:rFonts w:ascii="Times New Roman" w:hAnsi="Times New Roman"/>
          <w:sz w:val="24"/>
        </w:rPr>
        <w:t xml:space="preserve">Tous les éléments des </w:t>
      </w:r>
      <w:r>
        <w:rPr>
          <w:rFonts w:ascii="Times New Roman" w:hAnsi="Times New Roman"/>
          <w:color w:val="000000"/>
          <w:sz w:val="24"/>
        </w:rPr>
        <w:t xml:space="preserve">unités de conditionnement et emballages extérieurs de </w:t>
      </w:r>
      <w:r>
        <w:rPr>
          <w:rFonts w:ascii="Times New Roman" w:hAnsi="Times New Roman"/>
          <w:sz w:val="24"/>
        </w:rPr>
        <w:t>cigarettes électroniques et flacons de recharge</w:t>
      </w:r>
      <w:r>
        <w:rPr>
          <w:rFonts w:ascii="Times New Roman" w:hAnsi="Times New Roman"/>
          <w:i/>
          <w:sz w:val="24"/>
        </w:rPr>
        <w:t xml:space="preserve"> </w:t>
      </w:r>
      <w:r>
        <w:rPr>
          <w:rFonts w:ascii="Times New Roman" w:hAnsi="Times New Roman"/>
          <w:sz w:val="24"/>
        </w:rPr>
        <w:t xml:space="preserve">avec et sans nicotine </w:t>
      </w:r>
      <w:r>
        <w:rPr>
          <w:rFonts w:ascii="Times New Roman" w:hAnsi="Times New Roman"/>
          <w:color w:val="000000"/>
          <w:sz w:val="24"/>
        </w:rPr>
        <w:t xml:space="preserve">doivent être insipides, inodores et silencieux. </w:t>
      </w:r>
    </w:p>
    <w:p w14:paraId="5BE2343B" w14:textId="77777777" w:rsidR="004009A5" w:rsidRPr="00E9280B" w:rsidRDefault="004009A5" w:rsidP="004009A5">
      <w:pPr>
        <w:rPr>
          <w:rFonts w:ascii="Times New Roman" w:hAnsi="Times New Roman" w:cs="Times New Roman"/>
          <w:sz w:val="24"/>
          <w:szCs w:val="24"/>
        </w:rPr>
      </w:pPr>
    </w:p>
    <w:p w14:paraId="4E3025C6" w14:textId="0C11F9F5" w:rsidR="00B77AC1" w:rsidRDefault="004009A5" w:rsidP="00B77AC1">
      <w:pPr>
        <w:spacing w:after="0"/>
        <w:jc w:val="center"/>
        <w:rPr>
          <w:rFonts w:ascii="Times New Roman" w:hAnsi="Times New Roman" w:cs="Times New Roman"/>
          <w:sz w:val="24"/>
          <w:szCs w:val="24"/>
        </w:rPr>
      </w:pPr>
      <w:r>
        <w:rPr>
          <w:rFonts w:ascii="Times New Roman" w:hAnsi="Times New Roman"/>
          <w:sz w:val="24"/>
        </w:rPr>
        <w:t>Chapitre 3</w:t>
      </w:r>
    </w:p>
    <w:p w14:paraId="28AED404" w14:textId="77777777" w:rsidR="00B77AC1" w:rsidRPr="00E9280B" w:rsidRDefault="00B77AC1" w:rsidP="00B77AC1">
      <w:pPr>
        <w:spacing w:after="0"/>
        <w:jc w:val="center"/>
        <w:rPr>
          <w:rFonts w:ascii="Times New Roman" w:hAnsi="Times New Roman" w:cs="Times New Roman"/>
          <w:sz w:val="24"/>
          <w:szCs w:val="24"/>
        </w:rPr>
      </w:pPr>
    </w:p>
    <w:p w14:paraId="518D9E75" w14:textId="0F01AF47" w:rsidR="004009A5" w:rsidRPr="00EA73E1" w:rsidRDefault="004009A5" w:rsidP="00A24471">
      <w:pPr>
        <w:spacing w:line="240" w:lineRule="auto"/>
        <w:jc w:val="center"/>
        <w:rPr>
          <w:rFonts w:ascii="Times New Roman" w:hAnsi="Times New Roman" w:cs="Times New Roman"/>
          <w:i/>
          <w:sz w:val="24"/>
          <w:szCs w:val="24"/>
        </w:rPr>
      </w:pPr>
      <w:r>
        <w:rPr>
          <w:rFonts w:ascii="Times New Roman" w:hAnsi="Times New Roman"/>
          <w:i/>
          <w:sz w:val="24"/>
        </w:rPr>
        <w:t xml:space="preserve">Surfaces, etc., des unités de conditionnement et des emballages extérieurs des cigarettes électroniques </w:t>
      </w:r>
      <w:r>
        <w:rPr>
          <w:rFonts w:ascii="Times New Roman" w:hAnsi="Times New Roman"/>
          <w:sz w:val="24"/>
        </w:rPr>
        <w:t xml:space="preserve">et des </w:t>
      </w:r>
      <w:r>
        <w:rPr>
          <w:rFonts w:ascii="Times New Roman" w:hAnsi="Times New Roman"/>
          <w:i/>
          <w:sz w:val="24"/>
        </w:rPr>
        <w:t>flacons de recharge, avec et sans nicotine</w:t>
      </w:r>
    </w:p>
    <w:p w14:paraId="4104CD23" w14:textId="67B587E7" w:rsidR="004009A5" w:rsidRDefault="00D9738B" w:rsidP="00A24471">
      <w:pPr>
        <w:spacing w:line="240" w:lineRule="auto"/>
        <w:rPr>
          <w:rFonts w:ascii="Times New Roman" w:hAnsi="Times New Roman" w:cs="Times New Roman"/>
          <w:sz w:val="24"/>
          <w:szCs w:val="24"/>
        </w:rPr>
      </w:pPr>
      <w:r>
        <w:rPr>
          <w:rFonts w:ascii="Times New Roman" w:hAnsi="Times New Roman"/>
          <w:b/>
          <w:sz w:val="24"/>
        </w:rPr>
        <w:t>Article 5.</w:t>
      </w:r>
      <w:r>
        <w:rPr>
          <w:rFonts w:ascii="Times New Roman" w:hAnsi="Times New Roman"/>
          <w:sz w:val="24"/>
        </w:rPr>
        <w:t xml:space="preserve"> Les surfaces sont planes et lisses et ne peuvent pas comporter d’éléments irréguliers tels qu’un marquage, un gaufrage, une texture, des cavités, des reliefs ou une autre forme ou structure.</w:t>
      </w:r>
    </w:p>
    <w:p w14:paraId="6FBB4A04" w14:textId="422F9E73" w:rsidR="00302CB7" w:rsidRPr="00302CB7" w:rsidRDefault="00302CB7" w:rsidP="00302CB7">
      <w:pPr>
        <w:spacing w:line="240" w:lineRule="auto"/>
        <w:rPr>
          <w:rFonts w:ascii="Times New Roman" w:hAnsi="Times New Roman" w:cs="Times New Roman"/>
          <w:sz w:val="24"/>
          <w:szCs w:val="24"/>
        </w:rPr>
      </w:pPr>
      <w:r>
        <w:rPr>
          <w:rFonts w:ascii="Times New Roman" w:hAnsi="Times New Roman"/>
          <w:i/>
          <w:sz w:val="24"/>
        </w:rPr>
        <w:t>Paragraphe 2.</w:t>
      </w:r>
      <w:r>
        <w:rPr>
          <w:rFonts w:ascii="Times New Roman" w:hAnsi="Times New Roman"/>
          <w:sz w:val="24"/>
        </w:rPr>
        <w:t xml:space="preserve"> Sont exclus certains éléments nécessaires au pliage du matériau, à la fixation du fond et à l’ouverture et à la fermeture de l'unité de conditionnement.</w:t>
      </w:r>
    </w:p>
    <w:p w14:paraId="27C6C170" w14:textId="6E0544E3" w:rsidR="00302CB7" w:rsidRPr="00302CB7" w:rsidRDefault="00302CB7" w:rsidP="00302CB7">
      <w:pPr>
        <w:spacing w:line="240" w:lineRule="auto"/>
        <w:rPr>
          <w:rFonts w:ascii="Times New Roman" w:hAnsi="Times New Roman" w:cs="Times New Roman"/>
          <w:sz w:val="24"/>
          <w:szCs w:val="24"/>
        </w:rPr>
      </w:pPr>
      <w:r>
        <w:rPr>
          <w:rFonts w:ascii="Times New Roman" w:hAnsi="Times New Roman"/>
          <w:i/>
          <w:sz w:val="24"/>
        </w:rPr>
        <w:t>Paragraphe 3.</w:t>
      </w:r>
      <w:r>
        <w:rPr>
          <w:rFonts w:ascii="Times New Roman" w:hAnsi="Times New Roman"/>
          <w:sz w:val="24"/>
        </w:rPr>
        <w:t xml:space="preserve"> Sont exclus certains éléments nécessaires au pliage du matériau, à la fixation du fond, à l’ouverture et à la fermeture de l’emballage extérieur.</w:t>
      </w:r>
    </w:p>
    <w:p w14:paraId="526A8367" w14:textId="25CF63D5" w:rsidR="00320622" w:rsidRDefault="00302CB7" w:rsidP="00302CB7">
      <w:pPr>
        <w:spacing w:line="240" w:lineRule="auto"/>
        <w:rPr>
          <w:rFonts w:ascii="Times New Roman" w:hAnsi="Times New Roman" w:cs="Times New Roman"/>
          <w:sz w:val="24"/>
          <w:szCs w:val="24"/>
        </w:rPr>
      </w:pPr>
      <w:r>
        <w:rPr>
          <w:rFonts w:ascii="Times New Roman" w:hAnsi="Times New Roman"/>
          <w:i/>
          <w:sz w:val="24"/>
        </w:rPr>
        <w:t>Paragraphe 4.</w:t>
      </w:r>
      <w:r>
        <w:rPr>
          <w:rFonts w:ascii="Times New Roman" w:hAnsi="Times New Roman"/>
          <w:sz w:val="24"/>
        </w:rPr>
        <w:t xml:space="preserve"> Les exceptions prévues au paragraphe 5, (2) et (3), ne s’appliquent que dans la mesure où l’inégalité ne donne pas au colis une apparence unique, un effet de sensibilisation, ou peut être considéré comme contraire à l’exigence d’un modèle normalisé, pour tous les emballages simples et extérieurs contenant des cigarettes électroniques et des flacons de recharge avec ou sans nicotine.</w:t>
      </w:r>
    </w:p>
    <w:p w14:paraId="703EA15C" w14:textId="56507F1D" w:rsidR="004009A5" w:rsidRPr="00857781" w:rsidRDefault="00D9738B" w:rsidP="00A24471">
      <w:pPr>
        <w:pStyle w:val="HTMLPreformatted"/>
        <w:rPr>
          <w:rFonts w:ascii="Times New Roman" w:hAnsi="Times New Roman" w:cs="Times New Roman"/>
          <w:sz w:val="24"/>
          <w:szCs w:val="24"/>
        </w:rPr>
      </w:pPr>
      <w:r>
        <w:rPr>
          <w:rFonts w:ascii="Times New Roman" w:hAnsi="Times New Roman"/>
          <w:b/>
          <w:sz w:val="24"/>
        </w:rPr>
        <w:t xml:space="preserve">Article 6. </w:t>
      </w:r>
      <w:r>
        <w:rPr>
          <w:rFonts w:ascii="Times New Roman" w:hAnsi="Times New Roman"/>
          <w:sz w:val="24"/>
        </w:rPr>
        <w:t xml:space="preserve">Les surfaces, etc., des unités de conditionnement et emballages extérieurs ne peuvent être appliquées qu’aux éléments prévus par la loi. </w:t>
      </w:r>
    </w:p>
    <w:p w14:paraId="6B65F25E" w14:textId="202F8760" w:rsidR="004009A5" w:rsidRPr="00E9280B" w:rsidRDefault="004009A5" w:rsidP="004009A5">
      <w:pPr>
        <w:rPr>
          <w:rFonts w:ascii="Times New Roman" w:hAnsi="Times New Roman" w:cs="Times New Roman"/>
          <w:sz w:val="24"/>
          <w:szCs w:val="24"/>
        </w:rPr>
      </w:pPr>
    </w:p>
    <w:p w14:paraId="410FFE07" w14:textId="77777777" w:rsidR="004009A5" w:rsidRPr="00E9280B" w:rsidRDefault="004009A5" w:rsidP="004009A5">
      <w:pPr>
        <w:jc w:val="center"/>
        <w:rPr>
          <w:rFonts w:ascii="Times New Roman" w:hAnsi="Times New Roman" w:cs="Times New Roman"/>
          <w:sz w:val="24"/>
          <w:szCs w:val="24"/>
        </w:rPr>
      </w:pPr>
      <w:r>
        <w:rPr>
          <w:rFonts w:ascii="Times New Roman" w:hAnsi="Times New Roman"/>
          <w:sz w:val="24"/>
        </w:rPr>
        <w:t>Chapitre 4</w:t>
      </w:r>
    </w:p>
    <w:p w14:paraId="664672ED" w14:textId="52382E40" w:rsidR="004009A5" w:rsidRPr="00711F3F" w:rsidRDefault="004009A5" w:rsidP="00711F3F">
      <w:pPr>
        <w:jc w:val="center"/>
        <w:rPr>
          <w:rFonts w:ascii="Times New Roman" w:hAnsi="Times New Roman" w:cs="Times New Roman"/>
          <w:i/>
          <w:sz w:val="24"/>
          <w:szCs w:val="24"/>
        </w:rPr>
      </w:pPr>
      <w:r>
        <w:rPr>
          <w:rFonts w:ascii="Times New Roman" w:hAnsi="Times New Roman"/>
          <w:i/>
          <w:sz w:val="24"/>
        </w:rPr>
        <w:t>Suremballage des unités de conditionnement et des emballages extérieurs des cigarettes électroniques et des flacons de recharge, avec et sans nicotine</w:t>
      </w:r>
    </w:p>
    <w:p w14:paraId="37B3D713" w14:textId="3FF211A7" w:rsidR="004009A5" w:rsidRPr="00E9280B" w:rsidRDefault="00D9738B" w:rsidP="0045177E">
      <w:pPr>
        <w:spacing w:line="240" w:lineRule="auto"/>
        <w:rPr>
          <w:rFonts w:ascii="Times New Roman" w:hAnsi="Times New Roman" w:cs="Times New Roman"/>
          <w:sz w:val="24"/>
          <w:szCs w:val="24"/>
        </w:rPr>
      </w:pPr>
      <w:r>
        <w:rPr>
          <w:rFonts w:ascii="Times New Roman" w:hAnsi="Times New Roman"/>
          <w:b/>
          <w:sz w:val="24"/>
        </w:rPr>
        <w:t>Article 7.</w:t>
      </w:r>
      <w:r>
        <w:rPr>
          <w:rFonts w:ascii="Times New Roman" w:hAnsi="Times New Roman"/>
          <w:sz w:val="24"/>
        </w:rPr>
        <w:t xml:space="preserve"> Les unités de conditionnement et les emballages extérieurs peuvent être recouverts d’un suremballage. </w:t>
      </w:r>
    </w:p>
    <w:p w14:paraId="05EAEC40" w14:textId="2035B4E1" w:rsidR="004009A5" w:rsidRPr="00E9280B" w:rsidRDefault="004009A5" w:rsidP="0045177E">
      <w:pPr>
        <w:spacing w:line="240" w:lineRule="auto"/>
        <w:rPr>
          <w:rFonts w:ascii="Times New Roman" w:hAnsi="Times New Roman" w:cs="Times New Roman"/>
          <w:sz w:val="24"/>
          <w:szCs w:val="24"/>
        </w:rPr>
      </w:pPr>
      <w:r>
        <w:rPr>
          <w:rFonts w:ascii="Times New Roman" w:hAnsi="Times New Roman"/>
          <w:i/>
          <w:sz w:val="24"/>
        </w:rPr>
        <w:lastRenderedPageBreak/>
        <w:t>Paragraphe 2.</w:t>
      </w:r>
      <w:r>
        <w:rPr>
          <w:rFonts w:ascii="Times New Roman" w:hAnsi="Times New Roman"/>
          <w:sz w:val="24"/>
        </w:rPr>
        <w:t xml:space="preserve"> Le suremballage est plat et lisse et ne peut pas comporter d’éléments irréguliers tels qu’un marquage, un gaufrage, une texture, des cavités, des reliefs ou une autre forme ou structure.</w:t>
      </w:r>
    </w:p>
    <w:p w14:paraId="20760A2D" w14:textId="5A4A4A1B" w:rsidR="004009A5" w:rsidRPr="00E9280B" w:rsidRDefault="004009A5" w:rsidP="0045177E">
      <w:pPr>
        <w:spacing w:line="240" w:lineRule="auto"/>
        <w:rPr>
          <w:rFonts w:ascii="Times New Roman" w:hAnsi="Times New Roman" w:cs="Times New Roman"/>
          <w:sz w:val="24"/>
          <w:szCs w:val="24"/>
        </w:rPr>
      </w:pPr>
      <w:r>
        <w:rPr>
          <w:rFonts w:ascii="Times New Roman" w:hAnsi="Times New Roman"/>
          <w:i/>
          <w:sz w:val="24"/>
        </w:rPr>
        <w:t>Paragraphe 3.</w:t>
      </w:r>
      <w:r>
        <w:rPr>
          <w:rFonts w:ascii="Times New Roman" w:hAnsi="Times New Roman"/>
          <w:sz w:val="24"/>
        </w:rPr>
        <w:t xml:space="preserve"> La bandelette employée pour ouvrir le suremballage est transparente ou noire. Sa largeur peut aller jusqu’à 3 millimètres, et elle doit être parallèle au bord supérieur de l’unité de conditionnement. La bandelette peut comporter une ligne continue d’une longueur maximale de 15 mm, transparente ou noire, indiquant à quel endroit commence la bandelette.</w:t>
      </w:r>
    </w:p>
    <w:p w14:paraId="6CE42DE2" w14:textId="77387C15" w:rsidR="004009A5" w:rsidRDefault="004009A5" w:rsidP="0045177E">
      <w:pPr>
        <w:spacing w:line="240" w:lineRule="auto"/>
        <w:rPr>
          <w:rFonts w:ascii="Times New Roman" w:hAnsi="Times New Roman" w:cs="Times New Roman"/>
          <w:sz w:val="24"/>
          <w:szCs w:val="24"/>
        </w:rPr>
      </w:pPr>
      <w:r>
        <w:rPr>
          <w:rFonts w:ascii="Times New Roman" w:hAnsi="Times New Roman"/>
          <w:i/>
          <w:sz w:val="24"/>
        </w:rPr>
        <w:t>Paragraphe 4.</w:t>
      </w:r>
      <w:r>
        <w:rPr>
          <w:rFonts w:ascii="Times New Roman" w:hAnsi="Times New Roman"/>
          <w:sz w:val="24"/>
        </w:rPr>
        <w:t xml:space="preserve"> Un bandeau noir ne doit pas recouvrir ou cacher les avertissements sanitaires et tout autre étiquetage apposé en vertu d’une autre législation.</w:t>
      </w:r>
    </w:p>
    <w:p w14:paraId="08C116A4" w14:textId="262EE062" w:rsidR="004009A5" w:rsidRPr="00E9280B" w:rsidRDefault="004009A5" w:rsidP="0045177E">
      <w:pPr>
        <w:spacing w:line="240" w:lineRule="auto"/>
        <w:rPr>
          <w:rFonts w:ascii="Times New Roman" w:hAnsi="Times New Roman" w:cs="Times New Roman"/>
          <w:sz w:val="24"/>
          <w:szCs w:val="24"/>
        </w:rPr>
      </w:pPr>
      <w:r>
        <w:rPr>
          <w:rFonts w:ascii="Times New Roman" w:hAnsi="Times New Roman"/>
          <w:i/>
          <w:sz w:val="24"/>
        </w:rPr>
        <w:t xml:space="preserve">Paragraphe 5. </w:t>
      </w:r>
      <w:r>
        <w:rPr>
          <w:rFonts w:ascii="Times New Roman" w:hAnsi="Times New Roman"/>
          <w:sz w:val="24"/>
        </w:rPr>
        <w:t>Le matériau d’emballage ne doit être appliqué qu’aux éléments nécessaires au processus de production et ne doit pas modifier l’expression standardisée.</w:t>
      </w:r>
    </w:p>
    <w:p w14:paraId="728E3577" w14:textId="77777777" w:rsidR="004009A5" w:rsidRPr="00E9280B" w:rsidRDefault="004009A5" w:rsidP="004009A5">
      <w:pPr>
        <w:rPr>
          <w:rFonts w:ascii="Times New Roman" w:hAnsi="Times New Roman" w:cs="Times New Roman"/>
          <w:sz w:val="24"/>
          <w:szCs w:val="24"/>
        </w:rPr>
      </w:pPr>
    </w:p>
    <w:p w14:paraId="54A616A8" w14:textId="77777777" w:rsidR="004009A5" w:rsidRPr="00E9280B" w:rsidRDefault="004009A5" w:rsidP="004009A5">
      <w:pPr>
        <w:jc w:val="center"/>
        <w:rPr>
          <w:rFonts w:ascii="Times New Roman" w:hAnsi="Times New Roman" w:cs="Times New Roman"/>
          <w:sz w:val="24"/>
          <w:szCs w:val="24"/>
        </w:rPr>
      </w:pPr>
      <w:r>
        <w:rPr>
          <w:rFonts w:ascii="Times New Roman" w:hAnsi="Times New Roman"/>
          <w:sz w:val="24"/>
        </w:rPr>
        <w:t>Chapitre 5</w:t>
      </w:r>
    </w:p>
    <w:p w14:paraId="02C011C3" w14:textId="16DDE974" w:rsidR="004009A5" w:rsidRDefault="004009A5" w:rsidP="004009A5">
      <w:pPr>
        <w:jc w:val="center"/>
        <w:rPr>
          <w:rFonts w:ascii="Times New Roman" w:hAnsi="Times New Roman" w:cs="Times New Roman"/>
          <w:i/>
          <w:sz w:val="24"/>
          <w:szCs w:val="24"/>
        </w:rPr>
      </w:pPr>
      <w:r>
        <w:rPr>
          <w:rFonts w:ascii="Times New Roman" w:hAnsi="Times New Roman"/>
          <w:i/>
          <w:sz w:val="24"/>
        </w:rPr>
        <w:t>Étiquetage, etc., des unités de conditionnement et des emballages extérieurs des cigarettes électroniques et des flacons de recharge, avec et sans nicotine</w:t>
      </w:r>
    </w:p>
    <w:p w14:paraId="56E12829" w14:textId="4948007A" w:rsidR="004009A5" w:rsidRDefault="00D9738B" w:rsidP="0009506E">
      <w:pPr>
        <w:spacing w:after="0" w:line="240" w:lineRule="auto"/>
        <w:rPr>
          <w:rFonts w:ascii="Times New Roman" w:hAnsi="Times New Roman" w:cs="Times New Roman"/>
          <w:sz w:val="24"/>
          <w:szCs w:val="24"/>
        </w:rPr>
      </w:pPr>
      <w:r>
        <w:rPr>
          <w:rFonts w:ascii="Times New Roman" w:hAnsi="Times New Roman"/>
          <w:b/>
          <w:sz w:val="24"/>
        </w:rPr>
        <w:t>Article 8.</w:t>
      </w:r>
      <w:r>
        <w:rPr>
          <w:rFonts w:ascii="Times New Roman" w:hAnsi="Times New Roman"/>
          <w:sz w:val="24"/>
        </w:rPr>
        <w:t xml:space="preserve"> L’étiquetage apposé en vertu du présent règlement ne doit pas cacher, entièrement ou partiellement, les textes, les avertissements et tout autre étiquetage apposé en vertu d’une autre législation.</w:t>
      </w:r>
    </w:p>
    <w:p w14:paraId="12BE8940" w14:textId="77777777" w:rsidR="0009506E" w:rsidRPr="00480CCA" w:rsidRDefault="0009506E" w:rsidP="0009506E">
      <w:pPr>
        <w:spacing w:after="0" w:line="240" w:lineRule="auto"/>
        <w:rPr>
          <w:rFonts w:ascii="Times New Roman" w:hAnsi="Times New Roman" w:cs="Times New Roman"/>
          <w:sz w:val="24"/>
          <w:szCs w:val="24"/>
        </w:rPr>
      </w:pPr>
    </w:p>
    <w:p w14:paraId="5BBCC714" w14:textId="6F239B06" w:rsidR="0009506E" w:rsidRPr="00E9280B" w:rsidRDefault="00D9738B" w:rsidP="0009506E">
      <w:pPr>
        <w:spacing w:after="0" w:line="240" w:lineRule="auto"/>
        <w:rPr>
          <w:rFonts w:ascii="Times New Roman" w:hAnsi="Times New Roman" w:cs="Times New Roman"/>
          <w:sz w:val="24"/>
          <w:szCs w:val="24"/>
        </w:rPr>
      </w:pPr>
      <w:r>
        <w:rPr>
          <w:rFonts w:ascii="Times New Roman" w:hAnsi="Times New Roman"/>
          <w:b/>
          <w:sz w:val="24"/>
        </w:rPr>
        <w:t>Article 9.</w:t>
      </w:r>
      <w:r>
        <w:rPr>
          <w:rFonts w:ascii="Times New Roman" w:hAnsi="Times New Roman"/>
          <w:sz w:val="24"/>
        </w:rPr>
        <w:t xml:space="preserve"> L’unité de conditionnement et l’emballage extérieur peuvent comporter, en deux endroits, une indication de la marque commerciale et du nom de produit. Le texte apposé</w:t>
      </w:r>
      <w:r w:rsidR="0061052E">
        <w:rPr>
          <w:rFonts w:ascii="Times New Roman" w:hAnsi="Times New Roman"/>
          <w:sz w:val="24"/>
        </w:rPr>
        <w:t xml:space="preserve"> </w:t>
      </w:r>
      <w:r>
        <w:rPr>
          <w:rFonts w:ascii="Times New Roman" w:hAnsi="Times New Roman"/>
          <w:sz w:val="24"/>
        </w:rPr>
        <w:t>:</w:t>
      </w:r>
    </w:p>
    <w:p w14:paraId="0BF12D86" w14:textId="5CBAD614" w:rsidR="004009A5" w:rsidRPr="00E9280B"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 xml:space="preserve">peut être composé des lettres «a» à «å» en minuscules, mais de telle sorte que la première lettre, puisse être une majuscule, </w:t>
      </w:r>
    </w:p>
    <w:p w14:paraId="3E6C2BCC" w14:textId="77777777" w:rsidR="004009A5" w:rsidRPr="00E9280B"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peut comporter les chiffres 0 à 9;</w:t>
      </w:r>
    </w:p>
    <w:p w14:paraId="56D8FAD6" w14:textId="77777777" w:rsidR="004009A5"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est imprimé en caractères Helvetica ;</w:t>
      </w:r>
    </w:p>
    <w:p w14:paraId="5D1BD9C1" w14:textId="2DB8E47E" w:rsidR="004009A5" w:rsidRPr="008E7C5A" w:rsidRDefault="00C51654" w:rsidP="00A1280F">
      <w:pPr>
        <w:pStyle w:val="HTMLPreformatted"/>
        <w:numPr>
          <w:ilvl w:val="0"/>
          <w:numId w:val="12"/>
        </w:numPr>
        <w:rPr>
          <w:rFonts w:ascii="Times New Roman" w:hAnsi="Times New Roman" w:cs="Times New Roman"/>
          <w:sz w:val="24"/>
          <w:szCs w:val="24"/>
        </w:rPr>
      </w:pPr>
      <w:r>
        <w:rPr>
          <w:rFonts w:ascii="Times New Roman" w:hAnsi="Times New Roman"/>
          <w:sz w:val="24"/>
        </w:rPr>
        <w:t>peut consister en les symboles entre crochets (−), en accent aigu (</w:t>
      </w:r>
      <w:r w:rsidR="0061052E">
        <w:rPr>
          <w:rFonts w:ascii="Times New Roman" w:hAnsi="Times New Roman"/>
          <w:sz w:val="24"/>
        </w:rPr>
        <w:t>´</w:t>
      </w:r>
      <w:r>
        <w:rPr>
          <w:rFonts w:ascii="Times New Roman" w:hAnsi="Times New Roman"/>
          <w:sz w:val="24"/>
        </w:rPr>
        <w:t>), en apostrophe (’) et en le signe (&amp;)</w:t>
      </w:r>
    </w:p>
    <w:p w14:paraId="107D9E2D" w14:textId="65017010" w:rsidR="004009A5" w:rsidRPr="00E9280B"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est de couleur Pantone </w:t>
      </w:r>
      <w:r w:rsidR="004D0DC3">
        <w:rPr>
          <w:rFonts w:ascii="Times New Roman" w:hAnsi="Times New Roman"/>
          <w:sz w:val="24"/>
        </w:rPr>
        <w:t>Cool Gray 2</w:t>
      </w:r>
      <w:r>
        <w:rPr>
          <w:rFonts w:ascii="Times New Roman" w:hAnsi="Times New Roman"/>
          <w:sz w:val="24"/>
        </w:rPr>
        <w:t xml:space="preserve"> C non enrobé; </w:t>
      </w:r>
    </w:p>
    <w:p w14:paraId="3E29EEC0" w14:textId="77777777" w:rsidR="004009A5" w:rsidRPr="00E9280B"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 xml:space="preserve">a une taille de caractères de 10 points au maximum; et </w:t>
      </w:r>
    </w:p>
    <w:p w14:paraId="7E9D5B15" w14:textId="467EDC0D" w:rsidR="004009A5"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est parallèle à l’avertissement sanitaire.</w:t>
      </w:r>
    </w:p>
    <w:p w14:paraId="0BCCBB1D" w14:textId="77777777" w:rsidR="00315A47" w:rsidRPr="00256C6D" w:rsidRDefault="00315A47" w:rsidP="00315A47">
      <w:pPr>
        <w:spacing w:after="0" w:line="240" w:lineRule="auto"/>
        <w:rPr>
          <w:rFonts w:ascii="Times New Roman" w:hAnsi="Times New Roman" w:cs="Times New Roman"/>
          <w:sz w:val="24"/>
          <w:szCs w:val="24"/>
        </w:rPr>
      </w:pPr>
    </w:p>
    <w:p w14:paraId="75BC28C4" w14:textId="4451D92B" w:rsidR="004009A5" w:rsidRDefault="004009A5" w:rsidP="0009506E">
      <w:pPr>
        <w:spacing w:after="0"/>
        <w:rPr>
          <w:rFonts w:ascii="Times New Roman" w:hAnsi="Times New Roman" w:cs="Times New Roman"/>
          <w:sz w:val="24"/>
          <w:szCs w:val="24"/>
        </w:rPr>
      </w:pPr>
      <w:r>
        <w:rPr>
          <w:rFonts w:ascii="Times New Roman" w:hAnsi="Times New Roman"/>
          <w:i/>
          <w:sz w:val="24"/>
        </w:rPr>
        <w:t>Paragraphe 2.</w:t>
      </w:r>
      <w:r>
        <w:rPr>
          <w:rFonts w:ascii="Times New Roman" w:hAnsi="Times New Roman"/>
          <w:sz w:val="24"/>
        </w:rPr>
        <w:t xml:space="preserve"> Le nom de marque peut occuper une seule ligne.</w:t>
      </w:r>
    </w:p>
    <w:p w14:paraId="13051992" w14:textId="77777777" w:rsidR="00AB0A10" w:rsidRPr="00E9280B" w:rsidRDefault="00AB0A10" w:rsidP="0009506E">
      <w:pPr>
        <w:spacing w:after="0"/>
        <w:rPr>
          <w:rFonts w:ascii="Times New Roman" w:hAnsi="Times New Roman" w:cs="Times New Roman"/>
          <w:sz w:val="24"/>
          <w:szCs w:val="24"/>
        </w:rPr>
      </w:pPr>
    </w:p>
    <w:p w14:paraId="7D40EEC3" w14:textId="7BD8ADE0" w:rsidR="004009A5" w:rsidRDefault="004009A5" w:rsidP="004C30A4">
      <w:pPr>
        <w:rPr>
          <w:rFonts w:ascii="Times New Roman" w:hAnsi="Times New Roman" w:cs="Times New Roman"/>
          <w:sz w:val="24"/>
          <w:szCs w:val="24"/>
        </w:rPr>
      </w:pPr>
      <w:r>
        <w:rPr>
          <w:rFonts w:ascii="Times New Roman" w:hAnsi="Times New Roman"/>
          <w:i/>
          <w:sz w:val="24"/>
        </w:rPr>
        <w:t>Paragraphe 3.</w:t>
      </w:r>
      <w:r>
        <w:rPr>
          <w:rFonts w:ascii="Times New Roman" w:hAnsi="Times New Roman"/>
          <w:sz w:val="24"/>
        </w:rPr>
        <w:t xml:space="preserve"> Le nom du produit peut occuper une seule ligne et il est placé directement en dessous de la marque commerciale. </w:t>
      </w:r>
    </w:p>
    <w:p w14:paraId="0C76A8F5" w14:textId="0FB72E99" w:rsidR="00567248" w:rsidRDefault="00D9738B" w:rsidP="00567248">
      <w:pPr>
        <w:spacing w:after="0"/>
        <w:rPr>
          <w:rFonts w:ascii="Times New Roman" w:hAnsi="Times New Roman" w:cs="Times New Roman"/>
          <w:sz w:val="24"/>
          <w:szCs w:val="24"/>
        </w:rPr>
      </w:pPr>
      <w:r>
        <w:rPr>
          <w:rFonts w:ascii="Times New Roman" w:hAnsi="Times New Roman"/>
          <w:b/>
          <w:sz w:val="24"/>
        </w:rPr>
        <w:t>Article 10.</w:t>
      </w:r>
      <w:r>
        <w:rPr>
          <w:rFonts w:ascii="Times New Roman" w:hAnsi="Times New Roman"/>
          <w:sz w:val="24"/>
        </w:rPr>
        <w:t xml:space="preserve"> Les unités de conditionnement et les emballages extérieurs doivent porter une étiquette indiquant un identifiant du produit, une indication du nombre et une indication de contenu conforme au contenu de l'unité de conditionnement et peuvent porter une étiquette indiquant le type de produit à utiliser avec le produit.</w:t>
      </w:r>
    </w:p>
    <w:p w14:paraId="196EF505" w14:textId="77838AF4" w:rsidR="004009A5" w:rsidRPr="00E9280B" w:rsidRDefault="004009A5" w:rsidP="00567248">
      <w:pPr>
        <w:spacing w:after="0"/>
        <w:rPr>
          <w:rFonts w:ascii="Times New Roman" w:hAnsi="Times New Roman" w:cs="Times New Roman"/>
          <w:sz w:val="24"/>
          <w:szCs w:val="24"/>
        </w:rPr>
      </w:pPr>
      <w:r>
        <w:rPr>
          <w:rFonts w:ascii="Times New Roman" w:hAnsi="Times New Roman"/>
          <w:sz w:val="24"/>
        </w:rPr>
        <w:t xml:space="preserve"> </w:t>
      </w:r>
    </w:p>
    <w:p w14:paraId="50BA7903" w14:textId="2B378AE0" w:rsidR="004009A5" w:rsidRPr="00E9280B" w:rsidRDefault="004009A5" w:rsidP="00567248">
      <w:pPr>
        <w:spacing w:after="0"/>
        <w:rPr>
          <w:rFonts w:ascii="Times New Roman" w:hAnsi="Times New Roman" w:cs="Times New Roman"/>
          <w:sz w:val="24"/>
          <w:szCs w:val="24"/>
        </w:rPr>
      </w:pPr>
      <w:r>
        <w:rPr>
          <w:rFonts w:ascii="Times New Roman" w:hAnsi="Times New Roman"/>
          <w:i/>
          <w:sz w:val="24"/>
        </w:rPr>
        <w:t>Paragraphe 2.</w:t>
      </w:r>
      <w:r>
        <w:rPr>
          <w:rFonts w:ascii="Times New Roman" w:hAnsi="Times New Roman"/>
          <w:sz w:val="24"/>
        </w:rPr>
        <w:t xml:space="preserve"> Les emballages extérieurs et les unités de conditionnement des cigarettes électroniques et des flacons de recharge, avec et sans nicotine, qui contiennent des aromes spécifiques peuvent porter, une seule fois, la mention</w:t>
      </w:r>
      <w:r w:rsidR="0061052E">
        <w:rPr>
          <w:rFonts w:ascii="Times New Roman" w:hAnsi="Times New Roman"/>
          <w:sz w:val="24"/>
        </w:rPr>
        <w:t xml:space="preserve"> </w:t>
      </w:r>
      <w:r>
        <w:rPr>
          <w:rFonts w:ascii="Times New Roman" w:hAnsi="Times New Roman"/>
          <w:sz w:val="24"/>
        </w:rPr>
        <w:t>:</w:t>
      </w:r>
    </w:p>
    <w:p w14:paraId="1CC14AC6" w14:textId="7F7A385D" w:rsidR="004009A5" w:rsidRPr="00E9280B" w:rsidRDefault="001E0CEF" w:rsidP="00567248">
      <w:pPr>
        <w:pStyle w:val="ListParagraph"/>
        <w:numPr>
          <w:ilvl w:val="0"/>
          <w:numId w:val="3"/>
        </w:numPr>
        <w:spacing w:after="0"/>
        <w:rPr>
          <w:rFonts w:ascii="Times New Roman" w:hAnsi="Times New Roman" w:cs="Times New Roman"/>
          <w:sz w:val="24"/>
          <w:szCs w:val="24"/>
        </w:rPr>
      </w:pPr>
      <w:r>
        <w:rPr>
          <w:rFonts w:ascii="Times New Roman" w:hAnsi="Times New Roman"/>
          <w:sz w:val="24"/>
        </w:rPr>
        <w:lastRenderedPageBreak/>
        <w:t>«Au goût de tabac», ou</w:t>
      </w:r>
    </w:p>
    <w:p w14:paraId="4244D5D7" w14:textId="16F65FF9" w:rsidR="004009A5" w:rsidRDefault="001E0CEF" w:rsidP="00567248">
      <w:pPr>
        <w:numPr>
          <w:ilvl w:val="0"/>
          <w:numId w:val="3"/>
        </w:numPr>
        <w:spacing w:after="0"/>
        <w:rPr>
          <w:rFonts w:ascii="Times New Roman" w:hAnsi="Times New Roman" w:cs="Times New Roman"/>
          <w:sz w:val="24"/>
          <w:szCs w:val="24"/>
        </w:rPr>
      </w:pPr>
      <w:r>
        <w:rPr>
          <w:rFonts w:ascii="Times New Roman" w:hAnsi="Times New Roman"/>
          <w:sz w:val="24"/>
        </w:rPr>
        <w:t>«Au goût de menthol».</w:t>
      </w:r>
    </w:p>
    <w:p w14:paraId="0BECB6C6" w14:textId="77777777" w:rsidR="00567248" w:rsidRPr="007F566B" w:rsidRDefault="00567248" w:rsidP="00567248">
      <w:pPr>
        <w:spacing w:after="0"/>
        <w:rPr>
          <w:rFonts w:ascii="Times New Roman" w:hAnsi="Times New Roman" w:cs="Times New Roman"/>
          <w:sz w:val="24"/>
          <w:szCs w:val="24"/>
        </w:rPr>
      </w:pPr>
    </w:p>
    <w:p w14:paraId="65CC6D2C" w14:textId="1EEAB95B" w:rsidR="004009A5" w:rsidRPr="00E9280B" w:rsidRDefault="004009A5" w:rsidP="009B2A08">
      <w:pPr>
        <w:spacing w:after="0"/>
        <w:rPr>
          <w:rFonts w:ascii="Times New Roman" w:hAnsi="Times New Roman" w:cs="Times New Roman"/>
          <w:sz w:val="24"/>
          <w:szCs w:val="24"/>
        </w:rPr>
      </w:pPr>
      <w:r>
        <w:rPr>
          <w:rFonts w:ascii="Times New Roman" w:hAnsi="Times New Roman"/>
          <w:i/>
          <w:sz w:val="24"/>
        </w:rPr>
        <w:t>Paragraphe 3.</w:t>
      </w:r>
      <w:r>
        <w:rPr>
          <w:rFonts w:ascii="Times New Roman" w:hAnsi="Times New Roman"/>
          <w:sz w:val="24"/>
        </w:rPr>
        <w:t xml:space="preserve"> Le texte apposé au titre du paragraphe 1 et du paragraphe 2</w:t>
      </w:r>
      <w:r w:rsidR="0061052E">
        <w:rPr>
          <w:rFonts w:ascii="Times New Roman" w:hAnsi="Times New Roman"/>
          <w:sz w:val="24"/>
        </w:rPr>
        <w:t xml:space="preserve"> </w:t>
      </w:r>
      <w:r>
        <w:rPr>
          <w:rFonts w:ascii="Times New Roman" w:hAnsi="Times New Roman"/>
          <w:sz w:val="24"/>
        </w:rPr>
        <w:t>:</w:t>
      </w:r>
    </w:p>
    <w:p w14:paraId="6E85298B" w14:textId="203C5281" w:rsidR="004009A5" w:rsidRPr="00E9280B" w:rsidRDefault="004009A5" w:rsidP="009F36F8">
      <w:pPr>
        <w:numPr>
          <w:ilvl w:val="0"/>
          <w:numId w:val="13"/>
        </w:numPr>
        <w:spacing w:after="0"/>
        <w:rPr>
          <w:rFonts w:ascii="Times New Roman" w:hAnsi="Times New Roman" w:cs="Times New Roman"/>
          <w:sz w:val="24"/>
          <w:szCs w:val="24"/>
        </w:rPr>
      </w:pPr>
      <w:r>
        <w:rPr>
          <w:rFonts w:ascii="Times New Roman" w:hAnsi="Times New Roman"/>
          <w:sz w:val="24"/>
        </w:rPr>
        <w:t xml:space="preserve">peut être composé des lettres «a» à «å» en minuscules, mais de telle sorte que la première lettre, puisse être une majuscule, </w:t>
      </w:r>
    </w:p>
    <w:p w14:paraId="05979D4E" w14:textId="77777777" w:rsidR="004009A5" w:rsidRPr="003973E4" w:rsidRDefault="004009A5" w:rsidP="009F36F8">
      <w:pPr>
        <w:numPr>
          <w:ilvl w:val="0"/>
          <w:numId w:val="13"/>
        </w:numPr>
        <w:spacing w:after="0"/>
      </w:pPr>
      <w:r>
        <w:rPr>
          <w:rFonts w:ascii="Times New Roman" w:hAnsi="Times New Roman"/>
          <w:sz w:val="24"/>
        </w:rPr>
        <w:t>peut comporter les chiffres 0 à 9 ;</w:t>
      </w:r>
    </w:p>
    <w:p w14:paraId="247A6AB7" w14:textId="25BDD843" w:rsidR="004009A5" w:rsidRPr="00E9280B" w:rsidRDefault="004009A5" w:rsidP="009F36F8">
      <w:pPr>
        <w:numPr>
          <w:ilvl w:val="0"/>
          <w:numId w:val="13"/>
        </w:numPr>
        <w:spacing w:after="0"/>
        <w:rPr>
          <w:rFonts w:ascii="Times New Roman" w:hAnsi="Times New Roman" w:cs="Times New Roman"/>
          <w:sz w:val="24"/>
          <w:szCs w:val="24"/>
        </w:rPr>
      </w:pPr>
      <w:r>
        <w:rPr>
          <w:rFonts w:ascii="Times New Roman" w:hAnsi="Times New Roman"/>
          <w:sz w:val="24"/>
        </w:rPr>
        <w:t>est imprimé en caractères Helvetica ;</w:t>
      </w:r>
    </w:p>
    <w:p w14:paraId="075CBCDC" w14:textId="06897DD9" w:rsidR="004009A5" w:rsidRPr="00E9280B" w:rsidRDefault="004009A5" w:rsidP="009F36F8">
      <w:pPr>
        <w:numPr>
          <w:ilvl w:val="0"/>
          <w:numId w:val="13"/>
        </w:numPr>
        <w:spacing w:after="0"/>
        <w:rPr>
          <w:rFonts w:ascii="Times New Roman" w:hAnsi="Times New Roman" w:cs="Times New Roman"/>
          <w:sz w:val="24"/>
          <w:szCs w:val="24"/>
        </w:rPr>
      </w:pPr>
      <w:r>
        <w:rPr>
          <w:rFonts w:ascii="Times New Roman" w:hAnsi="Times New Roman"/>
          <w:sz w:val="24"/>
        </w:rPr>
        <w:t xml:space="preserve">est de couleur </w:t>
      </w:r>
      <w:r w:rsidR="004D0DC3">
        <w:rPr>
          <w:rFonts w:ascii="Times New Roman" w:hAnsi="Times New Roman"/>
          <w:sz w:val="24"/>
        </w:rPr>
        <w:t>Pantone Cool Gray 2 C</w:t>
      </w:r>
      <w:r>
        <w:rPr>
          <w:rFonts w:ascii="Times New Roman" w:hAnsi="Times New Roman"/>
          <w:sz w:val="24"/>
        </w:rPr>
        <w:t xml:space="preserve"> non enrobé;</w:t>
      </w:r>
    </w:p>
    <w:p w14:paraId="0BC5F740" w14:textId="77777777" w:rsidR="004009A5" w:rsidRPr="00E9280B" w:rsidRDefault="004009A5" w:rsidP="009F36F8">
      <w:pPr>
        <w:numPr>
          <w:ilvl w:val="0"/>
          <w:numId w:val="13"/>
        </w:numPr>
        <w:spacing w:after="0"/>
        <w:rPr>
          <w:rFonts w:ascii="Times New Roman" w:hAnsi="Times New Roman" w:cs="Times New Roman"/>
          <w:sz w:val="24"/>
          <w:szCs w:val="24"/>
        </w:rPr>
      </w:pPr>
      <w:r>
        <w:rPr>
          <w:rFonts w:ascii="Times New Roman" w:hAnsi="Times New Roman"/>
          <w:sz w:val="24"/>
        </w:rPr>
        <w:t>a une taille de caractères de 10 points au maximum; et</w:t>
      </w:r>
    </w:p>
    <w:p w14:paraId="7277462D" w14:textId="27E92F0E" w:rsidR="004009A5" w:rsidRDefault="004009A5" w:rsidP="009F36F8">
      <w:pPr>
        <w:numPr>
          <w:ilvl w:val="0"/>
          <w:numId w:val="13"/>
        </w:numPr>
        <w:spacing w:after="0"/>
        <w:rPr>
          <w:rFonts w:ascii="Times New Roman" w:hAnsi="Times New Roman" w:cs="Times New Roman"/>
          <w:sz w:val="24"/>
          <w:szCs w:val="24"/>
        </w:rPr>
      </w:pPr>
      <w:r>
        <w:rPr>
          <w:rFonts w:ascii="Times New Roman" w:hAnsi="Times New Roman"/>
          <w:sz w:val="24"/>
        </w:rPr>
        <w:t xml:space="preserve">est imprimé dans le même sens que l’avertissement sanitaire. </w:t>
      </w:r>
    </w:p>
    <w:p w14:paraId="37BEE6C1" w14:textId="77777777" w:rsidR="00DB509A" w:rsidRPr="00DB509A" w:rsidRDefault="00DB509A" w:rsidP="00DB509A">
      <w:pPr>
        <w:spacing w:after="0"/>
        <w:rPr>
          <w:rFonts w:ascii="Times New Roman" w:hAnsi="Times New Roman" w:cs="Times New Roman"/>
          <w:sz w:val="24"/>
          <w:szCs w:val="24"/>
        </w:rPr>
      </w:pPr>
    </w:p>
    <w:p w14:paraId="64CC202F" w14:textId="5B03A1C1" w:rsidR="004009A5" w:rsidRPr="00E9280B" w:rsidRDefault="00D9738B" w:rsidP="00F05E37">
      <w:pPr>
        <w:spacing w:after="0"/>
        <w:rPr>
          <w:rFonts w:ascii="Times New Roman" w:hAnsi="Times New Roman" w:cs="Times New Roman"/>
          <w:sz w:val="24"/>
          <w:szCs w:val="24"/>
        </w:rPr>
      </w:pPr>
      <w:r>
        <w:rPr>
          <w:rFonts w:ascii="Times New Roman" w:hAnsi="Times New Roman"/>
          <w:b/>
          <w:sz w:val="24"/>
        </w:rPr>
        <w:t>Article 11.</w:t>
      </w:r>
      <w:r>
        <w:rPr>
          <w:rFonts w:ascii="Times New Roman" w:hAnsi="Times New Roman"/>
          <w:sz w:val="24"/>
        </w:rPr>
        <w:t xml:space="preserve"> Les unités de conditionnement et les emballages extérieurs des cigarettes électroniques et des flacons de recharge, avec et sans nicotine, peuvent, les uns et les autres, porter un seul code à barres, dans la mesure où celui-ci</w:t>
      </w:r>
    </w:p>
    <w:p w14:paraId="05FBA463" w14:textId="77777777" w:rsidR="004009A5" w:rsidRPr="00E9280B" w:rsidRDefault="004009A5" w:rsidP="004C055E">
      <w:pPr>
        <w:numPr>
          <w:ilvl w:val="0"/>
          <w:numId w:val="14"/>
        </w:numPr>
        <w:spacing w:after="0"/>
        <w:rPr>
          <w:rFonts w:ascii="Times New Roman" w:hAnsi="Times New Roman" w:cs="Times New Roman"/>
          <w:sz w:val="24"/>
          <w:szCs w:val="24"/>
        </w:rPr>
      </w:pPr>
      <w:r>
        <w:rPr>
          <w:rFonts w:ascii="Times New Roman" w:hAnsi="Times New Roman"/>
          <w:sz w:val="24"/>
        </w:rPr>
        <w:t>est utilisé à des fins de paiement, de distribution ou de contrôle des stocks ;</w:t>
      </w:r>
    </w:p>
    <w:p w14:paraId="21DE205D" w14:textId="153D9A74" w:rsidR="004009A5" w:rsidRPr="00E9280B" w:rsidRDefault="004009A5" w:rsidP="004C055E">
      <w:pPr>
        <w:numPr>
          <w:ilvl w:val="0"/>
          <w:numId w:val="14"/>
        </w:numPr>
        <w:spacing w:after="0"/>
        <w:rPr>
          <w:rFonts w:ascii="Times New Roman" w:hAnsi="Times New Roman" w:cs="Times New Roman"/>
          <w:sz w:val="24"/>
          <w:szCs w:val="24"/>
        </w:rPr>
      </w:pPr>
      <w:r>
        <w:rPr>
          <w:rFonts w:ascii="Times New Roman" w:hAnsi="Times New Roman"/>
          <w:sz w:val="24"/>
        </w:rPr>
        <w:t xml:space="preserve">est noir sur fond blanc ou </w:t>
      </w:r>
      <w:r w:rsidR="004D0DC3">
        <w:rPr>
          <w:rFonts w:ascii="Times New Roman" w:hAnsi="Times New Roman"/>
          <w:sz w:val="24"/>
        </w:rPr>
        <w:t>Pantone Cool Gray 2 C</w:t>
      </w:r>
      <w:r>
        <w:rPr>
          <w:rFonts w:ascii="Times New Roman" w:hAnsi="Times New Roman"/>
          <w:sz w:val="24"/>
        </w:rPr>
        <w:t xml:space="preserve"> non enrobé sur fond blanc; </w:t>
      </w:r>
    </w:p>
    <w:p w14:paraId="618C64AD" w14:textId="77777777" w:rsidR="004009A5" w:rsidRPr="00E9280B" w:rsidRDefault="004009A5" w:rsidP="004C055E">
      <w:pPr>
        <w:numPr>
          <w:ilvl w:val="0"/>
          <w:numId w:val="14"/>
        </w:numPr>
        <w:spacing w:after="0"/>
        <w:rPr>
          <w:rFonts w:ascii="Times New Roman" w:hAnsi="Times New Roman" w:cs="Times New Roman"/>
          <w:sz w:val="24"/>
          <w:szCs w:val="24"/>
        </w:rPr>
      </w:pPr>
      <w:r>
        <w:rPr>
          <w:rFonts w:ascii="Times New Roman" w:hAnsi="Times New Roman"/>
          <w:sz w:val="24"/>
        </w:rPr>
        <w:t>ne comporte pas d’image, de motif ou de symbole ressemblant à autre chose qu’à un code à barres; et</w:t>
      </w:r>
    </w:p>
    <w:p w14:paraId="17474EB8" w14:textId="77B770E6" w:rsidR="004009A5" w:rsidRDefault="004009A5" w:rsidP="004C055E">
      <w:pPr>
        <w:numPr>
          <w:ilvl w:val="0"/>
          <w:numId w:val="14"/>
        </w:numPr>
        <w:spacing w:after="0"/>
        <w:rPr>
          <w:rFonts w:ascii="Times New Roman" w:hAnsi="Times New Roman" w:cs="Times New Roman"/>
          <w:sz w:val="24"/>
          <w:szCs w:val="24"/>
        </w:rPr>
      </w:pPr>
      <w:r>
        <w:rPr>
          <w:rFonts w:ascii="Times New Roman" w:hAnsi="Times New Roman"/>
          <w:sz w:val="24"/>
        </w:rPr>
        <w:t>se trouve au bas ou sur le côté de l’unité de conditionnement, si cette dernière est de forme rectangulaire.</w:t>
      </w:r>
    </w:p>
    <w:p w14:paraId="53732821" w14:textId="77777777" w:rsidR="00AA4176" w:rsidRPr="00AA4176" w:rsidRDefault="00AA4176" w:rsidP="00AA4176">
      <w:pPr>
        <w:rPr>
          <w:rFonts w:ascii="Times New Roman" w:hAnsi="Times New Roman" w:cs="Times New Roman"/>
          <w:sz w:val="24"/>
          <w:szCs w:val="24"/>
        </w:rPr>
      </w:pPr>
    </w:p>
    <w:p w14:paraId="25A39E58" w14:textId="3E11DAC5" w:rsidR="004009A5" w:rsidRPr="00A23DED" w:rsidRDefault="004009A5" w:rsidP="004009A5">
      <w:pPr>
        <w:pStyle w:val="HTMLPreformatted"/>
        <w:rPr>
          <w:rFonts w:ascii="Times New Roman" w:hAnsi="Times New Roman" w:cs="Times New Roman"/>
          <w:sz w:val="24"/>
          <w:szCs w:val="24"/>
        </w:rPr>
      </w:pPr>
      <w:r>
        <w:rPr>
          <w:rFonts w:ascii="Times New Roman" w:hAnsi="Times New Roman"/>
          <w:b/>
          <w:sz w:val="24"/>
        </w:rPr>
        <w:t>Article 12.</w:t>
      </w:r>
      <w:r>
        <w:rPr>
          <w:rFonts w:ascii="Times New Roman" w:hAnsi="Times New Roman"/>
          <w:sz w:val="24"/>
        </w:rPr>
        <w:t xml:space="preserve"> Les emballages simples et les emballages extérieurs pour cigarettes électroniques et flacons de recharge avec et sans nicotine peuvent être apposés sur l’étiquetage de la production, y compris le numéro de lot, à condition que l’étiquetage</w:t>
      </w:r>
    </w:p>
    <w:p w14:paraId="10FE63F9" w14:textId="6F09D774" w:rsidR="004009A5" w:rsidRPr="00A23DED" w:rsidRDefault="004009A5" w:rsidP="00A26A6E">
      <w:pPr>
        <w:pStyle w:val="HTMLPreformatted"/>
        <w:numPr>
          <w:ilvl w:val="0"/>
          <w:numId w:val="15"/>
        </w:numPr>
        <w:rPr>
          <w:rFonts w:ascii="Times New Roman" w:hAnsi="Times New Roman" w:cs="Times New Roman"/>
          <w:sz w:val="24"/>
          <w:szCs w:val="24"/>
        </w:rPr>
      </w:pPr>
      <w:r>
        <w:rPr>
          <w:rFonts w:ascii="Times New Roman" w:hAnsi="Times New Roman"/>
          <w:sz w:val="24"/>
        </w:rPr>
        <w:t>est utilisé pour se conformer à d’autres règles applicables, y compris les règles sur le suivi et les frais,</w:t>
      </w:r>
    </w:p>
    <w:p w14:paraId="0A4DFE4F" w14:textId="36DA8B50" w:rsidR="004009A5" w:rsidRPr="00A23DED" w:rsidRDefault="004009A5" w:rsidP="00A26A6E">
      <w:pPr>
        <w:pStyle w:val="HTMLPreformatted"/>
        <w:numPr>
          <w:ilvl w:val="0"/>
          <w:numId w:val="15"/>
        </w:numPr>
        <w:rPr>
          <w:rFonts w:ascii="Times New Roman" w:hAnsi="Times New Roman" w:cs="Times New Roman"/>
          <w:sz w:val="24"/>
          <w:szCs w:val="24"/>
        </w:rPr>
      </w:pPr>
      <w:r>
        <w:rPr>
          <w:rFonts w:ascii="Times New Roman" w:hAnsi="Times New Roman"/>
          <w:sz w:val="24"/>
        </w:rPr>
        <w:t xml:space="preserve">est soit noir sur fond blanc, soit </w:t>
      </w:r>
      <w:r w:rsidR="004D0DC3">
        <w:rPr>
          <w:rFonts w:ascii="Times New Roman" w:hAnsi="Times New Roman"/>
          <w:sz w:val="24"/>
        </w:rPr>
        <w:t>Pantone Cool Gray 2 C</w:t>
      </w:r>
      <w:r>
        <w:rPr>
          <w:rFonts w:ascii="Times New Roman" w:hAnsi="Times New Roman"/>
          <w:sz w:val="24"/>
        </w:rPr>
        <w:t xml:space="preserve"> </w:t>
      </w:r>
      <w:r w:rsidR="004D0DC3">
        <w:rPr>
          <w:rFonts w:ascii="Times New Roman" w:hAnsi="Times New Roman"/>
          <w:sz w:val="24"/>
        </w:rPr>
        <w:t>non enrobé</w:t>
      </w:r>
      <w:r w:rsidR="004D0DC3">
        <w:rPr>
          <w:rFonts w:ascii="Times New Roman" w:hAnsi="Times New Roman"/>
          <w:sz w:val="24"/>
        </w:rPr>
        <w:t xml:space="preserve"> </w:t>
      </w:r>
      <w:r>
        <w:rPr>
          <w:rFonts w:ascii="Times New Roman" w:hAnsi="Times New Roman"/>
          <w:sz w:val="24"/>
        </w:rPr>
        <w:t xml:space="preserve">sur fond blanc, </w:t>
      </w:r>
    </w:p>
    <w:p w14:paraId="6D21CEAD" w14:textId="77777777" w:rsidR="004009A5" w:rsidRPr="00A23DED" w:rsidRDefault="004009A5" w:rsidP="00A26A6E">
      <w:pPr>
        <w:pStyle w:val="HTMLPreformatted"/>
        <w:numPr>
          <w:ilvl w:val="0"/>
          <w:numId w:val="15"/>
        </w:numPr>
        <w:rPr>
          <w:rFonts w:ascii="Times New Roman" w:hAnsi="Times New Roman" w:cs="Times New Roman"/>
          <w:sz w:val="24"/>
          <w:szCs w:val="24"/>
        </w:rPr>
      </w:pPr>
      <w:r>
        <w:rPr>
          <w:rFonts w:ascii="Times New Roman" w:hAnsi="Times New Roman"/>
          <w:sz w:val="24"/>
        </w:rPr>
        <w:t>ne constitue pas une image, un motif ou un symbole qui imite autre chose que l’étiquetage de la production,</w:t>
      </w:r>
    </w:p>
    <w:p w14:paraId="4502A29B" w14:textId="0F209152" w:rsidR="004009A5" w:rsidRPr="00A23DED" w:rsidRDefault="004009A5" w:rsidP="00A26A6E">
      <w:pPr>
        <w:pStyle w:val="HTMLPreformatted"/>
        <w:numPr>
          <w:ilvl w:val="0"/>
          <w:numId w:val="15"/>
        </w:numPr>
        <w:rPr>
          <w:rFonts w:ascii="Times New Roman" w:hAnsi="Times New Roman" w:cs="Times New Roman"/>
          <w:sz w:val="24"/>
          <w:szCs w:val="24"/>
        </w:rPr>
      </w:pPr>
      <w:r>
        <w:rPr>
          <w:rFonts w:ascii="Times New Roman" w:hAnsi="Times New Roman"/>
          <w:sz w:val="24"/>
        </w:rPr>
        <w:t>se trouve sur le fond ou sur le côté de l’emballage et</w:t>
      </w:r>
    </w:p>
    <w:p w14:paraId="1124F38C" w14:textId="6F73A850" w:rsidR="004009A5" w:rsidRPr="00A23DED" w:rsidRDefault="004009A5" w:rsidP="00A26A6E">
      <w:pPr>
        <w:pStyle w:val="HTMLPreformatted"/>
        <w:numPr>
          <w:ilvl w:val="0"/>
          <w:numId w:val="15"/>
        </w:numPr>
        <w:rPr>
          <w:rFonts w:ascii="Times New Roman" w:hAnsi="Times New Roman" w:cs="Times New Roman"/>
          <w:sz w:val="24"/>
          <w:szCs w:val="24"/>
        </w:rPr>
      </w:pPr>
      <w:r>
        <w:rPr>
          <w:rFonts w:ascii="Times New Roman" w:hAnsi="Times New Roman"/>
          <w:sz w:val="24"/>
        </w:rPr>
        <w:t>ne doit pas être considéré autrement comme contraire à l’exigence d’un modèle normalisé pour tous les produits contenant des cigarettes électroniques et des flacons de recharge</w:t>
      </w:r>
      <w:r>
        <w:rPr>
          <w:rFonts w:ascii="Times New Roman" w:hAnsi="Times New Roman"/>
          <w:i/>
          <w:sz w:val="24"/>
        </w:rPr>
        <w:t xml:space="preserve"> </w:t>
      </w:r>
      <w:r>
        <w:rPr>
          <w:rFonts w:ascii="Times New Roman" w:hAnsi="Times New Roman"/>
          <w:sz w:val="24"/>
        </w:rPr>
        <w:t>avec et sans nicotine.</w:t>
      </w:r>
    </w:p>
    <w:p w14:paraId="7FCD5ED5" w14:textId="62086A02" w:rsidR="004009A5" w:rsidRPr="00E9280B" w:rsidRDefault="004009A5" w:rsidP="004009A5">
      <w:pPr>
        <w:rPr>
          <w:rFonts w:ascii="Times New Roman" w:hAnsi="Times New Roman" w:cs="Times New Roman"/>
          <w:sz w:val="24"/>
          <w:szCs w:val="24"/>
        </w:rPr>
      </w:pPr>
    </w:p>
    <w:p w14:paraId="04BC20F2" w14:textId="77777777" w:rsidR="004009A5" w:rsidRPr="00E9280B" w:rsidRDefault="004009A5" w:rsidP="004009A5">
      <w:pPr>
        <w:jc w:val="center"/>
        <w:rPr>
          <w:rFonts w:ascii="Times New Roman" w:hAnsi="Times New Roman" w:cs="Times New Roman"/>
          <w:sz w:val="24"/>
          <w:szCs w:val="24"/>
        </w:rPr>
      </w:pPr>
      <w:r>
        <w:rPr>
          <w:rFonts w:ascii="Times New Roman" w:hAnsi="Times New Roman"/>
          <w:sz w:val="24"/>
        </w:rPr>
        <w:t>Chapitre 6</w:t>
      </w:r>
    </w:p>
    <w:p w14:paraId="4048984A" w14:textId="77777777" w:rsidR="004009A5" w:rsidRPr="00E9280B" w:rsidRDefault="004009A5" w:rsidP="004009A5">
      <w:pPr>
        <w:jc w:val="center"/>
        <w:rPr>
          <w:rFonts w:ascii="Times New Roman" w:hAnsi="Times New Roman" w:cs="Times New Roman"/>
          <w:sz w:val="24"/>
          <w:szCs w:val="24"/>
        </w:rPr>
      </w:pPr>
      <w:r>
        <w:rPr>
          <w:rFonts w:ascii="Times New Roman" w:hAnsi="Times New Roman"/>
          <w:i/>
          <w:sz w:val="24"/>
        </w:rPr>
        <w:t>Dispositions pénales</w:t>
      </w:r>
    </w:p>
    <w:p w14:paraId="79813513" w14:textId="7E9604CC" w:rsidR="004009A5" w:rsidRPr="00E9280B" w:rsidRDefault="00D9738B" w:rsidP="004009A5">
      <w:pPr>
        <w:rPr>
          <w:rFonts w:ascii="Times New Roman" w:hAnsi="Times New Roman" w:cs="Times New Roman"/>
          <w:sz w:val="24"/>
          <w:szCs w:val="24"/>
        </w:rPr>
      </w:pPr>
      <w:r>
        <w:rPr>
          <w:rFonts w:ascii="Times New Roman" w:hAnsi="Times New Roman"/>
          <w:b/>
          <w:sz w:val="24"/>
        </w:rPr>
        <w:t xml:space="preserve">Article 13. </w:t>
      </w:r>
      <w:r>
        <w:rPr>
          <w:rFonts w:ascii="Times New Roman" w:hAnsi="Times New Roman"/>
          <w:sz w:val="24"/>
        </w:rPr>
        <w:t>À moins que des sanctions plus sévères ne soient prévues par d’autres lois, des amendes seront imposées en cas d’infraction aux articles 2 à 12.</w:t>
      </w:r>
    </w:p>
    <w:p w14:paraId="6CDE12FC" w14:textId="77777777" w:rsidR="004009A5" w:rsidRPr="00E9280B" w:rsidRDefault="004009A5" w:rsidP="004009A5">
      <w:pPr>
        <w:rPr>
          <w:rFonts w:ascii="Times New Roman" w:hAnsi="Times New Roman" w:cs="Times New Roman"/>
          <w:b/>
          <w:sz w:val="24"/>
          <w:szCs w:val="24"/>
        </w:rPr>
      </w:pPr>
      <w:r>
        <w:rPr>
          <w:rFonts w:ascii="Times New Roman" w:hAnsi="Times New Roman"/>
          <w:i/>
          <w:sz w:val="24"/>
        </w:rPr>
        <w:t>Paragraphe 2</w:t>
      </w:r>
      <w:r>
        <w:rPr>
          <w:rFonts w:ascii="Times New Roman" w:hAnsi="Times New Roman"/>
          <w:sz w:val="24"/>
        </w:rPr>
        <w:t>. Des sanctions pénales peuvent être infligées à toute (personne morale), conformément aux dispositions du chapitre 5 du Code pénal [Straffeloven].</w:t>
      </w:r>
    </w:p>
    <w:p w14:paraId="1E8B3BC5" w14:textId="77777777" w:rsidR="004009A5" w:rsidRPr="00E9280B" w:rsidRDefault="004009A5" w:rsidP="004009A5">
      <w:pPr>
        <w:jc w:val="center"/>
        <w:rPr>
          <w:rFonts w:ascii="Times New Roman" w:hAnsi="Times New Roman" w:cs="Times New Roman"/>
          <w:sz w:val="24"/>
          <w:szCs w:val="24"/>
        </w:rPr>
      </w:pPr>
      <w:r>
        <w:rPr>
          <w:rFonts w:ascii="Times New Roman" w:hAnsi="Times New Roman"/>
          <w:sz w:val="24"/>
        </w:rPr>
        <w:t>Chapitre 7</w:t>
      </w:r>
    </w:p>
    <w:p w14:paraId="5E80AF89" w14:textId="77777777" w:rsidR="004009A5" w:rsidRPr="00E9280B" w:rsidRDefault="004009A5" w:rsidP="004009A5">
      <w:pPr>
        <w:jc w:val="center"/>
        <w:rPr>
          <w:rFonts w:ascii="Times New Roman" w:hAnsi="Times New Roman" w:cs="Times New Roman"/>
          <w:i/>
          <w:sz w:val="24"/>
          <w:szCs w:val="24"/>
        </w:rPr>
      </w:pPr>
      <w:r>
        <w:rPr>
          <w:rFonts w:ascii="Times New Roman" w:hAnsi="Times New Roman"/>
          <w:i/>
          <w:sz w:val="24"/>
        </w:rPr>
        <w:lastRenderedPageBreak/>
        <w:t>Entrée en vigueur</w:t>
      </w:r>
    </w:p>
    <w:p w14:paraId="09DAF2BD" w14:textId="5ABE627E" w:rsidR="004009A5" w:rsidRPr="00E9280B" w:rsidRDefault="00D9738B" w:rsidP="004009A5">
      <w:pPr>
        <w:rPr>
          <w:rFonts w:ascii="Times New Roman" w:hAnsi="Times New Roman" w:cs="Times New Roman"/>
          <w:sz w:val="24"/>
          <w:szCs w:val="24"/>
        </w:rPr>
      </w:pPr>
      <w:r>
        <w:rPr>
          <w:rFonts w:ascii="Times New Roman" w:hAnsi="Times New Roman"/>
          <w:b/>
          <w:sz w:val="24"/>
        </w:rPr>
        <w:t xml:space="preserve">Article 14. </w:t>
      </w:r>
      <w:r>
        <w:rPr>
          <w:rFonts w:ascii="Times New Roman" w:hAnsi="Times New Roman"/>
          <w:sz w:val="24"/>
        </w:rPr>
        <w:t>Le règlement entre en vigueur le 1er octobre 2021.</w:t>
      </w:r>
    </w:p>
    <w:p w14:paraId="2F9EF994" w14:textId="77777777" w:rsidR="004009A5" w:rsidRPr="00E9280B" w:rsidRDefault="004009A5" w:rsidP="004009A5">
      <w:pPr>
        <w:rPr>
          <w:rFonts w:ascii="Times New Roman" w:hAnsi="Times New Roman" w:cs="Times New Roman"/>
          <w:sz w:val="24"/>
          <w:szCs w:val="24"/>
        </w:rPr>
      </w:pPr>
    </w:p>
    <w:p w14:paraId="00D97019" w14:textId="0EB2B7E6" w:rsidR="004009A5" w:rsidRPr="0036645A" w:rsidRDefault="00197299" w:rsidP="004009A5">
      <w:pPr>
        <w:jc w:val="center"/>
        <w:rPr>
          <w:rFonts w:ascii="Times New Roman" w:hAnsi="Times New Roman" w:cs="Times New Roman"/>
          <w:i/>
          <w:sz w:val="24"/>
          <w:szCs w:val="24"/>
        </w:rPr>
      </w:pPr>
      <w:r>
        <w:rPr>
          <w:rFonts w:ascii="Times New Roman" w:hAnsi="Times New Roman"/>
          <w:i/>
          <w:sz w:val="24"/>
        </w:rPr>
        <w:t>Ministère danois de la santé et du troisième âge, le 19 avril 2021</w:t>
      </w:r>
    </w:p>
    <w:p w14:paraId="30AE0D94" w14:textId="77777777" w:rsidR="004009A5" w:rsidRPr="00E9280B" w:rsidRDefault="004009A5" w:rsidP="004009A5">
      <w:pPr>
        <w:jc w:val="center"/>
        <w:rPr>
          <w:rFonts w:ascii="Times New Roman" w:hAnsi="Times New Roman" w:cs="Times New Roman"/>
          <w:sz w:val="24"/>
          <w:szCs w:val="24"/>
        </w:rPr>
      </w:pPr>
    </w:p>
    <w:p w14:paraId="204BBDD6" w14:textId="77777777" w:rsidR="004009A5" w:rsidRPr="00E9280B" w:rsidRDefault="004009A5" w:rsidP="004009A5">
      <w:pPr>
        <w:jc w:val="center"/>
        <w:rPr>
          <w:rFonts w:ascii="Times New Roman" w:hAnsi="Times New Roman" w:cs="Times New Roman"/>
          <w:sz w:val="24"/>
          <w:szCs w:val="24"/>
        </w:rPr>
      </w:pPr>
      <w:r>
        <w:rPr>
          <w:rFonts w:ascii="Times New Roman" w:hAnsi="Times New Roman"/>
          <w:sz w:val="24"/>
        </w:rPr>
        <w:t>Magnus Heunicke</w:t>
      </w:r>
    </w:p>
    <w:p w14:paraId="3C82C631" w14:textId="350AED3D" w:rsidR="00D47ADF" w:rsidRPr="00385EB9" w:rsidRDefault="00197299" w:rsidP="00A60050">
      <w:pPr>
        <w:ind w:left="6520"/>
        <w:jc w:val="center"/>
        <w:rPr>
          <w:rFonts w:ascii="Times New Roman" w:hAnsi="Times New Roman" w:cs="Times New Roman"/>
          <w:sz w:val="24"/>
          <w:szCs w:val="24"/>
        </w:rPr>
      </w:pPr>
      <w:r>
        <w:rPr>
          <w:rFonts w:ascii="Times New Roman" w:hAnsi="Times New Roman"/>
          <w:sz w:val="24"/>
        </w:rPr>
        <w:t>/</w:t>
      </w:r>
      <w:r w:rsidR="00A715E0">
        <w:rPr>
          <w:rFonts w:ascii="Times New Roman" w:hAnsi="Times New Roman"/>
          <w:sz w:val="24"/>
        </w:rPr>
        <w:t xml:space="preserve"> </w:t>
      </w:r>
      <w:r>
        <w:rPr>
          <w:rFonts w:ascii="Times New Roman" w:hAnsi="Times New Roman"/>
          <w:sz w:val="24"/>
        </w:rPr>
        <w:t>Zelle Huma Sheikh</w:t>
      </w:r>
    </w:p>
    <w:sectPr w:rsidR="00D47ADF" w:rsidRPr="00385EB9">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87A47" w14:textId="77777777" w:rsidR="002B27B0" w:rsidRDefault="002B27B0" w:rsidP="00E65BF1">
      <w:pPr>
        <w:spacing w:after="0" w:line="240" w:lineRule="auto"/>
      </w:pPr>
      <w:r>
        <w:separator/>
      </w:r>
    </w:p>
  </w:endnote>
  <w:endnote w:type="continuationSeparator" w:id="0">
    <w:p w14:paraId="4FCB9832" w14:textId="77777777" w:rsidR="002B27B0" w:rsidRDefault="002B27B0" w:rsidP="00E65BF1">
      <w:pPr>
        <w:spacing w:after="0" w:line="240" w:lineRule="auto"/>
      </w:pPr>
      <w:r>
        <w:continuationSeparator/>
      </w:r>
    </w:p>
  </w:endnote>
  <w:endnote w:type="continuationNotice" w:id="1">
    <w:p w14:paraId="578A25E4" w14:textId="77777777" w:rsidR="002B27B0" w:rsidRDefault="002B27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otham Medium">
    <w:altName w:val="Gotham Mediu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DA33F" w14:textId="77777777" w:rsidR="00E65BF1" w:rsidRDefault="00E65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2B689" w14:textId="77777777" w:rsidR="00E65BF1" w:rsidRDefault="00E65B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0DDC8" w14:textId="77777777" w:rsidR="00E65BF1" w:rsidRDefault="00E65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4239E" w14:textId="77777777" w:rsidR="002B27B0" w:rsidRDefault="002B27B0" w:rsidP="00E65BF1">
      <w:pPr>
        <w:spacing w:after="0" w:line="240" w:lineRule="auto"/>
      </w:pPr>
      <w:r>
        <w:separator/>
      </w:r>
    </w:p>
  </w:footnote>
  <w:footnote w:type="continuationSeparator" w:id="0">
    <w:p w14:paraId="259DB9F8" w14:textId="77777777" w:rsidR="002B27B0" w:rsidRDefault="002B27B0" w:rsidP="00E65BF1">
      <w:pPr>
        <w:spacing w:after="0" w:line="240" w:lineRule="auto"/>
      </w:pPr>
      <w:r>
        <w:continuationSeparator/>
      </w:r>
    </w:p>
  </w:footnote>
  <w:footnote w:type="continuationNotice" w:id="1">
    <w:p w14:paraId="64931B8C" w14:textId="77777777" w:rsidR="002B27B0" w:rsidRDefault="002B27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ED9A" w14:textId="490F6B65" w:rsidR="00E65BF1" w:rsidRDefault="00E65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F760" w14:textId="6F97EB56" w:rsidR="00E65BF1" w:rsidRDefault="00E65B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D2C1" w14:textId="2C580DA0" w:rsidR="00E65BF1" w:rsidRDefault="00E65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8D2"/>
    <w:multiLevelType w:val="hybridMultilevel"/>
    <w:tmpl w:val="AABEE06E"/>
    <w:lvl w:ilvl="0" w:tplc="04060011">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1" w15:restartNumberingAfterBreak="0">
    <w:nsid w:val="0DBD3612"/>
    <w:multiLevelType w:val="hybridMultilevel"/>
    <w:tmpl w:val="72581B02"/>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2379162C"/>
    <w:multiLevelType w:val="hybridMultilevel"/>
    <w:tmpl w:val="99D2B0FC"/>
    <w:lvl w:ilvl="0" w:tplc="48C28F70">
      <w:start w:val="1"/>
      <w:numFmt w:val="decimal"/>
      <w:pStyle w:val="CommentTex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DAA1742"/>
    <w:multiLevelType w:val="hybridMultilevel"/>
    <w:tmpl w:val="E77AE982"/>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39B7518E"/>
    <w:multiLevelType w:val="hybridMultilevel"/>
    <w:tmpl w:val="15D6F37E"/>
    <w:lvl w:ilvl="0" w:tplc="04060017">
      <w:start w:val="1"/>
      <w:numFmt w:val="lowerLetter"/>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5" w15:restartNumberingAfterBreak="0">
    <w:nsid w:val="3A825115"/>
    <w:multiLevelType w:val="hybridMultilevel"/>
    <w:tmpl w:val="93E2E252"/>
    <w:lvl w:ilvl="0" w:tplc="04060011">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6" w15:restartNumberingAfterBreak="0">
    <w:nsid w:val="4C40767C"/>
    <w:multiLevelType w:val="hybridMultilevel"/>
    <w:tmpl w:val="220C813E"/>
    <w:lvl w:ilvl="0" w:tplc="04060011">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7" w15:restartNumberingAfterBreak="0">
    <w:nsid w:val="4C627F8A"/>
    <w:multiLevelType w:val="hybridMultilevel"/>
    <w:tmpl w:val="589CCB20"/>
    <w:lvl w:ilvl="0" w:tplc="04060017">
      <w:start w:val="1"/>
      <w:numFmt w:val="lowerLetter"/>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8" w15:restartNumberingAfterBreak="0">
    <w:nsid w:val="4EF25C52"/>
    <w:multiLevelType w:val="hybridMultilevel"/>
    <w:tmpl w:val="DB9CA4E0"/>
    <w:lvl w:ilvl="0" w:tplc="04060017">
      <w:start w:val="1"/>
      <w:numFmt w:val="lowerLetter"/>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9" w15:restartNumberingAfterBreak="0">
    <w:nsid w:val="51986B3C"/>
    <w:multiLevelType w:val="hybridMultilevel"/>
    <w:tmpl w:val="7B52777E"/>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590C7220"/>
    <w:multiLevelType w:val="hybridMultilevel"/>
    <w:tmpl w:val="466AC2CE"/>
    <w:lvl w:ilvl="0" w:tplc="04060011">
      <w:start w:val="1"/>
      <w:numFmt w:val="decimal"/>
      <w:lvlText w:val="%1)"/>
      <w:lvlJc w:val="left"/>
      <w:pPr>
        <w:ind w:left="720" w:hanging="360"/>
      </w:pPr>
    </w:lvl>
    <w:lvl w:ilvl="1" w:tplc="D74E6FFA">
      <w:start w:val="9"/>
      <w:numFmt w:val="bullet"/>
      <w:lvlText w:val="-"/>
      <w:lvlJc w:val="left"/>
      <w:pPr>
        <w:ind w:left="1440" w:hanging="360"/>
      </w:pPr>
      <w:rPr>
        <w:rFonts w:ascii="Times New Roman" w:eastAsia="Times New Roman" w:hAnsi="Times New Roman" w:cs="Times New Roman" w:hint="default"/>
      </w:r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1" w15:restartNumberingAfterBreak="0">
    <w:nsid w:val="61D56A82"/>
    <w:multiLevelType w:val="hybridMultilevel"/>
    <w:tmpl w:val="B628CF4E"/>
    <w:lvl w:ilvl="0" w:tplc="04060011">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num w:numId="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2"/>
  </w:num>
  <w:num w:numId="9">
    <w:abstractNumId w:val="10"/>
  </w:num>
  <w:num w:numId="10">
    <w:abstractNumId w:val="1"/>
  </w:num>
  <w:num w:numId="11">
    <w:abstractNumId w:val="6"/>
  </w:num>
  <w:num w:numId="12">
    <w:abstractNumId w:val="11"/>
  </w:num>
  <w:num w:numId="13">
    <w:abstractNumId w:val="0"/>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9A5"/>
    <w:rsid w:val="00025E2F"/>
    <w:rsid w:val="00027E12"/>
    <w:rsid w:val="00036E6B"/>
    <w:rsid w:val="00045A8E"/>
    <w:rsid w:val="00045C04"/>
    <w:rsid w:val="0004610C"/>
    <w:rsid w:val="0009506E"/>
    <w:rsid w:val="000A183B"/>
    <w:rsid w:val="000B4299"/>
    <w:rsid w:val="000D27A2"/>
    <w:rsid w:val="000E5998"/>
    <w:rsid w:val="00113856"/>
    <w:rsid w:val="00115117"/>
    <w:rsid w:val="00130E67"/>
    <w:rsid w:val="00132986"/>
    <w:rsid w:val="00133423"/>
    <w:rsid w:val="00135E31"/>
    <w:rsid w:val="001472C3"/>
    <w:rsid w:val="00150DE8"/>
    <w:rsid w:val="001541FE"/>
    <w:rsid w:val="00180F6A"/>
    <w:rsid w:val="00196AD7"/>
    <w:rsid w:val="00197299"/>
    <w:rsid w:val="001B2C2A"/>
    <w:rsid w:val="001B2FC7"/>
    <w:rsid w:val="001E0CEF"/>
    <w:rsid w:val="001F0FFE"/>
    <w:rsid w:val="001F6C1B"/>
    <w:rsid w:val="00201DAA"/>
    <w:rsid w:val="00204CF3"/>
    <w:rsid w:val="00206773"/>
    <w:rsid w:val="00237412"/>
    <w:rsid w:val="00243E18"/>
    <w:rsid w:val="002519E4"/>
    <w:rsid w:val="00256C6D"/>
    <w:rsid w:val="00271396"/>
    <w:rsid w:val="00281A50"/>
    <w:rsid w:val="0029228B"/>
    <w:rsid w:val="002975EF"/>
    <w:rsid w:val="002B27B0"/>
    <w:rsid w:val="002C54DB"/>
    <w:rsid w:val="002D5BB3"/>
    <w:rsid w:val="002E080A"/>
    <w:rsid w:val="002E2446"/>
    <w:rsid w:val="002E5791"/>
    <w:rsid w:val="002F55FE"/>
    <w:rsid w:val="00302CB7"/>
    <w:rsid w:val="00315A47"/>
    <w:rsid w:val="00320622"/>
    <w:rsid w:val="00335A62"/>
    <w:rsid w:val="00343E56"/>
    <w:rsid w:val="00357241"/>
    <w:rsid w:val="00365635"/>
    <w:rsid w:val="0036645A"/>
    <w:rsid w:val="00384E7F"/>
    <w:rsid w:val="00385EB9"/>
    <w:rsid w:val="003869B8"/>
    <w:rsid w:val="00387BE1"/>
    <w:rsid w:val="003906B3"/>
    <w:rsid w:val="003F2B3C"/>
    <w:rsid w:val="003F68C2"/>
    <w:rsid w:val="004009A5"/>
    <w:rsid w:val="00405488"/>
    <w:rsid w:val="00411B45"/>
    <w:rsid w:val="00421065"/>
    <w:rsid w:val="004365C4"/>
    <w:rsid w:val="004456EC"/>
    <w:rsid w:val="0045177E"/>
    <w:rsid w:val="00456C2A"/>
    <w:rsid w:val="004600B9"/>
    <w:rsid w:val="00464DB7"/>
    <w:rsid w:val="00480CCA"/>
    <w:rsid w:val="0049533D"/>
    <w:rsid w:val="004A4049"/>
    <w:rsid w:val="004A46A3"/>
    <w:rsid w:val="004B15E5"/>
    <w:rsid w:val="004B4BEC"/>
    <w:rsid w:val="004C055E"/>
    <w:rsid w:val="004C2DBE"/>
    <w:rsid w:val="004C30A4"/>
    <w:rsid w:val="004C3B01"/>
    <w:rsid w:val="004D0DC3"/>
    <w:rsid w:val="004D2174"/>
    <w:rsid w:val="004D2AF0"/>
    <w:rsid w:val="004E20BE"/>
    <w:rsid w:val="004F426E"/>
    <w:rsid w:val="00500DF2"/>
    <w:rsid w:val="00531D5A"/>
    <w:rsid w:val="00567248"/>
    <w:rsid w:val="005745F3"/>
    <w:rsid w:val="00577877"/>
    <w:rsid w:val="005901DC"/>
    <w:rsid w:val="00592978"/>
    <w:rsid w:val="005B0794"/>
    <w:rsid w:val="005B10A5"/>
    <w:rsid w:val="005B4E9D"/>
    <w:rsid w:val="005C57CD"/>
    <w:rsid w:val="005C5923"/>
    <w:rsid w:val="005D7967"/>
    <w:rsid w:val="005E422C"/>
    <w:rsid w:val="005E66BC"/>
    <w:rsid w:val="005F198D"/>
    <w:rsid w:val="0061052E"/>
    <w:rsid w:val="0061228C"/>
    <w:rsid w:val="00620CDA"/>
    <w:rsid w:val="006228BE"/>
    <w:rsid w:val="0065676E"/>
    <w:rsid w:val="006606A3"/>
    <w:rsid w:val="00674486"/>
    <w:rsid w:val="0068143B"/>
    <w:rsid w:val="00696951"/>
    <w:rsid w:val="006A14E3"/>
    <w:rsid w:val="006D6C29"/>
    <w:rsid w:val="006E49E1"/>
    <w:rsid w:val="006F3DF1"/>
    <w:rsid w:val="00703BA0"/>
    <w:rsid w:val="00706FF6"/>
    <w:rsid w:val="00711F3F"/>
    <w:rsid w:val="00714F7E"/>
    <w:rsid w:val="00717296"/>
    <w:rsid w:val="00720BBE"/>
    <w:rsid w:val="00733388"/>
    <w:rsid w:val="00733B6A"/>
    <w:rsid w:val="00734B6F"/>
    <w:rsid w:val="00743EB9"/>
    <w:rsid w:val="00746D7E"/>
    <w:rsid w:val="0075451C"/>
    <w:rsid w:val="0075722B"/>
    <w:rsid w:val="00757DB7"/>
    <w:rsid w:val="00761992"/>
    <w:rsid w:val="00763137"/>
    <w:rsid w:val="00772F85"/>
    <w:rsid w:val="00777BC9"/>
    <w:rsid w:val="007952D2"/>
    <w:rsid w:val="007978D7"/>
    <w:rsid w:val="007A62F5"/>
    <w:rsid w:val="007A74DC"/>
    <w:rsid w:val="007B145B"/>
    <w:rsid w:val="007B1B7A"/>
    <w:rsid w:val="007B3CE9"/>
    <w:rsid w:val="007B7913"/>
    <w:rsid w:val="007C0D66"/>
    <w:rsid w:val="007D0B24"/>
    <w:rsid w:val="007F566B"/>
    <w:rsid w:val="00811756"/>
    <w:rsid w:val="008204A5"/>
    <w:rsid w:val="00834B55"/>
    <w:rsid w:val="008367FC"/>
    <w:rsid w:val="0084548E"/>
    <w:rsid w:val="00845F35"/>
    <w:rsid w:val="00861A09"/>
    <w:rsid w:val="00866F05"/>
    <w:rsid w:val="008712FE"/>
    <w:rsid w:val="00871453"/>
    <w:rsid w:val="008717E6"/>
    <w:rsid w:val="00892864"/>
    <w:rsid w:val="008A4B41"/>
    <w:rsid w:val="008B1D47"/>
    <w:rsid w:val="008B5C98"/>
    <w:rsid w:val="008C1EC9"/>
    <w:rsid w:val="008C7679"/>
    <w:rsid w:val="008D05FB"/>
    <w:rsid w:val="008D5280"/>
    <w:rsid w:val="008D5EF8"/>
    <w:rsid w:val="008D618A"/>
    <w:rsid w:val="008E5DB4"/>
    <w:rsid w:val="00917AD0"/>
    <w:rsid w:val="0092374E"/>
    <w:rsid w:val="00970A60"/>
    <w:rsid w:val="00971ABD"/>
    <w:rsid w:val="0098752E"/>
    <w:rsid w:val="00987858"/>
    <w:rsid w:val="009B03CA"/>
    <w:rsid w:val="009B2A08"/>
    <w:rsid w:val="009E07F7"/>
    <w:rsid w:val="009F36F8"/>
    <w:rsid w:val="00A01229"/>
    <w:rsid w:val="00A03D5B"/>
    <w:rsid w:val="00A076C2"/>
    <w:rsid w:val="00A1280F"/>
    <w:rsid w:val="00A21DE0"/>
    <w:rsid w:val="00A24471"/>
    <w:rsid w:val="00A25E8A"/>
    <w:rsid w:val="00A26A6E"/>
    <w:rsid w:val="00A332B7"/>
    <w:rsid w:val="00A40B15"/>
    <w:rsid w:val="00A46F51"/>
    <w:rsid w:val="00A56D01"/>
    <w:rsid w:val="00A60050"/>
    <w:rsid w:val="00A615D4"/>
    <w:rsid w:val="00A65562"/>
    <w:rsid w:val="00A6687B"/>
    <w:rsid w:val="00A715E0"/>
    <w:rsid w:val="00A72E79"/>
    <w:rsid w:val="00AA1224"/>
    <w:rsid w:val="00AA360F"/>
    <w:rsid w:val="00AA4176"/>
    <w:rsid w:val="00AA5315"/>
    <w:rsid w:val="00AB0A10"/>
    <w:rsid w:val="00AB1A8E"/>
    <w:rsid w:val="00AB2D87"/>
    <w:rsid w:val="00AB3792"/>
    <w:rsid w:val="00AC25F9"/>
    <w:rsid w:val="00AE0DA0"/>
    <w:rsid w:val="00AE640E"/>
    <w:rsid w:val="00AF13C1"/>
    <w:rsid w:val="00B32884"/>
    <w:rsid w:val="00B36907"/>
    <w:rsid w:val="00B56A39"/>
    <w:rsid w:val="00B7258B"/>
    <w:rsid w:val="00B72ED1"/>
    <w:rsid w:val="00B76817"/>
    <w:rsid w:val="00B77AC1"/>
    <w:rsid w:val="00BC5A51"/>
    <w:rsid w:val="00BE210C"/>
    <w:rsid w:val="00BE72D0"/>
    <w:rsid w:val="00BF30BE"/>
    <w:rsid w:val="00C04D22"/>
    <w:rsid w:val="00C20340"/>
    <w:rsid w:val="00C236D1"/>
    <w:rsid w:val="00C2471F"/>
    <w:rsid w:val="00C4716A"/>
    <w:rsid w:val="00C47D05"/>
    <w:rsid w:val="00C51654"/>
    <w:rsid w:val="00C5459C"/>
    <w:rsid w:val="00C60738"/>
    <w:rsid w:val="00C67E54"/>
    <w:rsid w:val="00C82CAA"/>
    <w:rsid w:val="00C84352"/>
    <w:rsid w:val="00C90960"/>
    <w:rsid w:val="00CB0586"/>
    <w:rsid w:val="00CB2283"/>
    <w:rsid w:val="00D04440"/>
    <w:rsid w:val="00D06DBF"/>
    <w:rsid w:val="00D1347B"/>
    <w:rsid w:val="00D14ABA"/>
    <w:rsid w:val="00D15F19"/>
    <w:rsid w:val="00D205CB"/>
    <w:rsid w:val="00D2737D"/>
    <w:rsid w:val="00D61F80"/>
    <w:rsid w:val="00D702C0"/>
    <w:rsid w:val="00D70E5C"/>
    <w:rsid w:val="00D7429F"/>
    <w:rsid w:val="00D82618"/>
    <w:rsid w:val="00D9738B"/>
    <w:rsid w:val="00DB509A"/>
    <w:rsid w:val="00DB6059"/>
    <w:rsid w:val="00DC28DA"/>
    <w:rsid w:val="00DC2F07"/>
    <w:rsid w:val="00DD256C"/>
    <w:rsid w:val="00DD45D5"/>
    <w:rsid w:val="00DF40BA"/>
    <w:rsid w:val="00E02457"/>
    <w:rsid w:val="00E10F44"/>
    <w:rsid w:val="00E1225E"/>
    <w:rsid w:val="00E20E11"/>
    <w:rsid w:val="00E23F11"/>
    <w:rsid w:val="00E4453D"/>
    <w:rsid w:val="00E50180"/>
    <w:rsid w:val="00E55B32"/>
    <w:rsid w:val="00E605F6"/>
    <w:rsid w:val="00E65BF1"/>
    <w:rsid w:val="00E83B06"/>
    <w:rsid w:val="00E875E5"/>
    <w:rsid w:val="00E878D2"/>
    <w:rsid w:val="00E94A7F"/>
    <w:rsid w:val="00EA2A64"/>
    <w:rsid w:val="00EA6904"/>
    <w:rsid w:val="00EA73E1"/>
    <w:rsid w:val="00ED0AAB"/>
    <w:rsid w:val="00EF07DE"/>
    <w:rsid w:val="00EF1F14"/>
    <w:rsid w:val="00EF3D2E"/>
    <w:rsid w:val="00EF3DAF"/>
    <w:rsid w:val="00EF550F"/>
    <w:rsid w:val="00F000D1"/>
    <w:rsid w:val="00F00EBE"/>
    <w:rsid w:val="00F05E37"/>
    <w:rsid w:val="00F34510"/>
    <w:rsid w:val="00F46AF2"/>
    <w:rsid w:val="00F471C1"/>
    <w:rsid w:val="00F53D0B"/>
    <w:rsid w:val="00F64165"/>
    <w:rsid w:val="00F92484"/>
    <w:rsid w:val="00F9667D"/>
    <w:rsid w:val="00FA1E98"/>
    <w:rsid w:val="00FB023F"/>
    <w:rsid w:val="00FD186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91705"/>
  <w15:chartTrackingRefBased/>
  <w15:docId w15:val="{3827919B-453F-41CF-9C0E-CC537247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9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009A5"/>
    <w:pPr>
      <w:numPr>
        <w:numId w:val="8"/>
      </w:numPr>
      <w:spacing w:line="240" w:lineRule="auto"/>
    </w:pPr>
    <w:rPr>
      <w:sz w:val="20"/>
      <w:szCs w:val="20"/>
    </w:rPr>
  </w:style>
  <w:style w:type="character" w:customStyle="1" w:styleId="CommentTextChar">
    <w:name w:val="Comment Text Char"/>
    <w:basedOn w:val="DefaultParagraphFont"/>
    <w:link w:val="CommentText"/>
    <w:uiPriority w:val="99"/>
    <w:rsid w:val="004009A5"/>
    <w:rPr>
      <w:sz w:val="20"/>
      <w:szCs w:val="20"/>
    </w:rPr>
  </w:style>
  <w:style w:type="character" w:styleId="CommentReference">
    <w:name w:val="annotation reference"/>
    <w:basedOn w:val="DefaultParagraphFont"/>
    <w:uiPriority w:val="99"/>
    <w:semiHidden/>
    <w:unhideWhenUsed/>
    <w:rsid w:val="004009A5"/>
    <w:rPr>
      <w:sz w:val="16"/>
      <w:szCs w:val="16"/>
    </w:rPr>
  </w:style>
  <w:style w:type="paragraph" w:styleId="ListParagraph">
    <w:name w:val="List Paragraph"/>
    <w:basedOn w:val="Normal"/>
    <w:uiPriority w:val="34"/>
    <w:qFormat/>
    <w:rsid w:val="004009A5"/>
    <w:pPr>
      <w:ind w:left="720"/>
      <w:contextualSpacing/>
    </w:pPr>
  </w:style>
  <w:style w:type="paragraph" w:styleId="HTMLPreformatted">
    <w:name w:val="HTML Preformatted"/>
    <w:basedOn w:val="Normal"/>
    <w:link w:val="HTMLPreformattedChar"/>
    <w:uiPriority w:val="99"/>
    <w:unhideWhenUsed/>
    <w:rsid w:val="00400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a-DK"/>
    </w:rPr>
  </w:style>
  <w:style w:type="character" w:customStyle="1" w:styleId="HTMLPreformattedChar">
    <w:name w:val="HTML Preformatted Char"/>
    <w:basedOn w:val="DefaultParagraphFont"/>
    <w:link w:val="HTMLPreformatted"/>
    <w:uiPriority w:val="99"/>
    <w:rsid w:val="004009A5"/>
    <w:rPr>
      <w:rFonts w:ascii="Courier New" w:eastAsia="Times New Roman" w:hAnsi="Courier New" w:cs="Courier New"/>
      <w:sz w:val="20"/>
      <w:szCs w:val="20"/>
      <w:lang w:eastAsia="da-DK"/>
    </w:rPr>
  </w:style>
  <w:style w:type="character" w:customStyle="1" w:styleId="A1">
    <w:name w:val="A1"/>
    <w:uiPriority w:val="99"/>
    <w:rsid w:val="004009A5"/>
    <w:rPr>
      <w:rFonts w:cs="Gotham Medium"/>
      <w:color w:val="000000"/>
      <w:sz w:val="36"/>
      <w:szCs w:val="36"/>
    </w:rPr>
  </w:style>
  <w:style w:type="paragraph" w:styleId="BalloonText">
    <w:name w:val="Balloon Text"/>
    <w:basedOn w:val="Normal"/>
    <w:link w:val="BalloonTextChar"/>
    <w:uiPriority w:val="99"/>
    <w:semiHidden/>
    <w:unhideWhenUsed/>
    <w:rsid w:val="00400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9A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4453D"/>
    <w:pPr>
      <w:numPr>
        <w:numId w:val="0"/>
      </w:numPr>
    </w:pPr>
    <w:rPr>
      <w:b/>
      <w:bCs/>
    </w:rPr>
  </w:style>
  <w:style w:type="character" w:customStyle="1" w:styleId="CommentSubjectChar">
    <w:name w:val="Comment Subject Char"/>
    <w:basedOn w:val="CommentTextChar"/>
    <w:link w:val="CommentSubject"/>
    <w:uiPriority w:val="99"/>
    <w:semiHidden/>
    <w:rsid w:val="00E4453D"/>
    <w:rPr>
      <w:b/>
      <w:bCs/>
      <w:sz w:val="20"/>
      <w:szCs w:val="20"/>
    </w:rPr>
  </w:style>
  <w:style w:type="paragraph" w:styleId="Header">
    <w:name w:val="header"/>
    <w:basedOn w:val="Normal"/>
    <w:link w:val="HeaderChar"/>
    <w:uiPriority w:val="99"/>
    <w:unhideWhenUsed/>
    <w:rsid w:val="00E65BF1"/>
    <w:pPr>
      <w:tabs>
        <w:tab w:val="center" w:pos="4819"/>
        <w:tab w:val="right" w:pos="9638"/>
      </w:tabs>
      <w:spacing w:after="0" w:line="240" w:lineRule="auto"/>
    </w:pPr>
  </w:style>
  <w:style w:type="character" w:customStyle="1" w:styleId="HeaderChar">
    <w:name w:val="Header Char"/>
    <w:basedOn w:val="DefaultParagraphFont"/>
    <w:link w:val="Header"/>
    <w:uiPriority w:val="99"/>
    <w:rsid w:val="00E65BF1"/>
  </w:style>
  <w:style w:type="paragraph" w:styleId="Footer">
    <w:name w:val="footer"/>
    <w:basedOn w:val="Normal"/>
    <w:link w:val="FooterChar"/>
    <w:uiPriority w:val="99"/>
    <w:unhideWhenUsed/>
    <w:rsid w:val="00E65BF1"/>
    <w:pPr>
      <w:tabs>
        <w:tab w:val="center" w:pos="4819"/>
        <w:tab w:val="right" w:pos="9638"/>
      </w:tabs>
      <w:spacing w:after="0" w:line="240" w:lineRule="auto"/>
    </w:pPr>
  </w:style>
  <w:style w:type="character" w:customStyle="1" w:styleId="FooterChar">
    <w:name w:val="Footer Char"/>
    <w:basedOn w:val="DefaultParagraphFont"/>
    <w:link w:val="Footer"/>
    <w:uiPriority w:val="99"/>
    <w:rsid w:val="00E65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E8E88-3E04-4818-9F50-2A1D988E9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5</Pages>
  <Words>1637</Words>
  <Characters>8758</Characters>
  <Application>Microsoft Office Word</Application>
  <DocSecurity>0</DocSecurity>
  <Lines>171</Lines>
  <Paragraphs>96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Sundhedsdatastyrelsen</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Ersbøll Ross</dc:creator>
  <cp:keywords/>
  <dc:description/>
  <cp:lastModifiedBy>Maria Nilsson</cp:lastModifiedBy>
  <cp:revision>316</cp:revision>
  <dcterms:created xsi:type="dcterms:W3CDTF">2021-01-29T10:18:00Z</dcterms:created>
  <dcterms:modified xsi:type="dcterms:W3CDTF">2022-01-12T15:38:00Z</dcterms:modified>
</cp:coreProperties>
</file>