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19. travnja 2021. Br.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Odluka o normizaciji elektroničkih cigareta i spremnika za ponovno punjenje sa ili bez nikotina</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U skladu s člankom 9. stavkom 2. i člankom 33. stavkom 2. Zakona o elektroničkim cigaretama, itd., usp. Zakon o konsolidaciji br. 580 od 26. ožujka 2021., utvrđuje se sljedeće:</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Poglavlje 1.</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Definicije</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Članak 1.</w:t>
      </w:r>
      <w:r>
        <w:rPr>
          <w:rFonts w:ascii="Times New Roman" w:hAnsi="Times New Roman"/>
          <w:sz w:val="24"/>
        </w:rPr>
        <w:t xml:space="preserve"> Za potrebe ove Naredbe primjenjuju se sljedeće definicije: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Žig: Žig pod kojim se proizvod stavlja na tržište na danskom tržištu, o kojem su podaci prijavljeni i priopćeni u skladu s Odlukom br. 599 od 3. lipnja 2016.</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Naziv proizvoda: Potencijalni „naziv proizvoda“, ako postoji, pod kojim se proizvod stavlja na dansko tržište i priopćuje u skladu s Odlukom br. 599 od 3. lipnja 2016.</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Jedno pakiranje: Najmanje pojedinačno pakiranje elektroničke cigarete ili spremnika za ponovno punjenje s nikotinom i bez nikotina koje se stavlja na tržište.</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Vanjsko pakiranje: Svako pakiranje u kojem se elektroničke cigarete, spremnici za ponovno punjenje s nikotinom i bez nikotina ili povezani proizvodi stavljaju na tržište i koje sadrži jedno pakiranje ili više njih.</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Vanjske površine: površine koje su vidljive nakon što se pojedinačno pakiranje zatvori i/ili kad je vanjsko pakiranje čitavo.</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Unutarnje površine: Površine koje nisu vidljive kada je pojedinačno pakiranje zatvoreno.</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Ambalaža: prozirni, bezbojni materijal kojim je omotano jedno ili više pojedinačnih pakiranja i vanjsko pakiranje</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Mat: površina je potpuno mat i prema tome nije sjajna, blistava, svjetlucava ili slično.</w:t>
      </w:r>
    </w:p>
    <w:p w14:paraId="652F59A8" w14:textId="01B198EB" w:rsidR="00D15F19" w:rsidRPr="0060381C" w:rsidRDefault="0060381C" w:rsidP="0060381C">
      <w:pPr>
        <w:pStyle w:val="HTMLPreformatted"/>
        <w:numPr>
          <w:ilvl w:val="0"/>
          <w:numId w:val="9"/>
        </w:numPr>
        <w:rPr>
          <w:rFonts w:ascii="Times New Roman" w:hAnsi="Times New Roman" w:cs="Times New Roman"/>
          <w:sz w:val="24"/>
          <w:szCs w:val="24"/>
        </w:rPr>
      </w:pPr>
      <w:r>
        <w:rPr>
          <w:rFonts w:ascii="Times New Roman" w:hAnsi="Times New Roman"/>
          <w:sz w:val="24"/>
        </w:rPr>
        <w:t>Vrpca: vrpca koja se može ukloniti i koja se koristi za otvaranje pojedinačnog pakiranja, vanjskog pakiranja ili ambalaže.</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Poglavlje 2.</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Zahtjevi za boju i elemente ambalaže pojedinačnih pakiranja, vanjskog pakiranja i ambalaže za elektroničke cigarete i spremnike za ponovno punjenje sa i bez nikotina</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77777777"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Članak 2.</w:t>
      </w:r>
      <w:r>
        <w:rPr>
          <w:rFonts w:ascii="Times New Roman" w:hAnsi="Times New Roman"/>
          <w:sz w:val="24"/>
        </w:rPr>
        <w:t xml:space="preserve"> Pojedinačna pakiranja elektroničkih cigareta i spremnika za ponovno punjenje sa ili bez nikotina, kao i vanjska pakiranja i ambalaža, moraju imati normiran dizajn u skladu sa zahtjevima ove naredbe i drugih zakona kojima se regulira označivanje i sl. pojedinačnih pakiranja, vanjskih pakiranja i ambalaže elektroničkih cigareta i spremnika</w:t>
      </w:r>
      <w:r>
        <w:rPr>
          <w:rFonts w:ascii="Times New Roman" w:hAnsi="Times New Roman"/>
          <w:i/>
          <w:sz w:val="24"/>
        </w:rPr>
        <w:t xml:space="preserve"> </w:t>
      </w:r>
      <w:r>
        <w:rPr>
          <w:rFonts w:ascii="Times New Roman" w:hAnsi="Times New Roman"/>
          <w:sz w:val="24"/>
        </w:rPr>
        <w:t xml:space="preserve">za ponovno punjenje sa ili bez nikotina.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 xml:space="preserve">Stavak 2. </w:t>
      </w:r>
      <w:r>
        <w:rPr>
          <w:rFonts w:ascii="Times New Roman" w:hAnsi="Times New Roman"/>
          <w:sz w:val="24"/>
        </w:rPr>
        <w:t>Pojedinačna pakiranja, vanjska pakiranja i ambalaža mogu imati samo oznake, informacije i sl. koje se temelje na ovoj naredbi i drugim zakonima.</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t>Stavak 3.</w:t>
      </w:r>
      <w:r>
        <w:rPr>
          <w:rFonts w:ascii="Times New Roman" w:hAnsi="Times New Roman"/>
          <w:sz w:val="24"/>
        </w:rPr>
        <w:t xml:space="preserve"> Označivanje, informacije itd. koje proizlaze iz drugih propisa moraju biti predstavljene na način koji ne daje jedinstvenom pakiranju ili vanjskom pakiranju jedinstveni izraz, učinak podizanja svijesti ili koji se na drugi način smatra protivnim zahtjevu standardiziranog dizajna za sve </w:t>
      </w:r>
      <w:r>
        <w:rPr>
          <w:rFonts w:ascii="Times New Roman" w:hAnsi="Times New Roman"/>
          <w:sz w:val="24"/>
        </w:rPr>
        <w:lastRenderedPageBreak/>
        <w:t>proizvode koji sadrže elektroničke cigarete ili spremnike koji se mogu ponovno puniti s nikotinom i bez njega.</w:t>
      </w:r>
    </w:p>
    <w:p w14:paraId="31707007" w14:textId="5F7526D0"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t>Članak 3.</w:t>
      </w:r>
      <w:r>
        <w:rPr>
          <w:rFonts w:ascii="Times New Roman" w:hAnsi="Times New Roman"/>
          <w:sz w:val="24"/>
        </w:rPr>
        <w:t xml:space="preserve"> Unutarnje i vanjske površine pojedinačnih pakiranja i vanjskih pakiranja moraju biti mat Pantone 448 C, bijele ili srebrnosive, a vanjsko pakiranje mora biti mat Pantone 448 C.</w:t>
      </w:r>
    </w:p>
    <w:p w14:paraId="4186999B" w14:textId="492ED035"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Stavak 2.</w:t>
      </w:r>
      <w:r>
        <w:rPr>
          <w:rFonts w:ascii="Times New Roman" w:hAnsi="Times New Roman"/>
          <w:sz w:val="24"/>
        </w:rPr>
        <w:t xml:space="preserve"> Trake na pojedinačnim pakiranjima ili vanjskom pakiranju elektroničkih cigareta i spremnicima za ponovno punjenje</w:t>
      </w:r>
      <w:r>
        <w:rPr>
          <w:rFonts w:ascii="Times New Roman" w:hAnsi="Times New Roman"/>
          <w:i/>
          <w:sz w:val="24"/>
        </w:rPr>
        <w:t xml:space="preserve"> </w:t>
      </w:r>
      <w:r>
        <w:rPr>
          <w:rFonts w:ascii="Times New Roman" w:hAnsi="Times New Roman"/>
          <w:sz w:val="24"/>
        </w:rPr>
        <w:t>sa i bez nikotina</w:t>
      </w:r>
      <w:r>
        <w:rPr>
          <w:rFonts w:ascii="Times New Roman" w:hAnsi="Times New Roman"/>
          <w:i/>
          <w:sz w:val="24"/>
        </w:rPr>
        <w:t xml:space="preserve"> </w:t>
      </w:r>
      <w:r>
        <w:rPr>
          <w:rFonts w:ascii="Times New Roman" w:hAnsi="Times New Roman"/>
          <w:sz w:val="24"/>
        </w:rPr>
        <w:t>moraju biti kvadratne, prozirne i bezbojne.</w:t>
      </w:r>
    </w:p>
    <w:p w14:paraId="4878C31E" w14:textId="6FCCD909"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Članak 4. </w:t>
      </w:r>
      <w:r>
        <w:rPr>
          <w:rFonts w:ascii="Times New Roman" w:hAnsi="Times New Roman"/>
          <w:sz w:val="24"/>
        </w:rPr>
        <w:t xml:space="preserve">Svi elementi </w:t>
      </w:r>
      <w:r>
        <w:rPr>
          <w:rFonts w:ascii="Times New Roman" w:hAnsi="Times New Roman"/>
          <w:color w:val="000000"/>
          <w:sz w:val="24"/>
        </w:rPr>
        <w:t xml:space="preserve">pojedinačnog pakiranja i vanjskog pakiranja </w:t>
      </w:r>
      <w:r>
        <w:rPr>
          <w:rFonts w:ascii="Times New Roman" w:hAnsi="Times New Roman"/>
          <w:sz w:val="24"/>
        </w:rPr>
        <w:t>elektroničkih cigareta i spremnika za ponovno punjenje</w:t>
      </w:r>
      <w:r>
        <w:rPr>
          <w:rFonts w:ascii="Times New Roman" w:hAnsi="Times New Roman"/>
          <w:i/>
          <w:sz w:val="24"/>
        </w:rPr>
        <w:t xml:space="preserve"> </w:t>
      </w:r>
      <w:r>
        <w:rPr>
          <w:rFonts w:ascii="Times New Roman" w:hAnsi="Times New Roman"/>
          <w:sz w:val="24"/>
        </w:rPr>
        <w:t>sa i bez nikotina</w:t>
      </w:r>
      <w:r>
        <w:rPr>
          <w:rFonts w:ascii="Times New Roman" w:hAnsi="Times New Roman"/>
          <w:color w:val="000000"/>
          <w:sz w:val="24"/>
        </w:rPr>
        <w:t xml:space="preserve"> moraju biti bez okusa, bez mirisa i tihi.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Poglavlje 3.</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 xml:space="preserve">Površine itd. pojedinačnih pakiranja i vanjskih pakiranja elektroničkih cigareta </w:t>
      </w:r>
      <w:r>
        <w:rPr>
          <w:rFonts w:ascii="Times New Roman" w:hAnsi="Times New Roman"/>
          <w:sz w:val="24"/>
        </w:rPr>
        <w:t xml:space="preserve">i </w:t>
      </w:r>
      <w:r>
        <w:rPr>
          <w:rFonts w:ascii="Times New Roman" w:hAnsi="Times New Roman"/>
          <w:i/>
          <w:sz w:val="24"/>
        </w:rPr>
        <w:t>spremnika za ponovno punjenje sa i bez nikotina</w:t>
      </w:r>
    </w:p>
    <w:p w14:paraId="4104CD23" w14:textId="67B587E7"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Članak 5.</w:t>
      </w:r>
      <w:r>
        <w:rPr>
          <w:rFonts w:ascii="Times New Roman" w:hAnsi="Times New Roman"/>
          <w:sz w:val="24"/>
        </w:rPr>
        <w:t xml:space="preserve"> Površine moraju biti ravne i glatke te ne smiju sadržavati nepropisne elemente kao što su oznake, gravure, teksturu, udubljenja, izbočenja ili druge elemente u obliku ili strukturi.</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Stavak 2.</w:t>
      </w:r>
      <w:r>
        <w:rPr>
          <w:rFonts w:ascii="Times New Roman" w:hAnsi="Times New Roman"/>
          <w:sz w:val="24"/>
        </w:rPr>
        <w:t xml:space="preserve"> Isključeni su određeni elementi potrebni za sklapanje materijala, pričvršćivanje dna te otvaranje i zatvaranje pojedinačnog pakiranja.</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Stavak 3.</w:t>
      </w:r>
      <w:r>
        <w:rPr>
          <w:rFonts w:ascii="Times New Roman" w:hAnsi="Times New Roman"/>
          <w:sz w:val="24"/>
        </w:rPr>
        <w:t xml:space="preserve"> Isključeni su određeni elementi potrebni za sklapanje materijala, pričvršćivanje dna te otvaranje i zatvaranje vanjskog pakiranja.</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Stavak 4.</w:t>
      </w:r>
      <w:r>
        <w:rPr>
          <w:rFonts w:ascii="Times New Roman" w:hAnsi="Times New Roman"/>
          <w:sz w:val="24"/>
        </w:rPr>
        <w:t xml:space="preserve"> Iznimke iz stavka 5. podstavaka 2. i 3. primjenjuju se samo ako neujednačenost pakiranja ne daje jedinstven izraz, učinak podizanja svijesti ili se na drugi način može smatrati protivnim zahtjevu standardiziranog dizajna za sva pojedinačna pakiranja i vanjsko pakiranje koje sadržava elektroničke cigarete i spremnike koji se mogu ponovno puniti s nikotinom i bez njega.</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Članak 6. </w:t>
      </w:r>
      <w:r>
        <w:rPr>
          <w:rFonts w:ascii="Times New Roman" w:hAnsi="Times New Roman"/>
          <w:sz w:val="24"/>
        </w:rPr>
        <w:t xml:space="preserve">Površine, itd. pojedinačnih pakiranja i vanjskog pakiranja mogu se primijeniti samo na elemente propisane zakonom.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Poglavlje 4.</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t>Ambalaža pojedinačnih pakiranja i vanjskih pakiranja elektroničkih cigareta i spremnika za ponovno punjenje sa i bez nikotina</w:t>
      </w:r>
    </w:p>
    <w:p w14:paraId="37B3D713" w14:textId="3FF211A7"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Članak 7.</w:t>
      </w:r>
      <w:r>
        <w:rPr>
          <w:rFonts w:ascii="Times New Roman" w:hAnsi="Times New Roman"/>
          <w:sz w:val="24"/>
        </w:rPr>
        <w:t xml:space="preserve"> Pojedinačna pakiranja i vanjska pakiranja moraju biti prekrivena ambalažom.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Stavak 2.</w:t>
      </w:r>
      <w:r>
        <w:rPr>
          <w:rFonts w:ascii="Times New Roman" w:hAnsi="Times New Roman"/>
          <w:sz w:val="24"/>
        </w:rPr>
        <w:t xml:space="preserve"> Ambalaža mora biti ravna i glatka te ne smije sadržavati nepropisne elemente, kao što su oznake, gravure, teksturu, udubljenja, izbočenja ili druge elemente u obliku ili strukturi.</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Stavak 3.</w:t>
      </w:r>
      <w:r>
        <w:rPr>
          <w:rFonts w:ascii="Times New Roman" w:hAnsi="Times New Roman"/>
          <w:sz w:val="24"/>
        </w:rPr>
        <w:t xml:space="preserve"> Vrpce za otvaranje ambalaže moraju biti prozirne ili crne. Moraju biti široke do 3 milimetra i postavljene paralelno s gornjim rubom poklopca. Vrpca mora imati kontinuiranu prozirnu ili crnu oznaku dugu najviše 15 milimetara na mjestu gdje započinje vrpca.</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t>Stavak 4.</w:t>
      </w:r>
      <w:r>
        <w:rPr>
          <w:rFonts w:ascii="Times New Roman" w:hAnsi="Times New Roman"/>
          <w:sz w:val="24"/>
        </w:rPr>
        <w:t xml:space="preserve"> Crna vrpca ne smije prekriti ili skriti zdravstvena upozorenja i druge oznake i sl. ispod drugih zakonskih propisa.</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lastRenderedPageBreak/>
        <w:t xml:space="preserve">Stavak 5. </w:t>
      </w:r>
      <w:r>
        <w:rPr>
          <w:rFonts w:ascii="Times New Roman" w:hAnsi="Times New Roman"/>
          <w:sz w:val="24"/>
        </w:rPr>
        <w:t>Materijal za omatanje primjenjuje se samo na elemente potrebne za proizvodni postupak i ne mijenja standardiziranu formulaciju.</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Poglavlje 5.</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Označivanje itd. pojedinačnih pakiranja i vanjskih pakiranja elektroničkih cigareta i spremnika za ponovno punjenje sa i bez nikotina</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Članak 8.</w:t>
      </w:r>
      <w:r>
        <w:rPr>
          <w:rFonts w:ascii="Times New Roman" w:hAnsi="Times New Roman"/>
          <w:sz w:val="24"/>
        </w:rPr>
        <w:t xml:space="preserve"> Oznake prema ovoj naredbi ne smiju u cijelosti ili djelomično zakloniti tekst, upozorenja ili druge oznake i sl. koje se temelje na drugim zakonskim propisima.</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15A71CA1"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Članak 9.</w:t>
      </w:r>
      <w:r>
        <w:rPr>
          <w:rFonts w:ascii="Times New Roman" w:hAnsi="Times New Roman"/>
          <w:sz w:val="24"/>
        </w:rPr>
        <w:t xml:space="preserve"> Pojedinačna pakiranja i vanjska pakiranja mogu imati oznake na dva mjesta s nazivom robne marke i nazivom proizvoda. Tekst koji se koristi</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mora se sastojati od malih slova a – å, ali početno slovo može biti veliko,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mora se sastojati od brojeva 0 – 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mora biti ispisan fontom Helvetica,</w:t>
      </w:r>
    </w:p>
    <w:p w14:paraId="5D1BD9C1" w14:textId="5AC5E1C4"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može se sastojati od simbola zagrada (–), oštrog naglaska (´), apostrofa (') i znaka (&amp;)</w:t>
      </w:r>
    </w:p>
    <w:p w14:paraId="107D9E2D" w14:textId="6C9FF18D"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mora imati mat boju Pantone Cool Gray 2 C.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mora imati veličinu fonta do 10 točaka i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mora biti postavljen paralelno sa zdravstvenim upozorenjem.</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Stavak 2.</w:t>
      </w:r>
      <w:r>
        <w:rPr>
          <w:rFonts w:ascii="Times New Roman" w:hAnsi="Times New Roman"/>
          <w:sz w:val="24"/>
        </w:rPr>
        <w:t xml:space="preserve"> Zaštitni znak može ispuniti jedan redak.</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Stavak 3.</w:t>
      </w:r>
      <w:r>
        <w:rPr>
          <w:rFonts w:ascii="Times New Roman" w:hAnsi="Times New Roman"/>
          <w:sz w:val="24"/>
        </w:rPr>
        <w:t xml:space="preserve"> Naziv proizvoda mora ispuniti jedan redak i biti postavljen neposredno ispod naziva robne marke </w:t>
      </w:r>
    </w:p>
    <w:p w14:paraId="0C76A8F5" w14:textId="0FB72E99" w:rsidR="00567248" w:rsidRDefault="00D9738B" w:rsidP="00567248">
      <w:pPr>
        <w:spacing w:after="0"/>
        <w:rPr>
          <w:rFonts w:ascii="Times New Roman" w:hAnsi="Times New Roman" w:cs="Times New Roman"/>
          <w:sz w:val="24"/>
          <w:szCs w:val="24"/>
        </w:rPr>
      </w:pPr>
      <w:r>
        <w:rPr>
          <w:rFonts w:ascii="Times New Roman" w:hAnsi="Times New Roman"/>
          <w:b/>
          <w:sz w:val="24"/>
        </w:rPr>
        <w:t>Članak 10.</w:t>
      </w:r>
      <w:r>
        <w:rPr>
          <w:rFonts w:ascii="Times New Roman" w:hAnsi="Times New Roman"/>
          <w:sz w:val="24"/>
        </w:rPr>
        <w:t xml:space="preserve"> Pojedinačna pakiranja i vanjsko pakiranje moraju imati ID oznaku proizvoda, informacije o broju i sadržaju u skladu sa sadržajem pakiranja i moraju sadržavati informacije o vrsti proizvoda koji će se upotrebljavati s tim proizvodom.</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1E8577DF"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Stavak 2.</w:t>
      </w:r>
      <w:r>
        <w:rPr>
          <w:rFonts w:ascii="Times New Roman" w:hAnsi="Times New Roman"/>
          <w:sz w:val="24"/>
        </w:rPr>
        <w:t xml:space="preserve"> Vanjsko pakiranje i pojedinačna pakiranja elektroničkih cigareta i spremnika</w:t>
      </w:r>
      <w:r>
        <w:rPr>
          <w:rFonts w:ascii="Times New Roman" w:hAnsi="Times New Roman"/>
          <w:i/>
          <w:sz w:val="24"/>
        </w:rPr>
        <w:t xml:space="preserve"> </w:t>
      </w:r>
      <w:r>
        <w:rPr>
          <w:rFonts w:ascii="Times New Roman" w:hAnsi="Times New Roman"/>
          <w:sz w:val="24"/>
        </w:rPr>
        <w:t>za ponovno punjenje sa ili bez nikotina koji sadrže karakteristične arome mogu jednom sadržavati oznaku:</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t>„S okusom duhana” ili</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„S okusom mentola”.</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Stavak 3.</w:t>
      </w:r>
      <w:r>
        <w:rPr>
          <w:rFonts w:ascii="Times New Roman" w:hAnsi="Times New Roman"/>
          <w:sz w:val="24"/>
        </w:rPr>
        <w:t xml:space="preserve"> Tekst koji se koristi u skladu sa stavcima 1. i 2.</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mora se sastojati od malih slova a – å, ali početno slovo može biti veliko, </w:t>
      </w:r>
    </w:p>
    <w:p w14:paraId="05979D4E" w14:textId="77777777" w:rsidR="004009A5" w:rsidRPr="003973E4" w:rsidRDefault="004009A5" w:rsidP="009F36F8">
      <w:pPr>
        <w:numPr>
          <w:ilvl w:val="0"/>
          <w:numId w:val="13"/>
        </w:numPr>
        <w:spacing w:after="0"/>
      </w:pPr>
      <w:r>
        <w:rPr>
          <w:rFonts w:ascii="Times New Roman" w:hAnsi="Times New Roman"/>
          <w:sz w:val="24"/>
        </w:rPr>
        <w:t>mora se sastojati od brojeva 0 – 9,</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mora biti ispisan fontom Helvetica,</w:t>
      </w:r>
    </w:p>
    <w:p w14:paraId="075CBCDC" w14:textId="48E40D7D"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mora imati mat boju Pantone Cool Gray 2 C.</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mora imati veličinu fonta do 10 točaka i</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mora biti ispisan u istom smjeru kao zdravstveno upozorenje.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9AF25B2"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Članak 11.</w:t>
      </w:r>
      <w:r>
        <w:rPr>
          <w:rFonts w:ascii="Times New Roman" w:hAnsi="Times New Roman"/>
          <w:sz w:val="24"/>
        </w:rPr>
        <w:t xml:space="preserve"> Pojedinačna pakiranja i vanjska pakiranja koja sadrže elektroničke cigarete i spremnike</w:t>
      </w:r>
      <w:r>
        <w:rPr>
          <w:rFonts w:ascii="Times New Roman" w:hAnsi="Times New Roman"/>
          <w:i/>
          <w:sz w:val="24"/>
        </w:rPr>
        <w:t xml:space="preserve"> </w:t>
      </w:r>
      <w:r>
        <w:rPr>
          <w:rFonts w:ascii="Times New Roman" w:hAnsi="Times New Roman"/>
          <w:sz w:val="24"/>
        </w:rPr>
        <w:t>za ponovno punjenje sa ili bez nikotina moraju imati oznake s crtičnim kodom, ako:</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koriste se u svrhu plaćanja, distribucije ili kontrole zaliha,</w:t>
      </w:r>
    </w:p>
    <w:p w14:paraId="21DE205D" w14:textId="1675FB21"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lastRenderedPageBreak/>
        <w:t xml:space="preserve">crne su boje na bijeloj pozadini ili mat boje Pantone Cool Gray 2 C na bijeloj pozadini,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ne sadrže sliku, uzorak ili simbol koji oponaša bilo što drugo osim crtičnog koda i</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nalaze se na dnu ili s bočne strane pakiranja ako je pakiranje u obliku kutije.</w:t>
      </w:r>
    </w:p>
    <w:p w14:paraId="53732821" w14:textId="77777777" w:rsidR="00AA4176" w:rsidRPr="00AA4176" w:rsidRDefault="00AA4176" w:rsidP="00AA4176">
      <w:pPr>
        <w:rPr>
          <w:rFonts w:ascii="Times New Roman" w:hAnsi="Times New Roman" w:cs="Times New Roman"/>
          <w:sz w:val="24"/>
          <w:szCs w:val="24"/>
        </w:rPr>
      </w:pPr>
    </w:p>
    <w:p w14:paraId="25A39E58" w14:textId="5A9AB3C1"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t>Stavak 12.</w:t>
      </w:r>
      <w:r>
        <w:rPr>
          <w:rFonts w:ascii="Times New Roman" w:hAnsi="Times New Roman"/>
          <w:sz w:val="24"/>
        </w:rPr>
        <w:t xml:space="preserve"> Pojedinačna pakiranja i vanjsko pakiranje za elektroničke cigarete i spremnici koji se mogu ponovno puniti</w:t>
      </w:r>
      <w:r>
        <w:rPr>
          <w:rFonts w:ascii="Times New Roman" w:hAnsi="Times New Roman"/>
          <w:i/>
          <w:sz w:val="24"/>
        </w:rPr>
        <w:t xml:space="preserve"> </w:t>
      </w:r>
      <w:r>
        <w:rPr>
          <w:rFonts w:ascii="Times New Roman" w:hAnsi="Times New Roman"/>
          <w:sz w:val="24"/>
        </w:rPr>
        <w:t>s nikotinom i bez nikotina mogu se pričvrstiti na proizvodnu etiketu, uključujući broj serije, pod uvjetom da oznaka</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upotrebljava se za usklađivanje s drugim primjenjivim pravilima, uključujući pravila o praćenju i naknadama,</w:t>
      </w:r>
    </w:p>
    <w:p w14:paraId="0A4DFE4F" w14:textId="2AABE75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crna je na bijeloj pozadini ili mat </w:t>
      </w:r>
      <w:r>
        <w:rPr>
          <w:rStyle w:val="A1"/>
          <w:rFonts w:ascii="Times New Roman" w:hAnsi="Times New Roman"/>
          <w:sz w:val="24"/>
        </w:rPr>
        <w:t>Pantone Cool Gray 2 C</w:t>
      </w:r>
      <w:r>
        <w:rPr>
          <w:rFonts w:ascii="Times New Roman" w:hAnsi="Times New Roman"/>
          <w:sz w:val="24"/>
        </w:rPr>
        <w:t xml:space="preserve"> na bijeloj pozadini,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ne predstavlja sliku, uzorak ili simbol koji oponaša ništa drugo osim označivanja proizvodnje,</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nalazi se na dnu ili na bočnoj strani pakiranja i</w:t>
      </w:r>
    </w:p>
    <w:p w14:paraId="1124F38C" w14:textId="6F73A8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ne smije se na drugi način smatrati protivnim zahtjevu standardiziranog dizajna za sve proizvode koji sadržavaju elektroničke cigarete i spremnike koji se mogu ponovno puniti</w:t>
      </w:r>
      <w:r>
        <w:rPr>
          <w:rFonts w:ascii="Times New Roman" w:hAnsi="Times New Roman"/>
          <w:i/>
          <w:sz w:val="24"/>
        </w:rPr>
        <w:t xml:space="preserve"> </w:t>
      </w:r>
      <w:r>
        <w:rPr>
          <w:rFonts w:ascii="Times New Roman" w:hAnsi="Times New Roman"/>
          <w:sz w:val="24"/>
        </w:rPr>
        <w:t>s nikotinom i bez njega.</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Poglavlje 6.</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Kazne</w:t>
      </w:r>
    </w:p>
    <w:p w14:paraId="79813513" w14:textId="7E9604CC"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Članak 13. </w:t>
      </w:r>
      <w:r>
        <w:rPr>
          <w:rFonts w:ascii="Times New Roman" w:hAnsi="Times New Roman"/>
          <w:sz w:val="24"/>
        </w:rPr>
        <w:t>Osim ako drugim zakonskim propisom nije određena viša kazna, osoba koja prekrši članke od 2. do 12. kažnjava se novčanom kaznom.</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Stavak 2</w:t>
      </w:r>
      <w:r>
        <w:rPr>
          <w:rFonts w:ascii="Times New Roman" w:hAnsi="Times New Roman"/>
          <w:sz w:val="24"/>
        </w:rPr>
        <w:t>. Pravne osobe mogu se smatrati kazneno odgovornima u skladu s odredbama iz poglavlja 5. Kaznenog zakona [Straffeloven].</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Poglavlje 7.</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t>Stupanje na snagu</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Članak 14 </w:t>
      </w:r>
      <w:r>
        <w:rPr>
          <w:rFonts w:ascii="Times New Roman" w:hAnsi="Times New Roman"/>
          <w:sz w:val="24"/>
        </w:rPr>
        <w:t>Ova Naredba stupa na snagu 1. listopada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Ministarstvo zdravlja, 19. travnja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4C28A06B"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t>/ 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532" w14:textId="77777777" w:rsidR="00FE0AA9" w:rsidRDefault="00FE0AA9" w:rsidP="00E65BF1">
      <w:pPr>
        <w:spacing w:after="0" w:line="240" w:lineRule="auto"/>
      </w:pPr>
      <w:r>
        <w:separator/>
      </w:r>
    </w:p>
  </w:endnote>
  <w:endnote w:type="continuationSeparator" w:id="0">
    <w:p w14:paraId="1F1F5394" w14:textId="77777777" w:rsidR="00FE0AA9" w:rsidRDefault="00FE0AA9" w:rsidP="00E65BF1">
      <w:pPr>
        <w:spacing w:after="0" w:line="240" w:lineRule="auto"/>
      </w:pPr>
      <w:r>
        <w:continuationSeparator/>
      </w:r>
    </w:p>
  </w:endnote>
  <w:endnote w:type="continuationNotice" w:id="1">
    <w:p w14:paraId="21070433" w14:textId="77777777" w:rsidR="00FE0AA9" w:rsidRDefault="00FE0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E598" w14:textId="77777777" w:rsidR="00FE0AA9" w:rsidRDefault="00FE0AA9" w:rsidP="00E65BF1">
      <w:pPr>
        <w:spacing w:after="0" w:line="240" w:lineRule="auto"/>
      </w:pPr>
      <w:r>
        <w:separator/>
      </w:r>
    </w:p>
  </w:footnote>
  <w:footnote w:type="continuationSeparator" w:id="0">
    <w:p w14:paraId="0351CD1A" w14:textId="77777777" w:rsidR="00FE0AA9" w:rsidRDefault="00FE0AA9" w:rsidP="00E65BF1">
      <w:pPr>
        <w:spacing w:after="0" w:line="240" w:lineRule="auto"/>
      </w:pPr>
      <w:r>
        <w:continuationSeparator/>
      </w:r>
    </w:p>
  </w:footnote>
  <w:footnote w:type="continuationNotice" w:id="1">
    <w:p w14:paraId="58E481B6" w14:textId="77777777" w:rsidR="00FE0AA9" w:rsidRDefault="00FE0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0D5C"/>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0381C"/>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E114A"/>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 w:val="00FE0A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Pages>
  <Words>1340</Words>
  <Characters>7644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Dimitris Dimitriadis</cp:lastModifiedBy>
  <cp:revision>318</cp:revision>
  <dcterms:created xsi:type="dcterms:W3CDTF">2021-01-29T10:18:00Z</dcterms:created>
  <dcterms:modified xsi:type="dcterms:W3CDTF">2022-01-13T11:20:00Z</dcterms:modified>
</cp:coreProperties>
</file>